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2024/0670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{05/05/2025}</w:t>
      </w:r>
      <w:r>
        <w:t>5. 5. 2025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50</w:t>
      </w:r>
      <w:r>
        <w:t xml:space="preserve"> - </w:t>
      </w:r>
      <w:r>
        <w:t>248</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Juan Fernando López Aguilar</w:t>
      </w:r>
      <w:r>
        <w:rPr>
          <w:rStyle w:val="HideTWBExt"/>
        </w:rPr>
        <w:t>&lt;/Rapporteur&gt;</w:t>
      </w:r>
    </w:p>
    <w:p>
      <w:pPr>
        <w:pStyle w:val="CoverNormal24a"/>
      </w:pPr>
      <w:r>
        <w:rPr>
          <w:rStyle w:val="HideTWBExt"/>
        </w:rPr>
        <w:t>&lt;DocRefPE&gt;</w:t>
      </w:r>
      <w:r>
        <w:t>(PE770.059v01-00)</w:t>
      </w:r>
      <w:r>
        <w:rPr>
          <w:rStyle w:val="HideTWBExt"/>
        </w:rPr>
        <w:t>&lt;/DocRefPE&gt;</w:t>
      </w:r>
    </w:p>
    <w:p>
      <w:pPr>
        <w:pStyle w:val="CoverNormal24a"/>
      </w:pPr>
      <w:r>
        <w:rPr>
          <w:rStyle w:val="HideTWBExt"/>
        </w:rPr>
        <w:t>&lt;Titre&gt;</w:t>
      </w:r>
      <w:r>
        <w:t>Aplikace pro elektronické předkládání cestovních údajů („digitální cestovní aplikace EU“) a změna nařízení Evropského parlamentu a Rady (EU) 2016/399 a (EU) 2018/1726 a nařízení Rady (ES) č. 2252/2004, pokud jde o používání digitálních cestovních oprávnění</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(COM(2024)0670 – 2024/0670(COD))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a nařízení (EU) 2019/1157</w:t>
            </w:r>
            <w:r>
              <w:rPr>
                <w:vertAlign w:val="superscript"/>
              </w:rPr>
              <w:t>2</w:t>
            </w:r>
            <w:r>
              <w:t>, jakož i vstup v platnost nařízení Evropského parlamentu a Rady (ES) č. 562/2006</w:t>
            </w:r>
            <w:r>
              <w:rPr>
                <w:vertAlign w:val="superscript"/>
              </w:rPr>
              <w:t>3</w:t>
            </w:r>
            <w:r>
              <w:t xml:space="preserve">významně přispěly k vysokým bezpečnostním standardům a důkladné správě vnějších hranic. Hraniční kontroly </w:t>
            </w:r>
            <w:r>
              <w:rPr>
                <w:b/>
                <w:i/>
              </w:rPr>
              <w:t>prováděné</w:t>
            </w:r>
            <w:r>
              <w:t xml:space="preserve"> v souladu s nařízením Evropského parlamentu a Rady (EU) 2016/399</w:t>
            </w:r>
            <w:r>
              <w:rPr>
                <w:vertAlign w:val="superscript"/>
              </w:rPr>
              <w:t>4</w:t>
            </w:r>
            <w:r>
              <w:rPr>
                <w:b/>
                <w:i/>
              </w:rPr>
              <w:t>slouží ke spolehlivé identifikaci cestujících, k předcházení ohrožení vnitřní bezpečnosti, veřejného pořádku, veřejného zdraví a mezinárodních vztahů členských států, jakož i k boji proti nelegální migraci při dodržování základních práv</w:t>
            </w:r>
            <w:r>
              <w:t>.</w:t>
            </w:r>
          </w:p>
        </w:tc>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 xml:space="preserve"> a nařízení (EU) 2019/1157</w:t>
            </w:r>
            <w:r>
              <w:rPr>
                <w:vertAlign w:val="superscript"/>
              </w:rPr>
              <w:t>2</w:t>
            </w:r>
            <w:r>
              <w:t>, jakož i vstup v platnost nařízení Evropského parlamentu a Rady (ES) č. 562/2006</w:t>
            </w:r>
            <w:r>
              <w:rPr>
                <w:vertAlign w:val="superscript"/>
              </w:rPr>
              <w:t>3</w:t>
            </w:r>
            <w:r>
              <w:t xml:space="preserve"> významně přispěly k vysokým bezpečnostním standardům a důkladné správě vnějších hranic. Hraniční kontroly </w:t>
            </w:r>
            <w:r>
              <w:rPr>
                <w:b/>
                <w:i/>
              </w:rPr>
              <w:t>by měly být prováděny</w:t>
            </w:r>
            <w:r>
              <w:t xml:space="preserve"> v souladu s nařízením Evropského parlamentu a Rady (EU) 2016/399</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w:t>
            </w:r>
            <w:r>
              <w:rPr>
                <w:b/>
                <w:i/>
              </w:rPr>
              <w:t> </w:t>
            </w:r>
            <w:r>
              <w:t xml:space="preserve">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a nařízení (EU) 2019/1157</w:t>
            </w:r>
            <w:r>
              <w:rPr>
                <w:vertAlign w:val="superscript"/>
              </w:rPr>
              <w:t>2</w:t>
            </w:r>
            <w:r>
              <w:t>, jakož i vstup v platnost nařízení Evropského parlamentu a Rady (ES) č. 562/2006</w:t>
            </w:r>
            <w:r>
              <w:rPr>
                <w:vertAlign w:val="superscript"/>
              </w:rPr>
              <w:t>3</w:t>
            </w:r>
            <w:r>
              <w:t>významně přispěly k vysokým bezpečnostním standardům a důkladné správě vnějších hranic. Hraniční kontroly prováděné v souladu s nařízením Evropského parlamentu a Rady (EU) 2016/399</w:t>
            </w:r>
            <w:r>
              <w:rPr>
                <w:vertAlign w:val="superscript"/>
              </w:rPr>
              <w:t>4</w:t>
            </w:r>
            <w:r>
              <w:t>slouží ke spolehlivé identifikaci cestujících, k předcházení ohrožení vnitřní bezpečnosti, veřejného pořádku</w:t>
            </w:r>
            <w:r>
              <w:rPr>
                <w:b/>
                <w:i/>
              </w:rPr>
              <w:t>, veřejného zdraví a mezinárodních vztahů členských států, jakož i k boji proti nelegální migraci při dodržování základních práv</w:t>
            </w:r>
            <w:r>
              <w:t>.</w:t>
            </w:r>
          </w:p>
        </w:tc>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 xml:space="preserve"> a nařízení (EU) 2019/1157</w:t>
            </w:r>
            <w:r>
              <w:rPr>
                <w:vertAlign w:val="superscript"/>
              </w:rPr>
              <w:t>2</w:t>
            </w:r>
            <w:r>
              <w:t>, jakož i vstup v platnost nařízení Evropského parlamentu a Rady (ES) č. 562/2006</w:t>
            </w:r>
            <w:r>
              <w:rPr>
                <w:vertAlign w:val="superscript"/>
              </w:rPr>
              <w:t>3</w:t>
            </w:r>
            <w:r>
              <w:t xml:space="preserve"> významně přispěly k vysokým bezpečnostním standardům a důkladné správě vnějších hranic. Hraniční kontroly prováděné v souladu s nařízením Evropského parlamentu a Rady (EU) 2016/399</w:t>
            </w:r>
            <w:r>
              <w:rPr>
                <w:vertAlign w:val="superscript"/>
              </w:rPr>
              <w:t>4</w:t>
            </w:r>
            <w:r>
              <w:t xml:space="preserve"> slouží ke spolehlivé identifikaci cestujících, k předcházení ohrožení vnitřní bezpečnosti, veřejného pořádku </w:t>
            </w:r>
            <w:r>
              <w:rPr>
                <w:b/>
                <w:i/>
              </w:rPr>
              <w:t>a veřejného zdraví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w:t>
            </w:r>
            <w:r>
              <w:rPr>
                <w:b/>
                <w:i/>
              </w:rPr>
              <w:t> </w:t>
            </w:r>
            <w:r>
              <w:t xml:space="preserve">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a nařízení (EU) 2019/1157</w:t>
            </w:r>
            <w:r>
              <w:rPr>
                <w:vertAlign w:val="superscript"/>
              </w:rPr>
              <w:t>2</w:t>
            </w:r>
            <w:r>
              <w:t>, jakož i vstup v platnost nařízení Evropského parlamentu a Rady (ES) č. 562/2006</w:t>
            </w:r>
            <w:r>
              <w:rPr>
                <w:vertAlign w:val="superscript"/>
              </w:rPr>
              <w:t>3</w:t>
            </w:r>
            <w:r>
              <w:t>významně přispěly k vysokým bezpečnostním standardům a důkladné správě vnějších hranic. Hraniční kontroly prováděné v souladu s nařízením Evropského parlamentu a Rady (EU) 2016/399</w:t>
            </w:r>
            <w:r>
              <w:rPr>
                <w:vertAlign w:val="superscript"/>
              </w:rPr>
              <w:t>4</w:t>
            </w:r>
            <w:r>
              <w:t xml:space="preserve">slouží ke spolehlivé identifikaci cestujících, k předcházení ohrožení vnitřní bezpečnosti, veřejného pořádku, veřejného zdraví a mezinárodních vztahů členských států, jakož i k boji proti </w:t>
            </w:r>
            <w:r>
              <w:rPr>
                <w:b/>
                <w:i/>
              </w:rPr>
              <w:t>nelegální migraci</w:t>
            </w:r>
            <w:r>
              <w:t xml:space="preserve"> při dodržování základních práv.</w:t>
            </w:r>
          </w:p>
        </w:tc>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 xml:space="preserve"> a nařízení (EU) 2019/1157</w:t>
            </w:r>
            <w:r>
              <w:rPr>
                <w:vertAlign w:val="superscript"/>
              </w:rPr>
              <w:t>2</w:t>
            </w:r>
            <w:r>
              <w:t>, jakož i vstup v platnost nařízení Evropského parlamentu a Rady (ES) č. 562/2006</w:t>
            </w:r>
            <w:r>
              <w:rPr>
                <w:vertAlign w:val="superscript"/>
              </w:rPr>
              <w:t>3</w:t>
            </w:r>
            <w:r>
              <w:t xml:space="preserve"> významně přispěly k vysokým bezpečnostním standardům a důkladné správě vnějších hranic. Hraniční kontroly prováděné v souladu s nařízením Evropského parlamentu a Rady (EU) 2016/399</w:t>
            </w:r>
            <w:r>
              <w:rPr>
                <w:vertAlign w:val="superscript"/>
              </w:rPr>
              <w:t>4</w:t>
            </w:r>
            <w:r>
              <w:t xml:space="preserve"> slouží ke spolehlivé identifikaci cestujících, k předcházení ohrožení vnitřní bezpečnosti, veřejného pořádku, veřejného zdraví a mezinárodních vztahů členských států, jakož i </w:t>
            </w:r>
            <w:r>
              <w:rPr>
                <w:b/>
                <w:i/>
              </w:rPr>
              <w:t>ke kontrole nelegální a účelové migrace a</w:t>
            </w:r>
            <w:r>
              <w:t xml:space="preserve"> k boji proti </w:t>
            </w:r>
            <w:r>
              <w:rPr>
                <w:b/>
                <w:i/>
              </w:rPr>
              <w:t>ní</w:t>
            </w:r>
            <w:r>
              <w:t xml:space="preserve"> při dodržování základních práv.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w:t>
            </w:r>
            <w:r>
              <w:rPr>
                <w:b/>
                <w:i/>
              </w:rPr>
              <w:t> </w:t>
            </w:r>
            <w:r>
              <w:t xml:space="preserve">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a nařízení (EU) 2019/1157</w:t>
            </w:r>
            <w:r>
              <w:rPr>
                <w:vertAlign w:val="superscript"/>
              </w:rPr>
              <w:t>2</w:t>
            </w:r>
            <w:r>
              <w:t>, jakož i vstup v platnost nařízení Evropského parlamentu a Rady (ES) č. 562/2006</w:t>
            </w:r>
            <w:r>
              <w:rPr>
                <w:vertAlign w:val="superscript"/>
              </w:rPr>
              <w:t>3</w:t>
            </w:r>
            <w:r>
              <w:t>významně přispěly k vysokým bezpečnostním standardům a důkladné správě vnějších hranic. Hraniční kontroly prováděné v souladu s nařízením Evropského parlamentu a Rady (EU) 2016/399</w:t>
            </w:r>
            <w:r>
              <w:rPr>
                <w:vertAlign w:val="superscript"/>
              </w:rPr>
              <w:t>4</w:t>
            </w:r>
            <w:r>
              <w:t xml:space="preserve">slouží ke spolehlivé identifikaci cestujících, k předcházení ohrožení vnitřní bezpečnosti, veřejného pořádku, veřejného zdraví a mezinárodních vztahů členských států, jakož i k boji proti nelegální migraci </w:t>
            </w:r>
            <w:r>
              <w:rPr>
                <w:b/>
                <w:i/>
              </w:rPr>
              <w:t>při dodržování základních práv</w:t>
            </w:r>
            <w:r>
              <w:t>.</w:t>
            </w:r>
          </w:p>
        </w:tc>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 xml:space="preserve"> a nařízení (EU) 2019/1157</w:t>
            </w:r>
            <w:r>
              <w:rPr>
                <w:vertAlign w:val="superscript"/>
              </w:rPr>
              <w:t>2</w:t>
            </w:r>
            <w:r>
              <w:t>, jakož i vstup v platnost nařízení Evropského parlamentu a Rady (ES) č. 562/2006</w:t>
            </w:r>
            <w:r>
              <w:rPr>
                <w:vertAlign w:val="superscript"/>
              </w:rPr>
              <w:t>3</w:t>
            </w:r>
            <w:r>
              <w:t xml:space="preserve"> významně přispěly k vysokým bezpečnostním standardům a důkladné správě vnějších hranic. Hraniční kontroly prováděné v souladu s nařízením Evropského parlamentu a Rady (EU) 2016/399</w:t>
            </w:r>
            <w:r>
              <w:rPr>
                <w:vertAlign w:val="superscript"/>
              </w:rPr>
              <w:t>4</w:t>
            </w:r>
            <w:r>
              <w:t xml:space="preserve"> slouží ke spolehlivé identifikaci cestujících, k předcházení ohrožení vnitřní bezpečnosti, veřejného pořádku, veřejného zdraví a mezinárodních vztahů členských států, jakož i k boji proti nelegální migraci.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w:t>
            </w:r>
            <w:r>
              <w:rPr>
                <w:b/>
                <w:i/>
              </w:rPr>
              <w:t> </w:t>
            </w:r>
            <w:r>
              <w:t xml:space="preserve">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a nařízení (EU) 2019/1157</w:t>
            </w:r>
            <w:r>
              <w:rPr>
                <w:vertAlign w:val="superscript"/>
              </w:rPr>
              <w:t>2</w:t>
            </w:r>
            <w:r>
              <w:t>, jakož i vstup v platnost nařízení Evropského parlamentu a Rady (ES) č. 562/2006</w:t>
            </w:r>
            <w:r>
              <w:rPr>
                <w:vertAlign w:val="superscript"/>
              </w:rPr>
              <w:t>3</w:t>
            </w:r>
            <w:r>
              <w:t>významně přispěly k vysokým bezpečnostním standardům a důkladné správě vnějších hranic. Hraniční kontroly prováděné v souladu s nařízením Evropského parlamentu a Rady (EU) 2016/399</w:t>
            </w:r>
            <w:r>
              <w:rPr>
                <w:vertAlign w:val="superscript"/>
              </w:rPr>
              <w:t>4</w:t>
            </w:r>
            <w:r>
              <w:t>slouží ke spolehlivé identifikaci cestujících, k předcházení ohrožení vnitřní bezpečnosti, veřejného pořádku, veřejného zdraví a mezinárodních vztahů členských států, jakož i k boji proti nelegální migraci při dodržování základních práv.</w:t>
            </w:r>
          </w:p>
        </w:tc>
        <w:tc>
          <w:tcPr>
            <w:tcW w:w="4876" w:type="dxa"/>
            <w:tcBorders>
              <w:top w:val="nil"/>
              <w:left w:val="nil"/>
              <w:bottom w:val="nil"/>
              <w:right w:val="nil"/>
            </w:tcBorders>
          </w:tcPr>
          <w:p>
            <w:pPr>
              <w:pStyle w:val="Normal6a"/>
            </w:pPr>
            <w:r>
              <w:t>(1)</w:t>
            </w:r>
            <w:r>
              <w:tab/>
            </w:r>
            <w:r>
              <w:t>Provádění účinných a účelných hraničních kontrol na vnějších hranicích přispívá k řádnému fungování prostoru bez kontrol na vnitřních hranicích (dále jen „schengenský prostor“) a k vnitřní bezpečnosti Unie. Začlenění paměťového média (čipu) se zobrazením obličeje držitele do cestovních dokladů vydávaných členskými státy na základě nařízení Rady (ES) č. 2252/2004</w:t>
            </w:r>
            <w:r>
              <w:rPr>
                <w:vertAlign w:val="superscript"/>
              </w:rPr>
              <w:t>1</w:t>
            </w:r>
            <w:r>
              <w:t xml:space="preserve"> a nařízení (EU) 2019/1157</w:t>
            </w:r>
            <w:r>
              <w:rPr>
                <w:vertAlign w:val="superscript"/>
              </w:rPr>
              <w:t>2</w:t>
            </w:r>
            <w:r>
              <w:t>, jakož i vstup v platnost nařízení Evropského parlamentu a Rady (ES) č. 562/2006</w:t>
            </w:r>
            <w:r>
              <w:rPr>
                <w:vertAlign w:val="superscript"/>
              </w:rPr>
              <w:t>3</w:t>
            </w:r>
            <w:r>
              <w:t xml:space="preserve"> významně přispěly k vysokým bezpečnostním standardům a důkladné správě vnějších hranic. Hraniční kontroly prováděné v souladu s nařízením Evropského parlamentu a Rady (EU) 2016/399</w:t>
            </w:r>
            <w:r>
              <w:rPr>
                <w:vertAlign w:val="superscript"/>
              </w:rPr>
              <w:t>4</w:t>
            </w:r>
            <w:r>
              <w:t xml:space="preserve"> slouží ke spolehlivé </w:t>
            </w:r>
            <w:r>
              <w:rPr>
                <w:b/>
                <w:i/>
              </w:rPr>
              <w:t>a bezpečné</w:t>
            </w:r>
            <w:r>
              <w:t xml:space="preserve"> identifikaci cestujících, k předcházení ohrožení vnitřní bezpečnosti, veřejného pořádku, veřejného zdraví a mezinárodních vztahů členských států, jakož i k boji proti nelegální migraci při dodržování základních práv.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c>
          <w:tcPr>
            <w:tcW w:w="4876" w:type="dxa"/>
            <w:tcBorders>
              <w:top w:val="nil"/>
              <w:left w:val="nil"/>
              <w:bottom w:val="nil"/>
              <w:right w:val="nil"/>
            </w:tcBorders>
          </w:tcPr>
          <w:p>
            <w:pPr>
              <w:pStyle w:val="Normal6a"/>
            </w:pPr>
            <w:r>
              <w:rPr>
                <w:vertAlign w:val="superscript"/>
              </w:rPr>
              <w:t>1</w:t>
            </w:r>
            <w:r>
              <w:t xml:space="preserve"> </w:t>
            </w:r>
            <w:r>
              <w:t>Nařízení Rady (ES) č. 2252/2004 ze dne 13. prosince 2004 o normách pro bezpečnostní a biometrické prvky v cestovních pasech a cestovních dokladech vydávaných členskými státy (Úř. věst.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 o posílení zabezpečení průkazů totožnosti občanů Unie a povolení k pobytu vydávaných občanům Unie a jejich rodinným příslušníkům, kteří vykonávají své právo volného pohybu (Úř. věst.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Nařízení Evropského parlamentu a Rady (EU) 2019/1157 ze dne 20. června 2019</w:t>
            </w:r>
            <w:r>
              <w:rPr>
                <w:b/>
                <w:i/>
              </w:rPr>
              <w:t> </w:t>
            </w:r>
            <w:r>
              <w:t xml:space="preserve"> o posílení zabezpečení průkazů totožnosti občanů Unie a povolení k pobytu vydávaných občanům Unie a jejich rodinným příslušníkům, kteří vykonávají své právo volného pohybu (Úř. věst. L 188,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c>
          <w:tcPr>
            <w:tcW w:w="4876" w:type="dxa"/>
            <w:tcBorders>
              <w:top w:val="nil"/>
              <w:left w:val="nil"/>
              <w:bottom w:val="nil"/>
              <w:right w:val="nil"/>
            </w:tcBorders>
          </w:tcPr>
          <w:p>
            <w:pPr>
              <w:pStyle w:val="Normal6a"/>
            </w:pPr>
            <w:r>
              <w:rPr>
                <w:vertAlign w:val="superscript"/>
              </w:rPr>
              <w:t>3</w:t>
            </w:r>
            <w:r>
              <w:t xml:space="preserve"> </w:t>
            </w:r>
            <w:r>
              <w:t>Nařízení Evropského parlamentu a Rady (ES) č. 562/2006 ze dne 15. března 2006, kterým se stanoví kodex Společenství o pravidlech upravujících přeshraniční pohyb osob (Schengenský hraniční kodex) (Úř. věst.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2016/399 ze dne 9. března 2016, kterým se stanoví kodex Unie o pravidlech upravujících přeshraniční pohyb osob (Schengenský hraniční kodex) (Úř. věst. L 77, 23.3.2016, s. 1).</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Vzhledem k </w:t>
            </w:r>
            <w:r>
              <w:rPr>
                <w:b/>
                <w:i/>
              </w:rPr>
              <w:t>tomu, že se v současné době při kontrole cestovních dokladů a provádění hraničních kontrol spoléhá na fyzické cestovní doklady a fyzické interakce, nejsou pohraniční orgány členských států schopny ověřovat pravost a integritu cestovních dokladů na dálku a provádět příslušné kontroly v databázích před příjezdem cestujících na fyzický hraniční přechod, s výjimkou cestujících v letecké dopravě, u nichž jsou předávány a zpracovávány předběžné informace o cestujících.</w:t>
            </w:r>
            <w:r>
              <w:t xml:space="preserve"> </w:t>
            </w:r>
            <w:r>
              <w:rPr>
                <w:b/>
                <w:i/>
              </w:rPr>
              <w:t>Vzhledem k</w:t>
            </w:r>
            <w:r>
              <w:t xml:space="preserve"> rostoucím tokům cestujících přes vnější hranice schengenského prostoru, jakož i ke zprovoznění Systému vstupu/výstupu zřízeného nařízením Evropského parlamentu a Rady (EU) 2017/2226</w:t>
            </w:r>
            <w:r>
              <w:rPr>
                <w:vertAlign w:val="superscript"/>
              </w:rPr>
              <w:t>5</w:t>
            </w:r>
            <w:r>
              <w:t xml:space="preserve">, který bude vyžadovat, aby státní příslušníci třetích zemí, na něž se vztahuje, poskytovali v rámci hraničních kontrol další údaje, je </w:t>
            </w:r>
            <w:r>
              <w:rPr>
                <w:b/>
                <w:i/>
              </w:rPr>
              <w:t>nezbytné</w:t>
            </w:r>
            <w:r>
              <w:t xml:space="preserve"> umožnit pohraničním orgánům využívat bezpečná technická řešení k provádění příslušných kontrol </w:t>
            </w:r>
            <w:r>
              <w:rPr>
                <w:b/>
                <w:i/>
              </w:rPr>
              <w:t>před příjezdem cestujících na hraniční přechody</w:t>
            </w:r>
            <w:r>
              <w:t>.</w:t>
            </w:r>
          </w:p>
        </w:tc>
        <w:tc>
          <w:tcPr>
            <w:tcW w:w="4876" w:type="dxa"/>
            <w:tcBorders>
              <w:top w:val="nil"/>
              <w:left w:val="nil"/>
              <w:bottom w:val="nil"/>
              <w:right w:val="nil"/>
            </w:tcBorders>
          </w:tcPr>
          <w:p>
            <w:pPr>
              <w:pStyle w:val="Normal6a"/>
            </w:pPr>
            <w:r>
              <w:t>(2)</w:t>
            </w:r>
            <w:r>
              <w:tab/>
            </w:r>
            <w:r>
              <w:t>Vzhledem k rostoucím tokům cestujících přes vnější hranice schengenského prostoru, jakož i ke zprovoznění Systému vstupu/výstupu zřízeného nařízením Evropského parlamentu a Rady (EU) 2017/2226</w:t>
            </w:r>
            <w:r>
              <w:rPr>
                <w:vertAlign w:val="superscript"/>
              </w:rPr>
              <w:t>5</w:t>
            </w:r>
            <w:r>
              <w:t xml:space="preserve">, který bude vyžadovat, aby státní příslušníci třetích zemí, na něž se vztahuje, poskytovali v rámci hraničních kontrol další údaje, je </w:t>
            </w:r>
            <w:r>
              <w:rPr>
                <w:b/>
                <w:i/>
              </w:rPr>
              <w:t>vhodné</w:t>
            </w:r>
            <w:r>
              <w:t xml:space="preserve"> umožnit pohraničním orgánům využívat bezpečná technická řešení k provádění příslušných kontrol </w:t>
            </w:r>
            <w:r>
              <w:rPr>
                <w:b/>
                <w:i/>
              </w:rPr>
              <w:t>na hraničních přechodech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xml:space="preserve">Nařízení Evropského parlamentu a Rady (EU) 2017/2226 ze dne ze dne 30. listopadu 2017, kterým se zřizuje Systém vstupu/výstupu (EES) pro registraci údajů o vstupu a výstupu a údajů o odepření vstupu, pokud jde o státní příslušníky třetích zemí překračující vnější hranice členských států, kterým se stanoví podmínky přístupu do systému EES pro účely vymáhání práva a kterým se mění Úmluva k provedení Schengenské dohody a nařízení (ES) č. 767/2008 a (EU) č. 1077/2011 (Úř. věst. L 327, 9.12.2017, s. 20, ELI: </w:t>
            </w:r>
            <w:r>
              <w:rPr>
                <w:b/>
                <w:i/>
              </w:rPr>
              <w:t>…</w:t>
            </w:r>
            <w:r>
              <w:t>).</w:t>
            </w:r>
          </w:p>
        </w:tc>
        <w:tc>
          <w:tcPr>
            <w:tcW w:w="4876" w:type="dxa"/>
            <w:tcBorders>
              <w:top w:val="nil"/>
              <w:left w:val="nil"/>
              <w:bottom w:val="nil"/>
              <w:right w:val="nil"/>
            </w:tcBorders>
          </w:tcPr>
          <w:p>
            <w:pPr>
              <w:pStyle w:val="Normal6a"/>
            </w:pPr>
            <w:r>
              <w:rPr>
                <w:vertAlign w:val="superscript"/>
              </w:rPr>
              <w:t>5</w:t>
            </w:r>
            <w:r>
              <w:t xml:space="preserve"> </w:t>
            </w:r>
            <w:r>
              <w:t xml:space="preserve">Nařízení Evropského parlamentu a Rady (EU) 2017/2226 ze dne ze dne 30. listopadu 2017, kterým se zřizuje Systém vstupu/výstupu (EES) pro registraci údajů o vstupu a výstupu a údajů o odepření vstupu, pokud jde o státní příslušníky třetích zemí překračující vnější hranice členských států, kterým se stanoví podmínky přístupu do systému EES pro účely vymáhání práva a kterým se mění Úmluva k provedení Schengenské dohody a nařízení (ES) č. 767/2008 a (EU) č. 1077/2011 (Úř. věst. L 327, 9.12.2017, s. 20, ELI: </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Stávající právní rámec pro cestovní doklady a hraniční kontroly, který tvoří zejména nařízení (ES) č. 2252/2004, (EU) XXXX/XXXX</w:t>
            </w:r>
            <w:r>
              <w:rPr>
                <w:vertAlign w:val="superscript"/>
              </w:rPr>
              <w:t>6</w:t>
            </w:r>
            <w:r>
              <w:t xml:space="preserve">[COM(2024) 316 final] a (EU) 2016/399, neumožňuje používat údaje obsažené v paměťovém médiu cestovních dokladů pro účely provádění </w:t>
            </w:r>
            <w:r>
              <w:rPr>
                <w:b/>
                <w:i/>
              </w:rPr>
              <w:t>takových předběžných</w:t>
            </w:r>
            <w:r>
              <w:t xml:space="preserve"> hraničních kontrol </w:t>
            </w:r>
            <w:r>
              <w:rPr>
                <w:b/>
                <w:i/>
              </w:rPr>
              <w:t>a předběžného přezkumu údajů cestujících</w:t>
            </w:r>
            <w:r>
              <w:t xml:space="preserve"> ani používat tyto údaje pro jiné účely. </w:t>
            </w:r>
            <w:r>
              <w:rPr>
                <w:b/>
                <w:i/>
              </w:rPr>
              <w:t>V návaznosti na nedávný vývoj na mezinárodní úrovni, zejména v souvislosti s prací na standardizaci prováděnou Mezinárodní organizací pro civilní letectví (ICAO), a na možnosti a spolehlivost rozpoznávání obličeje je tato technologie k dispozici a představuje reakci na výzvy k usnadnění přeshraničního cestování při zajištění vysoké úrovně bezpečnosti a při plném respektování základních práv, včetně práva na soukromí a ochranu osobních údajů.</w:t>
            </w:r>
          </w:p>
        </w:tc>
        <w:tc>
          <w:tcPr>
            <w:tcW w:w="4876" w:type="dxa"/>
            <w:tcBorders>
              <w:top w:val="nil"/>
              <w:left w:val="nil"/>
              <w:bottom w:val="nil"/>
              <w:right w:val="nil"/>
            </w:tcBorders>
          </w:tcPr>
          <w:p>
            <w:pPr>
              <w:pStyle w:val="Normal6a"/>
            </w:pPr>
            <w:r>
              <w:t>(3)</w:t>
            </w:r>
            <w:r>
              <w:tab/>
            </w:r>
            <w:r>
              <w:t>Stávající právní rámec pro cestovní doklady a hraniční kontroly, který tvoří zejména nařízení (ES) č. 2252/2004, (EU) XXXX/XXXX</w:t>
            </w:r>
            <w:r>
              <w:rPr>
                <w:vertAlign w:val="superscript"/>
              </w:rPr>
              <w:t>6</w:t>
            </w:r>
            <w:r>
              <w:t xml:space="preserve"> [COM(2024) 316 final] a (EU) 2016/399, neumožňuje používat údaje obsažené v paměťovém médiu cestovních dokladů pro účely provádění hraničních kontrol </w:t>
            </w:r>
            <w:r>
              <w:rPr>
                <w:b/>
                <w:i/>
              </w:rPr>
              <w:t>s předstihem</w:t>
            </w:r>
            <w:r>
              <w:t xml:space="preserve"> ani používat tyto údaje pro jiné účely.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Nařízení Rady (EU) XXXX/XXXX ze dne XXX o posílení zabezpečení průkazů totožnosti občanů Unie a povolení k pobytu vydávaných občanům Unie a jejich rodinným příslušníkům, kteří vykonávají své právo volného pohybu (Úř. věst. L XX, XXX, s. X, ELI: XXX).</w:t>
            </w:r>
          </w:p>
        </w:tc>
        <w:tc>
          <w:tcPr>
            <w:tcW w:w="4876" w:type="dxa"/>
            <w:tcBorders>
              <w:top w:val="nil"/>
              <w:left w:val="nil"/>
              <w:bottom w:val="nil"/>
              <w:right w:val="nil"/>
            </w:tcBorders>
          </w:tcPr>
          <w:p>
            <w:pPr>
              <w:pStyle w:val="Normal6a"/>
            </w:pPr>
            <w:r>
              <w:rPr>
                <w:vertAlign w:val="superscript"/>
              </w:rPr>
              <w:t>6</w:t>
            </w:r>
            <w:r>
              <w:t xml:space="preserve"> </w:t>
            </w:r>
            <w:r>
              <w:t>Nařízení Rady (EU) XXXX/XXXX ze dne XXX o posílení zabezpečení průkazů totožnosti občanů Unie a povolení k pobytu vydávaných občanům Unie a jejich rodinným příslušníkům, kteří vykonávají své právo volného pohybu (Úř. věst. L XX, XXX, s.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Stávající právní rámec pro cestovní doklady a hraniční kontroly, který tvoří zejména nařízení (ES) č. 2252/2004, (EU) XXXX/XXXX</w:t>
            </w:r>
            <w:r>
              <w:rPr>
                <w:vertAlign w:val="superscript"/>
              </w:rPr>
              <w:t>6</w:t>
            </w:r>
            <w:r>
              <w:t xml:space="preserve">[COM(2024) 316 final] a (EU) 2016/399, neumožňuje používat údaje obsažené v paměťovém médiu cestovních dokladů pro účely provádění takových předběžných hraničních kontrol a předběžného přezkumu údajů cestujících ani používat tyto údaje pro jiné účely. V návaznosti na nedávný vývoj na mezinárodní úrovni, zejména v souvislosti s prací na standardizaci prováděnou Mezinárodní organizací pro civilní letectví (ICAO), </w:t>
            </w:r>
            <w:r>
              <w:rPr>
                <w:b/>
                <w:i/>
              </w:rPr>
              <w:t>a na možnosti a spolehlivost rozpoznávání obličeje</w:t>
            </w:r>
            <w:r>
              <w:t xml:space="preserve"> je tato technologie k dispozici a představuje reakci na výzvy k usnadnění přeshraničního cestování při zajištění vysoké úrovně bezpečnosti a při plném respektování základních práv, včetně práva na soukromí a ochranu osobních údajů.</w:t>
            </w:r>
          </w:p>
        </w:tc>
        <w:tc>
          <w:tcPr>
            <w:tcW w:w="4876" w:type="dxa"/>
            <w:tcBorders>
              <w:top w:val="nil"/>
              <w:left w:val="nil"/>
              <w:bottom w:val="nil"/>
              <w:right w:val="nil"/>
            </w:tcBorders>
          </w:tcPr>
          <w:p>
            <w:pPr>
              <w:pStyle w:val="Normal6a"/>
            </w:pPr>
            <w:r>
              <w:t>(3)</w:t>
            </w:r>
            <w:r>
              <w:tab/>
            </w:r>
            <w:r>
              <w:t>Stávající právní rámec pro cestovní doklady a hraniční kontroly, který tvoří zejména nařízení (ES) č. 2252/2004, (EU) XXXX/XXXX</w:t>
            </w:r>
            <w:r>
              <w:rPr>
                <w:vertAlign w:val="superscript"/>
              </w:rPr>
              <w:t>6</w:t>
            </w:r>
            <w:r>
              <w:t xml:space="preserve"> [COM(2024) 316 final] a (EU) 2016/399, neumožňuje používat údaje obsažené v paměťovém médiu cestovních dokladů pro účely provádění takových předběžných hraničních kontrol a předběžného přezkumu údajů cestujících ani používat tyto údaje pro jiné účely. V návaznosti na nedávný vývoj na mezinárodní úrovni, zejména v souvislosti s prací na standardizaci prováděnou Mezinárodní organizací pro civilní letectví (ICAO), je tato technologie k dispozici a představuje reakci na výzvy k usnadnění přeshraničního cestování při zajištění vysoké úrovně bezpečnosti a při plném respektování základních práv, včetně práva na soukromí a ochranu osobních údajů.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Nařízení Rady (EU) XXXX/XXXX ze dne XXX o posílení zabezpečení průkazů totožnosti občanů Unie a povolení k pobytu vydávaných občanům Unie a jejich rodinným příslušníkům, kteří vykonávají své právo volného pohybu (Úř. věst. L XX, XXX, s. X, ELI: XXX).</w:t>
            </w:r>
          </w:p>
        </w:tc>
        <w:tc>
          <w:tcPr>
            <w:tcW w:w="4876" w:type="dxa"/>
            <w:tcBorders>
              <w:top w:val="nil"/>
              <w:left w:val="nil"/>
              <w:bottom w:val="nil"/>
              <w:right w:val="nil"/>
            </w:tcBorders>
          </w:tcPr>
          <w:p>
            <w:pPr>
              <w:pStyle w:val="Normal6a"/>
            </w:pPr>
            <w:r>
              <w:rPr>
                <w:vertAlign w:val="superscript"/>
              </w:rPr>
              <w:t>6</w:t>
            </w:r>
            <w:r>
              <w:t xml:space="preserve"> </w:t>
            </w:r>
            <w:r>
              <w:t>Nařízení Rady (EU) XXXX/XXXX ze dne XXX o posílení zabezpečení průkazů totožnosti občanů Unie a povolení k pobytu vydávaných občanům Unie a jejich rodinným příslušníkům, kteří vykonávají své právo volného pohybu (Úř. věst. L XX, XXX, s.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Stávající právní rámec by proto měl být aktualizován, aby mohli mít</w:t>
            </w:r>
            <w:r>
              <w:t xml:space="preserve"> cestující i pohraniční orgány prospěch z účinnějších </w:t>
            </w:r>
            <w:r>
              <w:rPr>
                <w:b/>
                <w:i/>
              </w:rPr>
              <w:t>a efektivnějších</w:t>
            </w:r>
            <w:r>
              <w:t xml:space="preserve"> hraničních kontrol s využitím tzv. digitálních cestovních oprávnění, tj. digitálního znázornění totožnosti osoby, které je odvozeno z informací uložených na paměťovém médiu (čipu) cestovního dokladu (tj. cestovního pasu nebo průkazu totožnosti EU) a které lze ověřit, což v konečném důsledku povede ke zkrácení čekací doby a doby odbavení na hraničních přechodech </w:t>
            </w:r>
            <w:r>
              <w:rPr>
                <w:b/>
                <w:i/>
              </w:rPr>
              <w:t>a ke zlepšení schopnosti orgánů provádět předběžnou kontrolu cestujících, plánovat a řídit zdroje a zaměřovat se na rizikovější cestující</w:t>
            </w:r>
            <w:r>
              <w:t>.</w:t>
            </w:r>
          </w:p>
        </w:tc>
        <w:tc>
          <w:tcPr>
            <w:tcW w:w="4876" w:type="dxa"/>
            <w:tcBorders>
              <w:top w:val="nil"/>
              <w:left w:val="nil"/>
              <w:bottom w:val="nil"/>
              <w:right w:val="nil"/>
            </w:tcBorders>
          </w:tcPr>
          <w:p>
            <w:pPr>
              <w:pStyle w:val="Normal6a"/>
            </w:pPr>
            <w:r>
              <w:t>(4)</w:t>
            </w:r>
            <w:r>
              <w:tab/>
            </w:r>
            <w:r>
              <w:t xml:space="preserve">Cestující i pohraniční orgány </w:t>
            </w:r>
            <w:r>
              <w:rPr>
                <w:b/>
                <w:i/>
              </w:rPr>
              <w:t>mohou mít</w:t>
            </w:r>
            <w:r>
              <w:t xml:space="preserve"> prospěch z účinnějších hraničních kontrol s využitím tzv. digitálních cestovních oprávnění, tj. digitálního znázornění totožnosti osoby, které je odvozeno z informací uložených na paměťovém médiu (čipu) cestovního dokladu (tj. cestovního pasu nebo průkazu totožnosti EU) a které lze ověřit, což v konečném důsledku povede ke zkrácení čekací doby a doby odbavení na hraničních přechodech.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Stávající právní rámec by proto měl být aktualizován, aby mohli mít cestující i pohraniční orgány prospěch z účinnějších a efektivnějších hraničních kontrol s využitím tzv. digitálních cestovních oprávnění, tj. digitálního znázornění totožnosti osoby, které je odvozeno z informací uložených na </w:t>
            </w:r>
            <w:r>
              <w:rPr>
                <w:b/>
                <w:i/>
              </w:rPr>
              <w:t>paměťovém médiu (čipu)</w:t>
            </w:r>
            <w:r>
              <w:t xml:space="preserve"> cestovního dokladu (tj. cestovního pasu nebo průkazu totožnosti EU) a které lze ověřit, což v konečném důsledku povede ke zkrácení čekací doby a doby odbavení na hraničních přechodech a ke zlepšení schopnosti orgánů provádět předběžnou kontrolu cestujících, plánovat a řídit zdroje </w:t>
            </w:r>
            <w:r>
              <w:rPr>
                <w:b/>
                <w:i/>
              </w:rPr>
              <w:t>a zaměřovat se na rizikovější cestující</w:t>
            </w:r>
            <w:r>
              <w:t>.</w:t>
            </w:r>
          </w:p>
        </w:tc>
        <w:tc>
          <w:tcPr>
            <w:tcW w:w="4876" w:type="dxa"/>
            <w:tcBorders>
              <w:top w:val="nil"/>
              <w:left w:val="nil"/>
              <w:bottom w:val="nil"/>
              <w:right w:val="nil"/>
            </w:tcBorders>
          </w:tcPr>
          <w:p>
            <w:pPr>
              <w:pStyle w:val="Normal6a"/>
            </w:pPr>
            <w:r>
              <w:t>(4)</w:t>
            </w:r>
            <w:r>
              <w:tab/>
            </w:r>
            <w:r>
              <w:t xml:space="preserve">Stávající právní rámec by proto měl být aktualizován, aby mohli mít cestující i pohraniční orgány prospěch z účinnějších a efektivnějších hraničních kontrol s využitím tzv. digitálních cestovních oprávnění, tj. digitálního znázornění totožnosti osoby, které je odvozeno z informací uložených na </w:t>
            </w:r>
            <w:r>
              <w:rPr>
                <w:b/>
                <w:i/>
              </w:rPr>
              <w:t>čipu</w:t>
            </w:r>
            <w:r>
              <w:t xml:space="preserve"> cestovního dokladu (tj. cestovního pasu nebo průkazu totožnosti EU) a které lze ověřit, což v konečném důsledku povede ke zkrácení čekací doby a doby odbavení na hraničních přechodech a ke zlepšení schopnosti orgánů provádět předběžnou kontrolu cestujících, plánovat a řídit zdroje </w:t>
            </w:r>
            <w:r>
              <w:rPr>
                <w:b/>
                <w:i/>
              </w:rPr>
              <w:t>efektivněji, aby bylo možné důkladněji posoudit případy, které vykazují nesrovnalosti nebo vyžadují dodatečné ověření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Stávající právní rámec by proto měl být aktualizován, aby mohli mít cestující i pohraniční orgány prospěch z účinnějších a efektivnějších hraničních kontrol s využitím tzv. digitálních cestovních oprávnění, tj. digitálního znázornění totožnosti osoby, které je odvozeno z informací uložených na paměťovém médiu (čipu) cestovního dokladu (tj. cestovního pasu nebo průkazu totožnosti EU) a které lze ověřit, což v konečném důsledku povede ke zkrácení čekací doby a doby odbavení na hraničních přechodech a ke zlepšení schopnosti orgánů provádět předběžnou kontrolu cestujících, plánovat a řídit zdroje a zaměřovat se na rizikovější cestující.</w:t>
            </w:r>
          </w:p>
        </w:tc>
        <w:tc>
          <w:tcPr>
            <w:tcW w:w="4876" w:type="dxa"/>
            <w:tcBorders>
              <w:top w:val="nil"/>
              <w:left w:val="nil"/>
              <w:bottom w:val="nil"/>
              <w:right w:val="nil"/>
            </w:tcBorders>
          </w:tcPr>
          <w:p>
            <w:pPr>
              <w:pStyle w:val="Normal6a"/>
            </w:pPr>
            <w:r>
              <w:t>(4)</w:t>
            </w:r>
            <w:r>
              <w:tab/>
            </w:r>
            <w:r>
              <w:t xml:space="preserve">Stávající právní rámec by proto měl být aktualizován, aby mohli mít cestující i pohraniční orgány prospěch z účinnějších a efektivnějších hraničních kontrol s využitím tzv. digitálních cestovních oprávnění, tj. digitálního znázornění totožnosti osoby, které je odvozeno z informací uložených na paměťovém médiu (čipu) cestovního dokladu (tj. cestovního pasu nebo průkazu totožnosti EU) a které lze </w:t>
            </w:r>
            <w:r>
              <w:rPr>
                <w:b/>
                <w:i/>
              </w:rPr>
              <w:t>spolehlivě a plně</w:t>
            </w:r>
            <w:r>
              <w:t xml:space="preserve"> ověřit, což v konečném důsledku povede ke zkrácení čekací doby a doby odbavení na hraničních přechodech a ke zlepšení schopnosti orgánů provádět předběžnou kontrolu cestujících, plánovat a řídit zdroje a zaměřovat se na rizikovější cestující.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Stávající právní rámec by proto měl být aktualizován, aby mohli mít cestující i pohraniční orgány prospěch z účinnějších </w:t>
            </w:r>
            <w:r>
              <w:rPr>
                <w:b/>
                <w:i/>
              </w:rPr>
              <w:t>a efektivnějších</w:t>
            </w:r>
            <w:r>
              <w:t xml:space="preserve"> hraničních kontrol s využitím tzv. digitálních cestovních oprávnění, tj. digitálního znázornění totožnosti osoby, které je odvozeno z informací uložených na paměťovém médiu (čipu) cestovního dokladu (tj. cestovního pasu nebo průkazu totožnosti EU) a které lze ověřit, což v konečném důsledku povede ke zkrácení čekací doby a doby odbavení na hraničních přechodech a ke zlepšení schopnosti orgánů provádět předběžnou kontrolu cestujících, plánovat a řídit zdroje a zaměřovat se na rizikovější cestující.</w:t>
            </w:r>
          </w:p>
        </w:tc>
        <w:tc>
          <w:tcPr>
            <w:tcW w:w="4876" w:type="dxa"/>
            <w:tcBorders>
              <w:top w:val="nil"/>
              <w:left w:val="nil"/>
              <w:bottom w:val="nil"/>
              <w:right w:val="nil"/>
            </w:tcBorders>
          </w:tcPr>
          <w:p>
            <w:pPr>
              <w:pStyle w:val="Normal6a"/>
            </w:pPr>
            <w:r>
              <w:t>(4)</w:t>
            </w:r>
            <w:r>
              <w:tab/>
            </w:r>
            <w:r>
              <w:t>Stávající právní rámec by proto měl být aktualizován, aby mohli mít cestující i pohraniční orgány prospěch z účinnějších hraničních kontrol s využitím tzv. digitálních cestovních oprávnění, tj. digitálního znázornění totožnosti osoby, které je odvozeno z informací uložených na paměťovém médiu (čipu) cestovního dokladu (tj. cestovního pasu nebo průkazu totožnosti EU) a které lze ověřit, což v konečném důsledku povede ke zkrácení čekací doby a doby odbavení na hraničních přechodech a ke zlepšení schopnosti orgánů provádět předběžnou kontrolu cestujících, plánovat a řídit zdroje a zaměřovat se na rizikovější cestující.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Aby bylo dosaženo cílů tohoto nařízení, mělo by se vztahovat na osoby požívající právo na volný pohyb podle práva Unie, jakož i na státní příslušníky třetích zemí.</w:t>
            </w:r>
          </w:p>
        </w:tc>
        <w:tc>
          <w:tcPr>
            <w:tcW w:w="4876" w:type="dxa"/>
            <w:tcBorders>
              <w:top w:val="nil"/>
              <w:left w:val="nil"/>
              <w:bottom w:val="nil"/>
              <w:right w:val="nil"/>
            </w:tcBorders>
          </w:tcPr>
          <w:p>
            <w:pPr>
              <w:pStyle w:val="Normal6a"/>
            </w:pPr>
            <w:r>
              <w:t>(5)</w:t>
            </w:r>
            <w:r>
              <w:tab/>
            </w:r>
            <w:r>
              <w:t xml:space="preserve">Aby bylo dosaženo cílů tohoto nařízení, mělo by se vztahovat na osoby požívající právo na volný pohyb podle práva Unie, jakož i na státní příslušníky třetích zemí. </w:t>
            </w:r>
            <w:r>
              <w:rPr>
                <w:b/>
                <w:i/>
              </w:rPr>
              <w:t>Jakékoli věkové omezení by mělo být stanoveno podle vnitrostátního práva.</w:t>
            </w:r>
            <w:r>
              <w:t xml:space="preserve"> </w:t>
            </w:r>
            <w:r>
              <w:rPr>
                <w:b/>
                <w:i/>
              </w:rPr>
              <w:t>V zájmu dosažení všeobecného používání tohoto nástroje by však členské státy měly usilovat o harmonizaci této věkové hranice.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Aby bylo dosaženo cílů tohoto nařízení, mělo by se vztahovat na osoby požívající právo na volný pohyb podle práva Unie</w:t>
            </w:r>
            <w:r>
              <w:rPr>
                <w:b/>
                <w:i/>
              </w:rPr>
              <w:t>, jakož i</w:t>
            </w:r>
            <w:r>
              <w:t xml:space="preserve"> na státní příslušníky třetích zemí.</w:t>
            </w:r>
          </w:p>
        </w:tc>
        <w:tc>
          <w:tcPr>
            <w:tcW w:w="4876" w:type="dxa"/>
            <w:tcBorders>
              <w:top w:val="nil"/>
              <w:left w:val="nil"/>
              <w:bottom w:val="nil"/>
              <w:right w:val="nil"/>
            </w:tcBorders>
          </w:tcPr>
          <w:p>
            <w:pPr>
              <w:pStyle w:val="Normal6a"/>
            </w:pPr>
            <w:r>
              <w:t>(5)</w:t>
            </w:r>
            <w:r>
              <w:tab/>
            </w:r>
            <w:r>
              <w:t>Aby bylo dosaženo cílů tohoto nařízení, mělo by se vztahovat na osoby požívající právo na volný pohyb podle práva Unie</w:t>
            </w:r>
            <w:r>
              <w:rPr>
                <w:b/>
                <w:i/>
              </w:rPr>
              <w:t>.</w:t>
            </w:r>
            <w:r>
              <w:t xml:space="preserve"> </w:t>
            </w:r>
            <w:r>
              <w:rPr>
                <w:b/>
                <w:i/>
              </w:rPr>
              <w:t>Nařízení by se mělo vztahovat</w:t>
            </w:r>
            <w:r>
              <w:t xml:space="preserve"> na státní příslušníky třetích zemí </w:t>
            </w:r>
            <w:r>
              <w:rPr>
                <w:b/>
                <w:i/>
              </w:rPr>
              <w:t>pouze tehdy, pokud úroveň zabezpečení jejich cestovních dokladů odpovídá přinejmenším úrovni zabezpečení dokladů vydaných členskými státy Unie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Biometrické údaje jsou svou povahou obzvláště citlivé z hlediska základních práv a svobod a zasluhují zvláštní ochranu, jelikož by při jejich zpracování mohla vzniknout závažná rizika pro základní práva a svobody.</w:t>
            </w:r>
            <w:r>
              <w:t xml:space="preserve"> </w:t>
            </w:r>
            <w:r>
              <w:rPr>
                <w:b/>
                <w:i/>
              </w:rPr>
              <w:t>Děti zasluhují zvláštní ochranu osobních údajů, protože si mohou být méně vědomy dotčených rizik, důsledků a záruk i svých práv v souvislosti se zpracováním osobních údajů, jak je stanoveno v nařízení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 zájmu dosažení jednotného přístupu na úrovni Unie a maximalizace přínosů v oblasti usnadnění cestování a úspor z rozsahu by mělo být zavedeno společné technické řešení pro předkládání elektronických cestovních údajů místo toho, aby si každý členský stát vyvíjel vlastní. Tato aplikace pro elektronické předkládání cestovních údajů (dále jen „digitální cestovní aplikace EU“) by se měla skládat z uživatelsky přívětivé mobilní aplikace, backendové validační služby, která dokáže ověřit pravost a integritu cestovních dokladů a porovnat zobrazení obličeje uživatele se zobrazením uloženým v čipu cestovního dokladu, a technické složky pro bezpečnou komunikaci cestovních údajů z aplikace přijímajícímu orgánu (dále jen „směrovač údajů cestujícího“). V dlouhodobějším horizontu by měla být digitální cestovní aplikace EU doplněna o nové funkce s cílem vytvořit komplexní aplikaci jednoho správního místa na úrovni Unie na podporu správy vnějších hranic.</w:t>
            </w:r>
          </w:p>
        </w:tc>
        <w:tc>
          <w:tcPr>
            <w:tcW w:w="4876" w:type="dxa"/>
            <w:tcBorders>
              <w:top w:val="nil"/>
              <w:left w:val="nil"/>
              <w:bottom w:val="nil"/>
              <w:right w:val="nil"/>
            </w:tcBorders>
          </w:tcPr>
          <w:p>
            <w:pPr>
              <w:pStyle w:val="Normal6a"/>
            </w:pPr>
            <w:r>
              <w:t>(6)</w:t>
            </w:r>
            <w:r>
              <w:tab/>
            </w:r>
            <w:r>
              <w:t xml:space="preserve">V zájmu dosažení jednotného přístupu na úrovni Unie a maximalizace přínosů v oblasti usnadnění cestování a úspor z rozsahu by mělo být zavedeno společné technické řešení pro předkládání elektronických cestovních údajů místo toho, aby si každý členský stát vyvíjel vlastní. Tato aplikace pro elektronické předkládání cestovních údajů (dále jen „digitální cestovní aplikace EU“) by se měla skládat z uživatelsky přívětivé mobilní aplikace, backendové validační služby, která dokáže ověřit pravost a integritu cestovních dokladů a porovnat zobrazení obličeje uživatele se zobrazením uloženým v čipu cestovního dokladu, a technické složky pro bezpečnou komunikaci cestovních údajů z aplikace přijímajícímu orgánu (dále jen „směrovač údajů cestujícího“). V dlouhodobějším horizontu by měla být digitální cestovní aplikace EU doplněna o nové funkce s cílem vytvořit komplexní aplikaci jednoho správního místa na úrovni Unie na podporu správy vnějších hranic. </w:t>
            </w:r>
            <w:r>
              <w:rPr>
                <w:b/>
                <w:i/>
              </w:rPr>
              <w:t>Účelem aplikace je především zlepšit správu vnějších hranic a neměla by zahrnovat žádnou funkci, která by mohla vést ke snížení norem ochrany hranic nebo k vytvoření kontrolní společnosti.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 zájmu dosažení jednotného přístupu na úrovni Unie a maximalizace přínosů v oblasti usnadnění cestování a úspor z rozsahu by mělo být zavedeno společné technické řešení pro předkládání elektronických cestovních údajů místo toho, aby si každý členský stát vyvíjel vlastní. Tato aplikace pro elektronické předkládání cestovních údajů (dále jen „digitální cestovní aplikace EU“) by se měla skládat z uživatelsky přívětivé mobilní aplikace, backendové validační služby, která dokáže ověřit pravost a integritu cestovních dokladů a porovnat zobrazení obličeje uživatele se zobrazením uloženým v čipu cestovního dokladu, a technické složky pro bezpečnou komunikaci cestovních údajů z aplikace přijímajícímu orgánu (dále jen „směrovač údajů cestujícího“). </w:t>
            </w:r>
            <w:r>
              <w:rPr>
                <w:b/>
                <w:i/>
              </w:rPr>
              <w:t>V dlouhodobějším horizontu by měla být digitální cestovní aplikace EU doplněna o nové funkce s cílem vytvořit komplexní aplikaci jednoho správního místa na úrovni Unie na podporu správy vnějších hranic.</w:t>
            </w:r>
          </w:p>
        </w:tc>
        <w:tc>
          <w:tcPr>
            <w:tcW w:w="4876" w:type="dxa"/>
            <w:tcBorders>
              <w:top w:val="nil"/>
              <w:left w:val="nil"/>
              <w:bottom w:val="nil"/>
              <w:right w:val="nil"/>
            </w:tcBorders>
          </w:tcPr>
          <w:p>
            <w:pPr>
              <w:pStyle w:val="Normal6a"/>
            </w:pPr>
            <w:r>
              <w:t>(6)</w:t>
            </w:r>
            <w:r>
              <w:tab/>
            </w:r>
            <w:r>
              <w:t>V zájmu dosažení jednotného přístupu na úrovni Unie a maximalizace přínosů v oblasti usnadnění cestování a úspor z rozsahu by mělo být zavedeno společné technické řešení pro předkládání elektronických cestovních údajů místo toho, aby si každý členský stát vyvíjel vlastní. Tato aplikace pro elektronické předkládání cestovních údajů (dále jen „digitální cestovní aplikace EU“) by se měla skládat z uživatelsky přívětivé mobilní aplikace, backendové validační služby, která dokáže ověřit pravost a integritu cestovních dokladů a porovnat zobrazení obličeje uživatele se zobrazením uloženým v čipu cestovního dokladu, a technické složky pro bezpečnou komunikaci cestovních údajů z aplikace přijímajícímu orgánu (dále jen „směrovač údajů cestujícího“).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 zájmu dosažení jednotného přístupu na úrovni Unie a maximalizace přínosů v oblasti usnadnění cestování a úspor z rozsahu by mělo být zavedeno společné technické řešení pro předkládání elektronických cestovních údajů místo toho, aby si každý členský stát vyvíjel vlastní. Tato aplikace pro elektronické předkládání cestovních údajů (dále jen „digitální cestovní aplikace EU“) by se měla skládat z uživatelsky přívětivé mobilní aplikace, backendové validační služby, která dokáže ověřit pravost a integritu cestovních dokladů a porovnat zobrazení obličeje uživatele se zobrazením uloženým v čipu cestovního dokladu, a technické složky pro bezpečnou komunikaci cestovních údajů z aplikace přijímajícímu orgánu (dále jen „směrovač údajů cestujícího“). </w:t>
            </w:r>
            <w:r>
              <w:rPr>
                <w:b/>
                <w:i/>
              </w:rPr>
              <w:t>V dlouhodobějším horizontu by měla být digitální cestovní aplikace EU doplněna o nové funkce s cílem vytvořit komplexní aplikaci jednoho správního místa na úrovni Unie na podporu správy vnějších hranic.</w:t>
            </w:r>
          </w:p>
        </w:tc>
        <w:tc>
          <w:tcPr>
            <w:tcW w:w="4876" w:type="dxa"/>
            <w:tcBorders>
              <w:top w:val="nil"/>
              <w:left w:val="nil"/>
              <w:bottom w:val="nil"/>
              <w:right w:val="nil"/>
            </w:tcBorders>
          </w:tcPr>
          <w:p>
            <w:pPr>
              <w:pStyle w:val="Normal6a"/>
            </w:pPr>
            <w:r>
              <w:t>(6)</w:t>
            </w:r>
            <w:r>
              <w:tab/>
            </w:r>
            <w:r>
              <w:t xml:space="preserve">V zájmu dosažení jednotného přístupu na úrovni Unie a maximalizace přínosů v oblasti usnadnění cestování a úspor z rozsahu by mělo být zavedeno společné technické řešení pro předkládání elektronických cestovních údajů místo toho, aby si každý členský stát vyvíjel vlastní. Tato aplikace pro elektronické předkládání cestovních údajů (dále jen „digitální cestovní aplikace EU“) by se měla skládat z uživatelsky přívětivé mobilní aplikace </w:t>
            </w:r>
            <w:r>
              <w:rPr>
                <w:b/>
                <w:i/>
              </w:rPr>
              <w:t>chránící soukromí</w:t>
            </w:r>
            <w:r>
              <w:t>, backendové validační služby, která dokáže ověřit pravost a integritu cestovních dokladů a porovnat zobrazení obličeje uživatele se zobrazením uloženým v čipu cestovního dokladu, a technické složky pro bezpečnou komunikaci cestovních údajů z aplikace přijímajícímu orgánu (dále jen „směrovač údajů cestujícího“).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 zájmu dosažení jednotného přístupu na úrovni Unie a maximalizace přínosů v oblasti usnadnění cestování a úspor z rozsahu by mělo být zavedeno společné technické řešení pro </w:t>
            </w:r>
            <w:r>
              <w:rPr>
                <w:b/>
                <w:i/>
              </w:rPr>
              <w:t>předkládání elektronických</w:t>
            </w:r>
            <w:r>
              <w:t xml:space="preserve"> cestovních </w:t>
            </w:r>
            <w:r>
              <w:rPr>
                <w:b/>
                <w:i/>
              </w:rPr>
              <w:t>údajů</w:t>
            </w:r>
            <w:r>
              <w:t xml:space="preserve"> místo toho, aby si každý členský stát vyvíjel vlastní. Tato aplikace </w:t>
            </w:r>
            <w:r>
              <w:rPr>
                <w:b/>
                <w:i/>
              </w:rPr>
              <w:t>pro elektronické předkládání cestovních údajů</w:t>
            </w:r>
            <w:r>
              <w:t xml:space="preserve"> (dále jen „digitální cestovní aplikace EU“) by se měla skládat z uživatelsky přívětivé mobilní aplikace</w:t>
            </w:r>
            <w:r>
              <w:rPr>
                <w:b/>
                <w:i/>
              </w:rPr>
              <w:t>,</w:t>
            </w:r>
            <w:r>
              <w:t xml:space="preserve"> backendové validační služby, která dokáže ověřit pravost a integritu cestovních dokladů a porovnat zobrazení obličeje uživatele se zobrazením uloženým v čipu cestovního dokladu</w:t>
            </w:r>
            <w:r>
              <w:rPr>
                <w:b/>
                <w:i/>
              </w:rPr>
              <w:t>, a technické složky pro bezpečnou komunikaci cestovních údajů z aplikace přijímajícímu orgánu (dále jen „směrovač údajů cestujícího“).</w:t>
            </w:r>
            <w:r>
              <w:t xml:space="preserve"> </w:t>
            </w:r>
            <w:r>
              <w:rPr>
                <w:b/>
                <w:i/>
              </w:rPr>
              <w:t>V dlouhodobějším horizontu by měla být digitální cestovní</w:t>
            </w:r>
            <w:r>
              <w:t xml:space="preserve"> aplikace </w:t>
            </w:r>
            <w:r>
              <w:rPr>
                <w:b/>
                <w:i/>
              </w:rPr>
              <w:t>EU doplněna o nové funkce s cílem vytvořit komplexní aplikaci jednoho správního místa na úrovni Unie na podporu správy vnějších hranic</w:t>
            </w:r>
            <w:r>
              <w:t>.</w:t>
            </w:r>
          </w:p>
        </w:tc>
        <w:tc>
          <w:tcPr>
            <w:tcW w:w="4876" w:type="dxa"/>
            <w:tcBorders>
              <w:top w:val="nil"/>
              <w:left w:val="nil"/>
              <w:bottom w:val="nil"/>
              <w:right w:val="nil"/>
            </w:tcBorders>
          </w:tcPr>
          <w:p>
            <w:pPr>
              <w:pStyle w:val="Normal6a"/>
            </w:pPr>
            <w:r>
              <w:t>(6)</w:t>
            </w:r>
            <w:r>
              <w:tab/>
            </w:r>
            <w:r>
              <w:t xml:space="preserve">V zájmu dosažení jednotného přístupu na úrovni Unie a maximalizace přínosů v oblasti usnadnění cestování a úspor z rozsahu by mělo být zavedeno společné technické řešení pro </w:t>
            </w:r>
            <w:r>
              <w:rPr>
                <w:b/>
                <w:i/>
              </w:rPr>
              <w:t>vytváření a ověřování digitálních</w:t>
            </w:r>
            <w:r>
              <w:t xml:space="preserve"> cestovních </w:t>
            </w:r>
            <w:r>
              <w:rPr>
                <w:b/>
                <w:i/>
              </w:rPr>
              <w:t>oprávnění</w:t>
            </w:r>
            <w:r>
              <w:t xml:space="preserve"> místo toho, aby si každý členský stát vyvíjel vlastní. Tato aplikace (dále jen „digitální cestovní aplikace EU“) by se měla skládat z uživatelsky přívětivé mobilní aplikace </w:t>
            </w:r>
            <w:r>
              <w:rPr>
                <w:b/>
                <w:i/>
              </w:rPr>
              <w:t>a</w:t>
            </w:r>
            <w:r>
              <w:t xml:space="preserve"> backendové validační služby, která dokáže ověřit pravost a integritu cestovních dokladů a porovnat zobrazení obličeje uživatele se zobrazením uloženým v čipu cestovního dokladu</w:t>
            </w:r>
            <w:r>
              <w:rPr>
                <w:b/>
                <w:i/>
              </w:rPr>
              <w:t>.</w:t>
            </w:r>
            <w:r>
              <w:t xml:space="preserve"> </w:t>
            </w:r>
            <w:r>
              <w:rPr>
                <w:b/>
                <w:i/>
              </w:rPr>
              <w:t>Aby se minimalizovala závislost na jednotlivých prodejcích a zvýšila důvěra v bezpečnost a přizpůsobivost, měla by být</w:t>
            </w:r>
            <w:r>
              <w:t xml:space="preserve"> aplikace </w:t>
            </w:r>
            <w:r>
              <w:rPr>
                <w:b/>
                <w:i/>
              </w:rPr>
              <w:t>založena na softwaru s otevřeným zdrojovým kódem a otevřených normách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 zájmu dosažení jednotného přístupu na úrovni Unie a maximalizace přínosů v oblasti usnadnění cestování a úspor z rozsahu by mělo být zavedeno společné technické řešení pro předkládání elektronických cestovních údajů místo toho, aby si každý členský stát vyvíjel vlastní. Tato aplikace pro elektronické předkládání cestovních údajů (dále jen „digitální cestovní aplikace EU“) by se měla skládat z uživatelsky přívětivé mobilní aplikace, backendové validační služby, která dokáže ověřit pravost a integritu cestovních dokladů a porovnat zobrazení obličeje uživatele se zobrazením uloženým v čipu cestovního dokladu, a technické složky pro bezpečnou komunikaci cestovních údajů z aplikace přijímajícímu orgánu (dále jen „směrovač údajů cestujícího“). V dlouhodobějším horizontu by měla být digitální cestovní aplikace EU doplněna o nové funkce s cílem vytvořit komplexní aplikaci jednoho správního místa na úrovni Unie na podporu správy vnějších hranic.</w:t>
            </w:r>
          </w:p>
        </w:tc>
        <w:tc>
          <w:tcPr>
            <w:tcW w:w="4876" w:type="dxa"/>
            <w:tcBorders>
              <w:top w:val="nil"/>
              <w:left w:val="nil"/>
              <w:bottom w:val="nil"/>
              <w:right w:val="nil"/>
            </w:tcBorders>
          </w:tcPr>
          <w:p>
            <w:pPr>
              <w:pStyle w:val="Normal6a"/>
            </w:pPr>
            <w:r>
              <w:t>(6)</w:t>
            </w:r>
            <w:r>
              <w:tab/>
            </w:r>
            <w:r>
              <w:t>V zájmu dosažení jednotného přístupu na úrovni Unie a maximalizace přínosů v oblasti usnadnění cestování a úspor z rozsahu by mělo být zavedeno společné technické řešení pro předkládání elektronických cestovních údajů místo toho, aby si každý členský stát vyvíjel vlastní. Tato aplikace pro elektronické předkládání cestovních údajů (dále jen „digitální cestovní aplikace EU“) by se měla skládat z uživatelsky přívětivé mobilní aplikace, backendové validační služby, která dokáže ověřit pravost</w:t>
            </w:r>
            <w:r>
              <w:rPr>
                <w:b/>
                <w:i/>
              </w:rPr>
              <w:t>, platnost</w:t>
            </w:r>
            <w:r>
              <w:t xml:space="preserve"> a integritu cestovních dokladů a porovnat zobrazení obličeje uživatele se zobrazením uloženým v čipu cestovního dokladu, a technické složky pro bezpečnou komunikaci cestovních údajů z aplikace přijímajícímu orgánu (dále jen „směrovač údajů cestujícího“). V dlouhodobějším horizontu by měla být digitální cestovní aplikace EU doplněna o nové funkce s cílem vytvořit komplexní aplikaci jednoho správního místa na úrovni Unie na podporu správy vnějších hranic.</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 a ověřit, že uživatel je oprávněným držitelem cestovního dokladu, a to porovnáním zobrazení obličeje uloženého v čipu cestovního dokladu se zobrazením obličeje uživatele pořízeným na místě. </w:t>
            </w:r>
            <w:r>
              <w:rPr>
                <w:b/>
                <w:i/>
              </w:rPr>
              <w:t>Digitální cestovní oprávnění, která mají být použita vícekrát, by mělo</w:t>
            </w:r>
            <w:r>
              <w:t xml:space="preserve"> být možné </w:t>
            </w:r>
            <w:r>
              <w:rPr>
                <w:b/>
                <w:i/>
              </w:rPr>
              <w:t>uložit do evropské peněženky digitální identity uživatele, která je v souladu s nařízením Evropského parlamentu a Rady (EU) č. 910/2014</w:t>
            </w:r>
            <w:r>
              <w:rPr>
                <w:b/>
                <w:i/>
                <w:vertAlign w:val="superscript"/>
              </w:rPr>
              <w:t>7</w:t>
            </w:r>
            <w:r>
              <w:rPr>
                <w:b/>
                <w:i/>
              </w:rPr>
              <w:t>.</w:t>
            </w:r>
            <w:r>
              <w:t xml:space="preserve"> </w:t>
            </w:r>
            <w:r>
              <w:rPr>
                <w:b/>
                <w:i/>
              </w:rPr>
              <w:t>Osoby, které nemají evropskou peněženku digitální identity zřízenou podle uvedeného nařízení, by měly mít možnost</w:t>
            </w:r>
            <w:r>
              <w:t xml:space="preserve"> uložit digitální cestovní oprávnění lokálně v mobilní aplikaci.</w:t>
            </w:r>
          </w:p>
        </w:tc>
        <w:tc>
          <w:tcPr>
            <w:tcW w:w="4876" w:type="dxa"/>
            <w:tcBorders>
              <w:top w:val="nil"/>
              <w:left w:val="nil"/>
              <w:bottom w:val="nil"/>
              <w:right w:val="nil"/>
            </w:tcBorders>
          </w:tcPr>
          <w:p>
            <w:pPr>
              <w:pStyle w:val="Normal6a"/>
            </w:pPr>
            <w:r>
              <w:t>(7)</w:t>
            </w:r>
            <w:r>
              <w:tab/>
            </w:r>
            <w:r>
              <w:t xml:space="preserve">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 a ověřit, že uživatel je oprávněným držitelem cestovního dokladu, a to porovnáním zobrazení obličeje uloženého v čipu cestovního dokladu se zobrazením obličeje uživatele pořízeným na místě. </w:t>
            </w:r>
            <w:r>
              <w:rPr>
                <w:b/>
                <w:i/>
              </w:rPr>
              <w:t>Mělo by</w:t>
            </w:r>
            <w:r>
              <w:t xml:space="preserve"> být možné uložit digitální cestovní oprávnění lokálně v mobilní aplikaci.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Nařízení Evropského parlamentu a Rady (EU) č. 910/2014 ze dne 23. července 2014 o elektronické identifikaci a službách vytvářejících důvěru pro elektronické transakce na vnitřním trhu a o zrušení směrnice 1999/93/ES (Úř. věst. L 257, 28.8.2014, s. 73).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 a ověřit, že uživatel je oprávněným držitelem cestovního dokladu, a to porovnáním zobrazení obličeje uloženého v čipu cestovního dokladu se zobrazením obličeje uživatele pořízeným na místě. Digitální cestovní oprávnění, která mají být použita vícekrát, by mělo být možné uložit do evropské peněženky digitální identity uživatele, která je v souladu s nařízením Evropského parlamentu a Rady (EU) č. 910/2014</w:t>
            </w:r>
            <w:r>
              <w:rPr>
                <w:vertAlign w:val="superscript"/>
              </w:rPr>
              <w:t>7</w:t>
            </w:r>
            <w:r>
              <w:t>. Osoby, které nemají evropskou peněženku digitální identity zřízenou podle uvedeného nařízení, by měly mít možnost uložit digitální cestovní oprávnění lokálně v mobilní aplikaci.</w:t>
            </w:r>
          </w:p>
        </w:tc>
        <w:tc>
          <w:tcPr>
            <w:tcW w:w="4876" w:type="dxa"/>
            <w:tcBorders>
              <w:top w:val="nil"/>
              <w:left w:val="nil"/>
              <w:bottom w:val="nil"/>
              <w:right w:val="nil"/>
            </w:tcBorders>
          </w:tcPr>
          <w:p>
            <w:pPr>
              <w:pStyle w:val="Normal6a"/>
            </w:pPr>
            <w:r>
              <w:t>(7)</w:t>
            </w:r>
            <w:r>
              <w:tab/>
            </w:r>
            <w:r>
              <w:t>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w:t>
            </w:r>
            <w:r>
              <w:rPr>
                <w:b/>
                <w:i/>
              </w:rPr>
              <w:t>, platnost</w:t>
            </w:r>
            <w:r>
              <w:t xml:space="preserve"> a integritu cestovního dokladu a ověřit, že uživatel je oprávněným držitelem cestovního dokladu, a to porovnáním zobrazení obličeje uloženého v čipu cestovního dokladu se zobrazením obličeje uživatele pořízeným na místě. Digitální cestovní oprávnění, která mají být použita vícekrát, by mělo být možné uložit do evropské peněženky digitální identity uživatele, která je v souladu s nařízením Evropského parlamentu a Rady (EU) č. 910/2014</w:t>
            </w:r>
            <w:r>
              <w:rPr>
                <w:vertAlign w:val="superscript"/>
              </w:rPr>
              <w:t>7</w:t>
            </w:r>
            <w:r>
              <w:rPr>
                <w:b/>
                <w:i/>
              </w:rPr>
              <w:t>.</w:t>
            </w:r>
            <w:r>
              <w:t xml:space="preserve"> </w:t>
            </w:r>
            <w:r>
              <w:rPr>
                <w:b/>
                <w:i/>
              </w:rPr>
              <w:t>Aby byla zajištěna bezpečnost, musí být údaje v opětovně použitelném digitálním oprávnění ověřeny před každým dalším použitím</w:t>
            </w:r>
            <w:r>
              <w:t>. Osoby, které nemají evropskou peněženku digitální identity zřízenou podle uvedeného nařízení, by měly mít možnost uložit digitální cestovní oprávnění lokálně v mobilní aplikaci.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č. 910/2014 ze dne 23. července 2014 o elektronické identifikaci a službách vytvářejících důvěru pro elektronické transakce na vnitřním trhu a o zrušení směrnice 1999/93/ES (Úř. věst. L 257, 28.8.2014, s. 73).</w:t>
            </w:r>
          </w:p>
        </w:tc>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č. 910/2014 ze dne 23. července 2014 o elektronické identifikaci a službách vytvářejících důvěru pro elektronické transakce na vnitřním trhu a o zrušení směrnice 1999/93/ES (Úř. věst. L 257, 28.8.2014, s. 73).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 </w:t>
            </w:r>
            <w:r>
              <w:rPr>
                <w:b/>
                <w:i/>
              </w:rPr>
              <w:t>a ověřit, že uživatel je oprávněným držitelem cestovního dokladu, a to porovnáním zobrazení obličeje uloženého v čipu cestovního dokladu se zobrazením obličeje uživatele pořízeným na místě.</w:t>
            </w:r>
            <w:r>
              <w:t xml:space="preserve"> Digitální cestovní oprávnění, která mají být použita vícekrát, by mělo být možné uložit do evropské peněženky digitální identity uživatele, která je v souladu s nařízením Evropského parlamentu a Rady (EU) č. 910/2014</w:t>
            </w:r>
            <w:r>
              <w:rPr>
                <w:vertAlign w:val="superscript"/>
              </w:rPr>
              <w:t>7</w:t>
            </w:r>
            <w:r>
              <w:t>. Osoby, které nemají evropskou peněženku digitální identity zřízenou podle uvedeného nařízení, by měly mít možnost uložit digitální cestovní oprávnění lokálně v mobilní aplikaci.</w:t>
            </w:r>
          </w:p>
        </w:tc>
        <w:tc>
          <w:tcPr>
            <w:tcW w:w="4876" w:type="dxa"/>
            <w:tcBorders>
              <w:top w:val="nil"/>
              <w:left w:val="nil"/>
              <w:bottom w:val="nil"/>
              <w:right w:val="nil"/>
            </w:tcBorders>
          </w:tcPr>
          <w:p>
            <w:pPr>
              <w:pStyle w:val="Normal6a"/>
            </w:pPr>
            <w:r>
              <w:t>(7)</w:t>
            </w:r>
            <w:r>
              <w:tab/>
            </w:r>
            <w:r>
              <w:t>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w:t>
            </w:r>
            <w:r>
              <w:rPr>
                <w:b/>
                <w:i/>
              </w:rPr>
              <w:t> </w:t>
            </w:r>
            <w:r>
              <w:t xml:space="preserve"> Digitální cestovní oprávnění, která mají být použita vícekrát, by mělo být možné uložit do evropské peněženky digitální identity uživatele, která je v souladu s nařízením Evropského parlamentu a Rady (EU) č. 910/2014</w:t>
            </w:r>
            <w:r>
              <w:rPr>
                <w:vertAlign w:val="superscript"/>
              </w:rPr>
              <w:t>7</w:t>
            </w:r>
            <w:r>
              <w:t>. Osoby, které nemají evropskou peněženku digitální identity zřízenou podle uvedeného nařízení, by měly mít možnost uložit digitální cestovní oprávnění lokálně v mobilní aplikaci.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č. 910/2014 ze dne 23. července 2014 o elektronické identifikaci a službách vytvářejících důvěru pro elektronické transakce na vnitřním trhu a o zrušení směrnice 1999/93/ES (Úř. věst. L 257, 28.8.2014, s. 73).</w:t>
            </w:r>
          </w:p>
        </w:tc>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č. 910/2014 ze dne 23. července 2014 o elektronické identifikaci a službách vytvářejících důvěru pro elektronické transakce na vnitřním trhu a o zrušení směrnice 1999/93/ES (Úř. věst. L 257,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 a ověřit, že uživatel je oprávněným držitelem cestovního dokladu, a to porovnáním zobrazení obličeje uloženého v čipu cestovního dokladu se zobrazením obličeje uživatele pořízeným na místě. Digitální cestovní oprávnění, která mají být použita vícekrát, by mělo být možné uložit do evropské peněženky digitální identity uživatele, která je v souladu s nařízením Evropského parlamentu a Rady (EU) č. 910/2014</w:t>
            </w:r>
            <w:r>
              <w:rPr>
                <w:vertAlign w:val="superscript"/>
              </w:rPr>
              <w:t>7</w:t>
            </w:r>
            <w:r>
              <w:t xml:space="preserve">. Osoby, které </w:t>
            </w:r>
            <w:r>
              <w:rPr>
                <w:b/>
                <w:i/>
              </w:rPr>
              <w:t>nemají</w:t>
            </w:r>
            <w:r>
              <w:t xml:space="preserve"> evropskou peněženku digitální identity zřízenou podle uvedeného nařízení, by měly mít možnost uložit </w:t>
            </w:r>
            <w:r>
              <w:rPr>
                <w:b/>
                <w:i/>
              </w:rPr>
              <w:t>digitální cestovní oprávnění</w:t>
            </w:r>
            <w:r>
              <w:t xml:space="preserve"> lokálně v mobilní aplikaci.</w:t>
            </w:r>
          </w:p>
        </w:tc>
        <w:tc>
          <w:tcPr>
            <w:tcW w:w="4876" w:type="dxa"/>
            <w:tcBorders>
              <w:top w:val="nil"/>
              <w:left w:val="nil"/>
              <w:bottom w:val="nil"/>
              <w:right w:val="nil"/>
            </w:tcBorders>
          </w:tcPr>
          <w:p>
            <w:pPr>
              <w:pStyle w:val="Normal6a"/>
            </w:pPr>
            <w:r>
              <w:t>(7)</w:t>
            </w:r>
            <w:r>
              <w:tab/>
            </w:r>
            <w:r>
              <w:t>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 a ověřit, že uživatel je oprávněným držitelem cestovního dokladu, a to porovnáním zobrazení obličeje uloženého v čipu cestovního dokladu se zobrazením obličeje uživatele pořízeným na místě. Digitální cestovní oprávnění, která mají být použita vícekrát, by mělo být možné uložit do evropské peněženky digitální identity uživatele, která je v souladu s nařízením Evropského parlamentu a Rady (EU) č. 910/2014</w:t>
            </w:r>
            <w:r>
              <w:rPr>
                <w:vertAlign w:val="superscript"/>
              </w:rPr>
              <w:t>7</w:t>
            </w:r>
            <w:r>
              <w:t xml:space="preserve">. Osoby, které </w:t>
            </w:r>
            <w:r>
              <w:rPr>
                <w:b/>
                <w:i/>
              </w:rPr>
              <w:t>nevlastní</w:t>
            </w:r>
            <w:r>
              <w:t xml:space="preserve"> evropskou peněženku digitální identity zřízenou podle uvedeného nařízení </w:t>
            </w:r>
            <w:r>
              <w:rPr>
                <w:b/>
                <w:i/>
              </w:rPr>
              <w:t>nebo si nepřejí v této peněžence ukládat svá digitální cestovní oprávnění</w:t>
            </w:r>
            <w:r>
              <w:t xml:space="preserve">, by měly mít možnost uložit </w:t>
            </w:r>
            <w:r>
              <w:rPr>
                <w:b/>
                <w:i/>
              </w:rPr>
              <w:t>je</w:t>
            </w:r>
            <w:r>
              <w:t xml:space="preserve"> lokálně v mobilní aplikaci.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č. 910/2014 ze dne 23. července 2014 o elektronické identifikaci a službách vytvářejících důvěru pro elektronické transakce na vnitřním trhu a o zrušení směrnice 1999/93/ES (Úř. věst. L 257, 28.8.2014, s. 73).</w:t>
            </w:r>
          </w:p>
        </w:tc>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č. 910/2014 ze dne 23. července 2014 o elektronické identifikaci a službách vytvářejících důvěru pro elektronické transakce na vnitřním trhu a o zrušení směrnice 1999/93/ES (Úř. věst. L 257,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 a ověřit, že uživatel je oprávněným držitelem cestovního dokladu, a to porovnáním zobrazení obličeje uloženého v čipu cestovního dokladu se zobrazením obličeje uživatele pořízeným na místě. Digitální cestovní oprávnění, která mají být použita vícekrát, by mělo být možné uložit do evropské peněženky digitální identity uživatele, která je v souladu s nařízením Evropského parlamentu a Rady (EU) č. 910/2014</w:t>
            </w:r>
            <w:r>
              <w:rPr>
                <w:vertAlign w:val="superscript"/>
              </w:rPr>
              <w:t>7</w:t>
            </w:r>
            <w:r>
              <w:t>. Osoby, které nemají evropskou peněženku digitální identity zřízenou podle uvedeného nařízení, by měly mít možnost uložit digitální cestovní oprávnění lokálně v mobilní aplikaci.</w:t>
            </w:r>
          </w:p>
        </w:tc>
        <w:tc>
          <w:tcPr>
            <w:tcW w:w="4876" w:type="dxa"/>
            <w:tcBorders>
              <w:top w:val="nil"/>
              <w:left w:val="nil"/>
              <w:bottom w:val="nil"/>
              <w:right w:val="nil"/>
            </w:tcBorders>
          </w:tcPr>
          <w:p>
            <w:pPr>
              <w:pStyle w:val="Normal6a"/>
            </w:pPr>
            <w:r>
              <w:t>(7)</w:t>
            </w:r>
            <w:r>
              <w:tab/>
            </w:r>
            <w:r>
              <w:t xml:space="preserve">Digitální cestovní aplikace EU by měla cestujícím umožnit vytvoření digitálního cestovního oprávnění pro jednorázové nebo vícenásobné použití a načtení již vytvořeného digitálního cestovního oprávnění. Z bezpečnostních důvodů a z důvodu boje proti podvodům s totožností by měla být backendová validační služba digitální cestovní aplikace EU schopna před vytvořením digitálního cestovního oprávnění ověřit pravost a integritu cestovního dokladu a ověřit, že uživatel je oprávněným držitelem cestovního dokladu, a to porovnáním zobrazení obličeje uloženého v čipu cestovního dokladu se zobrazením obličeje uživatele pořízeným na místě. Digitální cestovní oprávnění, která mají být použita vícekrát, by mělo být možné </w:t>
            </w:r>
            <w:r>
              <w:rPr>
                <w:b/>
                <w:i/>
              </w:rPr>
              <w:t>na základě výslovného souhlasu uživatele</w:t>
            </w:r>
            <w:r>
              <w:t xml:space="preserve"> uložit do evropské peněženky digitální identity uživatele, která je v souladu s nařízením Evropského parlamentu a Rady (EU) č. 910/2014</w:t>
            </w:r>
            <w:r>
              <w:rPr>
                <w:vertAlign w:val="superscript"/>
              </w:rPr>
              <w:t>7</w:t>
            </w:r>
            <w:r>
              <w:t>. Osoby, které nemají evropskou peněženku digitální identity zřízenou podle uvedeného nařízení, by měly mít možnost uložit digitální cestovní oprávnění lokálně v mobilní aplikaci.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č. 910/2014 ze dne 23. července 2014 o elektronické identifikaci a službách vytvářejících důvěru pro elektronické transakce na vnitřním trhu a o zrušení směrnice 1999/93/ES (Úř. věst. L 257, 28.8.2014, s. 73).</w:t>
            </w:r>
          </w:p>
        </w:tc>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č. 910/2014 ze dne 23. července 2014 o elektronické identifikaci a službách vytvářejících důvěru pro elektronické transakce na vnitřním trhu a o zrušení směrnice 1999/93/ES (Úř. věst. L 257,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 cílem podpořit provádění předběžných hraničních kontrol osob požívajících právo na volný pohyb podle práva Unie, pokud se na ně vztahuje, a předběžného přezkumu údajů státních příslušníků třetích zemí by cestující používající digitální cestovní oprávnění měli rovněž poskytnout určité relevantní cestovní údaje, jako je předpokládaný čas překročení hranice a členský stát, v němž je vnější hranice překračována.</w:t>
            </w:r>
            <w:r>
              <w:t xml:space="preserve"> </w:t>
            </w:r>
            <w:r>
              <w:rPr>
                <w:b/>
                <w:i/>
              </w:rPr>
              <w:t>Tyto údaje by měly být omezeny na to, co je nezbytné pro účely provedení hraniční kontroly, včetně ověření splnění podmínek vstupu.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 cílem podpořit provádění předběžných hraničních kontrol osob požívajících právo na volný pohyb podle práva Unie, pokud se na ně vztahuje, a předběžného přezkumu údajů státních příslušníků třetích zemí by cestující používající digitální cestovní oprávnění měli rovněž poskytnout určité relevantní cestovní údaje, jako je předpokládaný čas překročení hranice a členský stát, v němž je vnější hranice překračována.</w:t>
            </w:r>
            <w:r>
              <w:t xml:space="preserve"> </w:t>
            </w:r>
            <w:r>
              <w:rPr>
                <w:b/>
                <w:i/>
              </w:rPr>
              <w:t>Tyto údaje by měly být omezeny na to, co je nezbytné pro účely provedení hraniční kontroly, včetně ověření splnění podmínek vstupu.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 cílem podpořit provádění předběžných hraničních kontrol osob požívajících právo na volný pohyb podle práva Unie, pokud se na ně vztahuje, a předběžného přezkumu údajů státních příslušníků třetích zemí by cestující používající digitální cestovní oprávnění měli rovněž poskytnout určité relevantní cestovní údaje, jako je předpokládaný čas překročení hranice a členský stát, v němž je vnější hranice překračována. Tyto údaje by měly být omezeny na to, co je nezbytné pro účely provedení hraniční kontroly, včetně ověření splnění podmínek vstupu.</w:t>
            </w:r>
          </w:p>
        </w:tc>
        <w:tc>
          <w:tcPr>
            <w:tcW w:w="4876" w:type="dxa"/>
            <w:tcBorders>
              <w:top w:val="nil"/>
              <w:left w:val="nil"/>
              <w:bottom w:val="nil"/>
              <w:right w:val="nil"/>
            </w:tcBorders>
          </w:tcPr>
          <w:p>
            <w:pPr>
              <w:pStyle w:val="Normal6a"/>
            </w:pPr>
            <w:r>
              <w:t>(8)</w:t>
            </w:r>
            <w:r>
              <w:tab/>
            </w:r>
            <w:r>
              <w:t xml:space="preserve">S cílem podpořit provádění předběžných hraničních kontrol osob požívajících právo na volný pohyb podle práva Unie, pokud se na ně vztahuje, a předběžného přezkumu údajů státních příslušníků třetích zemí by cestující používající digitální cestovní oprávnění měli rovněž poskytnout určité relevantní cestovní údaje, jako je předpokládaný čas překročení hranice a členský stát, v němž je vnější hranice překračována. Tyto údaje by měly být omezeny na to, co je nezbytné pro účely provedení hraniční kontroly, včetně ověření splnění podmínek vstupu. </w:t>
            </w:r>
            <w:r>
              <w:rPr>
                <w:b/>
                <w:i/>
              </w:rPr>
              <w:t>Aby byl tento nástroj uživatelsky přívětivý a účinný, měli by mít cestující možnost předkládat své údaje podle svého přání, obvykle při nákupu přepravních dokladů.</w:t>
            </w:r>
            <w:r>
              <w:t xml:space="preserve"> </w:t>
            </w:r>
            <w:r>
              <w:rPr>
                <w:b/>
                <w:i/>
              </w:rPr>
              <w:t>Stanovení časových omezení pro předkládání údajů může ohrozit využívání a použitelnost nástroje.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 cílem podpořit provádění předběžných hraničních kontrol osob požívajících právo na volný pohyb podle práva Unie, pokud se na ně vztahuje, a předběžného přezkumu údajů státních příslušníků třetích zemí by cestující používající digitální cestovní oprávnění měli rovněž poskytnout určité relevantní cestovní údaje, jako je předpokládaný čas překročení hranice a členský stát, v němž je vnější hranice překračována. Tyto údaje </w:t>
            </w:r>
            <w:r>
              <w:rPr>
                <w:b/>
                <w:i/>
              </w:rPr>
              <w:t>by měly</w:t>
            </w:r>
            <w:r>
              <w:t xml:space="preserve"> být omezeny na to, co je nezbytné pro účely provedení hraniční kontroly, včetně ověření splnění podmínek vstupu.</w:t>
            </w:r>
          </w:p>
        </w:tc>
        <w:tc>
          <w:tcPr>
            <w:tcW w:w="4876" w:type="dxa"/>
            <w:tcBorders>
              <w:top w:val="nil"/>
              <w:left w:val="nil"/>
              <w:bottom w:val="nil"/>
              <w:right w:val="nil"/>
            </w:tcBorders>
          </w:tcPr>
          <w:p>
            <w:pPr>
              <w:pStyle w:val="Normal6a"/>
            </w:pPr>
            <w:r>
              <w:t>(8)</w:t>
            </w:r>
            <w:r>
              <w:tab/>
            </w:r>
            <w:r>
              <w:t xml:space="preserve">S cílem podpořit provádění předběžných hraničních kontrol osob požívajících právo na volný pohyb podle práva Unie, pokud se na ně vztahuje, a předběžného přezkumu údajů státních příslušníků třetích zemí by cestující používající digitální cestovní oprávnění měli rovněž poskytnout určité relevantní cestovní údaje, jako je předpokládaný čas překročení hranice a členský stát, v němž je vnější hranice překračována. </w:t>
            </w:r>
            <w:r>
              <w:rPr>
                <w:b/>
                <w:i/>
              </w:rPr>
              <w:t>Pokud</w:t>
            </w:r>
            <w:r>
              <w:t xml:space="preserve"> tyto údaje </w:t>
            </w:r>
            <w:r>
              <w:rPr>
                <w:b/>
                <w:i/>
              </w:rPr>
              <w:t>nelze získat jiným způsobem, měly by</w:t>
            </w:r>
            <w:r>
              <w:t xml:space="preserve"> být omezeny na to, co je nezbytné pro účely provedení hraniční kontroly, včetně ověření splnění podmínek vstupu.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cestující nastupuje na palubu letadla, měly by být příslušné údaje odvozeny z informací o letu, aby uživatel nebyl více zatěžován.</w:t>
      </w:r>
      <w:r>
        <w:t xml:space="preserve"> </w:t>
      </w:r>
      <w:r>
        <w:t>To se liší od překračování pozemních hranic, kde tyto údaje nemusí být dostupné jinými prostředky.</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Směrovač údajů cestujícího by měl cestovní údaje, které předloží cestující, předat pohraničním orgánům za účelem předběžné hraniční kontroly a předběžného přezkumu údajů.</w:t>
            </w:r>
            <w:r>
              <w:t xml:space="preserve"> </w:t>
            </w:r>
            <w:r>
              <w:rPr>
                <w:b/>
                <w:i/>
              </w:rPr>
              <w:t>Členské státy by proto měly být povinny určit pohraniční orgány oprávněné přijímat tyto údaje.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Směrovač údajů cestujícího by měl cestovní údaje, které předloží cestující, předat pohraničním orgánům za účelem předběžné hraniční kontroly a předběžného přezkumu údajů. Členské státy by proto měly být povinny určit pohraniční orgány oprávněné přijímat tyto údaje.</w:t>
            </w:r>
          </w:p>
        </w:tc>
        <w:tc>
          <w:tcPr>
            <w:tcW w:w="4876" w:type="dxa"/>
            <w:tcBorders>
              <w:top w:val="nil"/>
              <w:left w:val="nil"/>
              <w:bottom w:val="nil"/>
              <w:right w:val="nil"/>
            </w:tcBorders>
          </w:tcPr>
          <w:p>
            <w:pPr>
              <w:pStyle w:val="Normal6a"/>
            </w:pPr>
            <w:r>
              <w:t>(9)</w:t>
            </w:r>
            <w:r>
              <w:tab/>
            </w:r>
            <w:r>
              <w:t xml:space="preserve">Směrovač údajů cestujícího by měl cestovní údaje </w:t>
            </w:r>
            <w:r>
              <w:rPr>
                <w:b/>
                <w:i/>
              </w:rPr>
              <w:t>zašifrované koncovým šifrováním</w:t>
            </w:r>
            <w:r>
              <w:t>, které předloží cestující, předat pohraničním orgánům za účelem předběžné hraniční kontroly a předběžného přezkumu údajů. Členské státy by proto měly být povinny určit pohraniční orgány oprávněné přijímat tyto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Vytváření</w:t>
            </w:r>
            <w:r>
              <w:rPr>
                <w:b/>
                <w:i/>
              </w:rPr>
              <w:t>, předkládání</w:t>
            </w:r>
            <w:r>
              <w:t xml:space="preserve">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w:t>
            </w:r>
            <w:r>
              <w:rPr>
                <w:b/>
                <w:i/>
              </w:rPr>
              <w:t>před cestou</w:t>
            </w:r>
            <w:r>
              <w:t xml:space="preserve"> předkládají pohraničním orgánům, a zejména osobní údaje, by měly být omezeny na to, co je nezbytné a přiměřené cílům </w:t>
            </w:r>
            <w:r>
              <w:rPr>
                <w:b/>
                <w:i/>
              </w:rPr>
              <w:t>zvýšení bezpečnosti, usnadnění cestování a zajištění řádného fungování</w:t>
            </w:r>
            <w:r>
              <w:t xml:space="preserve"> schengenského prostoru</w:t>
            </w:r>
            <w:r>
              <w:rPr>
                <w:b/>
                <w:i/>
              </w:rPr>
              <w:t>, které sleduje toto nařízení</w:t>
            </w:r>
            <w:r>
              <w:t xml:space="preserve">. Mělo by být zaručeno, že zpracování údajů podle tohoto nařízení nepovede k žádné formě diskriminace. Žádné osobní údaje </w:t>
            </w:r>
            <w:r>
              <w:rPr>
                <w:b/>
                <w:i/>
              </w:rPr>
              <w:t>by neměly být na úrovni EU uchovávány déle, než je nezbytné pro jejich předložení pohraničnímu orgánu</w:t>
            </w:r>
            <w:r>
              <w:t>.</w:t>
            </w:r>
          </w:p>
        </w:tc>
        <w:tc>
          <w:tcPr>
            <w:tcW w:w="4876" w:type="dxa"/>
            <w:tcBorders>
              <w:top w:val="nil"/>
              <w:left w:val="nil"/>
              <w:bottom w:val="nil"/>
              <w:right w:val="nil"/>
            </w:tcBorders>
          </w:tcPr>
          <w:p>
            <w:pPr>
              <w:pStyle w:val="Normal6a"/>
            </w:pPr>
            <w:r>
              <w:t>(10)</w:t>
            </w:r>
            <w:r>
              <w:tab/>
            </w:r>
            <w:r>
              <w:t xml:space="preserve">Vytváření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předkládají pohraničním orgánům, a zejména osobní údaje, by měly být </w:t>
            </w:r>
            <w:r>
              <w:rPr>
                <w:b/>
                <w:i/>
              </w:rPr>
              <w:t>přísně</w:t>
            </w:r>
            <w:r>
              <w:t xml:space="preserve"> omezeny na to, co je nezbytné a přiměřené cílům </w:t>
            </w:r>
            <w:r>
              <w:rPr>
                <w:b/>
                <w:i/>
              </w:rPr>
              <w:t>provádění kontrol na hraničních přechodech.</w:t>
            </w:r>
            <w:r>
              <w:t xml:space="preserve"> </w:t>
            </w:r>
            <w:r>
              <w:rPr>
                <w:b/>
                <w:i/>
              </w:rPr>
              <w:t>Vytvoření digitální cestovní aplikace EU by v žádném případě nemělo mít dopad na pravidla a požadavky týkající se výkonu práva na volný pohyb v rámci</w:t>
            </w:r>
            <w:r>
              <w:t xml:space="preserve"> schengenského prostoru </w:t>
            </w:r>
            <w:r>
              <w:rPr>
                <w:b/>
                <w:i/>
              </w:rPr>
              <w:t>ani je měnit</w:t>
            </w:r>
            <w:r>
              <w:t xml:space="preserve">. Mělo by být zaručeno, že zpracování údajů podle tohoto nařízení nepovede k žádné formě diskriminace. </w:t>
            </w:r>
            <w:r>
              <w:rPr>
                <w:b/>
                <w:i/>
              </w:rPr>
              <w:t>Na úrovni EU by neměly být uchovávány</w:t>
            </w:r>
            <w:r>
              <w:t xml:space="preserve"> žádné osobní údaje</w:t>
            </w:r>
            <w:r>
              <w:rPr>
                <w:b/>
                <w:i/>
              </w:rPr>
              <w:t>.</w:t>
            </w:r>
            <w:r>
              <w:t xml:space="preserve"> </w:t>
            </w:r>
            <w:r>
              <w:rPr>
                <w:b/>
                <w:i/>
              </w:rPr>
              <w:t>Pohraniční orgány by měly údaje cestujících vymazat automatizovaným způsobem bezprostředně po provedení hraniční kontroly nebo v případě, že údaje cestujících byly obdrženy před hraniční kontrolou a dotčené osoby se na hraniční přechod nedostaví, nejpozději 12 hodin po předpokládaném datu a čase příjezdu nebo odjezdu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Vytváření, předkládání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 cestou předkládají pohraničním orgánům, a zejména osobní údaje, by měly být omezeny na to, co je nezbytné a přiměřené cílům zvýšení bezpečnosti, usnadnění cestování a zajištění řádného fungování schengenského prostoru, které sleduje toto nařízení. Mělo by být zaručeno, že zpracování údajů podle tohoto nařízení nepovede k žádné formě diskriminace. Žádné osobní údaje by neměly být na úrovni EU uchovávány déle, než je nezbytné pro jejich předložení pohraničnímu orgánu.</w:t>
            </w:r>
          </w:p>
        </w:tc>
        <w:tc>
          <w:tcPr>
            <w:tcW w:w="4876" w:type="dxa"/>
            <w:tcBorders>
              <w:top w:val="nil"/>
              <w:left w:val="nil"/>
              <w:bottom w:val="nil"/>
              <w:right w:val="nil"/>
            </w:tcBorders>
          </w:tcPr>
          <w:p>
            <w:pPr>
              <w:pStyle w:val="Normal6a"/>
            </w:pPr>
            <w:r>
              <w:t>(10)</w:t>
            </w:r>
            <w:r>
              <w:tab/>
            </w:r>
            <w:r>
              <w:t xml:space="preserve">Vytváření, předkládání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 cestou předkládají pohraničním orgánům, a zejména osobní údaje, by měly být omezeny na to, co je nezbytné a přiměřené cílům zvýšení bezpečnosti, usnadnění cestování a zajištění řádného fungování schengenského prostoru, které sleduje toto nařízení. </w:t>
            </w:r>
            <w:r>
              <w:rPr>
                <w:b/>
                <w:i/>
              </w:rPr>
              <w:t>Digitální předávání cestovních údajů prostřednictvím digitální cestovní aplikace EU by nemělo vést k dalšímu uchovávání údajů, k němuž by zpravidla nedošlo v případech, pokud by se cestující rozhodl použít svůj fyzický cestovní doklad.</w:t>
            </w:r>
            <w:r>
              <w:t xml:space="preserve"> Mělo by být zaručeno, že zpracování údajů podle tohoto nařízení nepovede k žádné formě diskriminace. Žádné osobní údaje by neměly být na úrovni EU uchovávány déle, než je nezbytné pro jejich předložení pohraničnímu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Vytváření, předkládání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 cestou předkládají pohraničním orgánům, a zejména osobní údaje, by měly být omezeny na to, co je nezbytné a přiměřené cílům zvýšení bezpečnosti</w:t>
            </w:r>
            <w:r>
              <w:rPr>
                <w:b/>
                <w:i/>
              </w:rPr>
              <w:t>,</w:t>
            </w:r>
            <w:r>
              <w:t xml:space="preserve"> usnadnění cestování a zajištění řádného fungování schengenského prostoru, které sleduje toto nařízení. Mělo by být zaručeno, že zpracování údajů podle tohoto nařízení nepovede k žádné formě diskriminace. Žádné osobní údaje by neměly být na úrovni EU uchovávány déle, než je nezbytné pro jejich předložení pohraničnímu orgánu.</w:t>
            </w:r>
          </w:p>
        </w:tc>
        <w:tc>
          <w:tcPr>
            <w:tcW w:w="4876" w:type="dxa"/>
            <w:tcBorders>
              <w:top w:val="nil"/>
              <w:left w:val="nil"/>
              <w:bottom w:val="nil"/>
              <w:right w:val="nil"/>
            </w:tcBorders>
          </w:tcPr>
          <w:p>
            <w:pPr>
              <w:pStyle w:val="Normal6a"/>
            </w:pPr>
            <w:r>
              <w:t>(10)</w:t>
            </w:r>
            <w:r>
              <w:tab/>
            </w:r>
            <w:r>
              <w:t>Vytváření, předkládání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 cestou předkládají pohraničním orgánům, a zejména osobní údaje, by měly být omezeny na to, co je nezbytné a přiměřené cílům</w:t>
            </w:r>
            <w:r>
              <w:rPr>
                <w:b/>
                <w:i/>
              </w:rPr>
              <w:t>, a to především</w:t>
            </w:r>
            <w:r>
              <w:t xml:space="preserve"> zvýšení bezpečnosti </w:t>
            </w:r>
            <w:r>
              <w:rPr>
                <w:b/>
                <w:i/>
              </w:rPr>
              <w:t>a dále</w:t>
            </w:r>
            <w:r>
              <w:t xml:space="preserve"> usnadnění cestování a zajištění řádného fungování schengenského prostoru, které sleduje toto nařízení. Mělo by být zaručeno, že zpracování údajů podle tohoto nařízení nepovede k žádné formě diskriminace. </w:t>
            </w:r>
            <w:r>
              <w:rPr>
                <w:b/>
                <w:i/>
              </w:rPr>
              <w:t>S osobami, které se rozhodnou aplikaci nepoužít, by se v žádném případě nemělo zacházet odlišně.</w:t>
            </w:r>
            <w:r>
              <w:t xml:space="preserve"> Žádné osobní údaje by neměly být na úrovni EU uchovávány déle, než je nezbytné pro jejich předložení pohraničnímu orgánu. </w:t>
            </w:r>
            <w:r>
              <w:rPr>
                <w:b/>
                <w:i/>
              </w:rPr>
              <w:t>Pohraniční orgány by měly tyto informace vymazat, jakmile dojde k překročení hranice.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Vytváření, předkládání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 cestou předkládají pohraničním orgánům, a zejména osobní údaje, by měly být omezeny na to, co je nezbytné a přiměřené cílům zvýšení bezpečnosti, usnadnění cestování a zajištění řádného fungování schengenského prostoru, které sleduje toto nařízení. Mělo by být zaručeno, že zpracování údajů podle tohoto nařízení nepovede k žádné formě diskriminace. Žádné osobní údaje by neměly být na úrovni EU uchovávány déle, než je nezbytné pro jejich předložení pohraničnímu orgánu.</w:t>
            </w:r>
          </w:p>
        </w:tc>
        <w:tc>
          <w:tcPr>
            <w:tcW w:w="4876" w:type="dxa"/>
            <w:tcBorders>
              <w:top w:val="nil"/>
              <w:left w:val="nil"/>
              <w:bottom w:val="nil"/>
              <w:right w:val="nil"/>
            </w:tcBorders>
          </w:tcPr>
          <w:p>
            <w:pPr>
              <w:pStyle w:val="Normal6a"/>
            </w:pPr>
            <w:r>
              <w:t>(10)</w:t>
            </w:r>
            <w:r>
              <w:tab/>
            </w:r>
            <w:r>
              <w:t>Vytváření, předkládání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 cestou předkládají pohraničním orgánům, a zejména osobní údaje, by měly být omezeny na to, co je nezbytné a přiměřené cílům zvýšení bezpečnosti, usnadnění cestování a zajištění řádného fungování schengenského prostoru, které sleduje toto nařízení. Mělo by být zaručeno, že zpracování údajů podle tohoto nařízení nepovede k žádné formě diskriminace</w:t>
            </w:r>
            <w:r>
              <w:rPr>
                <w:b/>
                <w:i/>
              </w:rPr>
              <w:t>, zejména vůči cestujícím, kteří se rozhodnou digitální cestovní oprávnění nepoužívat</w:t>
            </w:r>
            <w:r>
              <w:t>. Žádné osobní údaje by neměly být na úrovni EU uchovávány déle, než je nezbytné pro jejich předložení pohraničnímu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Vytváření, předkládání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 cestou předkládají pohraničním orgánům, a zejména osobní údaje, by měly být omezeny na to, co je nezbytné a přiměřené cílům </w:t>
            </w:r>
            <w:r>
              <w:rPr>
                <w:b/>
                <w:i/>
              </w:rPr>
              <w:t>zvýšení bezpečnosti, usnadnění cestování a</w:t>
            </w:r>
            <w:r>
              <w:t xml:space="preserve"> zajištění řádného fungování schengenského prostoru, které sleduje toto nařízení. Mělo by být zaručeno, že zpracování údajů podle tohoto nařízení nepovede k žádné formě diskriminace. Žádné osobní údaje by neměly být na úrovni EU uchovávány déle, než je nezbytné pro jejich předložení pohraničnímu orgánu.</w:t>
            </w:r>
          </w:p>
        </w:tc>
        <w:tc>
          <w:tcPr>
            <w:tcW w:w="4876" w:type="dxa"/>
            <w:tcBorders>
              <w:top w:val="nil"/>
              <w:left w:val="nil"/>
              <w:bottom w:val="nil"/>
              <w:right w:val="nil"/>
            </w:tcBorders>
          </w:tcPr>
          <w:p>
            <w:pPr>
              <w:pStyle w:val="Normal6a"/>
            </w:pPr>
            <w:r>
              <w:t>(10)</w:t>
            </w:r>
            <w:r>
              <w:tab/>
            </w:r>
            <w:r>
              <w:t>Vytváření, předkládání a používání digitálních cestovních oprávnění za účelem provádění hraničních kontrol má dopad na právo na soukromí a ochranu osobních údajů. Aby byla plně respektována základní práva cestujících, měla by být zavedena odpovídající omezení a záruky. Veškeré údaje, které cestující před cestou předkládají pohraničním orgánům, a zejména osobní údaje, by měly být omezeny na to, co je nezbytné a přiměřené cílům zajištění řádného fungování schengenského prostoru, které sleduje toto nařízení. Mělo by být zaručeno, že zpracování údajů podle tohoto nařízení nepovede k žádné formě diskriminace. Žádné osobní údaje by neměly být na úrovni EU uchovávány déle, než je nezbytné pro jejich předložení pohraničnímu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Příslušné pohraniční orgány by měly provést automatizovaný výmaz cestovních údajů předaných v souladu s tímto nařízením z databáze hraničního přechodu bezprostředně poté, co cestující překročil vnější hranici.</w:t>
            </w:r>
            <w:r>
              <w:t xml:space="preserve"> </w:t>
            </w:r>
            <w:r>
              <w:rPr>
                <w:b/>
                <w:i/>
              </w:rPr>
              <w:t>Pokud cestující, který předložil cestovní údaje v souladu s tímto nařízením, nepřekročí vnější hranici, měly by příslušné pohraniční orgány provést automatizovaný výmaz předaných cestovních údajů 12 hodin po zamýšleném datu a čase příjezdu nebo odjezdu.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Příslušné pohraniční orgány by měly vymazat údaje o cestování, které obdržely v souladu s tímto nařízením, okamžitě poté, co byl cestujícímu povolen vstup, nebo po 12 hodinách po přijetí rozhodnutí o odepření vstupu, pokud neexistuje právní základ pro další zpracování pro jiné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Cestující by měli mít možnost svobodně si zvolit, zda pro účely hraničních kontrol použijí digitální cestovní oprávnění nebo fyzický cestovní doklad, a měli by mít možnost kdykoli odvolat svůj souhlas se zpracováním osobních údajů, aniž by to mělo vliv na oprávněnost překročit vnější hranice. Zpracovávání osobních údajů podle tohoto nařízení by mělo být prováděno v souladu s ustanoveními nařízení Evropského parlamentu a Rady (EU) 2016/679</w:t>
            </w:r>
            <w:r>
              <w:rPr>
                <w:vertAlign w:val="superscript"/>
              </w:rPr>
              <w:t>8</w:t>
            </w:r>
            <w:r>
              <w:t>a nařízení Evropského parlamentu a Rady (EU) 2018/1725</w:t>
            </w:r>
            <w:r>
              <w:rPr>
                <w:vertAlign w:val="superscript"/>
              </w:rPr>
              <w:t>9</w:t>
            </w:r>
            <w:r>
              <w:t>v jejich příslušné oblasti působnosti.</w:t>
            </w:r>
          </w:p>
        </w:tc>
        <w:tc>
          <w:tcPr>
            <w:tcW w:w="4876" w:type="dxa"/>
            <w:tcBorders>
              <w:top w:val="nil"/>
              <w:left w:val="nil"/>
              <w:bottom w:val="nil"/>
              <w:right w:val="nil"/>
            </w:tcBorders>
          </w:tcPr>
          <w:p>
            <w:pPr>
              <w:pStyle w:val="Normal6a"/>
            </w:pPr>
            <w:r>
              <w:t>(11)</w:t>
            </w:r>
            <w:r>
              <w:tab/>
            </w:r>
            <w:r>
              <w:rPr>
                <w:b/>
                <w:i/>
              </w:rPr>
              <w:t>Používání digitálního cestovního oprávnění by mělo být vždy dobrovolné.</w:t>
            </w:r>
            <w:r>
              <w:t xml:space="preserve"> Cestující by </w:t>
            </w:r>
            <w:r>
              <w:rPr>
                <w:b/>
                <w:i/>
              </w:rPr>
              <w:t>proto</w:t>
            </w:r>
            <w:r>
              <w:t xml:space="preserve"> měli mít možnost svobodně si zvolit, zda pro účely hraničních kontrol použijí digitální cestovní oprávnění nebo fyzický cestovní doklad, a měli by mít možnost kdykoli odvolat svůj souhlas se zpracováním osobních údajů, aniž by to mělo vliv na </w:t>
            </w:r>
            <w:r>
              <w:rPr>
                <w:b/>
                <w:i/>
              </w:rPr>
              <w:t>jejich</w:t>
            </w:r>
            <w:r>
              <w:t xml:space="preserve"> oprávněnost překročit vnější hranice. </w:t>
            </w:r>
            <w:r>
              <w:rPr>
                <w:b/>
                <w:i/>
              </w:rPr>
              <w:t>Při této volbě by cestující, kteří se rozhodnou digitální cestovní oprávnění nepoužívat, neměli být vystaveni nepřiměřeně delší čekací době ani žádné jiné formě přímé nebo nepřímé diskriminace.</w:t>
            </w:r>
            <w:r>
              <w:t xml:space="preserve"> Zpracovávání osobních údajů podle tohoto nařízení by mělo být prováděno v souladu s ustanoveními nařízení Evropského parlamentu a Rady (EU) 2016/679</w:t>
            </w:r>
            <w:r>
              <w:rPr>
                <w:vertAlign w:val="superscript"/>
              </w:rPr>
              <w:t>8</w:t>
            </w:r>
            <w:r>
              <w:t xml:space="preserve"> a nařízení Evropského parlamentu a Rady (EU) 2018/1725</w:t>
            </w:r>
            <w:r>
              <w:rPr>
                <w:vertAlign w:val="superscript"/>
              </w:rPr>
              <w:t>9</w:t>
            </w:r>
            <w:r>
              <w:t xml:space="preserve"> v jejich příslušné oblasti působnosti.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Cestující by měli mít možnost svobodně si zvolit, zda pro účely hraničních kontrol použijí digitální cestovní oprávnění nebo fyzický cestovní doklad</w:t>
            </w:r>
            <w:r>
              <w:rPr>
                <w:b/>
                <w:i/>
              </w:rPr>
              <w:t>, a</w:t>
            </w:r>
            <w:r>
              <w:t xml:space="preserve"> měli by mít možnost kdykoli odvolat svůj souhlas se zpracováním osobních údajů, aniž by to mělo vliv na oprávněnost překročit vnější hranice. Zpracovávání osobních údajů podle tohoto nařízení by mělo být prováděno v souladu s ustanoveními nařízení Evropského parlamentu a Rady (EU) 2016/679</w:t>
            </w:r>
            <w:r>
              <w:rPr>
                <w:vertAlign w:val="superscript"/>
              </w:rPr>
              <w:t>8</w:t>
            </w:r>
            <w:r>
              <w:t>a nařízení Evropského parlamentu a Rady (EU) 2018/1725</w:t>
            </w:r>
            <w:r>
              <w:rPr>
                <w:vertAlign w:val="superscript"/>
              </w:rPr>
              <w:t>9</w:t>
            </w:r>
            <w:r>
              <w:t>v jejich příslušné oblasti působnosti.</w:t>
            </w:r>
          </w:p>
        </w:tc>
        <w:tc>
          <w:tcPr>
            <w:tcW w:w="4876" w:type="dxa"/>
            <w:tcBorders>
              <w:top w:val="nil"/>
              <w:left w:val="nil"/>
              <w:bottom w:val="nil"/>
              <w:right w:val="nil"/>
            </w:tcBorders>
          </w:tcPr>
          <w:p>
            <w:pPr>
              <w:pStyle w:val="Normal6a"/>
            </w:pPr>
            <w:r>
              <w:t>(11)</w:t>
            </w:r>
            <w:r>
              <w:tab/>
            </w:r>
            <w:r>
              <w:t>Cestující by měli mít možnost svobodně si zvolit, zda pro účely hraničních kontrol použijí digitální cestovní oprávnění nebo fyzický cestovní doklad</w:t>
            </w:r>
            <w:r>
              <w:rPr>
                <w:b/>
                <w:i/>
              </w:rPr>
              <w:t>.</w:t>
            </w:r>
            <w:r>
              <w:t xml:space="preserve"> </w:t>
            </w:r>
            <w:r>
              <w:rPr>
                <w:b/>
                <w:i/>
              </w:rPr>
              <w:t>V každém případě by cestující u sebe měli mít fyzický cestovní doklad, a to i v případě, že použili digitální cestovní oprávnění.</w:t>
            </w:r>
            <w:r>
              <w:t xml:space="preserve"> Měli by mít možnost kdykoli odvolat svůj souhlas se zpracováním osobních údajů, aniž by to mělo vliv na oprávněnost překročit vnější hranice. Zpracovávání osobních údajů podle tohoto nařízení by mělo být prováděno v souladu s ustanoveními nařízení Evropského parlamentu a Rady (EU) 2016/679</w:t>
            </w:r>
            <w:r>
              <w:rPr>
                <w:vertAlign w:val="superscript"/>
              </w:rPr>
              <w:t>8</w:t>
            </w:r>
            <w:r>
              <w:t xml:space="preserve"> a nařízení Evropského parlamentu a Rady (EU) 2018/1725</w:t>
            </w:r>
            <w:r>
              <w:rPr>
                <w:vertAlign w:val="superscript"/>
              </w:rPr>
              <w:t>9</w:t>
            </w:r>
            <w:r>
              <w:t xml:space="preserve"> v jejich příslušné oblasti působnosti.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 ELI: http://data.europa.eu/eli/reg/2018/1725/oj).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Toto nařízení by v žádném případě nemělo nahrazovat existenci fyzických cestovních dokladů ani právo používat tyto doklady samostatně.</w:t>
            </w:r>
            <w:r>
              <w:t xml:space="preserve"> </w:t>
            </w:r>
            <w:r>
              <w:rPr>
                <w:b/>
                <w:i/>
              </w:rPr>
              <w:t>Pokud Komise zvažuje, že by umožnila používání digitálního cestovního oprávnění, aniž by byl nutný základní fyzický doklad, měla by Radě a Parlamentu předložit nový legislativní návrh.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Předběžné hraniční kontroly a předběžné odbavení cestujících, jak je stanoveno v tomto nařízení, by neměly vést k delším čekacím lhůtám pro cestující, kteří digitální cestovní oprávnění EU nevyužívají.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zájmu zajištění souladu se základním právem na soukromí a ochranu osobních údajů a na podporu právní jasnosti by měl být určen správce a zpracovatel. Aby byla zajištěna odpovídající ochrana a bezpečnost, </w:t>
            </w:r>
            <w:r>
              <w:rPr>
                <w:b/>
                <w:i/>
              </w:rPr>
              <w:t>měla by být veškerá komunikace mezi směrovačem údajů cestujícího a příslušným orgánem chráněna silnými šifrovacími metodami, aby případné porušení ochrany údajů nezahrnovalo zveřejnění údajů</w:t>
            </w:r>
            <w:r>
              <w:t xml:space="preserve">, které </w:t>
            </w:r>
            <w:r>
              <w:rPr>
                <w:b/>
                <w:i/>
              </w:rPr>
              <w:t>lze vysledovat až k určité osobě.</w:t>
            </w:r>
            <w:r>
              <w:t xml:space="preserve"> </w:t>
            </w:r>
            <w:r>
              <w:rPr>
                <w:b/>
                <w:i/>
              </w:rPr>
              <w:t>Členské státy by také měly poskytnout pohraničním orgánům odpovídající odbornou přípravu zahrnující aspekty zabezpečení údajů a ochrany údajů předtím, než budou moci zpracovávat údaje předávané prostřednictvím digitální cestovní aplikace EU</w:t>
            </w:r>
            <w:r>
              <w:t>.</w:t>
            </w:r>
          </w:p>
        </w:tc>
        <w:tc>
          <w:tcPr>
            <w:tcW w:w="4876" w:type="dxa"/>
            <w:tcBorders>
              <w:top w:val="nil"/>
              <w:left w:val="nil"/>
              <w:bottom w:val="nil"/>
              <w:right w:val="nil"/>
            </w:tcBorders>
          </w:tcPr>
          <w:p>
            <w:pPr>
              <w:pStyle w:val="Normal6a"/>
            </w:pPr>
            <w:r>
              <w:t>(12)</w:t>
            </w:r>
            <w:r>
              <w:tab/>
            </w:r>
            <w:r>
              <w:t xml:space="preserve">V zájmu zajištění souladu se základním právem na soukromí a ochranu osobních údajů a na podporu právní jasnosti by měl být určen správce a zpracovatel. Aby byla zajištěna odpovídající ochrana a bezpečnost, </w:t>
            </w:r>
            <w:r>
              <w:rPr>
                <w:b/>
                <w:i/>
              </w:rPr>
              <w:t>měly by členské státy také poskytnout pohraničním orgánům odpovídající odbornou přípravu zahrnující aspekty zabezpečení údajů a ochrany údajů předtím, než budou moci zpracovávat údaje</w:t>
            </w:r>
            <w:r>
              <w:t xml:space="preserve">, které </w:t>
            </w:r>
            <w:r>
              <w:rPr>
                <w:b/>
                <w:i/>
              </w:rPr>
              <w:t>jim jsou poskytovány prostřednictvím digitální cestovní aplikace EU.</w:t>
            </w:r>
            <w:r>
              <w:t xml:space="preserve"> </w:t>
            </w:r>
            <w:r>
              <w:rPr>
                <w:b/>
                <w:i/>
              </w:rPr>
              <w:t>Měla by být přijata opatření, která zajistí, aby veškeré údaje předávané aplikací byly standardně zašifrovány koncovým šifrováním, aby byla zohledněna jejich citlivost a aby se předešlo dopadu bezpečnostních incidentů na uživatele a systém jako celek a aby byl tento dopad minimalizován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 zájmu zajištění souladu se základním právem na soukromí a ochranu osobních údajů a na podporu právní jasnosti by měl být určen správce a zpracovatel. Aby byla zajištěna odpovídající ochrana a bezpečnost, měla by být veškerá komunikace mezi směrovačem údajů cestujícího a příslušným orgánem chráněna silnými šifrovacími metodami, aby případné porušení ochrany údajů nezahrnovalo zveřejnění údajů, které lze vysledovat až k určité osobě. Členské státy by také měly poskytnout pohraničním orgánům odpovídající odbornou přípravu zahrnující aspekty zabezpečení údajů a ochrany údajů předtím, než budou moci zpracovávat údaje předávané prostřednictvím digitální cestovní aplikace EU.</w:t>
            </w:r>
          </w:p>
        </w:tc>
        <w:tc>
          <w:tcPr>
            <w:tcW w:w="4876" w:type="dxa"/>
            <w:tcBorders>
              <w:top w:val="nil"/>
              <w:left w:val="nil"/>
              <w:bottom w:val="nil"/>
              <w:right w:val="nil"/>
            </w:tcBorders>
          </w:tcPr>
          <w:p>
            <w:pPr>
              <w:pStyle w:val="Normal6a"/>
            </w:pPr>
            <w:r>
              <w:t>(12)</w:t>
            </w:r>
            <w:r>
              <w:tab/>
            </w:r>
            <w:r>
              <w:t xml:space="preserve">V zájmu zajištění souladu se základním právem na soukromí a ochranu osobních údajů a na podporu právní jasnosti by měl být určen správce a zpracovatel. Aby byla zajištěna odpovídající ochrana a bezpečnost, měla by být veškerá komunikace mezi směrovačem údajů cestujícího a příslušným orgánem chráněna silnými šifrovacími metodami </w:t>
            </w:r>
            <w:r>
              <w:rPr>
                <w:b/>
                <w:i/>
              </w:rPr>
              <w:t>a metodami anonymizace</w:t>
            </w:r>
            <w:r>
              <w:t>, aby případné porušení ochrany údajů nezahrnovalo zveřejnění údajů, které lze vysledovat až k určité osobě. Členské státy by také měly poskytnout pohraničním orgánům odpovídající odbornou přípravu zahrnující aspekty zabezpečení údajů a ochrany údajů předtím, než budou moci zpracovávat údaje předávané prostřednictvím digitální cestovní aplikace EU.</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 vývoj a údržbu digitální cestovní aplikace EU by měla odpovídat Evropská agentura pro provozní řízení rozsáhlých informačních systémů v prostoru svobody, bezpečnosti a práva (eu-LISA) zřízená nařízením Evropského parlamentu a Rady (EU) 2018/1726</w:t>
            </w:r>
            <w:r>
              <w:rPr>
                <w:vertAlign w:val="superscript"/>
              </w:rPr>
              <w:t>10</w:t>
            </w:r>
            <w:r>
              <w:t>. Agentura eu-LISA by proto měla zavést nezbytná opatření pro provozní řízení digitální cestovní aplikace EU, včetně vývoje, monitorování a podávání zpráv o systému. Před zahájením provozu digitální cestovní aplikace EU by měla agentura eu-LISA ve spolupráci s příslušnými orgány provést test v souladu s technickými specifikacemi. Agentura eu-LISA by měla rovněž shromažďovat statistické údaje o používání digitální cestovní aplikace EU.</w:t>
            </w:r>
          </w:p>
        </w:tc>
        <w:tc>
          <w:tcPr>
            <w:tcW w:w="4876" w:type="dxa"/>
            <w:tcBorders>
              <w:top w:val="nil"/>
              <w:left w:val="nil"/>
              <w:bottom w:val="nil"/>
              <w:right w:val="nil"/>
            </w:tcBorders>
          </w:tcPr>
          <w:p>
            <w:pPr>
              <w:pStyle w:val="Normal6a"/>
            </w:pPr>
            <w:r>
              <w:t>(13)</w:t>
            </w:r>
            <w:r>
              <w:tab/>
            </w:r>
            <w:r>
              <w:t>Za vývoj a údržbu digitální cestovní aplikace EU by měla odpovídat Evropská agentura pro provozní řízení rozsáhlých informačních systémů v prostoru svobody, bezpečnosti a práva (eu-LISA) zřízená nařízením Evropského parlamentu a Rady (EU) 2018/1726</w:t>
            </w:r>
            <w:r>
              <w:rPr>
                <w:vertAlign w:val="superscript"/>
              </w:rPr>
              <w:t>10</w:t>
            </w:r>
            <w:r>
              <w:t xml:space="preserve">. Agentura eu-LISA by proto měla zavést nezbytná opatření pro provozní řízení digitální cestovní aplikace EU, včetně vývoje, monitorování a podávání zpráv o systému. Před zahájením provozu digitální cestovní aplikace EU by měla agentura eu-LISA ve spolupráci s příslušnými orgány provést test v souladu s technickými specifikacemi. Agentura eu-LISA by měla rovněž shromažďovat statistické údaje o používání digitální cestovní aplikace EU. </w:t>
            </w:r>
            <w:r>
              <w:rPr>
                <w:b/>
                <w:i/>
              </w:rPr>
              <w:t>Statistické údaje shromážděné agenturou eu-LISA zahrnují údaje relevantní pro hodnocení použitelnosti a celkové účinnosti digitální cestovní aplikace EU.</w:t>
            </w:r>
            <w:r>
              <w:t xml:space="preserve"> </w:t>
            </w:r>
            <w:r>
              <w:rPr>
                <w:b/>
                <w:i/>
              </w:rPr>
              <w:t>Kromě toho by agentura eu-LISA měla shromažďovat údaje, které umožňují sledování migračních tras a dohled nad nimi, včetně statistik o státních příslušnících třetích zemí, jimž byl odepřen vstup, o důvodech tohoto odepření a o státní příslušnosti těchto osob v souladu s nařízením 2016/399.</w:t>
            </w:r>
            <w:r>
              <w:t xml:space="preserve"> </w:t>
            </w:r>
            <w:r>
              <w:rPr>
                <w:b/>
                <w:i/>
              </w:rPr>
              <w:t>Shromážděné statistické údaje by neměly umožňovat identifikaci jednotlivých cestujících.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Nařízení Evropského parlamentu a Rady (EU) 2018/1726 ze dne 14. listopadu 2018 o Agentuře Evropské unie pro provozní řízení rozsáhlých informačních systémů v prostoru svobody, bezpečnosti a práva (eu-LISA) a o změně nařízení (ES) č. 1987/2006 a rozhodnutí Rady 2007/533/SVV a zrušení nařízení (EU) č. 1077/2011 (Úř. věst. L 295, 21.11.2018, s. 99).</w:t>
            </w:r>
          </w:p>
        </w:tc>
        <w:tc>
          <w:tcPr>
            <w:tcW w:w="4876" w:type="dxa"/>
            <w:tcBorders>
              <w:top w:val="nil"/>
              <w:left w:val="nil"/>
              <w:bottom w:val="nil"/>
              <w:right w:val="nil"/>
            </w:tcBorders>
          </w:tcPr>
          <w:p>
            <w:pPr>
              <w:pStyle w:val="Normal6a"/>
            </w:pPr>
            <w:r>
              <w:rPr>
                <w:vertAlign w:val="superscript"/>
              </w:rPr>
              <w:t>10</w:t>
            </w:r>
            <w:r>
              <w:t xml:space="preserve"> </w:t>
            </w:r>
            <w:r>
              <w:t>Nařízení Evropského parlamentu a Rady (EU) 2018/1726 ze dne 14. listopadu 2018 o Agentuře Evropské unie pro provozní řízení rozsáhlých informačních systémů v prostoru svobody, bezpečnosti a práva (eu-LISA) a o změně nařízení (ES) č. 1987/2006 a rozhodnutí Rady 2007/533/SVV a zrušení nařízení (EU) č. 1077/2011 (Úř. věst. L 295, 21.11.2018, s.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 vývoj a údržbu digitální cestovní aplikace EU by měla odpovídat Evropská agentura pro provozní řízení rozsáhlých informačních systémů v prostoru svobody, bezpečnosti a práva (eu-LISA) zřízená nařízením Evropského parlamentu a Rady (EU) 2018/1726</w:t>
            </w:r>
            <w:r>
              <w:rPr>
                <w:vertAlign w:val="superscript"/>
              </w:rPr>
              <w:t>10</w:t>
            </w:r>
            <w:r>
              <w:t>. Agentura eu-LISA by proto měla zavést nezbytná opatření pro provozní řízení digitální cestovní aplikace EU, včetně vývoje, monitorování a podávání zpráv o systému. Před zahájením provozu digitální cestovní aplikace EU by měla agentura eu-LISA ve spolupráci s příslušnými orgány provést test v souladu s technickými specifikacemi. Agentura eu-LISA by měla rovněž shromažďovat statistické údaje o používání digitální cestovní aplikace EU.</w:t>
            </w:r>
          </w:p>
        </w:tc>
        <w:tc>
          <w:tcPr>
            <w:tcW w:w="4876" w:type="dxa"/>
            <w:tcBorders>
              <w:top w:val="nil"/>
              <w:left w:val="nil"/>
              <w:bottom w:val="nil"/>
              <w:right w:val="nil"/>
            </w:tcBorders>
          </w:tcPr>
          <w:p>
            <w:pPr>
              <w:pStyle w:val="Normal6a"/>
            </w:pPr>
            <w:r>
              <w:t>(13)</w:t>
            </w:r>
            <w:r>
              <w:tab/>
            </w:r>
            <w:r>
              <w:t>Za vývoj a údržbu digitální cestovní aplikace EU by měla odpovídat Evropská agentura pro provozní řízení rozsáhlých informačních systémů v prostoru svobody, bezpečnosti a práva (eu-LISA) zřízená nařízením Evropského parlamentu a Rady (EU) 2018/1726</w:t>
            </w:r>
            <w:r>
              <w:rPr>
                <w:vertAlign w:val="superscript"/>
              </w:rPr>
              <w:t>10</w:t>
            </w:r>
            <w:r>
              <w:t xml:space="preserve">. Agentura eu-LISA by proto měla zavést nezbytná opatření pro provozní řízení digitální cestovní aplikace EU, včetně vývoje, monitorování a podávání zpráv o systému. </w:t>
            </w:r>
            <w:r>
              <w:rPr>
                <w:b/>
                <w:i/>
              </w:rPr>
              <w:t>Systém by měl být co nejefektivnější z hlediska nákladů, aniž by byla ohrožena bezpečnost a ochrana osobních údajů.</w:t>
            </w:r>
            <w:r>
              <w:t xml:space="preserve"> Před zahájením provozu digitální cestovní aplikace EU by měla agentura eu-LISA ve spolupráci s příslušnými orgány provést test v souladu s technickými specifikacemi.</w:t>
            </w:r>
            <w:r>
              <w:rPr>
                <w:b/>
                <w:i/>
              </w:rPr>
              <w:t> </w:t>
            </w:r>
            <w:r>
              <w:t xml:space="preserve"> Agentura eu-LISA by měla rovněž shromažďovat statistické údaje o používání digitální cestovní aplikace EU</w:t>
            </w:r>
            <w:r>
              <w:rPr>
                <w:b/>
                <w:i/>
              </w:rPr>
              <w:t>, přičemž zajistí, aby byl sběr údajů pro uživatele aplikace dobrovolný a aby všechny shromážděné údaje byly nespecifické a splňovaly nejvyšší standardy ochrany soukromí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Nařízení Evropského parlamentu a Rady (EU) 2018/1726 ze dne 14. listopadu 2018 o Agentuře Evropské unie pro provozní řízení rozsáhlých informačních systémů v prostoru svobody, bezpečnosti a práva (eu-LISA) a o změně nařízení (ES) č. 1987/2006 a rozhodnutí Rady 2007/533/SVV a zrušení nařízení (EU) č. 1077/2011 (Úř. věst. L 295, 21.11.2018, s. 99).</w:t>
            </w:r>
          </w:p>
        </w:tc>
        <w:tc>
          <w:tcPr>
            <w:tcW w:w="4876" w:type="dxa"/>
            <w:tcBorders>
              <w:top w:val="nil"/>
              <w:left w:val="nil"/>
              <w:bottom w:val="nil"/>
              <w:right w:val="nil"/>
            </w:tcBorders>
          </w:tcPr>
          <w:p>
            <w:pPr>
              <w:pStyle w:val="Normal6a"/>
            </w:pPr>
            <w:r>
              <w:rPr>
                <w:vertAlign w:val="superscript"/>
              </w:rPr>
              <w:t>10</w:t>
            </w:r>
            <w:r>
              <w:t xml:space="preserve"> </w:t>
            </w:r>
            <w:r>
              <w:t>Nařízení Evropského parlamentu a Rady (EU) 2018/1726 ze dne 14. listopadu 2018 o Agentuře Evropské unie pro provozní řízení rozsáhlých informačních systémů v prostoru svobody, bezpečnosti a práva (eu-LISA) a o změně nařízení (ES) č. 1987/2006 a rozhodnutí Rady 2007/533/SVV a zrušení nařízení (EU) č. 1077/2011 (Úř. věst. L 295, 21.11.2018, s. 99).</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 vývoj a údržbu digitální cestovní aplikace EU by měla odpovídat Evropská agentura pro provozní řízení rozsáhlých informačních systémů v prostoru svobody, bezpečnosti a práva (eu-LISA) zřízená nařízením Evropského parlamentu a Rady (EU) 2018/1726</w:t>
            </w:r>
            <w:r>
              <w:rPr>
                <w:vertAlign w:val="superscript"/>
              </w:rPr>
              <w:t>10</w:t>
            </w:r>
            <w:r>
              <w:t>. Agentura eu-LISA by proto měla zavést nezbytná opatření pro provozní řízení digitální cestovní aplikace EU, včetně vývoje, monitorování a podávání zpráv o systému. Před zahájením provozu digitální cestovní aplikace EU by měla agentura eu-LISA ve spolupráci s příslušnými orgány provést test v souladu s technickými specifikacemi. Agentura eu-LISA by měla rovněž shromažďovat statistické údaje o používání digitální cestovní aplikace EU.</w:t>
            </w:r>
          </w:p>
        </w:tc>
        <w:tc>
          <w:tcPr>
            <w:tcW w:w="4876" w:type="dxa"/>
            <w:tcBorders>
              <w:top w:val="nil"/>
              <w:left w:val="nil"/>
              <w:bottom w:val="nil"/>
              <w:right w:val="nil"/>
            </w:tcBorders>
          </w:tcPr>
          <w:p>
            <w:pPr>
              <w:pStyle w:val="Normal6a"/>
            </w:pPr>
            <w:r>
              <w:t>(13)</w:t>
            </w:r>
            <w:r>
              <w:tab/>
            </w:r>
            <w:r>
              <w:t>Za vývoj a údržbu digitální cestovní aplikace EU by měla odpovídat Evropská agentura pro provozní řízení rozsáhlých informačních systémů v prostoru svobody, bezpečnosti a práva (eu-LISA) zřízená nařízením Evropského parlamentu a Rady (EU) 2018/1726</w:t>
            </w:r>
            <w:r>
              <w:rPr>
                <w:vertAlign w:val="superscript"/>
              </w:rPr>
              <w:t>10</w:t>
            </w:r>
            <w:r>
              <w:t>. Agentura eu-LISA by proto měla zavést nezbytná opatření pro provozní řízení digitální cestovní aplikace EU, včetně vývoje, monitorování a podávání zpráv o systému. Před zahájením provozu digitální cestovní aplikace EU by měla agentura eu-LISA ve spolupráci s příslušnými orgány provést test v souladu s technickými specifikacemi</w:t>
            </w:r>
            <w:r>
              <w:rPr>
                <w:b/>
                <w:i/>
              </w:rPr>
              <w:t>, včetně posouzení vlivu na ochranu osobních údajů v souladu s článkem 35 nařízení (EU) 2016/679</w:t>
            </w:r>
            <w:r>
              <w:t xml:space="preserve">. Agentura eu-LISA by měla rovněž shromažďovat </w:t>
            </w:r>
            <w:r>
              <w:rPr>
                <w:b/>
                <w:i/>
              </w:rPr>
              <w:t>neosobní a anonymizované</w:t>
            </w:r>
            <w:r>
              <w:t xml:space="preserve"> statistické údaje o používání digitální cestovní aplikace EU</w:t>
            </w:r>
            <w:r>
              <w:rPr>
                <w:b/>
                <w:i/>
              </w:rPr>
              <w:t>, a to výhradně za účelem hodnocení účinnosti tohoto nařízení.</w:t>
            </w:r>
            <w:r>
              <w:t xml:space="preserve"> </w:t>
            </w:r>
            <w:r>
              <w:rPr>
                <w:b/>
                <w:i/>
              </w:rPr>
              <w:t>Žádné údaje by neměly být sdíleny s třetími stranami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Nařízení Evropského parlamentu a Rady (EU) 2018/1726 ze dne 14. listopadu 2018 o Agentuře Evropské unie pro provozní řízení rozsáhlých informačních systémů v prostoru svobody, bezpečnosti a práva (eu-LISA) a o změně nařízení (ES) č. 1987/2006 a rozhodnutí Rady 2007/533/SVV a zrušení nařízení (EU) č. 1077/2011 (Úř. věst. L 295, 21.11.2018, s. 99).</w:t>
            </w:r>
          </w:p>
        </w:tc>
        <w:tc>
          <w:tcPr>
            <w:tcW w:w="4876" w:type="dxa"/>
            <w:tcBorders>
              <w:top w:val="nil"/>
              <w:left w:val="nil"/>
              <w:bottom w:val="nil"/>
              <w:right w:val="nil"/>
            </w:tcBorders>
          </w:tcPr>
          <w:p>
            <w:pPr>
              <w:pStyle w:val="Normal6a"/>
            </w:pPr>
            <w:r>
              <w:rPr>
                <w:vertAlign w:val="superscript"/>
              </w:rPr>
              <w:t>10</w:t>
            </w:r>
            <w:r>
              <w:t xml:space="preserve"> </w:t>
            </w:r>
            <w:r>
              <w:t>Nařízení Evropského parlamentu a Rady (EU) 2018/1726 ze dne 14. listopadu 2018 o Agentuře Evropské unie pro provozní řízení rozsáhlých informačních systémů v prostoru svobody, bezpečnosti a práva (eu-LISA) a o změně nařízení (ES) č. 1987/2006 a rozhodnutí Rady 2007/533/SVV a zrušení nařízení (EU) č. 1077/2011 (Úř. věst. L 295, 21.11.2018, s.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 vývoj a údržbu digitální cestovní aplikace EU by měla odpovídat Evropská agentura pro provozní řízení rozsáhlých informačních systémů v prostoru svobody, bezpečnosti a práva (eu-LISA) zřízená nařízením Evropského parlamentu a Rady (EU) 2018/1726</w:t>
            </w:r>
            <w:r>
              <w:rPr>
                <w:vertAlign w:val="superscript"/>
              </w:rPr>
              <w:t>10</w:t>
            </w:r>
            <w:r>
              <w:t>. Agentura eu-LISA by proto měla zavést nezbytná opatření pro provozní řízení digitální cestovní aplikace EU, včetně vývoje, monitorování a podávání zpráv o systému. Před zahájením provozu digitální cestovní aplikace EU by měla agentura eu-LISA ve spolupráci s příslušnými orgány provést test v souladu s technickými specifikacemi. Agentura eu-LISA by měla rovněž shromažďovat statistické údaje o používání digitální cestovní aplikace EU.</w:t>
            </w:r>
          </w:p>
        </w:tc>
        <w:tc>
          <w:tcPr>
            <w:tcW w:w="4876" w:type="dxa"/>
            <w:tcBorders>
              <w:top w:val="nil"/>
              <w:left w:val="nil"/>
              <w:bottom w:val="nil"/>
              <w:right w:val="nil"/>
            </w:tcBorders>
          </w:tcPr>
          <w:p>
            <w:pPr>
              <w:pStyle w:val="Normal6a"/>
            </w:pPr>
            <w:r>
              <w:t>(13)</w:t>
            </w:r>
            <w:r>
              <w:tab/>
            </w:r>
            <w:r>
              <w:t>Za vývoj a údržbu digitální cestovní aplikace EU by měla odpovídat Evropská agentura pro provozní řízení rozsáhlých informačních systémů v prostoru svobody, bezpečnosti a práva (eu-LISA) zřízená nařízením Evropského parlamentu a Rady (EU) 2018/1726</w:t>
            </w:r>
            <w:r>
              <w:rPr>
                <w:vertAlign w:val="superscript"/>
              </w:rPr>
              <w:t>10</w:t>
            </w:r>
            <w:r>
              <w:t xml:space="preserve">. Agentura eu-LISA by proto měla zavést nezbytná opatření pro provozní řízení digitální cestovní aplikace EU, včetně vývoje, monitorování a podávání zpráv o systému. Před zahájením provozu digitální cestovní aplikace EU by měla agentura eu-LISA ve spolupráci s příslušnými orgány provést test v souladu s technickými specifikacemi. Agentura eu-LISA by měla rovněž shromažďovat </w:t>
            </w:r>
            <w:r>
              <w:rPr>
                <w:b/>
                <w:i/>
              </w:rPr>
              <w:t>anonymizované</w:t>
            </w:r>
            <w:r>
              <w:t xml:space="preserve"> statistické údaje o používání digitální cestovní aplikace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Nařízení Evropského parlamentu a Rady (EU) 2018/1726 ze dne 14. listopadu 2018 o Agentuře Evropské unie pro provozní řízení rozsáhlých informačních systémů v prostoru svobody, bezpečnosti a práva (eu-LISA) a o změně nařízení (ES) č. 1987/2006 a rozhodnutí Rady 2007/533/SVV a zrušení nařízení (EU) č. 1077/2011 (Úř. věst. L 295, 21.11.2018, s. 99).</w:t>
            </w:r>
          </w:p>
        </w:tc>
        <w:tc>
          <w:tcPr>
            <w:tcW w:w="4876" w:type="dxa"/>
            <w:tcBorders>
              <w:top w:val="nil"/>
              <w:left w:val="nil"/>
              <w:bottom w:val="nil"/>
              <w:right w:val="nil"/>
            </w:tcBorders>
          </w:tcPr>
          <w:p>
            <w:pPr>
              <w:pStyle w:val="Normal6a"/>
            </w:pPr>
            <w:r>
              <w:rPr>
                <w:vertAlign w:val="superscript"/>
              </w:rPr>
              <w:t>10</w:t>
            </w:r>
            <w:r>
              <w:t xml:space="preserve"> </w:t>
            </w:r>
            <w:r>
              <w:t>Nařízení Evropského parlamentu a Rady (EU) 2018/1726 ze dne 14. listopadu 2018 o Agentuře Evropské unie pro provozní řízení rozsáhlých informačních systémů v prostoru svobody, bezpečnosti a práva (eu-LISA) a o změně nařízení (ES) č. 1987/2006 a rozhodnutí Rady 2007/533/SVV a zrušení nařízení (EU) č. 1077/2011 (Úř. věst. L 295, 21.11.2018, s. 99).</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Zatímco agentura eu-LISA by měla být odpovědná za celkový vývoj, provoz a údržbu digitální cestovní aplikace EU, včetně směrovače údajů cestujícího, který předává cestovní údaje příslušným orgánům, každý členský stát by měl být na vnitrostátní úrovni odpovědný za zajištění zabezpečeného spojení ve svém vnitrostátním systému za účelem přijímání cestovních údajů, včetně vývoje, provozu a údržby tohoto spojení.</w:t>
            </w:r>
            <w:r>
              <w:t xml:space="preserve"> </w:t>
            </w:r>
            <w:r>
              <w:rPr>
                <w:b/>
                <w:i/>
              </w:rPr>
              <w:t>Členské státy by měly být rovněž odpovědné za řízení a opatření pro přístup řádně oprávněných pracovníků pohraničních orgánů k cestovním údajům.</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Zatímco agentura eu-LISA by měla být odpovědná za celkový vývoj, provoz a údržbu digitální cestovní aplikace EU, včetně směrovače údajů cestujícího, který předává cestovní údaje příslušným orgánům, každý členský stát by měl být na vnitrostátní úrovni odpovědný za zajištění zabezpečeného spojení ve svém vnitrostátním systému za účelem přijímání cestovních údajů, včetně vývoje, provozu a údržby tohoto spojení. </w:t>
            </w:r>
            <w:r>
              <w:rPr>
                <w:b/>
                <w:i/>
              </w:rPr>
              <w:t>Členské státy by měly být rovněž odpovědné za řízení a opatření pro přístup řádně oprávněných pracovníků pohraničních orgánů k cestovním údajům</w:t>
            </w:r>
            <w:r>
              <w:t>.</w:t>
            </w:r>
          </w:p>
        </w:tc>
        <w:tc>
          <w:tcPr>
            <w:tcW w:w="4876" w:type="dxa"/>
            <w:tcBorders>
              <w:top w:val="nil"/>
              <w:left w:val="nil"/>
              <w:bottom w:val="nil"/>
              <w:right w:val="nil"/>
            </w:tcBorders>
          </w:tcPr>
          <w:p>
            <w:pPr>
              <w:pStyle w:val="Normal6a"/>
            </w:pPr>
            <w:r>
              <w:t>(14)</w:t>
            </w:r>
            <w:r>
              <w:tab/>
            </w:r>
            <w:r>
              <w:t xml:space="preserve">Zatímco agentura eu-LISA by měla být odpovědná za celkový vývoj, provoz a údržbu digitální cestovní aplikace EU, včetně směrovače údajů cestujícího, který předává cestovní údaje příslušným orgánům, každý členský stát by měl být na vnitrostátní úrovni odpovědný za zajištění zabezpečeného spojení ve svém vnitrostátním systému za účelem přijímání cestovních údajů, včetně vývoje, provozu a údržby tohoto spojení. </w:t>
            </w:r>
            <w:r>
              <w:rPr>
                <w:b/>
                <w:i/>
              </w:rPr>
              <w:t>Při navrhování a vývoji směrovače by agentura eu-LISA měla zajistit, aby údaje předávané příslušným pohraničním orgánům byly při přenosu šifrovány koncovým šifrováním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 cílem zvýšit povědomí veřejnosti o digitálních cestovních oprávněních a podpořit jejich používání by Komise měla společně s agenturou eu-LISA, Evropskou agenturou pro pohraniční a pobřežní stráž a vnitrostátními pohraničními orgány provádět informační kampaně o cílech, používání a dalších důležitých aspektech, včetně ochrany údajů a zabezpečení údajů, digitální cestovní aplikace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 cílem zvýšit povědomí veřejnosti o digitálních cestovních oprávněních a podpořit jejich používání by Komise měla společně s agenturou eu-LISA, Evropskou agenturou pro pohraniční a pobřežní stráž a vnitrostátními pohraničními orgány provádět informační kampaně o cílech, používání a dalších důležitých aspektech, včetně ochrany údajů a zabezpečení údajů, digitální cestovní aplikace EU.</w:t>
            </w:r>
          </w:p>
        </w:tc>
        <w:tc>
          <w:tcPr>
            <w:tcW w:w="4876" w:type="dxa"/>
            <w:tcBorders>
              <w:top w:val="nil"/>
              <w:left w:val="nil"/>
              <w:bottom w:val="nil"/>
              <w:right w:val="nil"/>
            </w:tcBorders>
          </w:tcPr>
          <w:p>
            <w:pPr>
              <w:pStyle w:val="Normal6a"/>
            </w:pPr>
            <w:r>
              <w:t>(15)</w:t>
            </w:r>
            <w:r>
              <w:tab/>
            </w:r>
            <w:r>
              <w:t xml:space="preserve">S cílem zvýšit povědomí veřejnosti o digitálních cestovních oprávněních a podpořit jejich používání by Komise měla společně s agenturou eu-LISA, Evropskou agenturou pro pohraniční a pobřežní stráž a vnitrostátními pohraničními orgány provádět informační kampaně o cílech, používání a dalších důležitých aspektech, včetně ochrany údajů a zabezpečení údajů, digitální cestovní aplikace EU. </w:t>
            </w:r>
            <w:r>
              <w:rPr>
                <w:b/>
                <w:i/>
              </w:rPr>
              <w:t>Tyto kampaně by se měly zaměřit zejména na oslovení nejrelevantnějších skupin, včetně státních příslušníků třetích zemí, pro něž má aplikace z hlediska bezpečnosti schengenského prostoru největší význam.</w:t>
            </w:r>
            <w:r>
              <w:t xml:space="preserve"> </w:t>
            </w:r>
            <w:r>
              <w:rPr>
                <w:b/>
                <w:i/>
              </w:rPr>
              <w:t>Zvláštní pozornost by měla být rovněž věnována tomu, aby osoby, které nemusí být zkušenými uživateli technologií, byly jasně informovány o přínosech aplikace a aby jim byly poskytnuty přístupné praktické pokyny, jak digitální cestovní aplikaci EU bezpečně používat.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 cílem </w:t>
            </w:r>
            <w:r>
              <w:rPr>
                <w:b/>
                <w:i/>
              </w:rPr>
              <w:t>zvýšit</w:t>
            </w:r>
            <w:r>
              <w:t xml:space="preserve"> povědomí veřejnosti o digitálních cestovních oprávněních a </w:t>
            </w:r>
            <w:r>
              <w:rPr>
                <w:b/>
                <w:i/>
              </w:rPr>
              <w:t>podpořit jejich používání by Komise měla společně s</w:t>
            </w:r>
            <w:r>
              <w:t xml:space="preserve"> agenturou eu-LISA</w:t>
            </w:r>
            <w:r>
              <w:rPr>
                <w:b/>
                <w:i/>
              </w:rPr>
              <w:t>,</w:t>
            </w:r>
            <w:r>
              <w:t xml:space="preserve"> Evropskou agenturou pro pohraniční a pobřežní stráž </w:t>
            </w:r>
            <w:r>
              <w:rPr>
                <w:b/>
                <w:i/>
              </w:rPr>
              <w:t>a vnitrostátními pohraničními orgány</w:t>
            </w:r>
            <w:r>
              <w:t xml:space="preserve"> provádět informační kampaně </w:t>
            </w:r>
            <w:r>
              <w:rPr>
                <w:b/>
                <w:i/>
              </w:rPr>
              <w:t>o cílech, používání a dalších důležitých aspektech, včetně ochrany údajů a zabezpečení údajů,</w:t>
            </w:r>
            <w:r>
              <w:t xml:space="preserve"> digitální cestovní </w:t>
            </w:r>
            <w:r>
              <w:rPr>
                <w:b/>
                <w:i/>
              </w:rPr>
              <w:t>aplikace EU</w:t>
            </w:r>
            <w:r>
              <w:t>.</w:t>
            </w:r>
          </w:p>
        </w:tc>
        <w:tc>
          <w:tcPr>
            <w:tcW w:w="4876" w:type="dxa"/>
            <w:tcBorders>
              <w:top w:val="nil"/>
              <w:left w:val="nil"/>
              <w:bottom w:val="nil"/>
              <w:right w:val="nil"/>
            </w:tcBorders>
          </w:tcPr>
          <w:p>
            <w:pPr>
              <w:pStyle w:val="Normal6a"/>
            </w:pPr>
            <w:r>
              <w:t>(15)</w:t>
            </w:r>
            <w:r>
              <w:tab/>
            </w:r>
            <w:r>
              <w:t xml:space="preserve">S cílem </w:t>
            </w:r>
            <w:r>
              <w:rPr>
                <w:b/>
                <w:i/>
              </w:rPr>
              <w:t>zajistit</w:t>
            </w:r>
            <w:r>
              <w:t xml:space="preserve"> povědomí veřejnosti o digitálních cestovních oprávněních a </w:t>
            </w:r>
            <w:r>
              <w:rPr>
                <w:b/>
                <w:i/>
              </w:rPr>
              <w:t>digitální cestovní aplikaci EU by členské státy ve spolupráci s Komisí,</w:t>
            </w:r>
            <w:r>
              <w:t xml:space="preserve"> agenturou eu-LISA </w:t>
            </w:r>
            <w:r>
              <w:rPr>
                <w:b/>
                <w:i/>
              </w:rPr>
              <w:t>a</w:t>
            </w:r>
            <w:r>
              <w:t xml:space="preserve"> Evropskou agenturou pro pohraniční a pobřežní stráž </w:t>
            </w:r>
            <w:r>
              <w:rPr>
                <w:b/>
                <w:i/>
              </w:rPr>
              <w:t>měly ve vhodných případech</w:t>
            </w:r>
            <w:r>
              <w:t xml:space="preserve"> provádět </w:t>
            </w:r>
            <w:r>
              <w:rPr>
                <w:b/>
                <w:i/>
              </w:rPr>
              <w:t>veřejné</w:t>
            </w:r>
            <w:r>
              <w:t xml:space="preserve"> informační kampaně</w:t>
            </w:r>
            <w:r>
              <w:rPr>
                <w:b/>
                <w:i/>
              </w:rPr>
              <w:t>.</w:t>
            </w:r>
            <w:r>
              <w:t xml:space="preserve"> </w:t>
            </w:r>
            <w:r>
              <w:rPr>
                <w:b/>
                <w:i/>
              </w:rPr>
              <w:t>Rozsah a potřeba těchto kampaní by se mohly lišit v závislosti na úrovni provádění v jednotlivých státech;</w:t>
            </w:r>
            <w:r>
              <w:t xml:space="preserve"> </w:t>
            </w:r>
            <w:r>
              <w:rPr>
                <w:b/>
                <w:i/>
              </w:rPr>
              <w:t>například v členských státech, v nichž se</w:t>
            </w:r>
            <w:r>
              <w:t xml:space="preserve"> digitální cestovní </w:t>
            </w:r>
            <w:r>
              <w:rPr>
                <w:b/>
                <w:i/>
              </w:rPr>
              <w:t>oprávnění již používají nebo byla pilotně vyzkoušena, by již mohla být zajištěna dostatečná informovanost veřejnosti, takže by další kampaně nebyly nutné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 cílem zvýšit povědomí veřejnosti o digitálních cestovních oprávněních a podpořit jejich používání by Komise měla společně s agenturou eu-LISA, Evropskou agenturou pro pohraniční a pobřežní stráž a vnitrostátními pohraničními orgány provádět informační kampaně o cílech, používání a dalších důležitých aspektech, včetně ochrany údajů a zabezpečení údajů, digitální cestovní aplikace EU.</w:t>
            </w:r>
          </w:p>
        </w:tc>
        <w:tc>
          <w:tcPr>
            <w:tcW w:w="4876" w:type="dxa"/>
            <w:tcBorders>
              <w:top w:val="nil"/>
              <w:left w:val="nil"/>
              <w:bottom w:val="nil"/>
              <w:right w:val="nil"/>
            </w:tcBorders>
          </w:tcPr>
          <w:p>
            <w:pPr>
              <w:pStyle w:val="Normal6a"/>
            </w:pPr>
            <w:r>
              <w:t>(15)</w:t>
            </w:r>
            <w:r>
              <w:tab/>
            </w:r>
            <w:r>
              <w:t xml:space="preserve">S cílem zvýšit povědomí veřejnosti o digitálních cestovních oprávněních a podpořit jejich používání by Komise měla společně s agenturou eu-LISA, Evropskou agenturou pro pohraniční a pobřežní stráž a vnitrostátními pohraničními orgány provádět informační kampaně o cílech, používání a dalších důležitých aspektech, včetně ochrany údajů a zabezpečení údajů, digitální cestovní aplikace EU. </w:t>
            </w:r>
            <w:r>
              <w:rPr>
                <w:b/>
                <w:i/>
              </w:rPr>
              <w:t>Kampaně by měly být prováděny nákladově efektivním způsobem.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 cílem zvýšit povědomí veřejnosti o digitálních cestovních oprávněních a podpořit jejich používání by Komise měla společně s agenturou eu-LISA, Evropskou agenturou pro pohraniční a pobřežní stráž a vnitrostátními pohraničními orgány provádět informační kampaně o cílech, používání a dalších důležitých aspektech, včetně ochrany údajů a zabezpečení údajů, digitální cestovní aplikace EU.</w:t>
            </w:r>
          </w:p>
        </w:tc>
        <w:tc>
          <w:tcPr>
            <w:tcW w:w="4876" w:type="dxa"/>
            <w:tcBorders>
              <w:top w:val="nil"/>
              <w:left w:val="nil"/>
              <w:bottom w:val="nil"/>
              <w:right w:val="nil"/>
            </w:tcBorders>
          </w:tcPr>
          <w:p>
            <w:pPr>
              <w:pStyle w:val="Normal6a"/>
            </w:pPr>
            <w:r>
              <w:t>(15)</w:t>
            </w:r>
            <w:r>
              <w:tab/>
            </w:r>
            <w:r>
              <w:t>S cílem zvýšit povědomí veřejnosti o digitálních cestovních oprávněních a podpořit jejich používání by Komise měla společně s agenturou eu-LISA, Evropskou agenturou pro pohraniční a pobřežní stráž a vnitrostátními pohraničními orgány provádět informační kampaně o cílech, používání a dalších důležitých aspektech, včetně ochrany údajů</w:t>
            </w:r>
            <w:r>
              <w:rPr>
                <w:b/>
                <w:i/>
              </w:rPr>
              <w:t>, práva na odvolání souhlasu</w:t>
            </w:r>
            <w:r>
              <w:t xml:space="preserve"> a zabezpečení údajů, digitální cestovní aplikace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 ohledem na příslušné zájmy Unie by náklady, které agentuře eu-LISA vzniknou v souvislosti s plněním jejích úkolů podle tohoto nařízení a nařízení (EU) 2018/1726, pokud jde o vývoj, provoz, údržbu a celkové řízení digitální cestovní aplikace EU, měly být hrazeny z rozpočtu Unie. </w:t>
            </w:r>
            <w:r>
              <w:rPr>
                <w:b/>
                <w:i/>
              </w:rPr>
              <w:t>Členské státy by měly i nadále nést odpovědnost za náklady vzniklé na vnitrostátní úrovni v souvislosti s vývojem, provozem a údržbou zabezpečeného spojení pro příjem cestovních údajů předávaných prostřednictvím směrovače údajů cestujícího.</w:t>
            </w:r>
          </w:p>
        </w:tc>
        <w:tc>
          <w:tcPr>
            <w:tcW w:w="4876" w:type="dxa"/>
            <w:tcBorders>
              <w:top w:val="nil"/>
              <w:left w:val="nil"/>
              <w:bottom w:val="nil"/>
              <w:right w:val="nil"/>
            </w:tcBorders>
          </w:tcPr>
          <w:p>
            <w:pPr>
              <w:pStyle w:val="Normal6a"/>
            </w:pPr>
            <w:r>
              <w:t>(16)</w:t>
            </w:r>
            <w:r>
              <w:tab/>
            </w:r>
            <w:r>
              <w:t>S ohledem na příslušné zájmy Unie by náklady, které agentuře eu-LISA vzniknou v souvislosti s plněním jejích úkolů podle tohoto nařízení a nařízení (EU) 2018/1726, pokud jde o vývoj, provoz, údržbu a celkové řízení digitální cestovní aplikace EU, měly být hrazeny z rozpočtu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Za účelem stanovení standardní specifikace Unie pro digitální cestovní oprávnění na základě cestovních dokladů je nutné změnit nařízení (ES) č. 2252/2004. Aby se zvýšilo využívání digitálních cestovních oprávnění, </w:t>
            </w:r>
            <w:r>
              <w:rPr>
                <w:b/>
                <w:i/>
              </w:rPr>
              <w:t>měli by mít žadatelé</w:t>
            </w:r>
            <w:r>
              <w:t xml:space="preserve"> při podávání žádosti o vydání nebo obnovení platnosti cestovního dokladu </w:t>
            </w:r>
            <w:r>
              <w:rPr>
                <w:b/>
                <w:i/>
              </w:rPr>
              <w:t>možnost požádat příslušný orgán, aby jim</w:t>
            </w:r>
            <w:r>
              <w:t xml:space="preserve"> spolu s fyzickým dokladem </w:t>
            </w:r>
            <w:r>
              <w:rPr>
                <w:b/>
                <w:i/>
              </w:rPr>
              <w:t>vydal</w:t>
            </w:r>
            <w:r>
              <w:t xml:space="preserve"> i odpovídající digitální cestovní oprávnění. Držitelé platných cestovních dokladů by </w:t>
            </w:r>
            <w:r>
              <w:rPr>
                <w:b/>
                <w:i/>
              </w:rPr>
              <w:t>také</w:t>
            </w:r>
            <w:r>
              <w:t xml:space="preserve"> měli mít možnost vytvořit si digitální cestovní oprávnění na základě svého stávajícího fyzického cestovního dokladu. Digitální cestovní oprávnění by mělo být rovněž možné uložit do evropské peněženky digitální identity.</w:t>
            </w:r>
          </w:p>
        </w:tc>
        <w:tc>
          <w:tcPr>
            <w:tcW w:w="4876" w:type="dxa"/>
            <w:tcBorders>
              <w:top w:val="nil"/>
              <w:left w:val="nil"/>
              <w:bottom w:val="nil"/>
              <w:right w:val="nil"/>
            </w:tcBorders>
          </w:tcPr>
          <w:p>
            <w:pPr>
              <w:pStyle w:val="Normal6a"/>
            </w:pPr>
            <w:r>
              <w:t>(19)</w:t>
            </w:r>
            <w:r>
              <w:tab/>
            </w:r>
            <w:r>
              <w:t xml:space="preserve">Za účelem stanovení standardní specifikace Unie pro digitální cestovní oprávnění na základě cestovních dokladů je nutné změnit nařízení (ES) č. 2252/2004. Aby se zvýšilo využívání digitálních cestovních oprávnění, </w:t>
            </w:r>
            <w:r>
              <w:rPr>
                <w:b/>
                <w:i/>
              </w:rPr>
              <w:t>měl by příslušný orgán</w:t>
            </w:r>
            <w:r>
              <w:t xml:space="preserve"> při podávání žádosti o vydání nebo obnovení platnosti cestovního dokladu </w:t>
            </w:r>
            <w:r>
              <w:rPr>
                <w:b/>
                <w:i/>
              </w:rPr>
              <w:t>automaticky vydat</w:t>
            </w:r>
            <w:r>
              <w:t xml:space="preserve"> spolu s fyzickým dokladem i odpovídající digitální cestovní oprávnění. Držitelé platných cestovních dokladů by měli mít možnost vytvořit si </w:t>
            </w:r>
            <w:r>
              <w:rPr>
                <w:b/>
                <w:i/>
              </w:rPr>
              <w:t>– na základě žádosti příslušnému orgánu –</w:t>
            </w:r>
            <w:r>
              <w:t xml:space="preserve"> digitální cestovní oprávnění na základě svého stávajícího fyzického cestovního dokladu. Digitální cestovní oprávnění by </w:t>
            </w:r>
            <w:r>
              <w:rPr>
                <w:b/>
                <w:i/>
              </w:rPr>
              <w:t>v souladu s čl. 3 odst. 45 nařízení (EU) č. 910/2014</w:t>
            </w:r>
            <w:r>
              <w:t xml:space="preserve"> mělo být rovněž možné uložit do evropské peněženky digitální identity </w:t>
            </w:r>
            <w:r>
              <w:rPr>
                <w:b/>
                <w:i/>
              </w:rPr>
              <w:t>jako kvalifikovaná elektronická potvrzení atributů (QEAA)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Za účelem stanovení standardní specifikace Unie pro digitální cestovní oprávnění na základě cestovních dokladů je nutné změnit nařízení (ES) č. 2252/2004. Aby se zvýšilo využívání digitálních cestovních oprávnění, měli by mít žadatelé při podávání žádosti o vydání nebo obnovení platnosti cestovního dokladu možnost požádat příslušný orgán, aby jim spolu s fyzickým dokladem vydal i odpovídající digitální cestovní oprávnění. Držitelé platných cestovních dokladů by také měli mít možnost vytvořit si digitální cestovní oprávnění na základě svého stávajícího fyzického cestovního dokladu. Digitální cestovní oprávnění by mělo být rovněž možné uložit do evropské peněženky digitální identity.</w:t>
            </w:r>
          </w:p>
        </w:tc>
        <w:tc>
          <w:tcPr>
            <w:tcW w:w="4876" w:type="dxa"/>
            <w:tcBorders>
              <w:top w:val="nil"/>
              <w:left w:val="nil"/>
              <w:bottom w:val="nil"/>
              <w:right w:val="nil"/>
            </w:tcBorders>
          </w:tcPr>
          <w:p>
            <w:pPr>
              <w:pStyle w:val="Normal6a"/>
            </w:pPr>
            <w:r>
              <w:t>(19)</w:t>
            </w:r>
            <w:r>
              <w:tab/>
            </w:r>
            <w:r>
              <w:t xml:space="preserve">Za účelem stanovení standardní specifikace Unie pro digitální cestovní oprávnění na základě cestovních dokladů je nutné změnit nařízení (ES) č. 2252/2004. Aby se zvýšilo využívání digitálních cestovních oprávnění, měli by mít žadatelé při podávání žádosti o vydání nebo obnovení platnosti cestovního dokladu možnost požádat příslušný orgán, aby jim spolu s fyzickým dokladem vydal i odpovídající digitální cestovní oprávnění. </w:t>
            </w:r>
            <w:r>
              <w:rPr>
                <w:b/>
                <w:i/>
              </w:rPr>
              <w:t>Nelze je vydat samostatně bez platného fyzického cestovního dokladu.</w:t>
            </w:r>
            <w:r>
              <w:t xml:space="preserve"> Držitelé platných cestovních dokladů by také měli mít možnost vytvořit si digitální cestovní oprávnění na základě svého stávajícího fyzického cestovního dokladu. Digitální cestovní oprávnění by mělo být rovněž možné uložit do evropské peněženky digitální identity.</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Za účelem stanovení standardní specifikace Unie pro digitální cestovní oprávnění na základě cestovních dokladů je nutné změnit nařízení (ES) č. 2252/2004. Aby se zvýšilo využívání digitálních cestovních oprávnění, měli by mít žadatelé při podávání žádosti o vydání nebo obnovení platnosti cestovního dokladu možnost požádat příslušný orgán, aby jim spolu s fyzickým dokladem vydal i odpovídající digitální cestovní oprávnění. Držitelé platných cestovních dokladů by také měli mít možnost vytvořit si digitální cestovní oprávnění na základě svého stávajícího fyzického cestovního dokladu. </w:t>
            </w:r>
            <w:r>
              <w:rPr>
                <w:b/>
                <w:i/>
              </w:rPr>
              <w:t>Digitální cestovní oprávnění by mělo být rovněž možné uložit do evropské peněženky digitální identity.</w:t>
            </w:r>
          </w:p>
        </w:tc>
        <w:tc>
          <w:tcPr>
            <w:tcW w:w="4876" w:type="dxa"/>
            <w:tcBorders>
              <w:top w:val="nil"/>
              <w:left w:val="nil"/>
              <w:bottom w:val="nil"/>
              <w:right w:val="nil"/>
            </w:tcBorders>
          </w:tcPr>
          <w:p>
            <w:pPr>
              <w:pStyle w:val="Normal6a"/>
            </w:pPr>
            <w:r>
              <w:t>(19)</w:t>
            </w:r>
            <w:r>
              <w:tab/>
            </w:r>
            <w:r>
              <w:t>Za účelem stanovení standardní specifikace Unie pro digitální cestovní oprávnění na základě cestovních dokladů je nutné změnit nařízení (ES) č. 2252/2004. Aby se zvýšilo využívání digitálních cestovních oprávnění, měli by mít žadatelé při podávání žádosti o vydání nebo obnovení platnosti cestovního dokladu možnost požádat příslušný orgán, aby jim spolu s fyzickým dokladem vydal i odpovídající digitální cestovní oprávnění. Držitelé platných cestovních dokladů by také měli mít možnost vytvořit si digitální cestovní oprávnění na základě svého stávajícího fyzického cestovního dokladu.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Za účelem stanovení standardní specifikace Unie pro digitální cestovní oprávnění na základě cestovních dokladů je nutné změnit nařízení (ES) č. 2252/2004. Aby se zvýšilo využívání digitálních cestovních oprávnění, měli by mít žadatelé při podávání žádosti o vydání nebo obnovení platnosti cestovního dokladu možnost požádat příslušný orgán, aby jim spolu s fyzickým dokladem vydal i odpovídající digitální cestovní oprávnění. Držitelé platných cestovních dokladů by také měli mít možnost vytvořit si digitální cestovní oprávnění na základě svého stávajícího fyzického cestovního dokladu. Digitální cestovní oprávnění by mělo být rovněž možné uložit do evropské peněženky digitální identity.</w:t>
            </w:r>
          </w:p>
        </w:tc>
        <w:tc>
          <w:tcPr>
            <w:tcW w:w="4876" w:type="dxa"/>
            <w:tcBorders>
              <w:top w:val="nil"/>
              <w:left w:val="nil"/>
              <w:bottom w:val="nil"/>
              <w:right w:val="nil"/>
            </w:tcBorders>
          </w:tcPr>
          <w:p>
            <w:pPr>
              <w:pStyle w:val="Normal6a"/>
            </w:pPr>
            <w:r>
              <w:t>(19)</w:t>
            </w:r>
            <w:r>
              <w:tab/>
            </w:r>
            <w:r>
              <w:t xml:space="preserve">Za účelem stanovení standardní specifikace Unie pro digitální cestovní oprávnění na základě cestovních dokladů je nutné změnit nařízení (ES) č. 2252/2004. Aby se zvýšilo využívání digitálních cestovních oprávnění, měli by mít žadatelé při podávání žádosti o vydání nebo obnovení platnosti cestovního dokladu možnost požádat příslušný orgán, aby jim spolu s fyzickým dokladem vydal i odpovídající digitální cestovní oprávnění. Držitelé platných cestovních dokladů by také měli mít možnost vytvořit si digitální cestovní oprávnění na základě svého stávajícího fyzického cestovního dokladu. Digitální cestovní oprávnění by mělo být rovněž možné </w:t>
            </w:r>
            <w:r>
              <w:rPr>
                <w:b/>
                <w:i/>
              </w:rPr>
              <w:t>na žádost dotčené osoby</w:t>
            </w:r>
            <w:r>
              <w:t xml:space="preserve"> uložit do evropské peněženky digitální identity.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Za účelem stanovení standardní specifikace Unie pro digitální cestovní oprávnění na základě cestovních dokladů je nutné změnit nařízení (ES) č. 2252/2004. </w:t>
            </w:r>
            <w:r>
              <w:rPr>
                <w:b/>
                <w:i/>
              </w:rPr>
              <w:t>Aby se zvýšilo využívání digitálních cestovních oprávnění, měli by mít žadatelé</w:t>
            </w:r>
            <w:r>
              <w:t xml:space="preserve"> při podávání žádosti o vydání nebo obnovení platnosti cestovního dokladu možnost požádat příslušný orgán, aby jim spolu s fyzickým dokladem vydal i odpovídající digitální cestovní oprávnění. Držitelé platných cestovních dokladů by také měli mít možnost vytvořit si digitální cestovní oprávnění na základě svého stávajícího fyzického cestovního dokladu. Digitální cestovní oprávnění by mělo být rovněž možné uložit do evropské peněženky digitální identity.</w:t>
            </w:r>
          </w:p>
        </w:tc>
        <w:tc>
          <w:tcPr>
            <w:tcW w:w="4876" w:type="dxa"/>
            <w:tcBorders>
              <w:top w:val="nil"/>
              <w:left w:val="nil"/>
              <w:bottom w:val="nil"/>
              <w:right w:val="nil"/>
            </w:tcBorders>
          </w:tcPr>
          <w:p>
            <w:pPr>
              <w:pStyle w:val="Normal6a"/>
            </w:pPr>
            <w:r>
              <w:t>(19)</w:t>
            </w:r>
            <w:r>
              <w:tab/>
            </w:r>
            <w:r>
              <w:t xml:space="preserve">Za účelem stanovení standardní specifikace Unie pro digitální cestovní oprávnění na základě cestovních dokladů je nutné změnit nařízení (ES) č. 2252/2004. Při podávání žádosti o vydání nebo obnovení platnosti cestovního dokladu </w:t>
            </w:r>
            <w:r>
              <w:rPr>
                <w:b/>
                <w:i/>
              </w:rPr>
              <w:t>by měli mít žadatelé</w:t>
            </w:r>
            <w:r>
              <w:t xml:space="preserve"> možnost požádat příslušný orgán, aby jim spolu s fyzickým dokladem vydal i odpovídající digitální cestovní oprávnění. Držitelé platných cestovních dokladů by také měli mít možnost vytvořit si digitální cestovní oprávnění na základě svého stávajícího fyzického cestovního dokladu. Digitální cestovní oprávnění by mělo být rovněž možné uložit do evropské peněženky digitální identity.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Ačkoli by používání digitálních cestovních oprávnění mělo být pro cestující </w:t>
            </w:r>
            <w:r>
              <w:rPr>
                <w:b/>
                <w:i/>
              </w:rPr>
              <w:t>dobrovolné,</w:t>
            </w:r>
            <w:r>
              <w:t xml:space="preserve"> v zájmu dosažení cílů zvýšení bezpečnosti v celém schengenském prostoru, usnadnění cestování a dosažení minimální úrovně digitální vyspělosti všech členských států v oblasti správy hranic </w:t>
            </w:r>
            <w:r>
              <w:rPr>
                <w:b/>
                <w:i/>
              </w:rPr>
              <w:t>by</w:t>
            </w:r>
            <w:r>
              <w:t xml:space="preserve"> všechny členské státy měly mít povinnost umožnit cestujícím používat digitální cestovní oprávnění pro účely překračování vnějších hranic, jakmile bude v provozu digitální cestovní aplikace EU. Předtím mohou členské státy vyvinout vnitrostátní řešení pro používání digitálních cestovních oprávnění v souladu s jednotným formátem pro účely hraničních kontrol.</w:t>
            </w:r>
          </w:p>
        </w:tc>
        <w:tc>
          <w:tcPr>
            <w:tcW w:w="4876" w:type="dxa"/>
            <w:tcBorders>
              <w:top w:val="nil"/>
              <w:left w:val="nil"/>
              <w:bottom w:val="nil"/>
              <w:right w:val="nil"/>
            </w:tcBorders>
          </w:tcPr>
          <w:p>
            <w:pPr>
              <w:pStyle w:val="Normal6a"/>
            </w:pPr>
            <w:r>
              <w:t>(21)</w:t>
            </w:r>
            <w:r>
              <w:tab/>
            </w:r>
            <w:r>
              <w:t xml:space="preserve">Ačkoli by používání digitálních cestovních oprávnění mělo být pro cestující </w:t>
            </w:r>
            <w:r>
              <w:rPr>
                <w:b/>
                <w:i/>
              </w:rPr>
              <w:t>podporováno</w:t>
            </w:r>
            <w:r>
              <w:t xml:space="preserve"> v zájmu dosažení cílů zvýšení bezpečnosti v celém schengenském prostoru, usnadnění cestování a dosažení minimální úrovně digitální vyspělosti všech členských států v oblasti správy hranic</w:t>
            </w:r>
            <w:r>
              <w:rPr>
                <w:b/>
                <w:i/>
              </w:rPr>
              <w:t>.</w:t>
            </w:r>
            <w:r>
              <w:t xml:space="preserve"> Všechny členské státy </w:t>
            </w:r>
            <w:r>
              <w:rPr>
                <w:b/>
                <w:i/>
              </w:rPr>
              <w:t>by</w:t>
            </w:r>
            <w:r>
              <w:t xml:space="preserve"> měly mít povinnost umožnit cestujícím používat digitální cestovní oprávnění pro účely překračování vnějších hranic, jakmile bude v provozu digitální cestovní aplikace EU. Předtím mohou členské státy vyvinout vnitrostátní řešení pro používání digitálních cestovních oprávnění v souladu s jednotným formátem pro účely hraničních kontrol. </w:t>
            </w:r>
            <w:r>
              <w:rPr>
                <w:b/>
                <w:i/>
              </w:rPr>
              <w:t>V zájmu zajištění interoperability, usnadnění jejich budoucího začlenění do digitální cestovní aplikace EU a podpory harmonizovaného přístupu ke správě hranic v celém schengenském prostoru by tato vnitrostátní řešení měla být založena na příslušných mezinárodních normách a postupech, jako jsou technické normy Mezinárodní organizace pro civilní letectví (ICAO).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Ačkoli by používání digitálních cestovních oprávnění mělo být pro cestující dobrovolné, </w:t>
            </w:r>
            <w:r>
              <w:rPr>
                <w:b/>
                <w:i/>
              </w:rPr>
              <w:t>v zájmu dosažení cílů zvýšení bezpečnosti v celém schengenském prostoru, usnadnění cestování a dosažení minimální úrovně digitální vyspělosti všech členských států v oblasti správy hranic by</w:t>
            </w:r>
            <w:r>
              <w:t xml:space="preserve"> všechny členské státy měly mít povinnost umožnit cestujícím používat digitální cestovní oprávnění pro účely překračování vnějších hranic, jakmile bude v provozu digitální cestovní aplikace EU. Předtím mohou členské státy vyvinout vnitrostátní řešení pro používání digitálních cestovních oprávnění v souladu s jednotným formátem pro účely hraničních kontrol.</w:t>
            </w:r>
          </w:p>
        </w:tc>
        <w:tc>
          <w:tcPr>
            <w:tcW w:w="4876" w:type="dxa"/>
            <w:tcBorders>
              <w:top w:val="nil"/>
              <w:left w:val="nil"/>
              <w:bottom w:val="nil"/>
              <w:right w:val="nil"/>
            </w:tcBorders>
          </w:tcPr>
          <w:p>
            <w:pPr>
              <w:pStyle w:val="Normal6a"/>
            </w:pPr>
            <w:r>
              <w:t>(21)</w:t>
            </w:r>
            <w:r>
              <w:tab/>
            </w:r>
            <w:r>
              <w:t xml:space="preserve">Ačkoli by používání digitálních cestovních oprávnění mělo být pro cestující dobrovolné, všechny členské státy </w:t>
            </w:r>
            <w:r>
              <w:rPr>
                <w:b/>
                <w:i/>
              </w:rPr>
              <w:t>by</w:t>
            </w:r>
            <w:r>
              <w:t xml:space="preserve"> měly mít povinnost umožnit cestujícím používat digitální cestovní oprávnění pro účely překračování vnějších hranic, jakmile bude v provozu digitální cestovní aplikace EU. Předtím mohou členské státy vyvinout vnitrostátní řešení pro používání digitálních cestovních oprávnění v souladu s jednotným formátem pro účely hraničních kontrol.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Ačkoli by</w:t>
            </w:r>
            <w:r>
              <w:t xml:space="preserve"> používání digitálních cestovních oprávnění mělo být pro cestující dobrovolné, v zájmu dosažení cílů zvýšení bezpečnosti v celém schengenském prostoru, usnadnění cestování a dosažení minimální úrovně digitální vyspělosti všech členských států v oblasti správy hranic by všechny členské státy měly mít povinnost umožnit cestujícím používat digitální cestovní oprávnění pro účely překračování vnějších hranic, jakmile bude v provozu digitální cestovní aplikace EU. Předtím mohou členské státy vyvinout vnitrostátní řešení pro používání digitálních cestovních oprávnění v souladu s jednotným formátem pro účely hraničních kontrol.</w:t>
            </w:r>
          </w:p>
        </w:tc>
        <w:tc>
          <w:tcPr>
            <w:tcW w:w="4876" w:type="dxa"/>
            <w:tcBorders>
              <w:top w:val="nil"/>
              <w:left w:val="nil"/>
              <w:bottom w:val="nil"/>
              <w:right w:val="nil"/>
            </w:tcBorders>
          </w:tcPr>
          <w:p>
            <w:pPr>
              <w:pStyle w:val="Normal6a"/>
            </w:pPr>
            <w:r>
              <w:t>(21)</w:t>
            </w:r>
            <w:r>
              <w:tab/>
            </w:r>
            <w:r>
              <w:t xml:space="preserve">Používání digitálních cestovních oprávnění </w:t>
            </w:r>
            <w:r>
              <w:rPr>
                <w:b/>
                <w:i/>
              </w:rPr>
              <w:t>by</w:t>
            </w:r>
            <w:r>
              <w:t xml:space="preserve"> mělo být pro cestující </w:t>
            </w:r>
            <w:r>
              <w:rPr>
                <w:b/>
                <w:i/>
              </w:rPr>
              <w:t>zcela</w:t>
            </w:r>
            <w:r>
              <w:t xml:space="preserve"> dobrovolné</w:t>
            </w:r>
            <w:r>
              <w:rPr>
                <w:b/>
                <w:i/>
              </w:rPr>
              <w:t>.</w:t>
            </w:r>
            <w:r>
              <w:t xml:space="preserve"> </w:t>
            </w:r>
            <w:r>
              <w:rPr>
                <w:b/>
                <w:i/>
              </w:rPr>
              <w:t>S cestujícími</w:t>
            </w:r>
            <w:r>
              <w:t xml:space="preserve">, </w:t>
            </w:r>
            <w:r>
              <w:rPr>
                <w:b/>
                <w:i/>
              </w:rPr>
              <w:t>kteří se rozhodnou digitální cestovní oprávnění nepoužívat, by se v žádném případě nemělo zacházet odlišně.</w:t>
            </w:r>
            <w:r>
              <w:t xml:space="preserve"> V zájmu dosažení cílů zvýšení bezpečnosti v celém schengenském prostoru, usnadnění cestování a dosažení minimální úrovně digitální vyspělosti všech členských států v oblasti správy hranic by všechny členské státy měly mít povinnost umožnit cestujícím používat digitální cestovní oprávnění pro účely překračování vnějších hranic, jakmile bude v provozu digitální cestovní aplikace EU. Předtím mohou členské státy vyvinout vnitrostátní řešení pro používání digitálních cestovních oprávnění v souladu s jednotným formátem pro účely hraničních kontrol.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Ačkoli by používání digitálních cestovních oprávnění mělo být pro cestující dobrovolné, v zájmu dosažení cílů zvýšení bezpečnosti v celém schengenském prostoru, usnadnění cestování a dosažení minimální úrovně digitální vyspělosti všech členských států v oblasti správy hranic by všechny členské státy měly mít povinnost umožnit cestujícím používat digitální cestovní oprávnění pro účely překračování vnějších hranic, jakmile bude v provozu digitální cestovní aplikace EU. Předtím mohou členské státy </w:t>
            </w:r>
            <w:r>
              <w:rPr>
                <w:b/>
                <w:i/>
              </w:rPr>
              <w:t>vyvinout vnitrostátní</w:t>
            </w:r>
            <w:r>
              <w:t xml:space="preserve"> řešení pro používání digitálních cestovních oprávnění v souladu s jednotným formátem pro účely hraničních kontrol.</w:t>
            </w:r>
          </w:p>
        </w:tc>
        <w:tc>
          <w:tcPr>
            <w:tcW w:w="4876" w:type="dxa"/>
            <w:tcBorders>
              <w:top w:val="nil"/>
              <w:left w:val="nil"/>
              <w:bottom w:val="nil"/>
              <w:right w:val="nil"/>
            </w:tcBorders>
          </w:tcPr>
          <w:p>
            <w:pPr>
              <w:pStyle w:val="Normal6a"/>
            </w:pPr>
            <w:r>
              <w:t>(21)</w:t>
            </w:r>
            <w:r>
              <w:tab/>
            </w:r>
            <w:r>
              <w:t xml:space="preserve">Ačkoli by používání digitálních cestovních oprávnění mělo být pro cestující dobrovolné, v zájmu dosažení cílů zvýšení bezpečnosti v celém schengenském prostoru, usnadnění cestování a dosažení minimální úrovně digitální vyspělosti všech členských států v oblasti správy hranic by všechny členské státy měly mít povinnost umožnit cestujícím používat digitální cestovní oprávnění pro účely překračování vnějších hranic, jakmile bude v provozu digitální cestovní aplikace EU. Předtím mohou členské státy </w:t>
            </w:r>
            <w:r>
              <w:rPr>
                <w:b/>
                <w:i/>
              </w:rPr>
              <w:t>pokračovat ve vývoji vnitrostátních</w:t>
            </w:r>
            <w:r>
              <w:t xml:space="preserve"> řešení pro používání digitálních cestovních oprávnění v souladu s jednotným formátem pro účely hraničních kontrol.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Aby byla dodržena zásada, že používání digitální cestovní aplikace EU je dobrovolné, musí mít cestující, kteří si nepřejí aplikaci používat nebo kteří se rozhodnou svůj souhlas odvolat, možnost využívat stávající infrastruktury, jiné než digitální cestovní oprávnění.</w:t>
            </w:r>
            <w:r>
              <w:t xml:space="preserve"> </w:t>
            </w:r>
            <w:r>
              <w:rPr>
                <w:b/>
                <w:i/>
              </w:rPr>
              <w:t>Členské státy by proto měly zajistit, aby hraniční přechody poskytovaly tradiční infrastrukturu, včetně manuálního zpracování a elektronických bran, které zůstanou dostupné a budou poskytovat srovnatelný přístup, rychlost a kvalitu služeb.</w:t>
            </w:r>
            <w:r>
              <w:t xml:space="preserve"> </w:t>
            </w:r>
            <w:r>
              <w:rPr>
                <w:b/>
                <w:i/>
              </w:rPr>
              <w:t>To má zásadní význam pro zachování rovnosti a pro zajištění toho, aby byl souhlas s digitálním zpracováním skutečně svobodný, informovaný a odvolatelný.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V zájmu dalšího urychlení procesů a zkrácení celkové doby strávené na hraničních přechodech by mělo být</w:t>
            </w:r>
            <w:r>
              <w:t xml:space="preserve"> státním příslušníkům třetích zemí</w:t>
            </w:r>
            <w:r>
              <w:rPr>
                <w:b/>
                <w:i/>
              </w:rPr>
              <w:t>, na které se vztahuje Systém vstupu/výstupu,</w:t>
            </w:r>
            <w:r>
              <w:t xml:space="preserve"> umožněno používat digitální cestovní aplikaci EU </w:t>
            </w:r>
            <w:r>
              <w:rPr>
                <w:b/>
                <w:i/>
              </w:rPr>
              <w:t>pro předběžné zanesení některých údajů potřebných pro překročení hranic.</w:t>
            </w:r>
            <w:r>
              <w:t xml:space="preserve"> </w:t>
            </w:r>
            <w:r>
              <w:rPr>
                <w:b/>
                <w:i/>
              </w:rPr>
              <w:t>V případě státních příslušníků třetích zemí, jejichž údaje dosud nejsou zaznamenány v Systému vstupu/výstupu, by mělo být členským státům umožněno, aby jako alternativu k fyzickému ověření totožnosti příslušníkem pohraniční stráže používaly k ověření totožnosti účinná a přiměřená technická opatření, včetně samoobslužných systémů a elektronických bran, pokud je fyzické ověření prováděno namátkově a pokud alternativní ověření není založeno pouze na digitální cestovní aplikaci EU</w:t>
            </w:r>
            <w:r>
              <w:t>.</w:t>
            </w:r>
          </w:p>
        </w:tc>
        <w:tc>
          <w:tcPr>
            <w:tcW w:w="4876" w:type="dxa"/>
            <w:tcBorders>
              <w:top w:val="nil"/>
              <w:left w:val="nil"/>
              <w:bottom w:val="nil"/>
              <w:right w:val="nil"/>
            </w:tcBorders>
          </w:tcPr>
          <w:p>
            <w:pPr>
              <w:pStyle w:val="Normal6a"/>
            </w:pPr>
            <w:r>
              <w:t>(22)</w:t>
            </w:r>
            <w:r>
              <w:tab/>
            </w:r>
            <w:r>
              <w:t xml:space="preserve">Státním příslušníkům třetích zemí </w:t>
            </w:r>
            <w:r>
              <w:rPr>
                <w:b/>
                <w:i/>
              </w:rPr>
              <w:t>by mělo být</w:t>
            </w:r>
            <w:r>
              <w:t xml:space="preserve"> umožněno používat digitální cestovní aplikaci EU </w:t>
            </w:r>
            <w:r>
              <w:rPr>
                <w:b/>
                <w:i/>
              </w:rPr>
              <w:t>k provádění kontrol na hraničních přechodech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 zájmu dalšího urychlení procesů a zkrácení celkové doby strávené na hraničních přechodech by mělo být státním příslušníkům třetích zemí, na které se vztahuje Systém vstupu/výstupu, umožněno používat digitální cestovní aplikaci EU pro předběžné zanesení některých údajů potřebných pro překročení hranic. V případě státních příslušníků třetích zemí, jejichž údaje dosud nejsou zaznamenány v Systému vstupu/výstupu, by mělo být členským státům umožněno, aby jako alternativu k fyzickému ověření totožnosti příslušníkem pohraniční stráže používaly k ověření totožnosti účinná a přiměřená technická opatření, včetně samoobslužných systémů a elektronických bran, pokud je fyzické ověření prováděno namátkově a pokud alternativní ověření není založeno pouze na digitální cestovní aplikaci EU.</w:t>
            </w:r>
          </w:p>
        </w:tc>
        <w:tc>
          <w:tcPr>
            <w:tcW w:w="4876" w:type="dxa"/>
            <w:tcBorders>
              <w:top w:val="nil"/>
              <w:left w:val="nil"/>
              <w:bottom w:val="nil"/>
              <w:right w:val="nil"/>
            </w:tcBorders>
          </w:tcPr>
          <w:p>
            <w:pPr>
              <w:pStyle w:val="Normal6a"/>
            </w:pPr>
            <w:r>
              <w:t>(22)</w:t>
            </w:r>
            <w:r>
              <w:tab/>
            </w:r>
            <w:r>
              <w:t xml:space="preserve">V zájmu dalšího urychlení procesů a zkrácení celkové doby strávené na hraničních přechodech by mělo být státním příslušníkům třetích zemí, na které se vztahuje Systém vstupu/výstupu, umožněno používat digitální cestovní aplikaci EU pro předběžné zanesení některých údajů potřebných pro překročení hranic. </w:t>
            </w:r>
            <w:r>
              <w:rPr>
                <w:b/>
                <w:i/>
              </w:rPr>
              <w:t>Zajištění technické a provozní interoperability mezi Systémem vstupu/výstupu a digitální cestovní aplikací EU má zásadní význam pro posílení bezpečnosti vnějších hranic, zlepšení účinnosti a přijetí aplikace a zvýšení celkové účinnosti a soudržnosti operací na vnějších hranicích Unie.</w:t>
            </w:r>
            <w:r>
              <w:t xml:space="preserve"> V případě státních příslušníků třetích zemí, jejichž údaje dosud nejsou zaznamenány v Systému vstupu/výstupu, by mělo být členským státům umožněno, aby jako alternativu k fyzickému ověření totožnosti příslušníkem pohraniční stráže používaly k ověření totožnosti účinná a přiměřená technická opatření, včetně samoobslužných systémů a elektronických bran, pokud je fyzické ověření prováděno namátkově a pokud alternativní ověření není založeno pouze na digitální cestovní aplikaci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 zájmu dalšího urychlení procesů a zkrácení celkové doby strávené na hraničních přechodech by mělo být státním příslušníkům třetích zemí, na které se vztahuje Systém vstupu/výstupu, umožněno používat digitální cestovní aplikaci EU pro předběžné zanesení některých údajů potřebných pro překročení hranic. V případě státních příslušníků třetích zemí, jejichž údaje dosud nejsou zaznamenány v Systému vstupu/výstupu, by mělo být členským státům umožněno, aby jako alternativu k fyzickému ověření totožnosti příslušníkem pohraniční stráže používaly k ověření totožnosti účinná a přiměřená technická opatření, včetně samoobslužných systémů a elektronických bran, pokud je fyzické ověření prováděno namátkově a pokud alternativní ověření není založeno pouze na digitální cestovní aplikaci EU.</w:t>
            </w:r>
          </w:p>
        </w:tc>
        <w:tc>
          <w:tcPr>
            <w:tcW w:w="4876" w:type="dxa"/>
            <w:tcBorders>
              <w:top w:val="nil"/>
              <w:left w:val="nil"/>
              <w:bottom w:val="nil"/>
              <w:right w:val="nil"/>
            </w:tcBorders>
          </w:tcPr>
          <w:p>
            <w:pPr>
              <w:pStyle w:val="Normal6a"/>
            </w:pPr>
            <w:r>
              <w:t>(22)</w:t>
            </w:r>
            <w:r>
              <w:tab/>
            </w:r>
            <w:r>
              <w:t xml:space="preserve">V zájmu dalšího urychlení procesů a zkrácení celkové doby strávené na hraničních přechodech by mělo být státním příslušníkům třetích zemí, na které se vztahuje Systém vstupu/výstupu, umožněno používat digitální cestovní aplikaci EU pro předběžné zanesení některých údajů potřebných pro překročení hranic. V případě státních příslušníků třetích zemí, jejichž údaje dosud nejsou zaznamenány v Systému vstupu/výstupu, by mělo být členským státům umožněno, aby jako alternativu k fyzickému ověření totožnosti příslušníkem pohraniční stráže používaly k ověření totožnosti účinná a přiměřená technická opatření, včetně samoobslužných systémů a elektronických bran, pokud </w:t>
            </w:r>
            <w:r>
              <w:rPr>
                <w:b/>
                <w:i/>
              </w:rPr>
              <w:t>jsou cestovní doklady státních příslušníků třetích zemí opatřeny bezpečnostní prvky, které jsou alespoň stejně spolehlivé jako bezpečností prvky na dokladech vydávaných členskými státy Unie,</w:t>
            </w:r>
            <w:r>
              <w:t xml:space="preserve"> </w:t>
            </w:r>
            <w:r>
              <w:rPr>
                <w:b/>
                <w:i/>
              </w:rPr>
              <w:t>a pokud</w:t>
            </w:r>
            <w:r>
              <w:t xml:space="preserve"> je fyzické ověření prováděno namátkově a pokud alternativní ověření není založeno pouze na digitální cestovní aplikaci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Komise by měla pět let po zahájení provozu digitální cestovní aplikace EU provést hodnocení této aplikace a jejího využívání a vypracovat zprávu včetně doporučení, kterou předloží Evropskému parlamentu, Radě, evropskému inspektorovi ochrany údajů a Agentuře Evropské unie pro základní práva. Hodnocení a zpráva by měly posoudit, jak byly splněny cíle tohoto nařízení a jak byla případně ovlivněna základní práva.</w:t>
            </w:r>
          </w:p>
        </w:tc>
        <w:tc>
          <w:tcPr>
            <w:tcW w:w="4876" w:type="dxa"/>
            <w:tcBorders>
              <w:top w:val="nil"/>
              <w:left w:val="nil"/>
              <w:bottom w:val="nil"/>
              <w:right w:val="nil"/>
            </w:tcBorders>
          </w:tcPr>
          <w:p>
            <w:pPr>
              <w:pStyle w:val="Normal6a"/>
            </w:pPr>
            <w:r>
              <w:t>(23)</w:t>
            </w:r>
            <w:r>
              <w:tab/>
            </w:r>
            <w:r>
              <w:t>Komise by měla pět let po zahájení provozu digitální cestovní aplikace EU provést hodnocení této aplikace a jejího využívání</w:t>
            </w:r>
            <w:r>
              <w:rPr>
                <w:b/>
                <w:i/>
              </w:rPr>
              <w:t>, včetně posouzení přínosů získaných zahájením provozu aplikace a jejího dopadu na správu hranic,</w:t>
            </w:r>
            <w:r>
              <w:t xml:space="preserve"> a vypracovat zprávu včetně doporučení, kterou předloží Evropskému parlamentu, Radě, evropskému inspektorovi ochrany údajů a Agentuře Evropské unie pro základní práva. Hodnocení a zpráva by měly posoudit, jak byly splněny cíle tohoto nařízení a jak byla případně ovlivněna základní práva.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Komise by měla </w:t>
            </w:r>
            <w:r>
              <w:rPr>
                <w:b/>
                <w:i/>
              </w:rPr>
              <w:t>pět let</w:t>
            </w:r>
            <w:r>
              <w:t xml:space="preserve"> po zahájení provozu digitální cestovní aplikace EU provést hodnocení této aplikace a jejího využívání a vypracovat zprávu včetně doporučení, kterou předloží Evropskému parlamentu, Radě, evropskému inspektorovi ochrany údajů a Agentuře Evropské unie pro základní práva. Hodnocení a zpráva by měly posoudit, jak byly splněny cíle tohoto nařízení a jak byla případně ovlivněna základní práva.</w:t>
            </w:r>
          </w:p>
        </w:tc>
        <w:tc>
          <w:tcPr>
            <w:tcW w:w="4876" w:type="dxa"/>
            <w:tcBorders>
              <w:top w:val="nil"/>
              <w:left w:val="nil"/>
              <w:bottom w:val="nil"/>
              <w:right w:val="nil"/>
            </w:tcBorders>
          </w:tcPr>
          <w:p>
            <w:pPr>
              <w:pStyle w:val="Normal6a"/>
            </w:pPr>
            <w:r>
              <w:t>(23)</w:t>
            </w:r>
            <w:r>
              <w:tab/>
            </w:r>
            <w:r>
              <w:t xml:space="preserve">Komise by měla </w:t>
            </w:r>
            <w:r>
              <w:rPr>
                <w:b/>
                <w:i/>
              </w:rPr>
              <w:t>dva roky</w:t>
            </w:r>
            <w:r>
              <w:t xml:space="preserve"> po zahájení provozu digitální cestovní aplikace EU </w:t>
            </w:r>
            <w:r>
              <w:rPr>
                <w:b/>
                <w:i/>
              </w:rPr>
              <w:t>a následně každé dva roky</w:t>
            </w:r>
            <w:r>
              <w:t xml:space="preserve"> provést hodnocení této aplikace a jejího využívání a vypracovat zprávu včetně doporučení, kterou předloží Evropskému parlamentu, Radě, evropskému inspektorovi ochrany údajů a Agentuře Evropské unie pro základní práva. Hodnocení a zpráva by měly posoudit, jak byly splněny cíle tohoto nařízení a jak byla případně ovlivněna základní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Komise by měla </w:t>
            </w:r>
            <w:r>
              <w:rPr>
                <w:b/>
                <w:i/>
              </w:rPr>
              <w:t>pět let</w:t>
            </w:r>
            <w:r>
              <w:t xml:space="preserve"> po zahájení provozu digitální cestovní aplikace EU provést hodnocení této aplikace a jejího využívání a vypracovat zprávu včetně doporučení, kterou předloží Evropskému parlamentu, Radě, evropskému inspektorovi ochrany údajů a Agentuře Evropské unie pro základní práva. Hodnocení a zpráva by měly posoudit, jak byly splněny cíle tohoto nařízení a jak byla případně ovlivněna základní práva.</w:t>
            </w:r>
          </w:p>
        </w:tc>
        <w:tc>
          <w:tcPr>
            <w:tcW w:w="4876" w:type="dxa"/>
            <w:tcBorders>
              <w:top w:val="nil"/>
              <w:left w:val="nil"/>
              <w:bottom w:val="nil"/>
              <w:right w:val="nil"/>
            </w:tcBorders>
          </w:tcPr>
          <w:p>
            <w:pPr>
              <w:pStyle w:val="Normal6a"/>
            </w:pPr>
            <w:r>
              <w:t>(23)</w:t>
            </w:r>
            <w:r>
              <w:tab/>
            </w:r>
            <w:r>
              <w:t xml:space="preserve">Komise by měla </w:t>
            </w:r>
            <w:r>
              <w:rPr>
                <w:b/>
                <w:i/>
              </w:rPr>
              <w:t>dva roky</w:t>
            </w:r>
            <w:r>
              <w:t xml:space="preserve"> po zahájení provozu digitální cestovní aplikace EU provést hodnocení této aplikace a jejího využívání a vypracovat zprávu včetně doporučení, kterou předloží Evropskému parlamentu, Radě, evropskému inspektorovi ochrany údajů a Agentuře Evropské unie pro základní práva. Hodnocení a zpráva by měly posoudit, jak byly splněny cíle tohoto nařízení a jak byla případně ovlivněna základní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Komise by měla pět let po zahájení provozu digitální cestovní aplikace EU provést hodnocení této aplikace a jejího využívání a vypracovat zprávu včetně doporučení, kterou předloží Evropskému parlamentu, Radě, evropskému inspektorovi ochrany údajů a Agentuře Evropské unie pro základní práva. Hodnocení a zpráva by měly posoudit, jak byly splněny cíle tohoto nařízení a jak byla </w:t>
            </w:r>
            <w:r>
              <w:rPr>
                <w:b/>
                <w:i/>
              </w:rPr>
              <w:t>případně</w:t>
            </w:r>
            <w:r>
              <w:t xml:space="preserve"> ovlivněna základní práva.</w:t>
            </w:r>
          </w:p>
        </w:tc>
        <w:tc>
          <w:tcPr>
            <w:tcW w:w="4876" w:type="dxa"/>
            <w:tcBorders>
              <w:top w:val="nil"/>
              <w:left w:val="nil"/>
              <w:bottom w:val="nil"/>
              <w:right w:val="nil"/>
            </w:tcBorders>
          </w:tcPr>
          <w:p>
            <w:pPr>
              <w:pStyle w:val="Normal6a"/>
            </w:pPr>
            <w:r>
              <w:t>(23)</w:t>
            </w:r>
            <w:r>
              <w:tab/>
            </w:r>
            <w:r>
              <w:t>Komise by měla pět let po zahájení provozu digitální cestovní aplikace EU provést hodnocení této aplikace a jejího využívání a vypracovat zprávu včetně doporučení, kterou předloží Evropskému parlamentu, Radě, evropskému inspektorovi ochrany údajů a Agentuře Evropské unie pro základní práva. Hodnocení a zpráva by měly posoudit, jak byly splněny cíle tohoto nařízení a jak byla ovlivněna základní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Za účelem zajištění jednotných podmínek pro provádění tohoto nařízení, pokud jde o technickou normu pro digitální cestovní oprávnění, technickou architekturu a technické specifikace digitální cestovní aplikace EU a její testování, shromažďování statistických údajů, jakož i zahájení provozu digitální cestovní aplikace EU </w:t>
            </w:r>
            <w:r>
              <w:rPr>
                <w:b/>
                <w:i/>
              </w:rPr>
              <w:t>a způsob provádění kontrol cestovních dokladů a digitálních cestovních oprávnění</w:t>
            </w:r>
            <w:r>
              <w:t>, by měly být Komisi svěřeny prováděcí pravomoci. Tyto pravomoci by měly být vykonávány v souladu s nařízením Evropského parlamentu a Rady (EU) č. 182/2011</w:t>
            </w:r>
            <w:r>
              <w:rPr>
                <w:vertAlign w:val="superscript"/>
              </w:rPr>
              <w:t>11</w:t>
            </w:r>
            <w:r>
              <w:t>.</w:t>
            </w:r>
          </w:p>
        </w:tc>
        <w:tc>
          <w:tcPr>
            <w:tcW w:w="4876" w:type="dxa"/>
            <w:tcBorders>
              <w:top w:val="nil"/>
              <w:left w:val="nil"/>
              <w:bottom w:val="nil"/>
              <w:right w:val="nil"/>
            </w:tcBorders>
          </w:tcPr>
          <w:p>
            <w:pPr>
              <w:pStyle w:val="Normal6a"/>
            </w:pPr>
            <w:r>
              <w:t>(24)</w:t>
            </w:r>
            <w:r>
              <w:tab/>
            </w:r>
            <w:r>
              <w:t>Za účelem zajištění jednotných podmínek pro provádění tohoto nařízení, pokud jde o technickou normu pro digitální cestovní oprávnění, technickou architekturu a technické specifikace digitální cestovní aplikace EU a její testování, shromažďování statistických údajů, jakož i zahájení provozu digitální cestovní aplikace EU, by měly být Komisi svěřeny prováděcí pravomoci. Tyto pravomoci by měly být vykonávány v souladu s nařízením Evropského parlamentu a Rady (EU) č.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Borders>
              <w:top w:val="nil"/>
              <w:left w:val="nil"/>
              <w:bottom w:val="nil"/>
              <w:right w:val="nil"/>
            </w:tcBorders>
          </w:tcPr>
          <w:p>
            <w:pPr>
              <w:pStyle w:val="Normal6a"/>
            </w:pPr>
            <w:r>
              <w:rPr>
                <w:vertAlign w:val="superscript"/>
              </w:rPr>
              <w:t>11</w:t>
            </w:r>
            <w:r>
              <w:t xml:space="preserve"> </w:t>
            </w:r>
            <w:r>
              <w:t>Nařízení Evropského parlamentu a Rady (EU) č. 182/2011 ze dne 16. února 2011, kterým se stanoví pravidla a obecné zásady způsobu, jakým členské státy kontrolují Komisi při výkonu prováděcích pravomocí (Úř. věst. L 55, 28.2.2011, s.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Za účelem zajištění jednotných podmínek pro provádění tohoto nařízení, pokud jde o technickou normu pro digitální cestovní oprávnění, technickou architekturu a technické specifikace digitální cestovní aplikace EU a její testování, shromažďování statistických údajů, jakož i zahájení provozu digitální cestovní aplikace EU a způsob provádění kontrol cestovních dokladů a digitálních cestovních oprávnění, by měly být Komisi svěřeny prováděcí pravomoci. Tyto pravomoci by měly být vykonávány v souladu s nařízením Evropského parlamentu a Rady (EU) č. 182/2011</w:t>
            </w:r>
            <w:r>
              <w:rPr>
                <w:vertAlign w:val="superscript"/>
              </w:rPr>
              <w:t>11</w:t>
            </w:r>
            <w:r>
              <w:t>.</w:t>
            </w:r>
          </w:p>
        </w:tc>
        <w:tc>
          <w:tcPr>
            <w:tcW w:w="4876" w:type="dxa"/>
            <w:tcBorders>
              <w:top w:val="nil"/>
              <w:left w:val="nil"/>
              <w:bottom w:val="nil"/>
              <w:right w:val="nil"/>
            </w:tcBorders>
          </w:tcPr>
          <w:p>
            <w:pPr>
              <w:pStyle w:val="Normal6a"/>
            </w:pPr>
            <w:r>
              <w:t>(24)</w:t>
            </w:r>
            <w:r>
              <w:tab/>
            </w:r>
            <w:r>
              <w:t xml:space="preserve">Za účelem zajištění jednotných podmínek pro provádění tohoto nařízení, pokud jde o technickou normu pro digitální cestovní oprávnění, technickou architekturu a technické specifikace digitální cestovní aplikace EU a její testování, shromažďování </w:t>
            </w:r>
            <w:r>
              <w:rPr>
                <w:b/>
                <w:i/>
              </w:rPr>
              <w:t>anonymizovaných</w:t>
            </w:r>
            <w:r>
              <w:t xml:space="preserve"> statistických údajů, jakož i zahájení provozu digitální cestovní aplikace EU a způsob provádění kontrol cestovních dokladů a digitálních cestovních oprávnění, by měly být Komisi svěřeny prováděcí pravomoci. Tyto pravomoci by měly být vykonávány v souladu s nařízením Evropského parlamentu a Rady (EU) č.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Borders>
              <w:top w:val="nil"/>
              <w:left w:val="nil"/>
              <w:bottom w:val="nil"/>
              <w:right w:val="nil"/>
            </w:tcBorders>
          </w:tcPr>
          <w:p>
            <w:pPr>
              <w:pStyle w:val="Normal6a"/>
            </w:pPr>
            <w:r>
              <w:rPr>
                <w:vertAlign w:val="superscript"/>
              </w:rPr>
              <w:t>11</w:t>
            </w:r>
            <w:r>
              <w:t xml:space="preserve"> </w:t>
            </w:r>
            <w:r>
              <w:t>Nařízení Evropského parlamentu a Rady (EU) č. 182/2011 ze dne 16. února 2011, kterým se stanoví pravidla a obecné zásady způsobu, jakým členské státy kontrolují Komisi při výkonu prováděcích pravomocí (Úř. věst. L 55, 28.2.2011, s. 13).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Za účelem zajištění jednotných podmínek pro provádění tohoto nařízení, pokud jde o technickou normu pro digitální cestovní oprávnění, technickou architekturu a technické specifikace digitální cestovní aplikace EU a její testování, </w:t>
            </w:r>
            <w:r>
              <w:rPr>
                <w:b/>
                <w:i/>
              </w:rPr>
              <w:t>shromažďování statistických údajů,</w:t>
            </w:r>
            <w:r>
              <w:t xml:space="preserve"> jakož i zahájení provozu digitální cestovní aplikace EU a způsob provádění kontrol cestovních dokladů a digitálních cestovních oprávnění, by měly být Komisi svěřeny prováděcí pravomoci. Tyto pravomoci by měly být vykonávány v souladu s nařízením Evropského parlamentu a Rady (EU) č. 182/2011</w:t>
            </w:r>
            <w:r>
              <w:rPr>
                <w:vertAlign w:val="superscript"/>
              </w:rPr>
              <w:t>11</w:t>
            </w:r>
            <w:r>
              <w:t>.</w:t>
            </w:r>
          </w:p>
        </w:tc>
        <w:tc>
          <w:tcPr>
            <w:tcW w:w="4876" w:type="dxa"/>
            <w:tcBorders>
              <w:top w:val="nil"/>
              <w:left w:val="nil"/>
              <w:bottom w:val="nil"/>
              <w:right w:val="nil"/>
            </w:tcBorders>
          </w:tcPr>
          <w:p>
            <w:pPr>
              <w:pStyle w:val="Normal6a"/>
            </w:pPr>
            <w:r>
              <w:t>(24)</w:t>
            </w:r>
            <w:r>
              <w:tab/>
            </w:r>
            <w:r>
              <w:t>Za účelem zajištění jednotných podmínek pro provádění tohoto nařízení, pokud jde o technickou normu pro digitální cestovní oprávnění, technickou architekturu a technické specifikace digitální cestovní aplikace EU a její testování, jakož i zahájení provozu digitální cestovní aplikace EU a způsob provádění kontrol cestovních dokladů a digitálních cestovních oprávnění, by měly být Komisi svěřeny prováděcí pravomoci. Tyto pravomoci by měly být vykonávány v souladu s nařízením Evropského parlamentu a Rady (EU) č.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Borders>
              <w:top w:val="nil"/>
              <w:left w:val="nil"/>
              <w:bottom w:val="nil"/>
              <w:right w:val="nil"/>
            </w:tcBorders>
          </w:tcPr>
          <w:p>
            <w:pPr>
              <w:pStyle w:val="Normal6a"/>
            </w:pPr>
            <w:r>
              <w:rPr>
                <w:vertAlign w:val="superscript"/>
              </w:rPr>
              <w:t>11</w:t>
            </w:r>
            <w:r>
              <w:t xml:space="preserve"> </w:t>
            </w:r>
            <w:r>
              <w:t>Nařízení Evropského parlamentu a Rady (EU) č. 182/2011 ze dne 16. února 2011, kterým se stanoví pravidla a obecné zásady způsobu, jakým členské státy kontrolují Komisi při výkonu prováděcích pravomocí (Úř. věst. L 55, 28.2.2011, s. 13).</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Za účelem zajištění jednotných podmínek pro provádění tohoto nařízení, pokud jde o technickou normu pro digitální cestovní oprávnění, technickou architekturu a technické specifikace digitální cestovní aplikace EU a její testování, shromažďování statistických údajů, jakož i zahájení provozu digitální cestovní aplikace EU a způsob provádění kontrol </w:t>
            </w:r>
            <w:r>
              <w:rPr>
                <w:b/>
                <w:i/>
              </w:rPr>
              <w:t>cestovních dokladů a</w:t>
            </w:r>
            <w:r>
              <w:t xml:space="preserve"> digitálních cestovních oprávnění, by měly být Komisi svěřeny prováděcí pravomoci. Tyto pravomoci by měly být vykonávány v souladu s nařízením Evropského parlamentu a Rady (EU) č. 182/2011</w:t>
            </w:r>
            <w:r>
              <w:rPr>
                <w:vertAlign w:val="superscript"/>
              </w:rPr>
              <w:t>11</w:t>
            </w:r>
            <w:r>
              <w:t>.</w:t>
            </w:r>
          </w:p>
        </w:tc>
        <w:tc>
          <w:tcPr>
            <w:tcW w:w="4876" w:type="dxa"/>
            <w:tcBorders>
              <w:top w:val="nil"/>
              <w:left w:val="nil"/>
              <w:bottom w:val="nil"/>
              <w:right w:val="nil"/>
            </w:tcBorders>
          </w:tcPr>
          <w:p>
            <w:pPr>
              <w:pStyle w:val="Normal6a"/>
            </w:pPr>
            <w:r>
              <w:t>(24)</w:t>
            </w:r>
            <w:r>
              <w:tab/>
            </w:r>
            <w:r>
              <w:t>Za účelem zajištění jednotných podmínek pro provádění tohoto nařízení, pokud jde o technickou normu pro digitální cestovní oprávnění, technickou architekturu a technické specifikace digitální cestovní aplikace EU a její testování, shromažďování statistických údajů, jakož i zahájení provozu digitální cestovní aplikace EU a způsob provádění kontrol digitálních cestovních oprávnění, by měly být Komisi svěřeny prováděcí pravomoci. Tyto pravomoci by měly být vykonávány v souladu s nařízením Evropského parlamentu a Rady (EU) č.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Borders>
              <w:top w:val="nil"/>
              <w:left w:val="nil"/>
              <w:bottom w:val="nil"/>
              <w:right w:val="nil"/>
            </w:tcBorders>
          </w:tcPr>
          <w:p>
            <w:pPr>
              <w:pStyle w:val="Normal6a"/>
            </w:pPr>
            <w:r>
              <w:rPr>
                <w:vertAlign w:val="superscript"/>
              </w:rPr>
              <w:t>11</w:t>
            </w:r>
            <w:r>
              <w:t xml:space="preserve"> </w:t>
            </w:r>
            <w:r>
              <w:t>Nařízení Evropského parlamentu a Rady (EU) č. 182/2011 ze dne 16. února 2011, kterým se stanoví pravidla a obecné zásady způsobu, jakým členské státy kontrolují Komisi při výkonu prováděcích pravomocí (Úř. věst. L 55, 28.2.2011, s.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Tímto nařízením by neměla být dotčena možnost stanovit v právu Unie nebo vnitrostátním právu používání digitálních cestovních oprávnění pro jiné účely než pro provádění hraničních kontrol, pokud je takové vnitrostátní právo v souladu s právem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Tímto nařízením by neměla být dotčena možnost stanovit v právu Unie nebo vnitrostátním právu používání digitálních cestovních oprávnění pro jiné účely než pro provádění hraničních kontrol, pokud je takové vnitrostátní právo v souladu s právem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Tímto nařízením by neměla být dotčena možnost stanovit v právu Unie nebo vnitrostátním právu používání digitálních cestovních oprávnění pro jiné účely než pro provádění hraničních kontrol, pokud je takové vnitrostátní právo v souladu s právem Unie.</w:t>
            </w:r>
          </w:p>
        </w:tc>
        <w:tc>
          <w:tcPr>
            <w:tcW w:w="4876" w:type="dxa"/>
            <w:tcBorders>
              <w:top w:val="nil"/>
              <w:left w:val="nil"/>
              <w:bottom w:val="nil"/>
              <w:right w:val="nil"/>
            </w:tcBorders>
          </w:tcPr>
          <w:p>
            <w:pPr>
              <w:pStyle w:val="Normal6a"/>
            </w:pPr>
            <w:r>
              <w:t>(25)</w:t>
            </w:r>
            <w:r>
              <w:tab/>
            </w:r>
            <w:r>
              <w:t xml:space="preserve">Tímto nařízením by neměla být dotčena možnost stanovit v právu Unie nebo vnitrostátním právu používání digitálních cestovních oprávnění pro jiné účely než pro provádění hraničních kontrol, pokud je takové vnitrostátní právo v souladu s právem Unie. </w:t>
            </w:r>
            <w:r>
              <w:rPr>
                <w:b/>
                <w:i/>
              </w:rPr>
              <w:t>Používání digitálního cestovního oprávnění by nikdy nemělo být vyvíjeno nebo uplatňováno způsobem, který by umožňoval nebo podporoval založení kontrolní společnosti.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Jelikož cílů tohoto nařízení, zejména zvýšení bezpečnosti a usnadnění cestování v rámci správy vnějších hranic, nemůže být uspokojivě dosaženo na úrovni členských států, ale spíše jich může být z důvodu jejich přeshraniční povahy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tcBorders>
              <w:top w:val="nil"/>
              <w:left w:val="nil"/>
              <w:bottom w:val="nil"/>
              <w:right w:val="nil"/>
            </w:tcBorders>
          </w:tcPr>
          <w:p>
            <w:pPr>
              <w:pStyle w:val="Normal6a"/>
            </w:pPr>
            <w:r>
              <w:t>(26)</w:t>
            </w:r>
            <w:r>
              <w:tab/>
            </w:r>
            <w:r>
              <w:t xml:space="preserve">Jelikož cílů tohoto nařízení, zejména zvýšení bezpečnosti a usnadnění cestování v rámci správy vnějších hranic, </w:t>
            </w:r>
            <w:r>
              <w:rPr>
                <w:b/>
                <w:i/>
              </w:rPr>
              <w:t>odhalování podvodných dokladů a prevence nelegální a účelové migrace a přeshraniční trestné činnosti,</w:t>
            </w:r>
            <w:r>
              <w:t xml:space="preserve"> nemůže být uspokojivě dosaženo na úrovni členských států, ale spíše jich může být z důvodu jejich přeshraniční povahy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Tímto nařízením se zavádí aplikace </w:t>
            </w:r>
            <w:r>
              <w:rPr>
                <w:b/>
                <w:i/>
              </w:rPr>
              <w:t>pro elektronické předkládání cestovních údajů</w:t>
            </w:r>
            <w:r>
              <w:t xml:space="preserve"> (dále jen „digitální cestovní aplikace EU“) určená pro:</w:t>
            </w:r>
          </w:p>
        </w:tc>
        <w:tc>
          <w:tcPr>
            <w:tcW w:w="4876" w:type="dxa"/>
            <w:tcBorders>
              <w:top w:val="nil"/>
              <w:left w:val="nil"/>
              <w:bottom w:val="nil"/>
              <w:right w:val="nil"/>
            </w:tcBorders>
          </w:tcPr>
          <w:p>
            <w:pPr>
              <w:pStyle w:val="Normal6a"/>
            </w:pPr>
            <w:r>
              <w:t>1.</w:t>
            </w:r>
            <w:r>
              <w:tab/>
            </w:r>
            <w:r>
              <w:t>Tímto nařízením se zavádí aplikace (dále jen „digitální cestovní aplikace EU“) určená pro: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zadávání vlastních cestovních údajů;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bezpečné </w:t>
            </w:r>
            <w:r>
              <w:rPr>
                <w:b/>
                <w:i/>
              </w:rPr>
              <w:t>předkládání</w:t>
            </w:r>
            <w:r>
              <w:t xml:space="preserve"> digitálních cestovních oprávnění </w:t>
            </w:r>
            <w:r>
              <w:rPr>
                <w:b/>
                <w:i/>
              </w:rPr>
              <w:t>a vlastních cestovních údajů příslušnému orgánu</w:t>
            </w:r>
            <w:r>
              <w:t xml:space="preserve"> pro účely usnadnění cestování a provádění hraničních kontrol osob v souladu s </w:t>
            </w:r>
            <w:r>
              <w:rPr>
                <w:b/>
                <w:i/>
              </w:rPr>
              <w:t>čl. 8 odst. 2g a odst. 3 písm. j)</w:t>
            </w:r>
            <w:r>
              <w:t xml:space="preserve"> nařízení (EU) 2016/399.</w:t>
            </w:r>
          </w:p>
        </w:tc>
        <w:tc>
          <w:tcPr>
            <w:tcW w:w="4876" w:type="dxa"/>
            <w:tcBorders>
              <w:top w:val="nil"/>
              <w:left w:val="nil"/>
              <w:bottom w:val="nil"/>
              <w:right w:val="nil"/>
            </w:tcBorders>
          </w:tcPr>
          <w:p>
            <w:pPr>
              <w:pStyle w:val="Normal6a"/>
            </w:pPr>
            <w:r>
              <w:t>(c)</w:t>
            </w:r>
            <w:r>
              <w:tab/>
            </w:r>
            <w:r>
              <w:t xml:space="preserve">bezpečné </w:t>
            </w:r>
            <w:r>
              <w:rPr>
                <w:b/>
                <w:i/>
              </w:rPr>
              <w:t>ověřování</w:t>
            </w:r>
            <w:r>
              <w:t xml:space="preserve"> digitálních cestovních oprávnění </w:t>
            </w:r>
            <w:r>
              <w:rPr>
                <w:b/>
                <w:i/>
              </w:rPr>
              <w:t>příslušným orgánem</w:t>
            </w:r>
            <w:r>
              <w:t xml:space="preserve"> pro účely usnadnění cestování a provádění hraničních kontrol osob v souladu s </w:t>
            </w:r>
            <w:r>
              <w:rPr>
                <w:b/>
                <w:i/>
              </w:rPr>
              <w:t>článkem 8</w:t>
            </w:r>
            <w:r>
              <w:t xml:space="preserve"> nařízení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bezpečné předkládání digitálních cestovních oprávnění </w:t>
            </w:r>
            <w:r>
              <w:rPr>
                <w:b/>
                <w:i/>
              </w:rPr>
              <w:t>a vlastních cestovních údajů</w:t>
            </w:r>
            <w:r>
              <w:t xml:space="preserve"> příslušnému orgánu pro účely usnadnění cestování a provádění hraničních kontrol osob v souladu s čl. 8 odst. 2g a odst. 3 písm. j) nařízení (EU) 2016/399.</w:t>
            </w:r>
          </w:p>
        </w:tc>
        <w:tc>
          <w:tcPr>
            <w:tcW w:w="4876" w:type="dxa"/>
            <w:tcBorders>
              <w:top w:val="nil"/>
              <w:left w:val="nil"/>
              <w:bottom w:val="nil"/>
              <w:right w:val="nil"/>
            </w:tcBorders>
          </w:tcPr>
          <w:p>
            <w:pPr>
              <w:pStyle w:val="Normal6a"/>
            </w:pPr>
            <w:r>
              <w:t>(c)</w:t>
            </w:r>
            <w:r>
              <w:tab/>
            </w:r>
            <w:r>
              <w:t>bezpečné předkládání digitálních cestovních oprávnění příslušnému orgánu pro účely usnadnění cestování a provádění hraničních kontrol osob v souladu s čl. 8 odst. 2g a odst. 3 písm. j) nařízení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Toto nařízení nenahrazuje existenci fyzických cestovních dokladů ani právo používat tyto doklady samostatně.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„směrovačem údajů cestujícího“ technická složka uvedená v článku 5.</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„směrovačem údajů cestujícího“ technická složka uvedená v článku </w:t>
            </w:r>
            <w:r>
              <w:rPr>
                <w:b/>
                <w:i/>
              </w:rPr>
              <w:t>5</w:t>
            </w:r>
            <w:r>
              <w:t>.</w:t>
            </w:r>
          </w:p>
        </w:tc>
        <w:tc>
          <w:tcPr>
            <w:tcW w:w="4876" w:type="dxa"/>
            <w:tcBorders>
              <w:top w:val="nil"/>
              <w:left w:val="nil"/>
              <w:bottom w:val="nil"/>
              <w:right w:val="nil"/>
            </w:tcBorders>
          </w:tcPr>
          <w:p>
            <w:pPr>
              <w:pStyle w:val="Normal6a"/>
            </w:pPr>
            <w:r>
              <w:t>(d)</w:t>
            </w:r>
            <w:r>
              <w:tab/>
            </w:r>
            <w:r>
              <w:t xml:space="preserve">„směrovačem údajů cestujícího“ technická složka uvedená v článku </w:t>
            </w:r>
            <w:r>
              <w:rPr>
                <w:b/>
                <w:i/>
              </w:rPr>
              <w:t>6a, která umožňuje šifrované předávání cestovních údajů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„směrovačem </w:t>
            </w:r>
            <w:r>
              <w:rPr>
                <w:b/>
                <w:i/>
              </w:rPr>
              <w:t>údajů cestujícího</w:t>
            </w:r>
            <w:r>
              <w:t>“ technická složka uvedená v článku 5.</w:t>
            </w:r>
          </w:p>
        </w:tc>
        <w:tc>
          <w:tcPr>
            <w:tcW w:w="4876" w:type="dxa"/>
            <w:tcBorders>
              <w:top w:val="nil"/>
              <w:left w:val="nil"/>
              <w:bottom w:val="nil"/>
              <w:right w:val="nil"/>
            </w:tcBorders>
          </w:tcPr>
          <w:p>
            <w:pPr>
              <w:pStyle w:val="Normal6a"/>
            </w:pPr>
            <w:r>
              <w:t>(d)</w:t>
            </w:r>
            <w:r>
              <w:tab/>
            </w:r>
            <w:r>
              <w:t xml:space="preserve">„směrovačem </w:t>
            </w:r>
            <w:r>
              <w:rPr>
                <w:b/>
                <w:i/>
              </w:rPr>
              <w:t>digitálních cestovních oprávnění</w:t>
            </w:r>
            <w:r>
              <w:t>“ technická složka uvedená v článku 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(Jedná se o horizontální pozměňovací návrh, který nahrazuje pojem v celém textu.)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mobilní aplikace, která umožňuje vytváření digitálních cestovních oprávnění pro jednorázové nebo vícenásobné použití </w:t>
            </w:r>
            <w:r>
              <w:rPr>
                <w:b/>
                <w:i/>
              </w:rPr>
              <w:t>a zadávání vlastních cestovních údajů</w:t>
            </w:r>
            <w:r>
              <w:t>;</w:t>
            </w:r>
          </w:p>
        </w:tc>
        <w:tc>
          <w:tcPr>
            <w:tcW w:w="4876" w:type="dxa"/>
            <w:tcBorders>
              <w:top w:val="nil"/>
              <w:left w:val="nil"/>
              <w:bottom w:val="nil"/>
              <w:right w:val="nil"/>
            </w:tcBorders>
          </w:tcPr>
          <w:p>
            <w:pPr>
              <w:pStyle w:val="Normal6a"/>
            </w:pPr>
            <w:r>
              <w:t>(a)</w:t>
            </w:r>
            <w:r>
              <w:tab/>
            </w:r>
            <w:r>
              <w:t>mobilní aplikace, která umožňuje vytváření digitálních cestovních oprávnění pro jednorázové nebo vícenásobné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mobilní aplikace, která umožňuje vytváření digitálních cestovních oprávnění pro jednorázové nebo vícenásobné použití </w:t>
            </w:r>
            <w:r>
              <w:rPr>
                <w:b/>
                <w:i/>
              </w:rPr>
              <w:t>a zadávání vlastních cestovních údajů</w:t>
            </w:r>
            <w:r>
              <w:t>;</w:t>
            </w:r>
          </w:p>
        </w:tc>
        <w:tc>
          <w:tcPr>
            <w:tcW w:w="4876" w:type="dxa"/>
            <w:tcBorders>
              <w:top w:val="nil"/>
              <w:left w:val="nil"/>
              <w:bottom w:val="nil"/>
              <w:right w:val="nil"/>
            </w:tcBorders>
          </w:tcPr>
          <w:p>
            <w:pPr>
              <w:pStyle w:val="Normal6a"/>
            </w:pPr>
            <w:r>
              <w:t>(a)</w:t>
            </w:r>
            <w:r>
              <w:tab/>
            </w:r>
            <w:r>
              <w:t>mobilní aplikace, která umožňuje vytváření digitálních cestovních oprávnění pro jednorázové nebo vícenásobné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backendové validační služby, která zajišťuje potvrzení pravosti a integrity údajů z čipu nebo digitálního cestovního oprávnění pomocí dostupných certifikátů </w:t>
            </w:r>
            <w:r>
              <w:rPr>
                <w:b/>
                <w:i/>
              </w:rPr>
              <w:t>a v příslušných případech porovnání zobrazení obličeje pořízeného uživatelem s cestovním dokladem nebo digitálním cestovním oprávněním</w:t>
            </w:r>
            <w:r>
              <w:t>;</w:t>
            </w:r>
          </w:p>
        </w:tc>
        <w:tc>
          <w:tcPr>
            <w:tcW w:w="4876" w:type="dxa"/>
            <w:tcBorders>
              <w:top w:val="nil"/>
              <w:left w:val="nil"/>
              <w:bottom w:val="nil"/>
              <w:right w:val="nil"/>
            </w:tcBorders>
          </w:tcPr>
          <w:p>
            <w:pPr>
              <w:pStyle w:val="Normal6a"/>
            </w:pPr>
            <w:r>
              <w:t>(b)</w:t>
            </w:r>
            <w:r>
              <w:tab/>
            </w:r>
            <w:r>
              <w:t>backendové validační služby, která zajišťuje potvrzení pravosti a integrity údajů z čipu nebo digitálního cestovního oprávnění pomocí dostupných certifikátů;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backendové validační služby, která zajišťuje potvrzení pravosti a integrity údajů </w:t>
            </w:r>
            <w:r>
              <w:rPr>
                <w:b/>
                <w:i/>
              </w:rPr>
              <w:t>z čipu nebo digitálního cestovního</w:t>
            </w:r>
            <w:r>
              <w:t xml:space="preserve"> oprávnění pomocí dostupných certifikátů a v příslušných případech porovnání zobrazení obličeje pořízeného uživatelem s cestovním dokladem nebo digitálním cestovním oprávněním;</w:t>
            </w:r>
          </w:p>
        </w:tc>
        <w:tc>
          <w:tcPr>
            <w:tcW w:w="4876" w:type="dxa"/>
            <w:tcBorders>
              <w:top w:val="nil"/>
              <w:left w:val="nil"/>
              <w:bottom w:val="nil"/>
              <w:right w:val="nil"/>
            </w:tcBorders>
          </w:tcPr>
          <w:p>
            <w:pPr>
              <w:pStyle w:val="Normal6a"/>
            </w:pPr>
            <w:r>
              <w:t>(b)</w:t>
            </w:r>
            <w:r>
              <w:tab/>
            </w:r>
            <w:r>
              <w:t xml:space="preserve">backendové validační služby, která zajišťuje potvrzení pravosti a integrity údajů </w:t>
            </w:r>
            <w:r>
              <w:rPr>
                <w:b/>
                <w:i/>
              </w:rPr>
              <w:t>na paměťovém médiu (čipu) nebo v digitálním cestovním</w:t>
            </w:r>
            <w:r>
              <w:t xml:space="preserve"> oprávnění pomocí dostupných certifikátů a v příslušných případech porovnání zobrazení obličeje pořízeného uživatelem s cestovním dokladem nebo digitálním cestovním oprávněním;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směrovače údajů cestujícího, který zajišťuje bezpečnou a šifrovanou komunikaci mezi mobilní aplikací a přijímacím orgánem.</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Zdrojový kód softwarových komponent digitální cestovní aplikace EU musí mít licenci otevřeného zdrojového kódu.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Osoby požívající právo na volný pohyb podle práva Unie, které jsou držiteli některého z následujících cestovních dokladů, si mohou s pomocí digitální cestovní aplikace EU vytvořit digitální cestovní oprávnění na základě tohoto cestovního dokladu pro jednorázové nebo vícenásobné použití:</w:t>
            </w:r>
          </w:p>
        </w:tc>
        <w:tc>
          <w:tcPr>
            <w:tcW w:w="4876" w:type="dxa"/>
            <w:tcBorders>
              <w:top w:val="nil"/>
              <w:left w:val="nil"/>
              <w:bottom w:val="nil"/>
              <w:right w:val="nil"/>
            </w:tcBorders>
          </w:tcPr>
          <w:p>
            <w:pPr>
              <w:pStyle w:val="Normal6a"/>
            </w:pPr>
            <w:r>
              <w:t>1.</w:t>
            </w:r>
            <w:r>
              <w:tab/>
            </w:r>
            <w:r>
              <w:t xml:space="preserve">Osoby požívající právo na volný pohyb podle práva Unie, které jsou </w:t>
            </w:r>
            <w:r>
              <w:rPr>
                <w:b/>
                <w:i/>
              </w:rPr>
              <w:t>starší 18 let a jsou</w:t>
            </w:r>
            <w:r>
              <w:t xml:space="preserve"> držiteli některého z následujících cestovních dokladů, si mohou s pomocí digitální cestovní aplikace EU vytvořit digitální cestovní oprávnění na základě tohoto cestovního dokladu pro jednorázové nebo vícenásobné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Digitální cestovní aplikace EU poskytuje možnost uložit digitální cestovní oprávnění pro vícenásobné použití do evropské peněženky digitální identity, na kterou se vztahují ustanovení nařízení (EU) č. 910/2014.</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Digitální cestovní aplikace EU poskytuje možnost uložit digitální cestovní oprávnění pro vícenásobné použití do evropské peněženky digitální identity</w:t>
            </w:r>
            <w:r>
              <w:rPr>
                <w:b/>
                <w:i/>
              </w:rPr>
              <w:t>, na kterou</w:t>
            </w:r>
            <w:r>
              <w:t xml:space="preserve"> se vztahují ustanovení nařízení (EU) č. 910/2014.</w:t>
            </w:r>
          </w:p>
        </w:tc>
        <w:tc>
          <w:tcPr>
            <w:tcW w:w="4876" w:type="dxa"/>
            <w:tcBorders>
              <w:top w:val="nil"/>
              <w:left w:val="nil"/>
              <w:bottom w:val="nil"/>
              <w:right w:val="nil"/>
            </w:tcBorders>
          </w:tcPr>
          <w:p>
            <w:pPr>
              <w:pStyle w:val="Normal6a"/>
            </w:pPr>
            <w:r>
              <w:t>2.</w:t>
            </w:r>
            <w:r>
              <w:tab/>
            </w:r>
            <w:r>
              <w:t xml:space="preserve">Digitální cestovní aplikace EU poskytuje možnost uložit digitální cestovní oprávnění pro vícenásobné použití do evropské peněženky digitální identity </w:t>
            </w:r>
            <w:r>
              <w:rPr>
                <w:b/>
                <w:i/>
              </w:rPr>
              <w:t>jako kvalifikovaná elektronická potvrzení atributů (QEAA), na která</w:t>
            </w:r>
            <w:r>
              <w:t xml:space="preserve"> se vztahují ustanovení </w:t>
            </w:r>
            <w:r>
              <w:rPr>
                <w:b/>
                <w:i/>
              </w:rPr>
              <w:t>čl. 3 odst. 45</w:t>
            </w:r>
            <w:r>
              <w:t xml:space="preserve"> nařízení (EU) č.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Digitální cestovní aplikace EU poskytuje možnost uložit digitální cestovní oprávnění pro vícenásobné použití do evropské peněženky digitální identity, na kterou se vztahují ustanovení nařízení (EU) č. 910/2014.</w:t>
            </w:r>
          </w:p>
        </w:tc>
        <w:tc>
          <w:tcPr>
            <w:tcW w:w="4876" w:type="dxa"/>
            <w:tcBorders>
              <w:top w:val="nil"/>
              <w:left w:val="nil"/>
              <w:bottom w:val="nil"/>
              <w:right w:val="nil"/>
            </w:tcBorders>
          </w:tcPr>
          <w:p>
            <w:pPr>
              <w:pStyle w:val="Normal6a"/>
            </w:pPr>
            <w:r>
              <w:t>2.</w:t>
            </w:r>
            <w:r>
              <w:tab/>
            </w:r>
            <w:r>
              <w:t xml:space="preserve">Digitální cestovní aplikace EU poskytuje možnost uložit </w:t>
            </w:r>
            <w:r>
              <w:rPr>
                <w:b/>
                <w:i/>
              </w:rPr>
              <w:t>po výslovném souhlasu dotčené osoby </w:t>
            </w:r>
            <w:r>
              <w:t>digitální cestovní oprávnění pro vícenásobné použití do evropské peněženky digitální identity, na kterou se vztahují ustanovení nařízení (EU) č.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 případě, že se pro účely cestování používá opakovaně použitelný digitální certifikát, musí být údaje v něm uvedené za účelem zvýšení bezpečnosti ověřeny před jakýmkoli dalším použitím.</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Státní příslušníci třetích zemí, kteří jsou držiteli cestovního dokladu obsahujícího paměťové médium, mohou za předpokladu, že jsou k dispozici platné certifikáty nezbytné pro kontrolu jeho pravosti, použít digitální cestovní aplikaci EU k vytvoření digitálního cestovního oprávnění pro jednorázové nebo vícenásobné použití.</w:t>
            </w:r>
          </w:p>
        </w:tc>
        <w:tc>
          <w:tcPr>
            <w:tcW w:w="4876" w:type="dxa"/>
            <w:tcBorders>
              <w:top w:val="nil"/>
              <w:left w:val="nil"/>
              <w:bottom w:val="nil"/>
              <w:right w:val="nil"/>
            </w:tcBorders>
          </w:tcPr>
          <w:p>
            <w:pPr>
              <w:pStyle w:val="Normal6a"/>
            </w:pPr>
            <w:r>
              <w:t>4.</w:t>
            </w:r>
            <w:r>
              <w:tab/>
            </w:r>
            <w:r>
              <w:t xml:space="preserve">Státní příslušníci třetích zemí, kteří jsou držiteli cestovního dokladu obsahujícího paměťové médium, mohou za předpokladu, že jsou k dispozici platné certifikáty nezbytné pro kontrolu jeho pravosti, použít digitální cestovní aplikaci EU k vytvoření digitálního cestovního oprávnění pro jednorázové nebo vícenásobné použití. </w:t>
            </w:r>
            <w:r>
              <w:rPr>
                <w:b/>
                <w:i/>
              </w:rPr>
              <w:t>Státní příslušníci třetích zemí mohou vytvářet digitální cestovní oprávnění pouze tehdy, mají-li jejich cestovní doklady úroveň zabezpečení, která je přinejmenším rovnocenná úrovni zabezpečení dokladů vydaných členskými státy Unie, včetně například spolehlivé technologie proti klonování.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Státní příslušníci třetích zemí, kteří jsou držiteli cestovního dokladu obsahujícího paměťové médium, </w:t>
            </w:r>
            <w:r>
              <w:rPr>
                <w:b/>
                <w:i/>
              </w:rPr>
              <w:t>mohou</w:t>
            </w:r>
            <w:r>
              <w:t xml:space="preserve"> za předpokladu, že jsou k dispozici platné certifikáty nezbytné pro kontrolu jeho pravosti, použít digitální cestovní aplikaci EU k vytvoření digitálního cestovního oprávnění pro jednorázové nebo vícenásobné použití.</w:t>
            </w:r>
          </w:p>
        </w:tc>
        <w:tc>
          <w:tcPr>
            <w:tcW w:w="4876" w:type="dxa"/>
            <w:tcBorders>
              <w:top w:val="nil"/>
              <w:left w:val="nil"/>
              <w:bottom w:val="nil"/>
              <w:right w:val="nil"/>
            </w:tcBorders>
          </w:tcPr>
          <w:p>
            <w:pPr>
              <w:pStyle w:val="Normal6a"/>
            </w:pPr>
            <w:r>
              <w:t>4.</w:t>
            </w:r>
            <w:r>
              <w:tab/>
            </w:r>
            <w:r>
              <w:t xml:space="preserve">Státní příslušníci třetích zemí, kteří jsou držiteli cestovního dokladu obsahujícího paměťové médium, </w:t>
            </w:r>
            <w:r>
              <w:rPr>
                <w:b/>
                <w:i/>
              </w:rPr>
              <w:t>musí</w:t>
            </w:r>
            <w:r>
              <w:t xml:space="preserve"> za předpokladu, že jsou k dispozici platné certifikáty nezbytné pro kontrolu jeho pravosti, </w:t>
            </w:r>
            <w:r>
              <w:rPr>
                <w:b/>
                <w:i/>
              </w:rPr>
              <w:t>mít možnost</w:t>
            </w:r>
            <w:r>
              <w:t xml:space="preserve"> použít digitální cestovní aplikaci EU k vytvoření digitálního cestovního oprávnění pro jednorázové nebo vícenásobné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Před vytvořením digitálního cestovního oprávnění podle odstavců 1 a 4 ověří digitální cestovní aplikace EU integritu a pravost paměťového média cestovního dokladu </w:t>
            </w:r>
            <w:r>
              <w:rPr>
                <w:b/>
                <w:i/>
              </w:rPr>
              <w:t>a porovná zobrazení obličeje osoby, která žádá o vytvoření digitálního cestovního oprávnění, se zobrazením obličeje uloženým na paměťovém médiu</w:t>
            </w:r>
            <w:r>
              <w:t>.</w:t>
            </w:r>
          </w:p>
        </w:tc>
        <w:tc>
          <w:tcPr>
            <w:tcW w:w="4876" w:type="dxa"/>
            <w:tcBorders>
              <w:top w:val="nil"/>
              <w:left w:val="nil"/>
              <w:bottom w:val="nil"/>
              <w:right w:val="nil"/>
            </w:tcBorders>
          </w:tcPr>
          <w:p>
            <w:pPr>
              <w:pStyle w:val="Normal6a"/>
            </w:pPr>
            <w:r>
              <w:t>5.</w:t>
            </w:r>
            <w:r>
              <w:tab/>
            </w:r>
            <w:r>
              <w:t>Před vytvořením digitálního cestovního oprávnění podle odstavců 1 a 4 ověří digitální cestovní aplikace EU integritu a pravost paměťového média cestovního dokladu.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Před vytvořením digitálního cestovního oprávnění podle odstavců 1 a 4 ověří digitální cestovní aplikace EU integritu a pravost paměťového média cestovního dokladu a porovná zobrazení obličeje osoby, která žádá o vytvoření digitálního cestovního oprávnění, se zobrazením obličeje uloženým na paměťovém médiu.</w:t>
            </w:r>
          </w:p>
        </w:tc>
        <w:tc>
          <w:tcPr>
            <w:tcW w:w="4876" w:type="dxa"/>
            <w:tcBorders>
              <w:top w:val="nil"/>
              <w:left w:val="nil"/>
              <w:bottom w:val="nil"/>
              <w:right w:val="nil"/>
            </w:tcBorders>
          </w:tcPr>
          <w:p>
            <w:pPr>
              <w:pStyle w:val="Normal6a"/>
            </w:pPr>
            <w:r>
              <w:t>5.</w:t>
            </w:r>
            <w:r>
              <w:tab/>
            </w:r>
            <w:r>
              <w:t>Před vytvořením digitálního cestovního oprávnění podle odstavců 1 a 4 ověří digitální cestovní aplikace EU integritu</w:t>
            </w:r>
            <w:r>
              <w:rPr>
                <w:b/>
                <w:i/>
              </w:rPr>
              <w:t>, platnost</w:t>
            </w:r>
            <w:r>
              <w:t xml:space="preserve"> a pravost paměťového média cestovního dokladu a porovná zobrazení obličeje osoby, která žádá o vytvoření digitálního cestovního oprávnění, se zobrazením obličeje uloženým na paměťovém médiu.</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Používání digitální cestovní aplikace EU a vytváření a používání digitálních cestovních oprávnění osobami požívajícími právo na volný pohyb podle práva Unie a státními příslušníky třetích zemí je dobrovolné a založené na jejich souhlasu.</w:t>
            </w:r>
          </w:p>
        </w:tc>
        <w:tc>
          <w:tcPr>
            <w:tcW w:w="4876" w:type="dxa"/>
            <w:tcBorders>
              <w:top w:val="nil"/>
              <w:left w:val="nil"/>
              <w:bottom w:val="nil"/>
              <w:right w:val="nil"/>
            </w:tcBorders>
          </w:tcPr>
          <w:p>
            <w:pPr>
              <w:pStyle w:val="Normal6a"/>
            </w:pPr>
            <w:r>
              <w:t>6.</w:t>
            </w:r>
            <w:r>
              <w:tab/>
            </w:r>
            <w:r>
              <w:t xml:space="preserve">Používání digitální cestovní aplikace EU a vytváření a používání digitálních cestovních oprávnění osobami požívajícími právo na volný pohyb podle práva Unie a státními příslušníky třetích zemí je dobrovolné a založené na jejich souhlasu. </w:t>
            </w:r>
            <w:r>
              <w:rPr>
                <w:b/>
                <w:i/>
              </w:rPr>
              <w:t>Rozhodnutí cestujícího nevyužít digitální cestovní aplikaci EU nesmí vést k žádné formě diskriminačního zacházení..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Používání digitální cestovní aplikace EU a vytváření a používání digitálních cestovních oprávnění osobami požívajícími právo na volný pohyb podle práva Unie a státními příslušníky třetích zemí je dobrovolné a založené na jejich souhlasu.</w:t>
            </w:r>
          </w:p>
        </w:tc>
        <w:tc>
          <w:tcPr>
            <w:tcW w:w="4876" w:type="dxa"/>
            <w:tcBorders>
              <w:top w:val="nil"/>
              <w:left w:val="nil"/>
              <w:bottom w:val="nil"/>
              <w:right w:val="nil"/>
            </w:tcBorders>
          </w:tcPr>
          <w:p>
            <w:pPr>
              <w:pStyle w:val="Normal6a"/>
            </w:pPr>
            <w:r>
              <w:t>6.</w:t>
            </w:r>
            <w:r>
              <w:tab/>
            </w:r>
            <w:r>
              <w:t xml:space="preserve">Používání digitální cestovní aplikace EU a vytváření a používání digitálních cestovních oprávnění osobami požívajícími právo na volný pohyb podle práva Unie a státními příslušníky třetích zemí je dobrovolné a založené na jejich souhlasu. </w:t>
            </w:r>
            <w:r>
              <w:rPr>
                <w:b/>
                <w:i/>
              </w:rPr>
              <w:t>Jakékoli věkové omezení takového používání se stanoví na základě vnitrostátních právních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Používání digitální cestovní aplikace EU a vytváření a používání digitálních cestovních oprávnění osobami požívajícími právo na volný pohyb podle práva Unie a státními příslušníky třetích zemí je dobrovolné a založené na jejich souhlasu.</w:t>
            </w:r>
          </w:p>
        </w:tc>
        <w:tc>
          <w:tcPr>
            <w:tcW w:w="4876" w:type="dxa"/>
            <w:tcBorders>
              <w:top w:val="nil"/>
              <w:left w:val="nil"/>
              <w:bottom w:val="nil"/>
              <w:right w:val="nil"/>
            </w:tcBorders>
          </w:tcPr>
          <w:p>
            <w:pPr>
              <w:pStyle w:val="Normal6a"/>
            </w:pPr>
            <w:r>
              <w:t>6.</w:t>
            </w:r>
            <w:r>
              <w:tab/>
            </w:r>
            <w:r>
              <w:t xml:space="preserve">Používání digitální cestovní aplikace EU a vytváření a používání digitálních cestovních oprávnění osobami požívajícími právo na volný pohyb podle práva Unie a státními příslušníky třetích zemí je </w:t>
            </w:r>
            <w:r>
              <w:rPr>
                <w:b/>
                <w:i/>
              </w:rPr>
              <w:t>naprosto</w:t>
            </w:r>
            <w:r>
              <w:t xml:space="preserve"> dobrovolné a založené na jejich souhlasu.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Rozhodnutí cestujícího nevyužít digitální cestovní aplikaci EU nemá za následek žádnou diskriminaci ani praktické omezení tohoto cestujícího.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Používáním digitální cestovní aplikace EU není dotčeno použití čl. 6 odst. 5 nařízení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Digitální cestovní oprávnění vytvořená podle tohoto článku nezahrnují otisky prstů držitele.</w:t>
            </w:r>
          </w:p>
        </w:tc>
        <w:tc>
          <w:tcPr>
            <w:tcW w:w="4876" w:type="dxa"/>
            <w:tcBorders>
              <w:top w:val="nil"/>
              <w:left w:val="nil"/>
              <w:bottom w:val="nil"/>
              <w:right w:val="nil"/>
            </w:tcBorders>
          </w:tcPr>
          <w:p>
            <w:pPr>
              <w:pStyle w:val="Normal6a"/>
            </w:pPr>
            <w:r>
              <w:t>7.</w:t>
            </w:r>
            <w:r>
              <w:tab/>
            </w:r>
            <w:r>
              <w:t xml:space="preserve">Digitální cestovní oprávnění vytvořená podle tohoto článku nezahrnují otisky prstů </w:t>
            </w:r>
            <w:r>
              <w:rPr>
                <w:b/>
                <w:i/>
              </w:rPr>
              <w:t>ani zobrazení obličeje</w:t>
            </w:r>
            <w:r>
              <w:t xml:space="preserve"> držitele.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5</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Cestovní údaje, které mají cestující předložit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Cestovní údaje tvoří tyto údaje týkající se každé cestující osoby:</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digitální cestovní oprávnění ve smyslu čl. 2 bodu 31 nařízení (EU)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předpokládané datum a čas příjezdu nebo odjezdu;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členský stát, v němž se překračuje vnější hranice.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Cestovní údaje mohou v příslušných případech obsahovat také následující informace týkající se každého cestujícího: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identifikační číslo letu, registrační číslo výletní lodi, identifikační číslo lodi a registrační číslo vozidla;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dokumenty odůvodňující účel a podmínky předpokládaného pobytu, jak vyžaduje článek 6 nařízení (EU)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Cestovní údaje jsou v každém případě omezeny na údaje, které jsou nezbytné pro účely provádění hraničních kontrol v souladu s nařízením (EU)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dopravní prostředek, kterým se překračuje vnější hranice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Cestovní údaje </w:t>
            </w:r>
            <w:r>
              <w:rPr>
                <w:b/>
                <w:i/>
              </w:rPr>
              <w:t>mohou v příslušných případech obsahovat také následující informace týkající se každého cestujícího:</w:t>
            </w:r>
          </w:p>
        </w:tc>
        <w:tc>
          <w:tcPr>
            <w:tcW w:w="4876" w:type="dxa"/>
            <w:tcBorders>
              <w:top w:val="nil"/>
              <w:left w:val="nil"/>
              <w:bottom w:val="nil"/>
              <w:right w:val="nil"/>
            </w:tcBorders>
          </w:tcPr>
          <w:p>
            <w:pPr>
              <w:pStyle w:val="Normal6a"/>
            </w:pPr>
            <w:r>
              <w:t>2.</w:t>
            </w:r>
            <w:r>
              <w:tab/>
            </w:r>
            <w:r>
              <w:t xml:space="preserve">Cestovní údaje </w:t>
            </w:r>
            <w:r>
              <w:rPr>
                <w:b/>
                <w:i/>
              </w:rPr>
              <w:t>případně rovněž sestávají z dokladů odůvodňujících účel a podmínky zamýšleného pobytu, jak to vyžaduje článek 6 nařízení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identifikační číslo letu, registrační číslo výletní lodi, identifikační číslo lodi a registrační číslo vozidla;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identifikační číslo letu, registrační číslo výletní lodi, identifikační číslo lodi </w:t>
            </w:r>
            <w:r>
              <w:rPr>
                <w:b/>
                <w:i/>
              </w:rPr>
              <w:t>a registrační číslo vozidla</w:t>
            </w:r>
            <w:r>
              <w:t>;</w:t>
            </w:r>
          </w:p>
        </w:tc>
        <w:tc>
          <w:tcPr>
            <w:tcW w:w="4876" w:type="dxa"/>
            <w:tcBorders>
              <w:top w:val="nil"/>
              <w:left w:val="nil"/>
              <w:bottom w:val="nil"/>
              <w:right w:val="nil"/>
            </w:tcBorders>
          </w:tcPr>
          <w:p>
            <w:pPr>
              <w:pStyle w:val="Normal6a"/>
            </w:pPr>
            <w:r>
              <w:rPr>
                <w:b/>
                <w:i/>
              </w:rPr>
              <w:t>a)</w:t>
            </w:r>
            <w:r>
              <w:tab/>
            </w:r>
            <w:r>
              <w:t>identifikační číslo letu, registrační číslo výletní lodi, identifikační číslo lodi;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Cestovní údaje jsou v každém případě omezeny na údaje, které jsou nezbytné pro účely provádění hraničních kontrol v souladu s nařízením (EU) 2016/399.</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Cestovní údaje jsou v každém případě omezeny na údaje, které jsou nezbytné pro účely provádění hraničních kontrol v souladu s nařízením (EU) 2016/399.</w:t>
            </w:r>
          </w:p>
        </w:tc>
        <w:tc>
          <w:tcPr>
            <w:tcW w:w="4876" w:type="dxa"/>
            <w:tcBorders>
              <w:top w:val="nil"/>
              <w:left w:val="nil"/>
              <w:bottom w:val="nil"/>
              <w:right w:val="nil"/>
            </w:tcBorders>
          </w:tcPr>
          <w:p>
            <w:pPr>
              <w:pStyle w:val="Normal6a"/>
            </w:pPr>
            <w:r>
              <w:t>3.</w:t>
            </w:r>
            <w:r>
              <w:tab/>
            </w:r>
            <w:r>
              <w:t xml:space="preserve">Cestovní údaje jsou v každém případě </w:t>
            </w:r>
            <w:r>
              <w:rPr>
                <w:b/>
                <w:i/>
              </w:rPr>
              <w:t>přísně</w:t>
            </w:r>
            <w:r>
              <w:t xml:space="preserve"> omezeny na údaje, které jsou nezbytné </w:t>
            </w:r>
            <w:r>
              <w:rPr>
                <w:b/>
                <w:i/>
              </w:rPr>
              <w:t>a přiměřené</w:t>
            </w:r>
            <w:r>
              <w:t xml:space="preserve"> pro účely provádění hraničních kontrol v souladu s nařízením (EU) 2016/399. </w:t>
            </w:r>
            <w:r>
              <w:rPr>
                <w:b/>
                <w:i/>
              </w:rPr>
              <w:t>Žádné další osobní nebo lokalizační údaje nelze požadovat ani zpracovávat.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Cestovní údaje mohou být předloženy podle přání cestujícího, nejdříve však 12 měsíců před zamýšleným příjezdem nebo odjezdem.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Cestovní údaje se předkládají nejdříve 48 hodin před plánovaným příjezdem nebo odjezdem.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6</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Předávání cestovních údajů příslušným pohraničním orgánům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Směrovač údajů cestujícího předá cestovní údaje, které předloží cestující, příslušnému pohraničnímu orgánu v souladu s technickými specifikacemi přijatými podle čl. 16 odst. 1 písm.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Členské státy určí příslušné pohraniční orgány oprávněné přijímat cestovní údaje, které jim jsou předávány ze směrovače údajů cestujícího v souladu s tímto nařízením.</w:t>
            </w:r>
            <w:r>
              <w:rPr>
                <w:b/>
                <w:i/>
              </w:rPr>
              <w:t xml:space="preserve"> </w:t>
            </w:r>
            <w:r>
              <w:rPr>
                <w:b/>
                <w:i/>
              </w:rPr>
              <w:t>Do [zahájení provozu digitální cestovní aplikace EU] oznámí agentuře eu-LISA název a kontaktní údaje příslušných pohraničních orgánů a v případě potřeby oznámené informace aktualizují.</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Směrovač údajů cestujícího předá cestovní údaje, které předloží cestující, příslušnému pohraničnímu orgánu v souladu s technickými specifikacemi přijatými </w:t>
            </w:r>
            <w:r>
              <w:rPr>
                <w:b/>
                <w:i/>
              </w:rPr>
              <w:t>podle</w:t>
            </w:r>
            <w:r>
              <w:t xml:space="preserve"> čl. 16 odst. 1 písm.</w:t>
            </w:r>
            <w:r>
              <w:rPr>
                <w:b/>
                <w:i/>
              </w:rPr>
              <w:t xml:space="preserve"> a)</w:t>
            </w:r>
            <w:r>
              <w:t>.</w:t>
            </w:r>
          </w:p>
        </w:tc>
        <w:tc>
          <w:tcPr>
            <w:tcW w:w="4876" w:type="dxa"/>
            <w:tcBorders>
              <w:top w:val="nil"/>
              <w:left w:val="nil"/>
              <w:bottom w:val="nil"/>
              <w:right w:val="nil"/>
            </w:tcBorders>
          </w:tcPr>
          <w:p>
            <w:pPr>
              <w:pStyle w:val="Normal6a"/>
            </w:pPr>
            <w:r>
              <w:t>1.</w:t>
            </w:r>
            <w:r>
              <w:tab/>
            </w:r>
            <w:r>
              <w:t>Směrovač údajů cestujícího předá cestovní údaje, které předloží cestující, příslušnému pohraničnímu orgánu</w:t>
            </w:r>
            <w:r>
              <w:rPr>
                <w:b/>
                <w:i/>
              </w:rPr>
              <w:t>.</w:t>
            </w:r>
            <w:r>
              <w:t xml:space="preserve"> </w:t>
            </w:r>
            <w:r>
              <w:rPr>
                <w:b/>
                <w:i/>
              </w:rPr>
              <w:t>Tyto údaje předává okamžitě a automatizovaně, aniž by jakkoli měnil jejich obsah, a</w:t>
            </w:r>
            <w:r>
              <w:t xml:space="preserve"> v souladu s technickými specifikacemi přijatými </w:t>
            </w:r>
            <w:r>
              <w:rPr>
                <w:b/>
                <w:i/>
              </w:rPr>
              <w:t>v souladu s</w:t>
            </w:r>
            <w:r>
              <w:t xml:space="preserve"> čl. 16 odst. 1 písm.</w:t>
            </w:r>
            <w:r>
              <w:rPr>
                <w:b/>
                <w:i/>
              </w:rPr>
              <w:t>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Členské státy určí příslušné pohraniční orgány oprávněné přijímat cestovní údaje, které jim jsou předávány ze směrovače údajů cestujícího v souladu s tímto nařízením. Do [zahájení provozu digitální cestovní aplikace EU] oznámí agentuře eu-LISA název a kontaktní údaje příslušných pohraničních orgánů a v případě potřeby </w:t>
            </w:r>
            <w:r>
              <w:rPr>
                <w:b/>
                <w:i/>
              </w:rPr>
              <w:t>oznámené informace aktualizují</w:t>
            </w:r>
            <w:r>
              <w:t>.</w:t>
            </w:r>
          </w:p>
        </w:tc>
        <w:tc>
          <w:tcPr>
            <w:tcW w:w="4876" w:type="dxa"/>
            <w:tcBorders>
              <w:top w:val="nil"/>
              <w:left w:val="nil"/>
              <w:bottom w:val="nil"/>
              <w:right w:val="nil"/>
            </w:tcBorders>
          </w:tcPr>
          <w:p>
            <w:pPr>
              <w:pStyle w:val="Normal6a"/>
            </w:pPr>
            <w:r>
              <w:t>2.</w:t>
            </w:r>
            <w:r>
              <w:tab/>
            </w:r>
            <w:r>
              <w:t xml:space="preserve">Členské státy určí příslušné pohraniční orgány oprávněné přijímat cestovní údaje, které jim jsou předávány ze směrovače údajů cestujícího v souladu s tímto nařízením. Do [zahájení provozu digitální cestovní aplikace EU] oznámí agentuře eu-LISA </w:t>
            </w:r>
            <w:r>
              <w:rPr>
                <w:b/>
                <w:i/>
              </w:rPr>
              <w:t>a Komisi</w:t>
            </w:r>
            <w:r>
              <w:t xml:space="preserve"> název a kontaktní údaje příslušných pohraničních orgánů a v případě potřeby </w:t>
            </w:r>
            <w:r>
              <w:rPr>
                <w:b/>
                <w:i/>
              </w:rPr>
              <w:t>oznámí agentuře eu-LISA a Komisi veškeré aktualizace těchto informací.</w:t>
            </w:r>
            <w:r>
              <w:t xml:space="preserve"> </w:t>
            </w:r>
            <w:r>
              <w:rPr>
                <w:b/>
                <w:i/>
              </w:rPr>
              <w:t>Komise na základě těchto oznámení a aktualizací sestaví a zveřejní seznam oznámených příslušných pohraničních orgánů, včetně jejich kontaktních údajů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Směrovač údajů cestujícího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Směrovač se skládá z centrální infrastruktury, včetně souboru technických prvků umožňujících příjem a přenos údajů o cestujících šifrovaných mezi koncovými body, a ze zabezpečeného komunikačního kanálu mezi ústřední infrastrukturou a příslušnými pohraničními orgány.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Agentura eu-LISA zajišťuje, aby byl směrovač údajů cestujícího navržen a vyvinut tak, aby poskytoval funkce uvedené v tomto nařízení.</w:t>
            </w:r>
            <w:r>
              <w:t xml:space="preserve"> </w:t>
            </w:r>
            <w:r>
              <w:rPr>
                <w:b/>
                <w:i/>
              </w:rPr>
              <w:t>Směrovač se tam, kde je to vhodné a pokud je to technicky možné, vybuduje analogicky se směrovačem uvedeným v nařízení (EU) 2024/... [nařízení o API] čl. 11 odst. 3, pokud jde o opětovné použití technických součástí a webové služby.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3.Agentura eu-LISA provozuje směrovač údajů cestujícího ve svých technických prostorách.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Agentura eu-LISA odpovídá za technickou správu směrovače, včetně jeho údržby a technického vývoje, a to takovým způsobem, aby bylo zajištěno, že údaje budou přes směrovač údajů cestujícího přenášeny zabezpečeným, účinným a rychlým způsobem v souladu s tímto nařízením.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5.Pracovníci agentury eu-LISA nemají přístup k žádným údajům přenášeným prostřednictvím směrovače údajů cestujícího.</w:t>
            </w:r>
            <w:r>
              <w:t xml:space="preserve"> </w:t>
            </w:r>
            <w:r>
              <w:rPr>
                <w:b/>
                <w:i/>
              </w:rPr>
              <w:t>Tento zákaz však pracovníkům agentury eu-LISA v přístupu k těmto údajům nebrání, je-li tento přístup nezbytně nutný pro údržbu a technickou správu směrovače údajů cestujícího.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Směrovač v souladu s čl. 16 odst. 1b tohoto nařízení údaje automaticky vyjímá a poskytuje je centrálnímu úložišti pro podávání zpráv a statistiky (CRRS) zřízenému podle článku 39 nařízení (EU) 2019/818.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7.Agentura eu-LISA poskytuje příslušným orgánům členských států na jejich žádost odbornou přípravu v oblasti technického používání směrovače a jejich připojení ke směrovači údajů cestujícího a integrace s ním.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Technické specifikace směrovače údajů cestujícího se přijímají v souladu s čl. 16 odst. 1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Příslušné pohraniční orgány jsou správci údajů ve smyslu čl. 4 bodu 7 nařízení (EU) 2016/679, pokud jde o zpracování cestovních údajů, které představují osobní údaje </w:t>
            </w:r>
            <w:r>
              <w:rPr>
                <w:b/>
                <w:i/>
              </w:rPr>
              <w:t>a které byly získány prostřednictvím směrovače údajů cestujícího</w:t>
            </w:r>
            <w:r>
              <w:t>.</w:t>
            </w:r>
          </w:p>
        </w:tc>
        <w:tc>
          <w:tcPr>
            <w:tcW w:w="4876" w:type="dxa"/>
            <w:tcBorders>
              <w:top w:val="nil"/>
              <w:left w:val="nil"/>
              <w:bottom w:val="nil"/>
              <w:right w:val="nil"/>
            </w:tcBorders>
          </w:tcPr>
          <w:p>
            <w:pPr>
              <w:pStyle w:val="Normal6a"/>
            </w:pPr>
            <w:r>
              <w:t>1.</w:t>
            </w:r>
            <w:r>
              <w:tab/>
            </w:r>
            <w:r>
              <w:t>Příslušné pohraniční orgány jsou správci údajů ve smyslu čl. 4 bodu 7 nařízení (EU) 2016/679, pokud jde o zpracování cestovních údajů, které představují osobní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Agentura eu-LISA je zpracovatelem údajů ve smyslu čl. 3 bodu 12 nařízení (EU) 2018/1725, pokud jde o zpracování cestovních údajů, které představují osobní údaje, </w:t>
            </w:r>
            <w:r>
              <w:rPr>
                <w:b/>
                <w:i/>
              </w:rPr>
              <w:t>v mobilní aplikaci a</w:t>
            </w:r>
            <w:r>
              <w:t xml:space="preserve"> prostřednictvím směrovače údajů cestujícího. Agentura eu-LISA je správcem údajů ve smyslu čl. 3 bodu 9 nařízení (EU) 2018/1725, pokud jde o zpracování cestovních údajů prostřednictvím backendové validační služby.</w:t>
            </w:r>
          </w:p>
        </w:tc>
        <w:tc>
          <w:tcPr>
            <w:tcW w:w="4876" w:type="dxa"/>
            <w:tcBorders>
              <w:top w:val="nil"/>
              <w:left w:val="nil"/>
              <w:bottom w:val="nil"/>
              <w:right w:val="nil"/>
            </w:tcBorders>
          </w:tcPr>
          <w:p>
            <w:pPr>
              <w:pStyle w:val="Normal6a"/>
            </w:pPr>
            <w:r>
              <w:t>3.</w:t>
            </w:r>
            <w:r>
              <w:tab/>
            </w:r>
            <w:r>
              <w:t xml:space="preserve">Agentura eu-LISA je zpracovatelem údajů ve smyslu čl. 3 bodu 12 nařízení (EU) 2018/1725, pokud jde o zpracování cestovních údajů, které představují osobní údaje, prostřednictvím směrovače údajů cestujícího. Agentura eu-LISA je správcem údajů ve smyslu čl. 3 bodu 9 nařízení (EU) 2018/1725, pokud jde o zpracování cestovních údajů </w:t>
            </w:r>
            <w:r>
              <w:rPr>
                <w:b/>
                <w:i/>
              </w:rPr>
              <w:t>v mobilní aplikaci a</w:t>
            </w:r>
            <w:r>
              <w:t xml:space="preserve"> prostřednictvím backendové validační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Agentura eu-LISA je zpracovatelem údajů ve smyslu čl. 3 bodu 12 nařízení (EU) 2018/1725, pokud jde o zpracování cestovních údajů, které představují osobní údaje, v mobilní aplikaci </w:t>
            </w:r>
            <w:r>
              <w:rPr>
                <w:b/>
                <w:i/>
              </w:rPr>
              <w:t>a prostřednictvím směrovače údajů cestujícího</w:t>
            </w:r>
            <w:r>
              <w:t>. Agentura eu-LISA je správcem údajů ve smyslu čl. 3 bodu 9 nařízení (EU) 2018/1725, pokud jde o zpracování cestovních údajů prostřednictvím backendové validační služby.</w:t>
            </w:r>
          </w:p>
        </w:tc>
        <w:tc>
          <w:tcPr>
            <w:tcW w:w="4876" w:type="dxa"/>
            <w:tcBorders>
              <w:top w:val="nil"/>
              <w:left w:val="nil"/>
              <w:bottom w:val="nil"/>
              <w:right w:val="nil"/>
            </w:tcBorders>
          </w:tcPr>
          <w:p>
            <w:pPr>
              <w:pStyle w:val="Normal6a"/>
            </w:pPr>
            <w:r>
              <w:t>3.</w:t>
            </w:r>
            <w:r>
              <w:tab/>
            </w:r>
            <w:r>
              <w:t>Agentura eu-LISA je zpracovatelem údajů ve smyslu čl. 3 bodu 12 nařízení (EU) 2018/1725, pokud jde o zpracování cestovních údajů, které představují osobní údaje, v mobilní aplikaci. Agentura eu-LISA je správcem údajů ve smyslu čl. 3 bodu 9 nařízení (EU) 2018/1725, pokud jde o zpracování cestovních údajů prostřednictvím backendové validační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 souladu s článkem 29 nařízení 2018/1725 agentura eu-LISA, jedná-li jako zpracovatel v souladu s odstavcem 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nezapojuje jiného zpracovatele;</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nepředává žádné osobní údaje do třetí země nebo mezinárodní organizaci.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 backendové validační službě ani ve směrovači údajů cestujícího se neukládají žádné osobní údaje nad rámec údajů nezbytných pro vytvoření digitálního cestovního oprávnění a předání cestovních údajů příslušným pohraničním orgánům.</w:t>
            </w:r>
          </w:p>
        </w:tc>
        <w:tc>
          <w:tcPr>
            <w:tcW w:w="4876" w:type="dxa"/>
            <w:tcBorders>
              <w:top w:val="nil"/>
              <w:left w:val="nil"/>
              <w:bottom w:val="nil"/>
              <w:right w:val="nil"/>
            </w:tcBorders>
          </w:tcPr>
          <w:p>
            <w:pPr>
              <w:pStyle w:val="Normal6a"/>
            </w:pPr>
            <w:r>
              <w:t>4.</w:t>
            </w:r>
            <w:r>
              <w:tab/>
            </w:r>
            <w:r>
              <w:t xml:space="preserve">V backendové validační službě ani ve směrovači údajů cestujícího se neukládají žádné osobní údaje nad rámec údajů nezbytných pro vytvoření digitálního cestovního oprávnění a předání cestovních údajů příslušným pohraničním orgánům. </w:t>
            </w:r>
            <w:r>
              <w:rPr>
                <w:b/>
                <w:i/>
              </w:rPr>
              <w:t>Veškeré osobní údaje, včetně biometrických šablon a zobrazení obličeje, se vymažou okamžitě a trvale poté, co byl cestujícímu povolen vstup, nebo po 48 hodinách po přijetí rozhodnutí o odepření vstupu.</w:t>
            </w:r>
            <w:r>
              <w:t xml:space="preserve"> </w:t>
            </w:r>
            <w:r>
              <w:rPr>
                <w:b/>
                <w:i/>
              </w:rPr>
              <w:t>Evropský inspektor ochrany údajů má právo na přístup k protokolům, auditním záznamům a konfiguracím systému za účelem ověření souladu s předpisy.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 backendové validační službě ani ve směrovači údajů cestujícího se neukládají žádné osobní údaje nad rámec údajů nezbytných pro vytvoření digitálního cestovního oprávnění a předání cestovních údajů příslušným pohraničním orgánům.</w:t>
            </w:r>
          </w:p>
        </w:tc>
        <w:tc>
          <w:tcPr>
            <w:tcW w:w="4876" w:type="dxa"/>
            <w:tcBorders>
              <w:top w:val="nil"/>
              <w:left w:val="nil"/>
              <w:bottom w:val="nil"/>
              <w:right w:val="nil"/>
            </w:tcBorders>
          </w:tcPr>
          <w:p>
            <w:pPr>
              <w:pStyle w:val="Normal6a"/>
            </w:pPr>
            <w:r>
              <w:t>4.</w:t>
            </w:r>
            <w:r>
              <w:tab/>
            </w:r>
            <w:r>
              <w:t xml:space="preserve">V backendové validační službě ani ve směrovači údajů cestujícího se neukládají žádné osobní údaje nad rámec údajů nezbytných pro vytvoření digitálního cestovního oprávnění a předání cestovních údajů příslušným pohraničním orgánům. </w:t>
            </w:r>
            <w:r>
              <w:rPr>
                <w:b/>
                <w:i/>
              </w:rPr>
              <w:t>Žádné údaje nejsou na úrovni EU uchovávány.</w:t>
            </w:r>
            <w:r>
              <w:t xml:space="preserve"> </w:t>
            </w:r>
            <w:r>
              <w:rPr>
                <w:b/>
                <w:i/>
              </w:rPr>
              <w:t>Příslušné pohraniční orgány vymažou údaje o cestování obdržené digitálně od cestujícího bezprostředně po jeho překročení hranic.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 backendové validační službě </w:t>
            </w:r>
            <w:r>
              <w:rPr>
                <w:b/>
                <w:i/>
              </w:rPr>
              <w:t>ani ve směrovači údajů cestujícího</w:t>
            </w:r>
            <w:r>
              <w:t xml:space="preserve"> se neukládají žádné osobní údaje nad rámec údajů nezbytných pro vytvoření digitálního cestovního oprávnění </w:t>
            </w:r>
            <w:r>
              <w:rPr>
                <w:b/>
                <w:i/>
              </w:rPr>
              <w:t>a předání cestovních údajů příslušným pohraničním orgánům</w:t>
            </w:r>
            <w:r>
              <w:t>.</w:t>
            </w:r>
          </w:p>
        </w:tc>
        <w:tc>
          <w:tcPr>
            <w:tcW w:w="4876" w:type="dxa"/>
            <w:tcBorders>
              <w:top w:val="nil"/>
              <w:left w:val="nil"/>
              <w:bottom w:val="nil"/>
              <w:right w:val="nil"/>
            </w:tcBorders>
          </w:tcPr>
          <w:p>
            <w:pPr>
              <w:pStyle w:val="Normal6a"/>
            </w:pPr>
            <w:r>
              <w:t>4.</w:t>
            </w:r>
            <w:r>
              <w:tab/>
            </w:r>
            <w:r>
              <w:t xml:space="preserve">V backendové validační službě se neukládají žádné osobní údaje nad rámec údajů </w:t>
            </w:r>
            <w:r>
              <w:rPr>
                <w:b/>
                <w:i/>
              </w:rPr>
              <w:t>přísně</w:t>
            </w:r>
            <w:r>
              <w:t xml:space="preserve"> nezbytných pro vytvoření digitálního cestovního oprávnění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 backendové validační službě ani ve směrovači údajů cestujícího se </w:t>
            </w:r>
            <w:r>
              <w:rPr>
                <w:b/>
                <w:i/>
              </w:rPr>
              <w:t>neukládají</w:t>
            </w:r>
            <w:r>
              <w:t xml:space="preserve"> žádné osobní údaje nad rámec údajů nezbytných pro vytvoření digitálního cestovního oprávnění a předání cestovních údajů příslušným pohraničním orgánům.</w:t>
            </w:r>
          </w:p>
        </w:tc>
        <w:tc>
          <w:tcPr>
            <w:tcW w:w="4876" w:type="dxa"/>
            <w:tcBorders>
              <w:top w:val="nil"/>
              <w:left w:val="nil"/>
              <w:bottom w:val="nil"/>
              <w:right w:val="nil"/>
            </w:tcBorders>
          </w:tcPr>
          <w:p>
            <w:pPr>
              <w:pStyle w:val="Normal6a"/>
            </w:pPr>
            <w:r>
              <w:t>4.</w:t>
            </w:r>
            <w:r>
              <w:tab/>
            </w:r>
            <w:r>
              <w:t xml:space="preserve">V backendové validační službě ani ve směrovači údajů cestujícího se </w:t>
            </w:r>
            <w:r>
              <w:rPr>
                <w:b/>
                <w:i/>
              </w:rPr>
              <w:t>nezpracovávají</w:t>
            </w:r>
            <w:r>
              <w:t xml:space="preserve"> žádné osobní údaje nad rámec údajů nezbytných pro vytvoření digitálního cestovního oprávnění a předání cestovních údajů příslušným pohraničním orgánům.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EU-Lisa a pohraniční orgány členských států oprávněné přijímat cestovní údaje, které jim byly předány ze směrovače údajů cestujícího, podstoupí alespoň jednou za dva roky nezávislý audit ochrany údajů provedený evropským inspektorem ochrany údajů s cílem zajistit, aby všechny osobní údaje předložené prostřednictvím digitální cestovní aplikace EU byly uchovávány pouze po minimální nezbytnou dobu a aby cestující mohli uplatňovat svá práva podle článků 15–22 nařízení (EU) 2016/679 ve vztahu k veškerým údajům zpracovávaným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Uživatelé digitální cestovní aplikace EU mají možnost kdykoli odvolat svůj souhlas se zpracováním svých osobních údajů v digitální cestovní aplikaci EU.</w:t>
            </w:r>
          </w:p>
        </w:tc>
        <w:tc>
          <w:tcPr>
            <w:tcW w:w="4876" w:type="dxa"/>
            <w:tcBorders>
              <w:top w:val="nil"/>
              <w:left w:val="nil"/>
              <w:bottom w:val="nil"/>
              <w:right w:val="nil"/>
            </w:tcBorders>
          </w:tcPr>
          <w:p>
            <w:pPr>
              <w:pStyle w:val="Normal6a"/>
            </w:pPr>
            <w:r>
              <w:t>5.</w:t>
            </w:r>
            <w:r>
              <w:tab/>
            </w:r>
            <w:r>
              <w:t>Uživatelé digitální cestovní aplikace EU mají možnost kdykoli odvolat svůj souhlas se zpracováním svých osobních údajů v digitální cestovní aplikaci EU</w:t>
            </w:r>
            <w:r>
              <w:rPr>
                <w:b/>
                <w:i/>
              </w:rPr>
              <w:t>, aniž by tím byli poškozeni. Po odvolání souhlasu se veškeré osobní údaje, včetně biometrických údajů poskytnutých nebo zpracovávaných prostřednictvím žádosti, nevratně vymažou ze všech úložišť bez zbytečného odkladu, není-li jejich uchovávání vyžadováno právními předpisy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Příslušné pohraniční orgány automaticky vymažou údaje cestujícího obdržené v souladu s tímto nařízením ze své databáze ihned po provedení hraniční kontroly.</w:t>
            </w:r>
            <w:r>
              <w:t xml:space="preserve"> </w:t>
            </w:r>
            <w:r>
              <w:rPr>
                <w:b/>
                <w:i/>
              </w:rPr>
              <w:t>V případě, že údaje cestujícího byly obdrženy před hraniční kontrolou a dotčená osoba se na hraniční přechod nedostaví, vymažou příslušné pohraniční orgány automaticky údaje cestujícího 12 hodin po předpokládaném datu a čase jeho příjezdu nebo odjezdu.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Žádný cestující nesmí být z procesního ani praktického hlediska znevýhodněn na základě nepoužívání digitálního cestovního oprávnění, zejména pokud jde o dobu vyřizování (přechodu hranic), řízení front na hranicích nebo přístup ke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Zpracování osobních údajů příslušnými orgány v souladu s tímto nařízením nesmí vést k diskriminaci osob na základě pohlaví a genderu, rasy, barvy pleti, etnického nebo sociálního původu, genetických rysů, jazyka, náboženského vyznání nebo přesvědčení, politických názorů či jakýchkoli jiných názorů, příslušnosti k národnostní menšině, majetku, narození, zdravotního postižení, věku nebo sexuální orientace.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Mobilní aplikace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Mobilní aplikace uvedená v čl. 3 písm. a) umožňuje vytváření a předkládání digitálních cestovních oprávnění pro jednotlivé nebo vícenásobné použití.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Mobilní aplikace má záměrnou ochranu osobních údajů, přičemž zohledňuje nejnovější poznatky v oblasti zabezpečení a bezpečnosti údajů, které obsahuje.</w:t>
            </w:r>
            <w:r>
              <w:t xml:space="preserve"> </w:t>
            </w:r>
            <w:r>
              <w:rPr>
                <w:b/>
                <w:i/>
              </w:rPr>
              <w:t>Používání mobilní aplikace podléhá vysokým bezpečnostním standardům, aby byl vyloučen jakýkoli neoprávněný přístup nebo použití.</w:t>
            </w:r>
            <w:r>
              <w:t xml:space="preserve"> </w:t>
            </w:r>
            <w:r>
              <w:rPr>
                <w:b/>
                <w:i/>
              </w:rPr>
              <w:t>Aplikace neumožní přístup žádné třetí straně, a to ani prostřednictvím nástrojů pro vývoj vestavěného softwaru, pluginů nebo zabudovaných knihoven umožňujících přístup k jakýmkoli osobním nebo technickým údajům v aplikaci nebo vytvořených touto aplikací či jejich zpracování, přenos nebo přijímání.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Používání šifrování„end-to-end“ by mělo být povinné pro každé předání údajů prostřednictvím aplikace, aby se zohledňovala citlivost dotčených údajů.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Mobilní aplikace je pro uživatele snadno dostupná a bezplatná.</w:t>
            </w:r>
            <w:r>
              <w:t xml:space="preserve"> </w:t>
            </w:r>
            <w:r>
              <w:rPr>
                <w:b/>
                <w:i/>
              </w:rPr>
              <w:t>Zvláštní pozornost je věnována přístupnosti mobilní aplikace pro osoby se zdravotním postižením.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Mobilní aplikace je k dispozici alespoň ve všech úředních jazycích členských států.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Mobilní aplikace obsahuje praktické informace týkající se skenování čipu v cestovním dokladu a účelu digitální cestovní aplikace EU.</w:t>
            </w:r>
            <w:r>
              <w:t xml:space="preserve"> </w:t>
            </w:r>
            <w:r>
              <w:rPr>
                <w:b/>
                <w:i/>
              </w:rPr>
              <w:t>Mobilní aplikace rovněž obsahuje jasný a snadno přístupný mechanismus, v jehož rámci může uživatel uplatnit své právo na odvolání souhlasu.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Technické specifikace mobilní aplikace se přijímají v souladu s čl. 16 odst. 1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Výmaz cestovních údajů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Příslušné pohraniční orgány uchovávají cestovní údaje předložené cestujícími podle článku 5 po dobu nejvýše 48 hodin od okamžiku přijetí směrovačem v souladu s článkem 6.</w:t>
            </w:r>
            <w:r>
              <w:t xml:space="preserve"> </w:t>
            </w:r>
            <w:r>
              <w:rPr>
                <w:b/>
                <w:i/>
              </w:rPr>
              <w:t>Tyto cestovní údaje se okamžitě a trvale vymažou poté, co byl cestujícímu povolen vstup, nebo po 48 hodinách po přijetí rozhodnutí o odepření vstupu, pokud neexistuje právní základ pro jejich další zpracování pro jiné účely.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Ve výjimečných případech mohou příslušné pohraniční orgány uchovávat údaje po dalších nejvýše 48 hodin, a to pouze pokud se tyto údaje týkají cestujících, kteří se nedostavili na hraniční přechod ve lhůtě uvedené v prvním pododstavci.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Výmaz cestovních údajů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Příslušné pohraniční orgány provedou automatizovaný výmaz cestovních údajů předaných v souladu s tímto nařízením z databáze hraničního přechodu bezprostředně poté, co cestující překročil vnější hranici.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Pokud cestující, který předložil cestovní údaje v souladu s tímto nařízením, nepřekročí vnější hranici, příslušné pohraniční orgány provedou automatizovaný výmaz předaných cestovních údajů 12 hodin po zamýšleném datu a čase příjezdu nebo odjezdu.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Uchovávání cestovních údajů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Příslušné pohraniční orgány uchovávají cestovní údaje předané v souladu s tímto nařízením v databázi hraničního přechodu po dobu povolenou platnými právními předpisy.</w:t>
            </w:r>
            <w:r>
              <w:t xml:space="preserve"> </w:t>
            </w:r>
            <w:r>
              <w:rPr>
                <w:b/>
                <w:i/>
              </w:rPr>
              <w:t>Poté se údaje automaticky vymažou.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Agentura eu-LISA vyvíjí digitální cestovní aplikaci EU a její složky v souladu s technickými specifikacemi přijatými podle čl. 16 odst. 1 písm. a).</w:t>
            </w:r>
          </w:p>
        </w:tc>
        <w:tc>
          <w:tcPr>
            <w:tcW w:w="4876" w:type="dxa"/>
            <w:tcBorders>
              <w:top w:val="nil"/>
              <w:left w:val="nil"/>
              <w:bottom w:val="nil"/>
              <w:right w:val="nil"/>
            </w:tcBorders>
          </w:tcPr>
          <w:p>
            <w:pPr>
              <w:pStyle w:val="Normal6a"/>
            </w:pPr>
            <w:r>
              <w:t>1.</w:t>
            </w:r>
            <w:r>
              <w:tab/>
            </w:r>
            <w:r>
              <w:t>Agentura eu-LISA vyvíjí digitální cestovní aplikaci EU a její složky v souladu s </w:t>
            </w:r>
            <w:r>
              <w:rPr>
                <w:b/>
                <w:i/>
              </w:rPr>
              <w:t>článkem 7a a s </w:t>
            </w:r>
            <w:r>
              <w:t>technickými specifikacemi přijatými podle čl. 16 odst. 1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Agentura eu-LISA zajišťuje provozní řízení digitální cestovní aplikace EU a její </w:t>
            </w:r>
            <w:r>
              <w:rPr>
                <w:b/>
                <w:i/>
              </w:rPr>
              <w:t>odpovídající</w:t>
            </w:r>
            <w:r>
              <w:t xml:space="preserve"> zabezpečení. Hostitelem digitální cestovní aplikace EU je agentura eu-LISA.</w:t>
            </w:r>
          </w:p>
        </w:tc>
        <w:tc>
          <w:tcPr>
            <w:tcW w:w="4876" w:type="dxa"/>
            <w:tcBorders>
              <w:top w:val="nil"/>
              <w:left w:val="nil"/>
              <w:bottom w:val="nil"/>
              <w:right w:val="nil"/>
            </w:tcBorders>
          </w:tcPr>
          <w:p>
            <w:pPr>
              <w:pStyle w:val="Normal6a"/>
            </w:pPr>
            <w:r>
              <w:t>3.</w:t>
            </w:r>
            <w:r>
              <w:tab/>
            </w:r>
            <w:r>
              <w:t xml:space="preserve">Agentura eu-LISA zajišťuje provozní řízení digitální cestovní aplikace EU a její </w:t>
            </w:r>
            <w:r>
              <w:rPr>
                <w:b/>
                <w:i/>
              </w:rPr>
              <w:t>„nejmodernější“</w:t>
            </w:r>
            <w:r>
              <w:t xml:space="preserve"> zabezpečení. Hostitelem digitální cestovní aplikace EU je agentura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Agentura eu-LISA zajišťuje provozní řízení digitální cestovní aplikace EU a její </w:t>
            </w:r>
            <w:r>
              <w:rPr>
                <w:b/>
                <w:i/>
              </w:rPr>
              <w:t>odpovídající</w:t>
            </w:r>
            <w:r>
              <w:t xml:space="preserve"> zabezpečení. Hostitelem digitální cestovní aplikace EU je agentura eu-LISA.</w:t>
            </w:r>
          </w:p>
        </w:tc>
        <w:tc>
          <w:tcPr>
            <w:tcW w:w="4876" w:type="dxa"/>
            <w:tcBorders>
              <w:top w:val="nil"/>
              <w:left w:val="nil"/>
              <w:bottom w:val="nil"/>
              <w:right w:val="nil"/>
            </w:tcBorders>
          </w:tcPr>
          <w:p>
            <w:pPr>
              <w:pStyle w:val="Normal6a"/>
            </w:pPr>
            <w:r>
              <w:t>3.</w:t>
            </w:r>
            <w:r>
              <w:tab/>
            </w:r>
            <w:r>
              <w:t xml:space="preserve">Agentura eu-LISA zajišťuje provozní řízení digitální cestovní aplikace EU a její </w:t>
            </w:r>
            <w:r>
              <w:rPr>
                <w:b/>
                <w:i/>
              </w:rPr>
              <w:t>neproniknutelné</w:t>
            </w:r>
            <w:r>
              <w:t xml:space="preserve"> zabezpečení. Hostitelem digitální cestovní aplikace EU je agentura eu-LISA.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Agentura eu-LISA zajistí, aby digitální cestovní aplikace EU byla interoperabilní s evropskou peněženkou digitální identity zřízenou podle nařízení (EU) č. 910/2014.</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Agentura eu-LISA zajistí, aby digitální cestovní aplikace EU byla interoperabilní s evropskou peněženkou digitální identity zřízenou podle nařízení (EU) č. 910/2014.</w:t>
            </w:r>
          </w:p>
        </w:tc>
        <w:tc>
          <w:tcPr>
            <w:tcW w:w="4876" w:type="dxa"/>
            <w:tcBorders>
              <w:top w:val="nil"/>
              <w:left w:val="nil"/>
              <w:bottom w:val="nil"/>
              <w:right w:val="nil"/>
            </w:tcBorders>
          </w:tcPr>
          <w:p>
            <w:pPr>
              <w:pStyle w:val="Normal6a"/>
            </w:pPr>
            <w:r>
              <w:t>4.</w:t>
            </w:r>
            <w:r>
              <w:tab/>
            </w:r>
            <w:r>
              <w:t xml:space="preserve">Agentura eu-LISA zajistí, aby digitální cestovní aplikace EU byla </w:t>
            </w:r>
            <w:r>
              <w:rPr>
                <w:b/>
                <w:i/>
              </w:rPr>
              <w:t>pro účely tohoto nařízení</w:t>
            </w:r>
            <w:r>
              <w:t xml:space="preserve"> interoperabilní s evropskou peněženkou digitální identity zřízenou podle nařízení (EU) č.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Pokud agentura eu-LISA dojde k závěru, že vývoj digitální cestovní aplikace EU byl dokončen, provede bez zbytečného odkladu test aplikace ve spolupráci s příslušnými pohraničními orgány a dalšími příslušnými orgány členských států v souladu s technickými specifikacemi přijatými podle čl. 16 odst. 1 písm. c) a sdělí Komisi výsledek tohoto testu.</w:t>
            </w:r>
          </w:p>
        </w:tc>
        <w:tc>
          <w:tcPr>
            <w:tcW w:w="4876" w:type="dxa"/>
            <w:tcBorders>
              <w:top w:val="nil"/>
              <w:left w:val="nil"/>
              <w:bottom w:val="nil"/>
              <w:right w:val="nil"/>
            </w:tcBorders>
          </w:tcPr>
          <w:p>
            <w:pPr>
              <w:pStyle w:val="Normal6a"/>
            </w:pPr>
            <w:r>
              <w:t>5.</w:t>
            </w:r>
            <w:r>
              <w:tab/>
            </w:r>
            <w:r>
              <w:t xml:space="preserve">Pokud agentura eu-LISA dojde k závěru, že vývoj digitální cestovní aplikace EU byl dokončen, </w:t>
            </w:r>
            <w:r>
              <w:rPr>
                <w:b/>
                <w:i/>
              </w:rPr>
              <w:t>a to i po provedení posouzení vlivu na ochranu osobních údajů v souladu s článkem 35 nařízení (EU) 2016/679,</w:t>
            </w:r>
            <w:r>
              <w:t xml:space="preserve"> provede bez zbytečného odkladu test aplikace ve spolupráci s příslušnými pohraničními orgány a dalšími příslušnými orgány členských států v souladu s technickými specifikacemi přijatými podle čl. 16 odst. 1 písm. c) a sdělí Komisi výsledek tohoto testu.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Agentura eu-LISA shromažďuje statistické údaje o používání digitální cestovní aplikace EU v souladu s čl. 16 odst. 1 písm.</w:t>
            </w:r>
            <w:r>
              <w:rPr>
                <w:b/>
                <w:i/>
              </w:rPr>
              <w:t xml:space="preserve"> b)</w:t>
            </w:r>
            <w:r>
              <w:t>.</w:t>
            </w:r>
          </w:p>
        </w:tc>
        <w:tc>
          <w:tcPr>
            <w:tcW w:w="4876" w:type="dxa"/>
            <w:tcBorders>
              <w:top w:val="nil"/>
              <w:left w:val="nil"/>
              <w:bottom w:val="nil"/>
              <w:right w:val="nil"/>
            </w:tcBorders>
          </w:tcPr>
          <w:p>
            <w:pPr>
              <w:pStyle w:val="Normal6a"/>
            </w:pPr>
            <w:r>
              <w:t>6.</w:t>
            </w:r>
            <w:r>
              <w:tab/>
            </w:r>
            <w:r>
              <w:t xml:space="preserve">Agentura eu-LISA shromažďuje statistické údaje </w:t>
            </w:r>
            <w:r>
              <w:rPr>
                <w:b/>
                <w:i/>
              </w:rPr>
              <w:t>relevantní pro hodnocení použitelnosti a celkové účinnosti digitální cestovní aplikace EU, pokud jde</w:t>
            </w:r>
            <w:r>
              <w:t xml:space="preserve"> o používání digitální cestovní aplikace EU v souladu s čl. 16 odst. 1 písm.</w:t>
            </w:r>
            <w:r>
              <w:rPr>
                <w:b/>
                <w:i/>
              </w:rPr>
              <w:t> b), a údaje, které umožňují sledování migračních tras a dohled nad nimi, včetně statistik o státních příslušnících třetích zemí, jimž byl odepřen vstup, důvodů odepření a státní příslušnosti osob v souladu s nařízením 2016/399.</w:t>
            </w:r>
            <w:r>
              <w:t xml:space="preserve"> </w:t>
            </w:r>
            <w:r>
              <w:rPr>
                <w:b/>
                <w:i/>
              </w:rPr>
              <w:t>Tyto statistiky neumožňují identifikaci jednotlivých cestujících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Agentura eu-LISA </w:t>
            </w:r>
            <w:r>
              <w:rPr>
                <w:b/>
                <w:i/>
              </w:rPr>
              <w:t>shromažďuje</w:t>
            </w:r>
            <w:r>
              <w:t xml:space="preserve"> statistické údaje o používání digitální cestovní aplikace EU v souladu s čl. 16 odst. 1 písm. b).</w:t>
            </w:r>
          </w:p>
        </w:tc>
        <w:tc>
          <w:tcPr>
            <w:tcW w:w="4876" w:type="dxa"/>
            <w:tcBorders>
              <w:top w:val="nil"/>
              <w:left w:val="nil"/>
              <w:bottom w:val="nil"/>
              <w:right w:val="nil"/>
            </w:tcBorders>
          </w:tcPr>
          <w:p>
            <w:pPr>
              <w:pStyle w:val="Normal6a"/>
            </w:pPr>
            <w:r>
              <w:t>6.</w:t>
            </w:r>
            <w:r>
              <w:tab/>
            </w:r>
            <w:r>
              <w:t xml:space="preserve">Agentura eu-LISA </w:t>
            </w:r>
            <w:r>
              <w:rPr>
                <w:b/>
                <w:i/>
              </w:rPr>
              <w:t>zveřejňuje neosobní a anonymizované</w:t>
            </w:r>
            <w:r>
              <w:t xml:space="preserve"> statistické údaje o používání digitální cestovní aplikace EU v souladu s čl. 16 odst. 1 písm. b)</w:t>
            </w:r>
            <w:r>
              <w:rPr>
                <w:b/>
                <w:i/>
              </w:rPr>
              <w:t>, a to výhradně za účelem hodnocení účinnosti tohoto nařízení.</w:t>
            </w:r>
            <w:r>
              <w:t xml:space="preserve"> </w:t>
            </w:r>
            <w:r>
              <w:rPr>
                <w:b/>
                <w:i/>
              </w:rPr>
              <w:t>Tyto statistické údaje neumožňují identifikaci jednotlivců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Agentura eu-LISA </w:t>
            </w:r>
            <w:r>
              <w:rPr>
                <w:b/>
                <w:i/>
              </w:rPr>
              <w:t>shromažďuje statistické údaje o používání</w:t>
            </w:r>
            <w:r>
              <w:t xml:space="preserve"> digitální cestovní aplikace EU </w:t>
            </w:r>
            <w:r>
              <w:rPr>
                <w:b/>
                <w:i/>
              </w:rPr>
              <w:t>v souladu s čl. 16 odst. 1 písm. b)</w:t>
            </w:r>
            <w:r>
              <w:t>.</w:t>
            </w:r>
          </w:p>
        </w:tc>
        <w:tc>
          <w:tcPr>
            <w:tcW w:w="4876" w:type="dxa"/>
            <w:tcBorders>
              <w:top w:val="nil"/>
              <w:left w:val="nil"/>
              <w:bottom w:val="nil"/>
              <w:right w:val="nil"/>
            </w:tcBorders>
          </w:tcPr>
          <w:p>
            <w:pPr>
              <w:pStyle w:val="Normal6a"/>
            </w:pPr>
            <w:r>
              <w:t>6.</w:t>
            </w:r>
            <w:r>
              <w:tab/>
            </w:r>
            <w:r>
              <w:t xml:space="preserve">Agentura eu-LISA </w:t>
            </w:r>
            <w:r>
              <w:rPr>
                <w:b/>
                <w:i/>
              </w:rPr>
              <w:t>zajišťuje provozní řízení</w:t>
            </w:r>
            <w:r>
              <w:t xml:space="preserve"> digitální cestovní aplikace EU </w:t>
            </w:r>
            <w:r>
              <w:rPr>
                <w:b/>
                <w:i/>
              </w:rPr>
              <w:t>a její neproniknutelné zabezpečení. Hostitelem digitální cestovní aplikace EU je agentura eu-LISA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Agentura eu-LISA shromažďuje statistické údaje o používání digitální cestovní aplikace EU v souladu s čl. 16 odst. 1 písm. b).</w:t>
            </w:r>
          </w:p>
        </w:tc>
        <w:tc>
          <w:tcPr>
            <w:tcW w:w="4876" w:type="dxa"/>
            <w:tcBorders>
              <w:top w:val="nil"/>
              <w:left w:val="nil"/>
              <w:bottom w:val="nil"/>
              <w:right w:val="nil"/>
            </w:tcBorders>
          </w:tcPr>
          <w:p>
            <w:pPr>
              <w:pStyle w:val="Normal6a"/>
            </w:pPr>
            <w:r>
              <w:t>6.</w:t>
            </w:r>
            <w:r>
              <w:tab/>
            </w:r>
            <w:r>
              <w:t xml:space="preserve">Agentura eu-LISA shromažďuje </w:t>
            </w:r>
            <w:r>
              <w:rPr>
                <w:b/>
                <w:i/>
              </w:rPr>
              <w:t>anonymizované</w:t>
            </w:r>
            <w:r>
              <w:t xml:space="preserve"> statistické údaje o používání digitální cestovní aplikace EU v souladu s čl. 16 odst. 1 písm. b).</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Agentura eu-LISA zajistí, aby digitální cestovní aplikace EU nepředávala a nezpřístupňovala žádné informace o svém používání, výkonnosti nebo fungování žádné třetí straně.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Agentura eu-LISA před zpracováním údajů provede posouzení dopadu zamýšlených operací zpracování údajů a ochranu osobních údajů podle článku 35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Agentura eu-LISA provede každoročně penetrační test a posouzení zranitelnosti digitální cestovní aplikace EU a v případě změn architektury systému nebo potenciálního či skutečného narušení, které mohou mít dopad na ochranu údajů, odpovídajícím způsobem aktualizuje posouzení vlivu na ochranu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Každý členský stát odpovídá za:</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zajištění zabezpečeného spojení mezi svým vnitrostátním systémem a směrovačem údajů cestujícího, aby bylo možné přijímat údaje předávané prostřednictvím směrovače údajů cestujícího;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vývoj, provoz a údržbu spojení uvedeného v písmeni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správu a úpravu přístupu pro řádně oprávněné pracovníky pohraničních orgánů k údajům obdrženým prostřednictvím směrovače údajů cestujícího za účelem provádění hraničních kontrol v souladu s nařízením (EU)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zajištění zabezpečeného spojení mezi svým vnitrostátním systémem a směrovačem údajů cestujícího, aby bylo možné přijímat údaje předávané prostřednictvím směrovače údajů cestujícího;</w:t>
            </w:r>
          </w:p>
        </w:tc>
        <w:tc>
          <w:tcPr>
            <w:tcW w:w="4876" w:type="dxa"/>
            <w:tcBorders>
              <w:top w:val="nil"/>
              <w:left w:val="nil"/>
              <w:bottom w:val="nil"/>
              <w:right w:val="nil"/>
            </w:tcBorders>
          </w:tcPr>
          <w:p>
            <w:pPr>
              <w:pStyle w:val="Normal6a"/>
            </w:pPr>
            <w:r>
              <w:rPr>
                <w:b/>
                <w:i/>
              </w:rPr>
              <w:t>a)</w:t>
            </w:r>
            <w:r>
              <w:tab/>
            </w:r>
            <w:r>
              <w:t xml:space="preserve">zajištění zabezpečeného spojení mezi svým vnitrostátním systémem a směrovačem údajů cestujícího, aby bylo možné přijímat údaje předávané prostřednictvím směrovače údajů cestujícího </w:t>
            </w:r>
            <w:r>
              <w:rPr>
                <w:b/>
                <w:i/>
              </w:rPr>
              <w:t>příslušným orgánům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Každý členský stát poskytne pracovníkům pohraničních orgánů, kteří mají právo přístupu k údajům </w:t>
            </w:r>
            <w:r>
              <w:rPr>
                <w:b/>
                <w:i/>
              </w:rPr>
              <w:t>předávaným prostřednictvím směrovače údajů cestujícího</w:t>
            </w:r>
            <w:r>
              <w:t>, předtím, než jim udělí oprávnění zpracovávat tyto údaje, vhodnou odbornou přípravu týkající se zejména zabezpečení údajů, pravidel pro ochranu údajů a souvisejících základních práv.</w:t>
            </w:r>
          </w:p>
        </w:tc>
        <w:tc>
          <w:tcPr>
            <w:tcW w:w="4876" w:type="dxa"/>
            <w:tcBorders>
              <w:top w:val="nil"/>
              <w:left w:val="nil"/>
              <w:bottom w:val="nil"/>
              <w:right w:val="nil"/>
            </w:tcBorders>
          </w:tcPr>
          <w:p>
            <w:pPr>
              <w:pStyle w:val="Normal6a"/>
            </w:pPr>
            <w:r>
              <w:t>2.</w:t>
            </w:r>
            <w:r>
              <w:tab/>
            </w:r>
            <w:r>
              <w:t xml:space="preserve">Každý členský stát poskytne pracovníkům pohraničních orgánů, kteří mají právo přístupu k údajům </w:t>
            </w:r>
            <w:r>
              <w:rPr>
                <w:b/>
                <w:i/>
              </w:rPr>
              <w:t>cestujících</w:t>
            </w:r>
            <w:r>
              <w:t>, předtím, než jim udělí oprávnění zpracovávat tyto údaje, vhodnou odbornou přípravu týkající se zejména zabezpečení údajů, pravidel pro ochranu údajů a souvisejících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Každý členský stát zajistí, aby cestujícím, kteří si nepřejí používat digitální cestovní aplikaci EU nebo kteří odvolávají svůj souhlas se zpracováním svých údajů, byla poskytnuta pohraniční infrastruktura jiná než digitální cestovní oprávnění..</w:t>
            </w:r>
            <w:r>
              <w:t xml:space="preserve"> </w:t>
            </w:r>
            <w:r>
              <w:rPr>
                <w:b/>
                <w:i/>
              </w:rPr>
              <w:t>Členské státy rovněž zajistí, aby ve srovnání se zpracováním pomocí digitální cestovní aplikace EU nebylo od používání infrastruktury jiné než digitální cestovní oprávnění odrazováno ani nebylo používání takové infrastruktury znevýhodněné.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za skupinu Patrioti</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Komise</w:t>
            </w:r>
            <w:r>
              <w:t xml:space="preserve"> ve spolupráci s agenturou eu-LISA</w:t>
            </w:r>
            <w:r>
              <w:rPr>
                <w:b/>
                <w:i/>
              </w:rPr>
              <w:t>,</w:t>
            </w:r>
            <w:r>
              <w:t xml:space="preserve"> Evropskou agenturou pro pohraniční a pobřežní stráž </w:t>
            </w:r>
            <w:r>
              <w:rPr>
                <w:b/>
                <w:i/>
              </w:rPr>
              <w:t>a vnitrostátními pohraničními orgány podpoří zahájení provozu digitální cestovní aplikace EU informační kampaní, která bude</w:t>
            </w:r>
            <w:r>
              <w:t xml:space="preserve"> veřejnost </w:t>
            </w:r>
            <w:r>
              <w:rPr>
                <w:b/>
                <w:i/>
              </w:rPr>
              <w:t>informovat</w:t>
            </w:r>
            <w:r>
              <w:t xml:space="preserve"> o cílech, účelech, hlavních operacích zpracování </w:t>
            </w:r>
            <w:r>
              <w:rPr>
                <w:b/>
                <w:i/>
              </w:rPr>
              <w:t>a dalších</w:t>
            </w:r>
            <w:r>
              <w:t xml:space="preserve"> aspektech ochrany údajů a zabezpečení údajů a případech </w:t>
            </w:r>
            <w:r>
              <w:rPr>
                <w:b/>
                <w:i/>
              </w:rPr>
              <w:t>použití</w:t>
            </w:r>
            <w:r>
              <w:t xml:space="preserve"> digitální cestovní aplikace EU.</w:t>
            </w:r>
          </w:p>
        </w:tc>
        <w:tc>
          <w:tcPr>
            <w:tcW w:w="4876" w:type="dxa"/>
            <w:tcBorders>
              <w:top w:val="nil"/>
              <w:left w:val="nil"/>
              <w:bottom w:val="nil"/>
              <w:right w:val="nil"/>
            </w:tcBorders>
          </w:tcPr>
          <w:p>
            <w:pPr>
              <w:pStyle w:val="Normal6a"/>
            </w:pPr>
            <w:r>
              <w:rPr>
                <w:b/>
                <w:i/>
              </w:rPr>
              <w:t>Členské státy, případně</w:t>
            </w:r>
            <w:r>
              <w:t xml:space="preserve"> ve spolupráci s </w:t>
            </w:r>
            <w:r>
              <w:rPr>
                <w:b/>
                <w:i/>
              </w:rPr>
              <w:t>Komisí,</w:t>
            </w:r>
            <w:r>
              <w:t xml:space="preserve"> agenturou eu-LISA </w:t>
            </w:r>
            <w:r>
              <w:rPr>
                <w:b/>
                <w:i/>
              </w:rPr>
              <w:t>a</w:t>
            </w:r>
            <w:r>
              <w:t xml:space="preserve"> Evropskou agenturou pro pohraniční a pobřežní stráž</w:t>
            </w:r>
            <w:r>
              <w:rPr>
                <w:b/>
                <w:i/>
              </w:rPr>
              <w:t>, provedou informační kampaně s cílem informovat</w:t>
            </w:r>
            <w:r>
              <w:t xml:space="preserve"> veřejnost o cílech, účelech, hlavních operacích zpracování</w:t>
            </w:r>
            <w:r>
              <w:rPr>
                <w:b/>
                <w:i/>
              </w:rPr>
              <w:t>,</w:t>
            </w:r>
            <w:r>
              <w:t xml:space="preserve"> aspektech ochrany údajů a zabezpečení údajů a </w:t>
            </w:r>
            <w:r>
              <w:rPr>
                <w:b/>
                <w:i/>
              </w:rPr>
              <w:t>možných</w:t>
            </w:r>
            <w:r>
              <w:t xml:space="preserve"> případech </w:t>
            </w:r>
            <w:r>
              <w:rPr>
                <w:b/>
                <w:i/>
              </w:rPr>
              <w:t>využití</w:t>
            </w:r>
            <w:r>
              <w:t xml:space="preserve"> digitální cestovní aplikace EU. </w:t>
            </w:r>
            <w:r>
              <w:rPr>
                <w:b/>
                <w:i/>
              </w:rPr>
              <w:t>Tyto kampaně zohlední konkrétní vnitrostátní kontext, včetně toho, zda členský stát již zavedl nebo testoval používání digitálních cestovních oprávnění.</w:t>
            </w:r>
            <w:r>
              <w:t xml:space="preserve"> </w:t>
            </w:r>
            <w:r>
              <w:rPr>
                <w:b/>
                <w:i/>
              </w:rPr>
              <w:t>Tam, kde se již digitální cestovní oprávnění používají a povědomí veřejnosti je dostatečně vysoké, mohou se členské státy rozhodnout, že další informační kampaně neuskuteční.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Komise ve spolupráci s agenturou eu-LISA, Evropskou agenturou pro pohraniční a pobřežní stráž a vnitrostátními pohraničními orgány podpoří zahájení provozu digitální cestovní aplikace EU informační kampaní, která bude veřejnost informovat o cílech, účelech, hlavních operacích zpracování a dalších aspektech ochrany údajů a zabezpečení údajů a případech použití digitální cestovní aplikace EU.</w:t>
            </w:r>
          </w:p>
        </w:tc>
        <w:tc>
          <w:tcPr>
            <w:tcW w:w="4876" w:type="dxa"/>
            <w:tcBorders>
              <w:top w:val="nil"/>
              <w:left w:val="nil"/>
              <w:bottom w:val="nil"/>
              <w:right w:val="nil"/>
            </w:tcBorders>
          </w:tcPr>
          <w:p>
            <w:pPr>
              <w:pStyle w:val="Normal6a"/>
            </w:pPr>
            <w:r>
              <w:t xml:space="preserve">Komise ve spolupráci s agenturou eu-LISA, Evropskou agenturou pro pohraniční a pobřežní stráž a vnitrostátními pohraničními orgány podpoří zahájení provozu digitální cestovní aplikace EU informační kampaní, která bude veřejnost informovat o cílech, účelech, hlavních operacích zpracování a dalších aspektech ochrany údajů a zabezpečení údajů </w:t>
            </w:r>
            <w:r>
              <w:rPr>
                <w:b/>
                <w:i/>
              </w:rPr>
              <w:t>včetně práva na odvolání souhlasu</w:t>
            </w:r>
            <w:r>
              <w:t xml:space="preserve"> a případech použití digitální cestovní aplikace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Komise ve spolupráci s agenturou eu-LISA, Evropskou agenturou pro pohraniční a pobřežní stráž a vnitrostátními pohraničními orgány podpoří zahájení provozu digitální cestovní aplikace EU informační kampaní, která bude veřejnost informovat o cílech, účelech, hlavních operacích zpracování a dalších aspektech ochrany údajů a zabezpečení údajů a případech použití digitální cestovní aplikace EU.</w:t>
            </w:r>
          </w:p>
        </w:tc>
        <w:tc>
          <w:tcPr>
            <w:tcW w:w="4876" w:type="dxa"/>
            <w:tcBorders>
              <w:top w:val="nil"/>
              <w:left w:val="nil"/>
              <w:bottom w:val="nil"/>
              <w:right w:val="nil"/>
            </w:tcBorders>
          </w:tcPr>
          <w:p>
            <w:pPr>
              <w:pStyle w:val="Normal6a"/>
            </w:pPr>
            <w:r>
              <w:t xml:space="preserve">Komise ve spolupráci s agenturou eu-LISA, Evropskou agenturou pro pohraniční a pobřežní stráž a vnitrostátními pohraničními orgány podpoří zahájení provozu digitální cestovní aplikace EU informační kampaní, která bude </w:t>
            </w:r>
            <w:r>
              <w:rPr>
                <w:b/>
                <w:i/>
              </w:rPr>
              <w:t>nákladově efektivní a bude</w:t>
            </w:r>
            <w:r>
              <w:t xml:space="preserve"> veřejnost informovat o cílech, účelech, hlavních operacích zpracování a dalších aspektech ochrany údajů a zabezpečení údajů a případech použití digitální cestovní aplikace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 Komise ve spolupráci s agenturou eu-LISA, Evropskou agenturou pro pohraniční a pobřežní stráž a vnitrostátními pohraničními orgány vytvoří rámce spolupráce se třetími zeměmi zaměřené na cílené informační kampaně s cílem zvýšit povědomí státních příslušníků třetích zemí o cílech, přínosech a využívání digitální cestovní aplikace EU s cílem zajistit co největší její využívání a účinné zavádění.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Náklady vzniklé agentuře eu-LISA v souvislosti s vývojem, provozem, hostingem a technickou správou digitální cestovní aplikace EU podle tohoto nařízení se hradí ze souhrnného rozpočtu Unie.</w:t>
            </w:r>
          </w:p>
        </w:tc>
        <w:tc>
          <w:tcPr>
            <w:tcW w:w="4876" w:type="dxa"/>
            <w:tcBorders>
              <w:top w:val="nil"/>
              <w:left w:val="nil"/>
              <w:bottom w:val="nil"/>
              <w:right w:val="nil"/>
            </w:tcBorders>
          </w:tcPr>
          <w:p>
            <w:pPr>
              <w:pStyle w:val="Normal6a"/>
            </w:pPr>
            <w:r>
              <w:t>1.</w:t>
            </w:r>
            <w:r>
              <w:tab/>
            </w:r>
            <w:r>
              <w:t xml:space="preserve">Náklady vzniklé agentuře eu-LISA v souvislosti s vývojem, provozem, hostingem a technickou správou digitální cestovní aplikace EU podle tohoto nařízení se hradí ze souhrnného rozpočtu Unie. </w:t>
            </w:r>
            <w:r>
              <w:rPr>
                <w:b/>
                <w:i/>
              </w:rPr>
              <w:t>Aplikace by měla být vyvinuta nákladově efektivním způsobem.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Náklady vzniklé členským státům v souvislosti s vývojem, provozem a údržbou jejich zabezpečeného spojení pro příjem dat předávaných prostřednictvím směrovače údajů cestujícího nesou členské státy.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1</w:t>
      </w:r>
      <w:r>
        <w:rPr>
          <w:rStyle w:val="HideTWBExt"/>
        </w:rPr>
        <w:t>&lt;/Article&gt;</w:t>
      </w:r>
    </w:p>
    <w:p>
      <w:r>
        <w:rPr>
          <w:rStyle w:val="HideTWBExt"/>
        </w:rPr>
        <w:t>&lt;Article2&gt;</w:t>
      </w:r>
      <w:r>
        <w:t>Článek 1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 cestovním pasům a cestovním dokladům </w:t>
            </w:r>
            <w:r>
              <w:rPr>
                <w:b/>
                <w:i/>
              </w:rPr>
              <w:t>vydávaným</w:t>
            </w:r>
            <w:r>
              <w:t xml:space="preserve"> členskými státy jejich vlastním státním příslušníkům se </w:t>
            </w:r>
            <w:r>
              <w:rPr>
                <w:b/>
                <w:i/>
              </w:rPr>
              <w:t>na žádost žadatele</w:t>
            </w:r>
            <w:r>
              <w:t xml:space="preserve"> připojí digitální cestovní oprávnění, která:</w:t>
            </w:r>
          </w:p>
        </w:tc>
        <w:tc>
          <w:tcPr>
            <w:tcW w:w="4876" w:type="dxa"/>
            <w:tcBorders>
              <w:top w:val="nil"/>
              <w:left w:val="nil"/>
              <w:bottom w:val="nil"/>
              <w:right w:val="nil"/>
            </w:tcBorders>
          </w:tcPr>
          <w:p>
            <w:pPr>
              <w:pStyle w:val="Normal6a"/>
            </w:pPr>
            <w:r>
              <w:t xml:space="preserve">K cestovním pasům a cestovním dokladům </w:t>
            </w:r>
            <w:r>
              <w:rPr>
                <w:b/>
                <w:i/>
              </w:rPr>
              <w:t>nově vydaným členskými státy nebo vydaným na žádost žadatele</w:t>
            </w:r>
            <w:r>
              <w:t xml:space="preserve"> členskými státy jejich vlastním státním příslušníkům se připojí digitální cestovní oprávnění, která: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1</w:t>
      </w:r>
      <w:r>
        <w:rPr>
          <w:rStyle w:val="HideTWBExt"/>
        </w:rPr>
        <w:t>&lt;/Article&gt;</w:t>
      </w:r>
    </w:p>
    <w:p>
      <w:r>
        <w:rPr>
          <w:rStyle w:val="HideTWBExt"/>
        </w:rPr>
        <w:t>&lt;Article2&gt;</w:t>
      </w:r>
      <w:r>
        <w:t>Čl. 1 – odst. 1 a – písm. b (nové)</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jsou ve formátu, který umožňuje jejich uložení v evropských peněženkách digitální identity, na které se vztahují ustanovení nařízení Evropského parlamentu a Rady (EU) č. 910/2014;</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1</w:t>
      </w:r>
      <w:r>
        <w:rPr>
          <w:rStyle w:val="HideTWBExt"/>
        </w:rPr>
        <w:t>&lt;/Article&gt;</w:t>
      </w:r>
    </w:p>
    <w:p>
      <w:r>
        <w:rPr>
          <w:rStyle w:val="HideTWBExt"/>
        </w:rPr>
        <w:t>&lt;Article2&gt;</w:t>
      </w:r>
      <w:r>
        <w:t>Čl. 1a – písm.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jsou ve formátu, který umožňuje jejich uložení v evropských peněženkách digitální identity, na které se vztahují ustanovení nařízení Evropského parlamentu a Rady (EU) č. 910/2014;</w:t>
            </w:r>
          </w:p>
        </w:tc>
        <w:tc>
          <w:tcPr>
            <w:tcW w:w="4876" w:type="dxa"/>
            <w:tcBorders>
              <w:top w:val="nil"/>
              <w:left w:val="nil"/>
              <w:bottom w:val="nil"/>
              <w:right w:val="nil"/>
            </w:tcBorders>
          </w:tcPr>
          <w:p>
            <w:pPr>
              <w:pStyle w:val="Normal6a"/>
            </w:pPr>
            <w:r>
              <w:t>(b)</w:t>
            </w:r>
            <w:r>
              <w:tab/>
            </w:r>
            <w:r>
              <w:t xml:space="preserve">jsou ve formátu, který umožňuje jejich uložení v evropských peněženkách digitální identity </w:t>
            </w:r>
            <w:r>
              <w:rPr>
                <w:b/>
                <w:i/>
              </w:rPr>
              <w:t>jako kvalifikovaná elektronická potvrzení atributů (QEAA)</w:t>
            </w:r>
            <w:r>
              <w:t>, na které se vztahují ustanovení nařízení Evropského parlamentu a Rady (EU) č.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1</w:t>
      </w:r>
      <w:r>
        <w:rPr>
          <w:rStyle w:val="HideTWBExt"/>
        </w:rPr>
        <w:t>&lt;/Article&gt;</w:t>
      </w:r>
    </w:p>
    <w:p>
      <w:r>
        <w:rPr>
          <w:rStyle w:val="HideTWBExt"/>
        </w:rPr>
        <w:t>&lt;Article2&gt;</w:t>
      </w:r>
      <w:r>
        <w:t>Čl. 1 – odst. 1 a – písm. b (nové)</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jsou</w:t>
            </w:r>
            <w:r>
              <w:t xml:space="preserve"> bezplatná;</w:t>
            </w:r>
          </w:p>
        </w:tc>
        <w:tc>
          <w:tcPr>
            <w:tcW w:w="4876" w:type="dxa"/>
            <w:tcBorders>
              <w:top w:val="nil"/>
              <w:left w:val="nil"/>
              <w:bottom w:val="nil"/>
              <w:right w:val="nil"/>
            </w:tcBorders>
          </w:tcPr>
          <w:p>
            <w:pPr>
              <w:pStyle w:val="Normal6a"/>
            </w:pPr>
            <w:r>
              <w:rPr>
                <w:b/>
                <w:i/>
              </w:rPr>
              <w:t>c)</w:t>
            </w:r>
            <w:r>
              <w:tab/>
            </w:r>
            <w:r>
              <w:rPr>
                <w:b/>
                <w:i/>
              </w:rPr>
              <w:t>jsou při obnovování cestovního dokladu</w:t>
            </w:r>
            <w:r>
              <w:t xml:space="preserve"> bezplatná;</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1</w:t>
      </w:r>
      <w:r>
        <w:rPr>
          <w:rStyle w:val="HideTWBExt"/>
        </w:rPr>
        <w:t>&lt;/Article&gt;</w:t>
      </w:r>
    </w:p>
    <w:p>
      <w:r>
        <w:rPr>
          <w:rStyle w:val="HideTWBExt"/>
        </w:rPr>
        <w:t>&lt;Article2&gt;</w:t>
      </w:r>
      <w:r>
        <w:t>Čl. 11 – nový odstavec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obsahují stejné osobní údaje</w:t>
            </w:r>
            <w:r>
              <w:rPr>
                <w:b/>
                <w:i/>
              </w:rPr>
              <w:t>, včetně zobrazení obličeje,</w:t>
            </w:r>
            <w:r>
              <w:t xml:space="preserve"> jako cestovní pas nebo cestovní doklad, na jehož základě jsou vydána nebo vytvořena.</w:t>
            </w:r>
          </w:p>
        </w:tc>
        <w:tc>
          <w:tcPr>
            <w:tcW w:w="4876" w:type="dxa"/>
            <w:tcBorders>
              <w:top w:val="nil"/>
              <w:left w:val="nil"/>
              <w:bottom w:val="nil"/>
              <w:right w:val="nil"/>
            </w:tcBorders>
          </w:tcPr>
          <w:p>
            <w:pPr>
              <w:pStyle w:val="Normal6a"/>
            </w:pPr>
            <w:r>
              <w:rPr>
                <w:b/>
                <w:i/>
              </w:rPr>
              <w:t>d)</w:t>
            </w:r>
            <w:r>
              <w:tab/>
            </w:r>
            <w:r>
              <w:t>obsahují stejné osobní údaje jako cestovní pas nebo cestovní doklad, na jehož základě jsou vydána nebo vytvořena.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1</w:t>
      </w:r>
      <w:r>
        <w:rPr>
          <w:rStyle w:val="HideTWBExt"/>
        </w:rPr>
        <w:t>&lt;/Article&gt;</w:t>
      </w:r>
    </w:p>
    <w:p>
      <w:r>
        <w:rPr>
          <w:rStyle w:val="HideTWBExt"/>
        </w:rPr>
        <w:t>&lt;Article2&gt;</w:t>
      </w:r>
      <w:r>
        <w:t>Čl. 11 – nový odstavec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 účely písmene d) nezahrnují digitální cestovní oprávnění vydaná nebo vytvořená podle tohoto článku otisky prstů držitele.</w:t>
            </w:r>
          </w:p>
        </w:tc>
        <w:tc>
          <w:tcPr>
            <w:tcW w:w="4876" w:type="dxa"/>
            <w:tcBorders>
              <w:top w:val="nil"/>
              <w:left w:val="nil"/>
              <w:bottom w:val="nil"/>
              <w:right w:val="nil"/>
            </w:tcBorders>
          </w:tcPr>
          <w:p>
            <w:pPr>
              <w:pStyle w:val="Normal6a"/>
            </w:pPr>
            <w:r>
              <w:t xml:space="preserve">Pro účely písmene d) nezahrnují digitální cestovní oprávnění vydaná nebo vytvořená podle tohoto článku otisky prstů </w:t>
            </w:r>
            <w:r>
              <w:rPr>
                <w:b/>
                <w:i/>
              </w:rPr>
              <w:t>ani zobrazení obličeje</w:t>
            </w:r>
            <w:r>
              <w:t xml:space="preserve"> držitele.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3</w:t>
      </w:r>
      <w:r>
        <w:rPr>
          <w:rStyle w:val="HideTWBExt"/>
        </w:rPr>
        <w:t>&lt;/Article&gt;</w:t>
      </w:r>
    </w:p>
    <w:p>
      <w:r>
        <w:rPr>
          <w:rStyle w:val="HideTWBExt"/>
        </w:rPr>
        <w:t>&lt;Article2&gt;</w:t>
      </w:r>
      <w:r>
        <w:t>Čl. 4 – odst.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 článku 4 se doplňuje nový odstavec, který zní: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w:t>
            </w:r>
            <w:r>
              <w:rPr>
                <w:b/>
                <w:i/>
              </w:rPr>
              <w:t xml:space="preserve"> </w:t>
            </w:r>
            <w:r>
              <w:rPr>
                <w:b/>
                <w:i/>
              </w:rPr>
              <w:t>Členské státy umožní příslušným zúčastněným stranám, které jsou zapojeny do procesu překračování vnějších hranic, přístup k paměťovému médiu v cestovních pasech a cestovních dokladech, s výjimkou otisků prstů, a to se souhlasem osoby, které byl cestovní pas nebo cestovní doklad vydán.</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3</w:t>
      </w:r>
      <w:r>
        <w:rPr>
          <w:rStyle w:val="HideTWBExt"/>
        </w:rPr>
        <w:t>&lt;/Article&gt;</w:t>
      </w:r>
    </w:p>
    <w:p>
      <w:r>
        <w:rPr>
          <w:rStyle w:val="HideTWBExt"/>
        </w:rPr>
        <w:t>&lt;Article2&gt;</w:t>
      </w:r>
      <w:r>
        <w:t>Článek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Členské státy umožní příslušným zúčastněným stranám, které jsou zapojeny do procesu překračování vnějších hranic, přístup k paměťovému médiu v cestovních pasech a cestovních dokladech, s výjimkou otisků prstů, a to se souhlasem osoby, které byl cestovní pas nebo cestovní doklad vydán.</w:t>
            </w:r>
          </w:p>
        </w:tc>
        <w:tc>
          <w:tcPr>
            <w:tcW w:w="4876" w:type="dxa"/>
            <w:tcBorders>
              <w:top w:val="nil"/>
              <w:left w:val="nil"/>
              <w:bottom w:val="nil"/>
              <w:right w:val="nil"/>
            </w:tcBorders>
          </w:tcPr>
          <w:p>
            <w:pPr>
              <w:pStyle w:val="Normal6a"/>
            </w:pPr>
            <w:r>
              <w:t>4.</w:t>
            </w:r>
            <w:r>
              <w:tab/>
            </w:r>
            <w:r>
              <w:t xml:space="preserve">Členské státy umožní příslušným zúčastněným stranám, </w:t>
            </w:r>
            <w:r>
              <w:rPr>
                <w:b/>
                <w:i/>
              </w:rPr>
              <w:t>včetně leteckých dopravců,</w:t>
            </w:r>
            <w:r>
              <w:t xml:space="preserve"> které jsou zapojeny do procesu překračování vnějších hranic, přístup k paměťovému médiu v cestovních pasech a cestovních dokladech, s výjimkou otisků prstů, a to se souhlasem osoby, které byl cestovní pas nebo cestovní doklad vydán.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 – bod 3</w:t>
      </w:r>
      <w:r>
        <w:rPr>
          <w:rStyle w:val="HideTWBExt"/>
        </w:rPr>
        <w:t>&lt;/Article&gt;</w:t>
      </w:r>
    </w:p>
    <w:p>
      <w:r>
        <w:rPr>
          <w:rStyle w:val="HideTWBExt"/>
        </w:rPr>
        <w:t>&lt;Article2&gt;</w:t>
      </w:r>
      <w:r>
        <w:t>Čl. 4 – nový odstavec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Členské státy umožní příslušným zúčastněným stranám, které jsou zapojeny do procesu překračování vnějších hranic, přístup k paměťovému médiu v cestovních pasech a cestovních dokladech, s výjimkou otisků prstů, a to se souhlasem osoby, které byl cestovní pas nebo cestovní doklad vydán.</w:t>
            </w:r>
          </w:p>
        </w:tc>
        <w:tc>
          <w:tcPr>
            <w:tcW w:w="4876" w:type="dxa"/>
            <w:tcBorders>
              <w:top w:val="nil"/>
              <w:left w:val="nil"/>
              <w:bottom w:val="nil"/>
              <w:right w:val="nil"/>
            </w:tcBorders>
          </w:tcPr>
          <w:p>
            <w:pPr>
              <w:pStyle w:val="Normal6a"/>
            </w:pPr>
            <w:r>
              <w:t>4.</w:t>
            </w:r>
            <w:r>
              <w:tab/>
            </w:r>
            <w:r>
              <w:t xml:space="preserve">Členské státy umožní příslušným zúčastněným stranám, které jsou zapojeny do procesu překračování vnějších hranic, přístup k paměťovému médiu v cestovních pasech a cestovních dokladech, s výjimkou otisků prstů </w:t>
            </w:r>
            <w:r>
              <w:rPr>
                <w:b/>
                <w:i/>
              </w:rPr>
              <w:t>a zobrazení tváře</w:t>
            </w:r>
            <w:r>
              <w:t>, a to se souhlasem osoby, které byl cestovní pas nebo cestovní doklad vydán.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1</w:t>
      </w:r>
      <w:r>
        <w:rPr>
          <w:rStyle w:val="HideTWBExt"/>
        </w:rPr>
        <w:t>&lt;/Article&gt;</w:t>
      </w:r>
    </w:p>
    <w:p>
      <w:r>
        <w:rPr>
          <w:rStyle w:val="HideTWBExt"/>
        </w:rPr>
        <w:t>&lt;Article2&gt;</w:t>
      </w:r>
      <w:r>
        <w:t>Čl. 2 – bod 33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„předběžnou hraniční kontrolou“ kontrola prováděná u osob požívajících právo na volný pohyb podle práva Unie na základě digitálního cestovního oprávnění a dalších příslušných údajů;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1</w:t>
      </w:r>
      <w:r>
        <w:rPr>
          <w:rStyle w:val="HideTWBExt"/>
        </w:rPr>
        <w:t>&lt;/Article&gt;</w:t>
      </w:r>
    </w:p>
    <w:p>
      <w:r>
        <w:rPr>
          <w:rStyle w:val="HideTWBExt"/>
        </w:rPr>
        <w:t>&lt;Article2&gt;</w:t>
      </w:r>
      <w:r>
        <w:t>Čl. 2 – bod 34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„předběžným přezkumem údajů“ ověření splnění některých nebo všech podmínek vstupu státních příslušníků třetích zemí na základě digitálního cestovního oprávnění a dalších příslušných údajů, které podporují provádění hraničních kontrol.</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Nařízení (EU) …/… ze dne …, kterým se zavádí aplikace pro elektronické předkládání cestovních údajů („digitální cestovní aplikace EU“) a mění nařízení Evropského parlamentu a Rady (EU) 2016/399 a (EU) 2018/1726 a nařízení Rady (ES) č. 2252/2004, pokud jde o používání digitálních cestovních oprávnění (Úř. věst.…), […], s. […], ELI: ...).</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Nařízení Rady (ES) č. 2252/2004 ze dne 13. prosince 2004 o normách pro bezpečnostní a biometrické prvky v cestovních pasech a cestovních dokladech vydávaných členskými státy (Úř. věst. L 385, 29.</w:t>
            </w:r>
            <w:r>
              <w:rPr>
                <w:b/>
                <w:i/>
              </w:rPr>
              <w:t xml:space="preserve"> </w:t>
            </w:r>
            <w:r>
              <w:rPr>
                <w:b/>
                <w:i/>
              </w:rPr>
              <w:t>12.</w:t>
            </w:r>
            <w:r>
              <w:rPr>
                <w:b/>
                <w:i/>
              </w:rPr>
              <w:t xml:space="preserve"> </w:t>
            </w:r>
            <w:r>
              <w:rPr>
                <w:b/>
                <w:i/>
              </w:rPr>
              <w:t>2004, s. 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Nařízení Rady (EU) …/… ze dne… o vydávání digitálních cestovních oprávnění založených na průkazech totožnosti a o technických normách pro tato oprávnění (Úř. věst. L ...], [...], s. [...], ELI: …).;</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a</w:t>
      </w:r>
      <w:r>
        <w:rPr>
          <w:rStyle w:val="HideTWBExt"/>
        </w:rPr>
        <w:t>&lt;/Article&gt;</w:t>
      </w:r>
    </w:p>
    <w:p>
      <w:r>
        <w:rPr>
          <w:rStyle w:val="HideTWBExt"/>
        </w:rPr>
        <w:t>&lt;Article2&gt;</w:t>
      </w:r>
      <w:r>
        <w:t>Čl. 8 – odst. 2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doplňuje se nový odstavec, který zní: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2g.</w:t>
            </w:r>
            <w:r>
              <w:rPr>
                <w:b/>
                <w:i/>
              </w:rPr>
              <w:t xml:space="preserve"> </w:t>
            </w:r>
            <w:r>
              <w:rPr>
                <w:b/>
                <w:i/>
              </w:rPr>
              <w:t>Kontroly uvedené v odstavci 2 tohoto článku se provádějí předem, a to nejvýše 36 hodin před předpokládaným datem a časem příjezdu nebo odjezdu podle článku 5 nařízení (EU) .../... [COM(2024) 670 final], pokud byly údaje obdrženy v souladu s čl. 8ba odst. 1 tohoto nařízení.</w:t>
            </w:r>
            <w:r>
              <w:rPr>
                <w:b/>
                <w:i/>
              </w:rPr>
              <w:t xml:space="preserve"> </w:t>
            </w:r>
            <w:r>
              <w:rPr>
                <w:b/>
                <w:i/>
              </w:rPr>
              <w:t>Pokud jsou tyto kontroly prováděny předem, obdržené údaje mohou být na hraničním přechodu porovnány s údaji ve fyzickém cestovním dokladu nebo digitálním cestovním oprávnění.</w:t>
            </w:r>
            <w:r>
              <w:rPr>
                <w:b/>
                <w:i/>
              </w:rPr>
              <w:t xml:space="preserve"> </w:t>
            </w:r>
            <w:r>
              <w:rPr>
                <w:b/>
                <w:i/>
              </w:rPr>
              <w:t>Ověří se totožnost dotčené osoby a pravost a neporušenost fyzického cestovního dokladu nebo digitálního cestovního oprávnění.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Před zahájením provozu digitální cestovní aplikace EU podle článku 15 nařízení (EU) .../... [COM(2024) 670 final] lze kontroly uvedené v odstavci 2 tohoto článku provést předem, a to nejvýše 36 hodin před předpokládaným datem a časem příjezdu nebo odjezdu, pokud byly údaje obdrženy předem na základě digitálního cestovního oprávnění.</w:t>
            </w:r>
            <w:r>
              <w:rPr>
                <w:b/>
                <w:i/>
              </w:rPr>
              <w:t xml:space="preserve"> </w:t>
            </w:r>
            <w:r>
              <w:rPr>
                <w:b/>
                <w:i/>
              </w:rPr>
              <w:t>Pokud jsou tyto kontroly prováděny předem, obdržené údaje mohou být na hraničním přechodu porovnány s údaji ve fyzickém cestovním dokladu nebo digitálním cestovním oprávnění.</w:t>
            </w:r>
            <w:r>
              <w:rPr>
                <w:b/>
                <w:i/>
              </w:rPr>
              <w:t xml:space="preserve"> </w:t>
            </w:r>
            <w:r>
              <w:rPr>
                <w:b/>
                <w:i/>
              </w:rPr>
              <w:t>Ověří se totožnost dotčené osoby a pravost a neporušenost fyzického cestovního dokladu nebo digitálního cestovního oprávnění.;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a</w:t>
      </w:r>
      <w:r>
        <w:rPr>
          <w:rStyle w:val="HideTWBExt"/>
        </w:rPr>
        <w:t>&lt;/Article&gt;</w:t>
      </w:r>
    </w:p>
    <w:p>
      <w:r>
        <w:rPr>
          <w:rStyle w:val="HideTWBExt"/>
        </w:rPr>
        <w:t>&lt;Article2&gt;</w:t>
      </w:r>
      <w:r>
        <w:t>Čl. 8 – odst. 2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Kontroly uvedené v odstavci 2 tohoto článku se provádějí předem, a to nejvýše 36 hodin před předpokládaným datem a časem příjezdu nebo odjezdu podle článku 5 nařízení (EU) .../... [COM(2024) 670 final], pokud byly údaje obdrženy v souladu s čl. 8ba odst. 1 tohoto nařízení. Pokud jsou tyto kontroly prováděny předem, obdržené údaje mohou být na hraničním přechodu porovnány s údaji ve fyzickém cestovním dokladu nebo digitálním cestovním oprávnění. Ověří se totožnost dotčené osoby a pravost a neporušenost fyzického cestovního dokladu nebo digitálního cestovního oprávnění.</w:t>
            </w:r>
          </w:p>
        </w:tc>
        <w:tc>
          <w:tcPr>
            <w:tcW w:w="4876" w:type="dxa"/>
            <w:tcBorders>
              <w:top w:val="nil"/>
              <w:left w:val="nil"/>
              <w:bottom w:val="nil"/>
              <w:right w:val="nil"/>
            </w:tcBorders>
          </w:tcPr>
          <w:p>
            <w:pPr>
              <w:pStyle w:val="Normal6a"/>
            </w:pPr>
            <w:r>
              <w:t>Kontroly uvedené v odstavci 2 tohoto článku se provádějí předem, a to nejvýše 36 hodin před předpokládaným datem a časem příjezdu nebo odjezdu podle článku 5 nařízení (EU) .../... [COM(2024) 670 final], pokud byly údaje obdrženy v souladu s čl. 8ba odst. 1 tohoto nařízení. Pokud jsou tyto kontroly prováděny předem, obdržené údaje mohou být na hraničním přechodu porovnány s údaji ve fyzickém cestovním dokladu nebo digitálním cestovním oprávnění. Ověří se totožnost dotčené osoby a pravost</w:t>
            </w:r>
            <w:r>
              <w:rPr>
                <w:b/>
                <w:i/>
              </w:rPr>
              <w:t>, platnost</w:t>
            </w:r>
            <w:r>
              <w:t xml:space="preserve"> a neporušenost fyzického cestovního dokladu nebo digitálního cestovního oprávnění.</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a</w:t>
      </w:r>
      <w:r>
        <w:rPr>
          <w:rStyle w:val="HideTWBExt"/>
        </w:rPr>
        <w:t>&lt;/Article&gt;</w:t>
      </w:r>
    </w:p>
    <w:p>
      <w:r>
        <w:rPr>
          <w:rStyle w:val="HideTWBExt"/>
        </w:rPr>
        <w:t>&lt;Article2&gt;</w:t>
      </w:r>
      <w:r>
        <w:t>Čl. 8 – odst. 2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Před zahájením provozu digitální cestovní aplikace EU podle článku 15 nařízení (EU) .../... [COM(2024) 670 final] lze kontroly uvedené v odstavci 2 tohoto článku provést předem, a to nejvýše 36 hodin před předpokládaným datem a časem příjezdu nebo odjezdu, pokud byly údaje obdrženy předem na základě digitálního cestovního oprávnění. Pokud jsou tyto kontroly prováděny předem, obdržené údaje mohou být na hraničním přechodu porovnány s údaji ve fyzickém cestovním dokladu nebo digitálním cestovním oprávnění. Ověří se totožnost dotčené osoby a pravost a neporušenost fyzického cestovního dokladu nebo digitálního cestovního oprávnění.</w:t>
            </w:r>
            <w:r>
              <w:rPr>
                <w:b/>
                <w:i/>
              </w:rPr>
              <w:t>;</w:t>
            </w:r>
          </w:p>
        </w:tc>
        <w:tc>
          <w:tcPr>
            <w:tcW w:w="4876" w:type="dxa"/>
            <w:tcBorders>
              <w:top w:val="nil"/>
              <w:left w:val="nil"/>
              <w:bottom w:val="nil"/>
              <w:right w:val="nil"/>
            </w:tcBorders>
          </w:tcPr>
          <w:p>
            <w:pPr>
              <w:pStyle w:val="Normal6a"/>
            </w:pPr>
            <w:r>
              <w:t>Před zahájením provozu digitální cestovní aplikace EU podle článku 15 nařízení (EU) .../... [COM(2024) 670 final] lze kontroly uvedené v odstavci 2 tohoto článku provést předem, a to nejvýše 36 hodin před předpokládaným datem a časem příjezdu nebo odjezdu, pokud byly údaje obdrženy předem na základě digitálního cestovního oprávnění. Pokud jsou tyto kontroly prováděny předem, obdržené údaje mohou být na hraničním přechodu porovnány s údaji ve fyzickém cestovním dokladu nebo digitálním cestovním oprávnění. Ověří se totožnost dotčené osoby a pravost</w:t>
            </w:r>
            <w:r>
              <w:rPr>
                <w:b/>
                <w:i/>
              </w:rPr>
              <w:t>, platnost</w:t>
            </w:r>
            <w:r>
              <w:t xml:space="preserve"> a neporušenost fyzického cestovního dokladu nebo digitálního cestovního oprávnění.</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za skupinu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a</w:t>
      </w:r>
      <w:r>
        <w:rPr>
          <w:rStyle w:val="HideTWBExt"/>
        </w:rPr>
        <w:t>&lt;/Article&gt;</w:t>
      </w:r>
    </w:p>
    <w:p>
      <w:r>
        <w:rPr>
          <w:rStyle w:val="HideTWBExt"/>
        </w:rPr>
        <w:t>&lt;Article2&gt;</w:t>
      </w:r>
      <w:r>
        <w:t>Čl. 8 – odst. 2 – bod 2ga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2ga.</w:t>
            </w:r>
            <w:r>
              <w:tab/>
            </w:r>
            <w:r>
              <w:rPr>
                <w:b/>
                <w:i/>
              </w:rPr>
              <w:t>Rozhodnutí cestujícího předložit pouze fyzický cestovní doklad namísto digitálního cestovního oprávnění nesmí vést při hraničních kontrolách k diskriminačnímu nebo méně příznivému zacházení.</w:t>
            </w:r>
            <w:r>
              <w:rPr>
                <w:b/>
                <w:i/>
              </w:rPr>
              <w:t>Členské státy zejména zajistí, aby tito cestující nebyli vystaveni nepřiměřeně delším čekacím dobám nebo procesní zátěži ve srovnání s cestujícími používajícími digitální cestovní oprávnění.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Členské státy přijmou v rámci svých postupů ochrany hranic, správy front a přidělování zdrojů vhodná opatření k zajištění spravedlivého, přiměřeného a nediskriminačního zacházení se všemi cestujícími bez ohledu na formu, v níž je předkládán jejich cestovní doklad.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b</w:t>
      </w:r>
      <w:r>
        <w:rPr>
          <w:rStyle w:val="HideTWBExt"/>
        </w:rPr>
        <w:t>&lt;/Article&gt;</w:t>
      </w:r>
    </w:p>
    <w:p>
      <w:r>
        <w:rPr>
          <w:rStyle w:val="HideTWBExt"/>
        </w:rPr>
        <w:t>&lt;Article2&gt;</w:t>
      </w:r>
      <w:r>
        <w:t>Čl. 8 – odst. 3 – písm. 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 odstavci 3 se vkládá nové písmeno, které zní :</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j) pokud bylo digitální cestovní oprávnění obdrženo předem, použije se odstavec 3a tohoto článku.;</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c</w:t>
      </w:r>
      <w:r>
        <w:rPr>
          <w:rStyle w:val="HideTWBExt"/>
        </w:rPr>
        <w:t>&lt;/Article&gt;</w:t>
      </w:r>
    </w:p>
    <w:p>
      <w:r>
        <w:rPr>
          <w:rStyle w:val="HideTWBExt"/>
        </w:rPr>
        <w:t>&lt;Article2&gt;</w:t>
      </w:r>
      <w:r>
        <w:t>Čl. 8 – odst.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vkládá se nový odstavec, který zní: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3a.</w:t>
            </w:r>
            <w:r>
              <w:rPr>
                <w:b/>
                <w:i/>
              </w:rPr>
              <w:t xml:space="preserve"> </w:t>
            </w:r>
            <w:r>
              <w:rPr>
                <w:b/>
                <w:i/>
              </w:rPr>
              <w:t>Splnění podmínek vstupu uvedených v článku 6 tohoto nařízení se ověří předem, a to nejvýše 36 hodin před předpokládaným datem a časem příjezdu nebo odjezdu podle článku 5 nařízení (EU) .../... [COM(2024) 670 final], pokud byly údaje obdrženy v souladu s čl. 8ba odst. 2 tohoto nařízení.</w:t>
            </w:r>
            <w:r>
              <w:rPr>
                <w:b/>
                <w:i/>
              </w:rPr>
              <w:t xml:space="preserve"> </w:t>
            </w:r>
            <w:r>
              <w:rPr>
                <w:b/>
                <w:i/>
              </w:rPr>
              <w:t>Pokud jsou tyto kontroly prováděny předem, obdržené údaje mohou být na hraničním přechodu porovnány s údaji ve fyzickém cestovním dokladu nebo digitálním cestovním oprávněním.</w:t>
            </w:r>
            <w:r>
              <w:rPr>
                <w:b/>
                <w:i/>
              </w:rPr>
              <w:t xml:space="preserve"> </w:t>
            </w:r>
            <w:r>
              <w:rPr>
                <w:b/>
                <w:i/>
              </w:rPr>
              <w:t>Ověří se totožnost dotčené osoby a pravost a neporušenost fyzického cestovního dokladu nebo digitálního cestovního oprávnění.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Před zahájením provozu digitální cestovní aplikace EU podle článku 15 nařízení (EU) .../... [COM(2024) 670 final], lze splnění podmínek vstupu uvedených v článku 6 tohoto nařízení ověřit předem, a to nejvýše 36 hodin před předpokládaným datem a časem příjezdu nebo odjezdu, pokud byly údaje obdrženy předem na základě digitálního cestovního oprávnění.</w:t>
            </w:r>
            <w:r>
              <w:rPr>
                <w:b/>
                <w:i/>
              </w:rPr>
              <w:t xml:space="preserve"> </w:t>
            </w:r>
            <w:r>
              <w:rPr>
                <w:b/>
                <w:i/>
              </w:rPr>
              <w:t>Pokud jsou tyto kontroly prováděny předem, obdržené údaje mohou být na hraničním přechodu porovnány s údaji ve fyzickém cestovním dokladu nebo digitálním cestovním oprávnění.</w:t>
            </w:r>
            <w:r>
              <w:rPr>
                <w:b/>
                <w:i/>
              </w:rPr>
              <w:t xml:space="preserve"> </w:t>
            </w:r>
            <w:r>
              <w:rPr>
                <w:b/>
                <w:i/>
              </w:rPr>
              <w:t>Ověří se totožnost dotčené osoby a pravost a neporušenost fyzického cestovního dokladu nebo digitálního cestovního oprávnění.;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a</w:t>
      </w:r>
      <w:r>
        <w:rPr>
          <w:rStyle w:val="HideTWBExt"/>
        </w:rPr>
        <w:t>&lt;/Article&gt;</w:t>
      </w:r>
    </w:p>
    <w:p>
      <w:r>
        <w:rPr>
          <w:rStyle w:val="HideTWBExt"/>
        </w:rPr>
        <w:t>&lt;Article2&gt;</w:t>
      </w:r>
      <w:r>
        <w:t>Čl. 8 – odst.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Splnění podmínek vstupu uvedených v článku 6 tohoto nařízení se ověří předem, a to nejvýše 36 hodin před předpokládaným datem a časem příjezdu nebo odjezdu podle článku 5 nařízení (EU) .../... [COM(2024) 670 final], pokud byly údaje obdrženy v souladu s čl. 8ba odst. 2 tohoto nařízení. Pokud jsou tyto kontroly prováděny předem, obdržené údaje mohou být na hraničním přechodu porovnány s údaji ve fyzickém cestovním dokladu nebo digitálním cestovním </w:t>
            </w:r>
            <w:r>
              <w:rPr>
                <w:b/>
                <w:i/>
              </w:rPr>
              <w:t>oprávněním</w:t>
            </w:r>
            <w:r>
              <w:t>. Ověří se totožnost dotčené osoby a pravost a neporušenost fyzického cestovního dokladu nebo digitálního cestovního oprávnění.</w:t>
            </w:r>
          </w:p>
        </w:tc>
        <w:tc>
          <w:tcPr>
            <w:tcW w:w="4876" w:type="dxa"/>
            <w:tcBorders>
              <w:top w:val="nil"/>
              <w:left w:val="nil"/>
              <w:bottom w:val="nil"/>
              <w:right w:val="nil"/>
            </w:tcBorders>
          </w:tcPr>
          <w:p>
            <w:pPr>
              <w:pStyle w:val="Normal6a"/>
            </w:pPr>
            <w:r>
              <w:t xml:space="preserve">Splnění podmínek vstupu uvedených v článku 6 tohoto nařízení se ověří předem, a to nejvýše 36 hodin před předpokládaným datem a časem příjezdu nebo odjezdu podle článku 5 nařízení (EU) .../... [COM(2024) 670 final], pokud byly údaje obdrženy v souladu s čl. 8ba odst. 2 tohoto nařízení. Pokud jsou tyto kontroly prováděny předem, obdržené údaje mohou být na hraničním přechodu porovnány s údaji ve fyzickém cestovním dokladu nebo digitálním cestovním </w:t>
            </w:r>
            <w:r>
              <w:rPr>
                <w:b/>
                <w:i/>
              </w:rPr>
              <w:t>oprávnění</w:t>
            </w:r>
            <w:r>
              <w:t>. Ověří se totožnost dotčené osoby a pravost</w:t>
            </w:r>
            <w:r>
              <w:rPr>
                <w:b/>
                <w:i/>
              </w:rPr>
              <w:t>, platnost</w:t>
            </w:r>
            <w:r>
              <w:t xml:space="preserve"> a neporušenost fyzického cestovního dokladu nebo digitálního cestovního oprávnění.</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a</w:t>
      </w:r>
      <w:r>
        <w:rPr>
          <w:rStyle w:val="HideTWBExt"/>
        </w:rPr>
        <w:t>&lt;/Article&gt;</w:t>
      </w:r>
    </w:p>
    <w:p>
      <w:r>
        <w:rPr>
          <w:rStyle w:val="HideTWBExt"/>
        </w:rPr>
        <w:t>&lt;Article2&gt;</w:t>
      </w:r>
      <w:r>
        <w:t>Čl. 8 – odst.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Před zahájením provozu digitální cestovní aplikace EU podle článku 15 nařízení (EU) .../... [COM(2024) 670 final], lze splnění podmínek vstupu uvedených v článku 6 tohoto nařízení ověřit předem, a to nejvýše 36 hodin před předpokládaným datem a časem příjezdu nebo odjezdu, pokud byly údaje obdrženy předem na základě digitálního cestovního oprávnění. Pokud jsou tyto kontroly prováděny předem, obdržené údaje mohou být na hraničním přechodu porovnány s údaji ve fyzickém cestovním dokladu nebo digitálním cestovním oprávnění. Ověří se totožnost dotčené osoby a pravost a neporušenost fyzického cestovního dokladu nebo digitálního cestovního oprávnění.</w:t>
            </w:r>
            <w:r>
              <w:rPr>
                <w:b/>
                <w:i/>
              </w:rPr>
              <w:t>;</w:t>
            </w:r>
          </w:p>
        </w:tc>
        <w:tc>
          <w:tcPr>
            <w:tcW w:w="4876" w:type="dxa"/>
            <w:tcBorders>
              <w:top w:val="nil"/>
              <w:left w:val="nil"/>
              <w:bottom w:val="nil"/>
              <w:right w:val="nil"/>
            </w:tcBorders>
          </w:tcPr>
          <w:p>
            <w:pPr>
              <w:pStyle w:val="Normal6a"/>
            </w:pPr>
            <w:r>
              <w:t>Před zahájením provozu digitální cestovní aplikace EU podle článku 15 nařízení (EU) .../... [COM(2024) 670 final], lze splnění podmínek vstupu uvedených v článku 6 tohoto nařízení ověřit předem, a to nejvýše 36 hodin před předpokládaným datem a časem příjezdu nebo odjezdu, pokud byly údaje obdrženy předem na základě digitálního cestovního oprávnění. Pokud jsou tyto kontroly prováděny předem, obdržené údaje mohou být na hraničním přechodu porovnány s údaji ve fyzickém cestovním dokladu nebo digitálním cestovním oprávnění. Ověří se totožnost dotčené osoby a pravost</w:t>
            </w:r>
            <w:r>
              <w:rPr>
                <w:b/>
                <w:i/>
              </w:rPr>
              <w:t>, platnost</w:t>
            </w:r>
            <w:r>
              <w:t xml:space="preserve"> a neporušenost fyzického cestovního dokladu nebo digitálního cestovního oprávnění.</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2 – písm. d</w:t>
      </w:r>
      <w:r>
        <w:rPr>
          <w:rStyle w:val="HideTWBExt"/>
        </w:rPr>
        <w:t>&lt;/Article&gt;</w:t>
      </w:r>
    </w:p>
    <w:p>
      <w:r>
        <w:rPr>
          <w:rStyle w:val="HideTWBExt"/>
        </w:rPr>
        <w:t>&lt;Article2&gt;</w:t>
      </w:r>
      <w:r>
        <w:t>Čl. 8 – odst.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Komise přijme prováděcí akty, kterými stanoví minimální normy, pokud jde o technologie, metody a postupy, které se mají používat pro ověřování pravosti a platnosti </w:t>
            </w:r>
            <w:r>
              <w:rPr>
                <w:b/>
                <w:i/>
              </w:rPr>
              <w:t>cestovních dokladů, včetně povolení k pobytu, víz a dlouhodobých víz, a</w:t>
            </w:r>
            <w:r>
              <w:t xml:space="preserve"> digitálních cestovních oprávnění podle tohoto článku.</w:t>
            </w:r>
          </w:p>
        </w:tc>
        <w:tc>
          <w:tcPr>
            <w:tcW w:w="4876" w:type="dxa"/>
            <w:tcBorders>
              <w:top w:val="nil"/>
              <w:left w:val="nil"/>
              <w:bottom w:val="nil"/>
              <w:right w:val="nil"/>
            </w:tcBorders>
          </w:tcPr>
          <w:p>
            <w:pPr>
              <w:pStyle w:val="Normal6a"/>
            </w:pPr>
            <w:r>
              <w:t>Komise přijme prováděcí akty, kterými stanoví minimální normy, pokud jde o technologie, metody a postupy, které se mají používat pro ověřování pravosti a platnosti digitálních cestovních oprávnění podle tohoto článku.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3</w:t>
      </w:r>
      <w:r>
        <w:rPr>
          <w:rStyle w:val="HideTWBExt"/>
        </w:rPr>
        <w:t>&lt;/Article&gt;</w:t>
      </w:r>
    </w:p>
    <w:p>
      <w:r>
        <w:rPr>
          <w:rStyle w:val="HideTWBExt"/>
        </w:rPr>
        <w:t>&lt;Article2&gt;</w:t>
      </w:r>
      <w:r>
        <w:t>Čl. 8 a – odst. 4a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 článku 8a se vkládá nový odstavec, který zní: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4a.</w:t>
            </w:r>
            <w:r>
              <w:rPr>
                <w:b/>
                <w:i/>
              </w:rPr>
              <w:t xml:space="preserve"> </w:t>
            </w:r>
            <w:r>
              <w:rPr>
                <w:b/>
                <w:i/>
              </w:rPr>
              <w:t>Alternativně k odst. 4 písm. b) bodu ii) lze ověření provést tak, že 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použijí účinná a přiměřená technická opatření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provedou se namátková ověření uvedená v odst. 4 písm. b) bodě 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Toto alternativní ověření se nesmí opírat pouze o digitální cestovní aplikaci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4</w:t>
      </w:r>
      <w:r>
        <w:rPr>
          <w:rStyle w:val="HideTWBExt"/>
        </w:rPr>
        <w:t>&lt;/Article&gt;</w:t>
      </w:r>
    </w:p>
    <w:p>
      <w:r>
        <w:rPr>
          <w:rStyle w:val="HideTWBExt"/>
        </w:rPr>
        <w:t>&lt;Article2&gt;</w:t>
      </w:r>
      <w:r>
        <w:t>Čl. 8ba – odst.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Osoby požívající právo na volný pohyb podle práva Unie, které jsou držiteli digitálního cestovního oprávnění, mohou pro účely </w:t>
            </w:r>
            <w:r>
              <w:rPr>
                <w:b/>
                <w:i/>
              </w:rPr>
              <w:t>předběžných</w:t>
            </w:r>
            <w:r>
              <w:t xml:space="preserve"> hraničních kontrol v souladu s čl. 8 odst. </w:t>
            </w:r>
            <w:r>
              <w:rPr>
                <w:b/>
                <w:i/>
              </w:rPr>
              <w:t>2g</w:t>
            </w:r>
            <w:r>
              <w:t xml:space="preserve"> používat digitální cestovní aplikaci EU.</w:t>
            </w:r>
          </w:p>
        </w:tc>
        <w:tc>
          <w:tcPr>
            <w:tcW w:w="4876" w:type="dxa"/>
            <w:tcBorders>
              <w:top w:val="nil"/>
              <w:left w:val="nil"/>
              <w:bottom w:val="nil"/>
              <w:right w:val="nil"/>
            </w:tcBorders>
          </w:tcPr>
          <w:p>
            <w:pPr>
              <w:pStyle w:val="Normal6a"/>
            </w:pPr>
            <w:r>
              <w:t>1.</w:t>
            </w:r>
            <w:r>
              <w:tab/>
            </w:r>
            <w:r>
              <w:t xml:space="preserve">Osoby požívající právo na volný pohyb podle práva Unie, které jsou držiteli digitálního cestovního oprávnění, mohou pro účely hraničních kontrol v souladu s čl. 8 odst. </w:t>
            </w:r>
            <w:r>
              <w:rPr>
                <w:b/>
                <w:i/>
              </w:rPr>
              <w:t>2</w:t>
            </w:r>
            <w:r>
              <w:t xml:space="preserve"> používat digitální cestovní aplikaci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bod 4</w:t>
      </w:r>
      <w:r>
        <w:rPr>
          <w:rStyle w:val="HideTWBExt"/>
        </w:rPr>
        <w:t>&lt;/Article&gt;</w:t>
      </w:r>
    </w:p>
    <w:p>
      <w:r>
        <w:rPr>
          <w:rStyle w:val="HideTWBExt"/>
        </w:rPr>
        <w:t>&lt;Article2&gt;</w:t>
      </w:r>
      <w:r>
        <w:t>Čl. 8ba – odst.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Státní příslušníci třetích zemí, včetně těch, kteří podléhají registraci v systému EES, mohou pro účely </w:t>
            </w:r>
            <w:r>
              <w:rPr>
                <w:b/>
                <w:i/>
              </w:rPr>
              <w:t>předběžného přezkumu údajů</w:t>
            </w:r>
            <w:r>
              <w:t xml:space="preserve"> v souladu s čl. 8 odst. 3 </w:t>
            </w:r>
            <w:r>
              <w:rPr>
                <w:b/>
                <w:i/>
              </w:rPr>
              <w:t>písm. j)</w:t>
            </w:r>
            <w:r>
              <w:t xml:space="preserve"> používat digitální cestovní aplikaci EU.</w:t>
            </w:r>
          </w:p>
        </w:tc>
        <w:tc>
          <w:tcPr>
            <w:tcW w:w="4876" w:type="dxa"/>
            <w:tcBorders>
              <w:top w:val="nil"/>
              <w:left w:val="nil"/>
              <w:bottom w:val="nil"/>
              <w:right w:val="nil"/>
            </w:tcBorders>
          </w:tcPr>
          <w:p>
            <w:pPr>
              <w:pStyle w:val="Normal6a"/>
            </w:pPr>
            <w:r>
              <w:t>2.</w:t>
            </w:r>
            <w:r>
              <w:tab/>
            </w:r>
            <w:r>
              <w:t xml:space="preserve">Státní příslušníci třetích zemí, včetně těch, kteří podléhají registraci v systému EES, mohou pro účely </w:t>
            </w:r>
            <w:r>
              <w:rPr>
                <w:b/>
                <w:i/>
              </w:rPr>
              <w:t>hraničních kontrol</w:t>
            </w:r>
            <w:r>
              <w:t xml:space="preserve"> v souladu s čl. 8 odst. 3 používat digitální cestovní aplikaci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Komise prováděcím aktem určí datum, od kterého digitální cestovní aplikace EU zahájí provoz, jakmile agentura eu-LISA Komisi oznámí úspěšné dokončení testu aplikace podle čl. 8 odst. 5.</w:t>
            </w:r>
          </w:p>
        </w:tc>
        <w:tc>
          <w:tcPr>
            <w:tcW w:w="4876" w:type="dxa"/>
            <w:tcBorders>
              <w:top w:val="nil"/>
              <w:left w:val="nil"/>
              <w:bottom w:val="nil"/>
              <w:right w:val="nil"/>
            </w:tcBorders>
          </w:tcPr>
          <w:p>
            <w:pPr>
              <w:pStyle w:val="Normal6a"/>
            </w:pPr>
            <w:r>
              <w:t>1.</w:t>
            </w:r>
            <w:r>
              <w:tab/>
            </w:r>
            <w:r>
              <w:t xml:space="preserve">Komise prováděcím aktem určí datum, od kterého digitální cestovní aplikace EU zahájí provoz, jakmile agentura eu-LISA Komisi oznámí úspěšné dokončení testu aplikace podle čl. 8 odst. 5. </w:t>
            </w:r>
            <w:r>
              <w:rPr>
                <w:b/>
                <w:i/>
              </w:rPr>
              <w:t>Test aplikace agenturou eu-LISA dokončí nejpozději tři roky po vstupu tohoto nařízení v platnost.</w:t>
            </w:r>
            <w:r>
              <w:t xml:space="preserve"> </w:t>
            </w:r>
            <w:r>
              <w:rPr>
                <w:b/>
                <w:i/>
              </w:rPr>
              <w:t>Datum stanovené prováděcím aktem není později než šest měsíců po dokončení testu aplikace.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vytvoří technickou architekturu digitální cestovní aplikace EU a stanoví technické specifikace pro mobilní aplikaci, backendové služby a směrovač údajů cestujícího;</w:t>
            </w:r>
          </w:p>
        </w:tc>
        <w:tc>
          <w:tcPr>
            <w:tcW w:w="4876" w:type="dxa"/>
            <w:tcBorders>
              <w:top w:val="nil"/>
              <w:left w:val="nil"/>
              <w:bottom w:val="nil"/>
              <w:right w:val="nil"/>
            </w:tcBorders>
          </w:tcPr>
          <w:p>
            <w:pPr>
              <w:pStyle w:val="Normal6a"/>
            </w:pPr>
            <w:r>
              <w:rPr>
                <w:b/>
                <w:i/>
              </w:rPr>
              <w:t>a)</w:t>
            </w:r>
            <w:r>
              <w:tab/>
            </w:r>
            <w:r>
              <w:t>vytvoří technickou architekturu digitální cestovní aplikace EU a stanoví technické specifikace pro mobilní aplikaci, backendové služby a směrovač údajů cestujícího</w:t>
            </w:r>
            <w:r>
              <w:rPr>
                <w:b/>
                <w:i/>
              </w:rPr>
              <w:t>, které zajistí nejvyšší standardy bezpečnosti, ochrany údajů a interoperability se systémem vstupu/výstupu, ETIAS a API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vytvoří technickou architekturu digitální cestovní aplikace EU a stanoví technické specifikace pro mobilní aplikaci</w:t>
            </w:r>
            <w:r>
              <w:rPr>
                <w:b/>
                <w:i/>
              </w:rPr>
              <w:t>, backendové služby a směrovač údajů cestujícího</w:t>
            </w:r>
            <w:r>
              <w:t>;</w:t>
            </w:r>
          </w:p>
        </w:tc>
        <w:tc>
          <w:tcPr>
            <w:tcW w:w="4876" w:type="dxa"/>
            <w:tcBorders>
              <w:top w:val="nil"/>
              <w:left w:val="nil"/>
              <w:bottom w:val="nil"/>
              <w:right w:val="nil"/>
            </w:tcBorders>
          </w:tcPr>
          <w:p>
            <w:pPr>
              <w:pStyle w:val="Normal6a"/>
            </w:pPr>
            <w:r>
              <w:rPr>
                <w:b/>
                <w:i/>
              </w:rPr>
              <w:t>a)</w:t>
            </w:r>
            <w:r>
              <w:tab/>
            </w:r>
            <w:r>
              <w:t xml:space="preserve">vytvoří technickou architekturu digitální cestovní aplikace EU a stanoví technické specifikace pro mobilní aplikaci </w:t>
            </w:r>
            <w:r>
              <w:rPr>
                <w:b/>
                <w:i/>
              </w:rPr>
              <w:t>a backendové služby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stanoví statistiky, které má agentura eu-LISA shromažďovat o používání digitální cestovní aplikace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stanoví statistiky, které má agentura eu-LISA shromažďovat o používání digitální cestovní aplikace EU;</w:t>
            </w:r>
          </w:p>
        </w:tc>
        <w:tc>
          <w:tcPr>
            <w:tcW w:w="4876" w:type="dxa"/>
            <w:tcBorders>
              <w:top w:val="nil"/>
              <w:left w:val="nil"/>
              <w:bottom w:val="nil"/>
              <w:right w:val="nil"/>
            </w:tcBorders>
          </w:tcPr>
          <w:p>
            <w:pPr>
              <w:pStyle w:val="Normal6a"/>
            </w:pPr>
            <w:r>
              <w:t>(b)</w:t>
            </w:r>
            <w:r>
              <w:tab/>
            </w:r>
            <w:r>
              <w:t>stanoví statistiky, které má agentura eu-LISA shromažďovat o používání digitální cestovní aplikace EU</w:t>
            </w:r>
            <w:r>
              <w:rPr>
                <w:b/>
                <w:i/>
              </w:rPr>
              <w:t>, které jsou potřebné pro hodnocení výkonnosti, použitelnosti a celkové účinnosti digitální cestovní aplikace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stanoví statistiky, které má agentura eu-LISA shromažďovat o používání digitální cestovní aplikace EU;</w:t>
            </w:r>
          </w:p>
        </w:tc>
        <w:tc>
          <w:tcPr>
            <w:tcW w:w="4876" w:type="dxa"/>
            <w:tcBorders>
              <w:top w:val="nil"/>
              <w:left w:val="nil"/>
              <w:bottom w:val="nil"/>
              <w:right w:val="nil"/>
            </w:tcBorders>
          </w:tcPr>
          <w:p>
            <w:pPr>
              <w:pStyle w:val="Normal6a"/>
            </w:pPr>
            <w:r>
              <w:t>(b)</w:t>
            </w:r>
            <w:r>
              <w:tab/>
            </w:r>
            <w:r>
              <w:t xml:space="preserve">stanoví </w:t>
            </w:r>
            <w:r>
              <w:rPr>
                <w:b/>
                <w:i/>
              </w:rPr>
              <w:t>neosobní a anonymizované</w:t>
            </w:r>
            <w:r>
              <w:t xml:space="preserve"> statistiky, které má agentura eu-LISA shromažďovat</w:t>
            </w:r>
            <w:r>
              <w:rPr>
                <w:b/>
                <w:i/>
              </w:rPr>
              <w:t>, a to výhradně za účelem hodnocení účinnosti tohoto nařízení, pokud jde</w:t>
            </w:r>
            <w:r>
              <w:t xml:space="preserve"> o používání digitální cestovní aplikace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Agentura eu-LISA </w:t>
            </w:r>
            <w:r>
              <w:rPr>
                <w:b/>
                <w:i/>
              </w:rPr>
              <w:t>zajistí zavedení postupů</w:t>
            </w:r>
            <w:r>
              <w:t xml:space="preserve"> pro monitorování vývoje digitální cestovní aplikace EU s ohledem na cíle týkající se plánování a nákladů, jakož i pro monitorování fungování digitální cestovní aplikace EU s ohledem na cíle týkající se technických výstupů, nákladové efektivnosti, bezpečnosti a kvality služeb.</w:t>
            </w:r>
          </w:p>
        </w:tc>
        <w:tc>
          <w:tcPr>
            <w:tcW w:w="4876" w:type="dxa"/>
            <w:tcBorders>
              <w:top w:val="nil"/>
              <w:left w:val="nil"/>
              <w:bottom w:val="nil"/>
              <w:right w:val="nil"/>
            </w:tcBorders>
          </w:tcPr>
          <w:p>
            <w:pPr>
              <w:pStyle w:val="Normal6a"/>
            </w:pPr>
            <w:r>
              <w:t>1.</w:t>
            </w:r>
            <w:r>
              <w:tab/>
            </w:r>
            <w:r>
              <w:t xml:space="preserve">Agentura eu-LISA </w:t>
            </w:r>
            <w:r>
              <w:rPr>
                <w:b/>
                <w:i/>
              </w:rPr>
              <w:t>zavede postupy</w:t>
            </w:r>
            <w:r>
              <w:t xml:space="preserve"> pro monitorování vývoje digitální cestovní aplikace EU s ohledem na cíle týkající se plánování a nákladů, jakož i pro monitorování fungování digitální cestovní aplikace EU s ohledem na cíle týkající se technických výstupů, nákladové efektivnosti, bezpečnosti a kvality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 1. ledna 2028 a poté každých </w:t>
            </w:r>
            <w:r>
              <w:rPr>
                <w:b/>
                <w:i/>
              </w:rPr>
              <w:t>dvanáct</w:t>
            </w:r>
            <w:r>
              <w:t xml:space="preserve"> měsíců během fáze vývoje předloží agentura eu-LISA Evropskému parlamentu a Radě zprávu o stavu vývoje digitální cestovní aplikace EU.</w:t>
            </w:r>
          </w:p>
        </w:tc>
        <w:tc>
          <w:tcPr>
            <w:tcW w:w="4876" w:type="dxa"/>
            <w:tcBorders>
              <w:top w:val="nil"/>
              <w:left w:val="nil"/>
              <w:bottom w:val="nil"/>
              <w:right w:val="nil"/>
            </w:tcBorders>
          </w:tcPr>
          <w:p>
            <w:pPr>
              <w:pStyle w:val="Normal6a"/>
            </w:pPr>
            <w:r>
              <w:t>2.</w:t>
            </w:r>
            <w:r>
              <w:tab/>
            </w:r>
            <w:r>
              <w:t xml:space="preserve">Do 1. ledna 2028 a poté každých </w:t>
            </w:r>
            <w:r>
              <w:rPr>
                <w:b/>
                <w:i/>
              </w:rPr>
              <w:t>šest</w:t>
            </w:r>
            <w:r>
              <w:t xml:space="preserve"> měsíců během fáze vývoje předloží agentura eu-LISA Evropskému parlamentu a Radě zprávu o stavu vývoje digitální cestovní aplikace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Zpráva uvedená v odstavci 2 obsahuje podrobné informace o vzniklých nákladech a informace o případných rizicích, která mohou ovlivnit celkové náklady na digitální cestovní aplikaci EU hrazené ze souhrnného rozpočtu Unie. Zpráva rovněž obsahuje podrobné informace o technickém provádění projektu a o jakýchkoliv technických problémech a rizicích, které mohou mít vliv na celkový vývoj digitální cestovní aplikace EU a její uvedení do provozu.</w:t>
            </w:r>
          </w:p>
        </w:tc>
        <w:tc>
          <w:tcPr>
            <w:tcW w:w="4876" w:type="dxa"/>
            <w:tcBorders>
              <w:top w:val="nil"/>
              <w:left w:val="nil"/>
              <w:bottom w:val="nil"/>
              <w:right w:val="nil"/>
            </w:tcBorders>
          </w:tcPr>
          <w:p>
            <w:pPr>
              <w:pStyle w:val="Normal6a"/>
            </w:pPr>
            <w:r>
              <w:t>3.</w:t>
            </w:r>
            <w:r>
              <w:tab/>
            </w:r>
            <w:r>
              <w:t xml:space="preserve">Zpráva uvedená v odstavci 2 obsahuje podrobné informace o vzniklých nákladech a informace o případných rizicích, která mohou ovlivnit celkové náklady na digitální cestovní aplikaci EU hrazené ze souhrnného rozpočtu Unie. Zpráva rovněž obsahuje podrobné informace o technickém provádění projektu a o jakýchkoliv technických problémech a rizicích, které mohou mít vliv na </w:t>
            </w:r>
            <w:r>
              <w:rPr>
                <w:b/>
                <w:i/>
              </w:rPr>
              <w:t>zabezpečení cestovních údajů nebo</w:t>
            </w:r>
            <w:r>
              <w:t xml:space="preserve"> celkový vývoj digitální cestovní aplikace EU a její uvedení do provozu.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Do </w:t>
            </w:r>
            <w:r>
              <w:rPr>
                <w:b/>
                <w:i/>
              </w:rPr>
              <w:t>... [pět let</w:t>
            </w:r>
            <w:r>
              <w:t xml:space="preserve"> po zahájení provozu digitální cestovní aplikace EU] provede Komise celkové hodnocení digitální cestovní aplikace EU a jejího používání. Zpráva o celkovém hodnocení vypracovaná na tomto základě zahrne posouzení uplatňování tohoto nařízení, přezkum dosažených výsledků ve vztahu ke stanoveným cílům a posouzení dopadu na základní práva. Zpráva rovněž obsahuje celkové posouzení toho, zda základní důvody pro provozování digitální cestovní aplikace EU nadále trvají, vhodnosti technických prvků aplikace, bezpečnosti aplikace a případných důsledků pro budoucí provoz. Hodnocení zahrnuje nezbytná doporučení. Komise uvedenou zprávu předloží Evropskému parlamentu, Radě, evropskému inspektorovi ochrany údajů a Agentuře Evropské unie pro základní práva.</w:t>
            </w:r>
          </w:p>
        </w:tc>
        <w:tc>
          <w:tcPr>
            <w:tcW w:w="4876" w:type="dxa"/>
            <w:tcBorders>
              <w:top w:val="nil"/>
              <w:left w:val="nil"/>
              <w:bottom w:val="nil"/>
              <w:right w:val="nil"/>
            </w:tcBorders>
          </w:tcPr>
          <w:p>
            <w:pPr>
              <w:pStyle w:val="Normal6a"/>
            </w:pPr>
            <w:r>
              <w:t>5.</w:t>
            </w:r>
            <w:r>
              <w:tab/>
            </w:r>
            <w:r>
              <w:t xml:space="preserve">Do </w:t>
            </w:r>
            <w:r>
              <w:rPr>
                <w:b/>
                <w:i/>
              </w:rPr>
              <w:t>… [dva roky</w:t>
            </w:r>
            <w:r>
              <w:t xml:space="preserve"> po zahájení provozu digitální cestovní aplikace EU] </w:t>
            </w:r>
            <w:r>
              <w:rPr>
                <w:b/>
                <w:i/>
              </w:rPr>
              <w:t>a následně každé čtyři roky</w:t>
            </w:r>
            <w:r>
              <w:t xml:space="preserve"> provede Komise celkové hodnocení digitální cestovní aplikace EU a jejího používání. Zpráva o celkovém hodnocení vypracovaná na tomto základě zahrne posouzení uplatňování tohoto nařízení, přezkum dosažených výsledků ve vztahu ke stanoveným cílům a posouzení dopadu na základní práva. Zpráva rovněž obsahuje celkové posouzení toho, zda základní důvody pro provozování digitální cestovní aplikace EU nadále trvají, vhodnosti technických prvků aplikace, bezpečnosti aplikace a případných důsledků pro budoucí provoz. Hodnocení zahrnuje nezbytná doporučení. Komise uvedenou zprávu předloží Evropskému parlamentu, Radě, evropskému inspektorovi ochrany údajů a Agentuře Evropské unie pro základní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Do </w:t>
            </w:r>
            <w:r>
              <w:rPr>
                <w:b/>
                <w:i/>
              </w:rPr>
              <w:t>... [pět let</w:t>
            </w:r>
            <w:r>
              <w:t xml:space="preserve"> po zahájení provozu digitální cestovní aplikace EU] provede Komise celkové hodnocení digitální cestovní aplikace EU a jejího používání. Zpráva o celkovém hodnocení vypracovaná na tomto základě zahrne posouzení uplatňování tohoto nařízení, přezkum dosažených výsledků ve vztahu ke stanoveným cílům a posouzení dopadu na základní práva. Zpráva rovněž obsahuje celkové posouzení toho, zda základní důvody pro provozování digitální cestovní aplikace EU nadále trvají, vhodnosti technických prvků aplikace, bezpečnosti aplikace a případných důsledků pro budoucí provoz. Hodnocení zahrnuje nezbytná doporučení. Komise uvedenou zprávu předloží Evropskému parlamentu, Radě, evropskému inspektorovi ochrany údajů a Agentuře Evropské unie pro základní práva.</w:t>
            </w:r>
          </w:p>
        </w:tc>
        <w:tc>
          <w:tcPr>
            <w:tcW w:w="4876" w:type="dxa"/>
            <w:tcBorders>
              <w:top w:val="nil"/>
              <w:left w:val="nil"/>
              <w:bottom w:val="nil"/>
              <w:right w:val="nil"/>
            </w:tcBorders>
          </w:tcPr>
          <w:p>
            <w:pPr>
              <w:pStyle w:val="Normal6a"/>
            </w:pPr>
            <w:r>
              <w:t>5.</w:t>
            </w:r>
            <w:r>
              <w:tab/>
            </w:r>
            <w:r>
              <w:t xml:space="preserve">Do </w:t>
            </w:r>
            <w:r>
              <w:rPr>
                <w:b/>
                <w:i/>
              </w:rPr>
              <w:t>… [dva roky</w:t>
            </w:r>
            <w:r>
              <w:t xml:space="preserve"> po zahájení provozu digitální cestovní aplikace EU] </w:t>
            </w:r>
            <w:r>
              <w:rPr>
                <w:b/>
                <w:i/>
              </w:rPr>
              <w:t>a následně každé dva roky</w:t>
            </w:r>
            <w:r>
              <w:t xml:space="preserve"> provede Komise celkové hodnocení digitální cestovní aplikace EU a jejího používání. Zpráva o celkovém hodnocení vypracovaná na tomto základě zahrne posouzení uplatňování tohoto nařízení, přezkum dosažených výsledků ve vztahu ke stanoveným cílům a posouzení dopadu na základní práva. Zpráva rovněž obsahuje celkové posouzení toho, zda základní důvody pro provozování digitální cestovní aplikace EU nadále trvají, vhodnosti technických prvků aplikace, bezpečnosti aplikace a případných důsledků pro budoucí provoz. Hodnocení zahrnuje nezbytná doporučení. Komise uvedenou zprávu předloží Evropskému parlamentu, Radě, evropskému inspektorovi ochrany údajů a Agentuře Evropské unie pro základní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 ... [pět let po zahájení provozu digitální cestovní aplikace EU] provede Komise celkové hodnocení digitální cestovní aplikace EU a jejího používání. Zpráva o celkovém hodnocení vypracovaná na tomto základě zahrne posouzení uplatňování tohoto nařízení, přezkum dosažených výsledků ve vztahu ke stanoveným cílům a posouzení dopadu na základní práva. Zpráva rovněž obsahuje celkové posouzení toho, zda základní důvody pro provozování digitální cestovní aplikace EU nadále trvají, vhodnosti technických prvků aplikace, bezpečnosti aplikace a případných důsledků pro budoucí provoz. Hodnocení zahrnuje nezbytná doporučení. Komise uvedenou zprávu předloží Evropskému parlamentu, Radě, evropskému inspektorovi ochrany údajů a Agentuře Evropské unie pro základní práva.</w:t>
            </w:r>
          </w:p>
        </w:tc>
        <w:tc>
          <w:tcPr>
            <w:tcW w:w="4876" w:type="dxa"/>
            <w:tcBorders>
              <w:top w:val="nil"/>
              <w:left w:val="nil"/>
              <w:bottom w:val="nil"/>
              <w:right w:val="nil"/>
            </w:tcBorders>
          </w:tcPr>
          <w:p>
            <w:pPr>
              <w:pStyle w:val="Normal6a"/>
            </w:pPr>
            <w:r>
              <w:t>5.</w:t>
            </w:r>
            <w:r>
              <w:tab/>
            </w:r>
            <w:r>
              <w:t xml:space="preserve">Do ... [pět let po zahájení provozu digitální cestovní aplikace EU] provede Komise celkové hodnocení digitální cestovní aplikace EU a jejího používání. Zpráva o celkovém hodnocení vypracovaná na tomto základě zahrne posouzení uplatňování tohoto nařízení, přezkum dosažených výsledků ve vztahu ke stanoveným cílům a posouzení dopadu na základní práva </w:t>
            </w:r>
            <w:r>
              <w:rPr>
                <w:b/>
                <w:i/>
              </w:rPr>
              <w:t>a správu hranic</w:t>
            </w:r>
            <w:r>
              <w:t>. Zpráva rovněž obsahuje celkové posouzení toho, zda základní důvody pro provozování digitální cestovní aplikace EU nadále trvají, vhodnosti technických prvků aplikace, bezpečnosti aplikace a případných důsledků pro budoucí provoz. Hodnocení zahrnuje nezbytná doporučení. Komise uvedenou zprávu předloží Evropskému parlamentu, Radě, evropskému inspektorovi ochrany údajů a Agentuře Evropské unie pro základní práva.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 ... [</w:t>
            </w:r>
            <w:r>
              <w:rPr>
                <w:b/>
                <w:i/>
              </w:rPr>
              <w:t>pět</w:t>
            </w:r>
            <w:r>
              <w:t xml:space="preserve"> let po zahájení provozu digitální cestovní aplikace EU] provede Komise celkové hodnocení digitální cestovní aplikace EU a jejího používání. Zpráva o celkovém hodnocení vypracovaná na tomto základě zahrne posouzení uplatňování tohoto nařízení, přezkum dosažených výsledků ve vztahu ke stanoveným cílům a posouzení dopadu na základní práva. Zpráva rovněž obsahuje celkové posouzení toho, zda základní důvody pro provozování digitální cestovní aplikace EU nadále trvají, vhodnosti technických prvků aplikace, bezpečnosti aplikace a případných důsledků pro budoucí provoz. Hodnocení zahrnuje nezbytná doporučení. Komise uvedenou zprávu předloží Evropskému parlamentu, Radě, evropskému inspektorovi ochrany údajů a Agentuře Evropské unie pro základní práva.</w:t>
            </w:r>
          </w:p>
        </w:tc>
        <w:tc>
          <w:tcPr>
            <w:tcW w:w="4876" w:type="dxa"/>
            <w:tcBorders>
              <w:top w:val="nil"/>
              <w:left w:val="nil"/>
              <w:bottom w:val="nil"/>
              <w:right w:val="nil"/>
            </w:tcBorders>
          </w:tcPr>
          <w:p>
            <w:pPr>
              <w:pStyle w:val="Normal6a"/>
            </w:pPr>
            <w:r>
              <w:t>5.</w:t>
            </w:r>
            <w:r>
              <w:tab/>
            </w:r>
            <w:r>
              <w:t>Do ... [</w:t>
            </w:r>
            <w:r>
              <w:rPr>
                <w:b/>
                <w:i/>
              </w:rPr>
              <w:t>dvou</w:t>
            </w:r>
            <w:r>
              <w:t xml:space="preserve"> let po zahájení provozu digitální cestovní aplikace EU] provede Komise celkové hodnocení digitální cestovní aplikace EU a jejího používání. Zpráva o celkovém hodnocení vypracovaná na tomto základě zahrne posouzení uplatňování tohoto nařízení, přezkum dosažených výsledků ve vztahu ke stanoveným cílům a posouzení dopadu na základní práva. Zpráva rovněž obsahuje celkové posouzení toho, zda základní důvody pro provozování digitální cestovní aplikace EU nadále trvají, vhodnosti technických prvků aplikace, bezpečnosti aplikace a případných důsledků pro budoucí provoz. Hodnocení zahrnuje nezbytná doporučení. Komise uvedenou zprávu předloží Evropskému parlamentu, Radě, evropskému inspektorovi ochrany údajů a Agentuře Evropské unie pro základní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116</w:t>
    </w:r>
    <w:r>
      <w:fldChar w:fldCharType="end"/>
    </w:r>
    <w:r>
      <w:t>/</w:t>
    </w:r>
    <w:r>
      <w:fldChar w:fldCharType="begin"/>
    </w:r>
    <w:r>
      <w:instrText xml:space="preserve"> NUMPAGES </w:instrText>
    </w:r>
    <w:r>
      <w:fldChar w:fldCharType="separate"/>
    </w:r>
    <w:r>
      <w:t>117</w:t>
    </w:r>
    <w:r>
      <w:fldChar w:fldCharType="end"/>
    </w:r>
    <w:r>
      <w:tab/>
    </w:r>
    <w:r>
      <w:rPr>
        <w:rStyle w:val="HideTWBExt"/>
      </w:rPr>
      <w:t>&lt;PathFdR&gt;</w:t>
    </w:r>
    <w:r>
      <w:t>AM\1320571CS.docx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AM\1320571CS.docx</w:t>
    </w:r>
    <w:r>
      <w:rPr>
        <w:rStyle w:val="HideTWBExt"/>
      </w:rPr>
      <w:t>&lt;/PathFdR&gt;</w:t>
    </w:r>
    <w:r>
      <w:tab/>
    </w:r>
    <w:r>
      <w:fldChar w:fldCharType="begin"/>
    </w:r>
    <w:r>
      <w:instrText xml:space="preserve"> PAGE </w:instrText>
    </w:r>
    <w:r>
      <w:fldChar w:fldCharType="separate"/>
    </w:r>
    <w:r>
      <w:t>117</w:t>
    </w:r>
    <w:r>
      <w:fldChar w:fldCharType="end"/>
    </w:r>
    <w:r>
      <w:t>/</w:t>
    </w:r>
    <w:r>
      <w:fldChar w:fldCharType="begin"/>
    </w:r>
    <w:r>
      <w:instrText xml:space="preserve"> NUMPAGES </w:instrText>
    </w:r>
    <w:r>
      <w:fldChar w:fldCharType="separate"/>
    </w:r>
    <w:r>
      <w:t>117</w:t>
    </w:r>
    <w:r>
      <w:fldChar w:fldCharType="end"/>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AM\1320571CS.docx</w:t>
    </w:r>
    <w:r>
      <w:rPr>
        <w:rStyle w:val="HideTWBExt"/>
      </w:rPr>
      <w:t>&lt;/PathFdR&gt;</w:t>
    </w:r>
    <w:r>
      <w:tab/>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117</Pages>
  <Words>29840</Words>
  <Characters>182319</Characters>
  <Application>Microsoft Office Word</Application>
  <DocSecurity>0</DocSecurity>
  <Lines>1</Lines>
  <Paragraphs>1998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183069</vt:lpwstr>
  </property>
  <property fmtid="{D5CDD505-2E9C-101B-9397-08002B2CF9AE}" pid="7" name="dmxml.render.traceId">
    <vt:lpwstr>682c9f1557555c58ca5c39900e94670a</vt:lpwstr>
  </property>
  <property fmtid="{D5CDD505-2E9C-101B-9397-08002B2CF9AE}" pid="8" name="FooterPath">
    <vt:lpwstr>AM\1320571CS.docx</vt:lpwstr>
  </property>
  <property fmtid="{D5CDD505-2E9C-101B-9397-08002B2CF9AE}" pid="9" name="PE Number">
    <vt:lpwstr>773.186</vt:lpwstr>
  </property>
  <property fmtid="{D5CDD505-2E9C-101B-9397-08002B2CF9AE}" pid="10" name="UID">
    <vt:lpwstr>eu.europa.europarl-DIN1-2025-0000091430_02.00-cs-01.00_text-xml</vt:lpwstr>
  </property>
</Properties>
</file>