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Committee on Civil Liberties, Justice and Home Affairs</w:t>
      </w:r>
      <w:r>
        <w:rPr>
          <w:rStyle w:val="HideTWBExt"/>
        </w:rPr>
        <w:t>&lt;/Commission&gt;</w:t>
      </w:r>
    </w:p>
    <w:p>
      <w:pPr>
        <w:pStyle w:val="LineBottom"/>
      </w:pPr>
      <w:r>
        <w:t xml:space="preserve"> </w:t>
      </w:r>
    </w:p>
    <w:p>
      <w:pPr>
        <w:pStyle w:val="CoverReference"/>
      </w:pPr>
      <w:r>
        <w:rPr>
          <w:rStyle w:val="HideTWBExt"/>
        </w:rPr>
        <w:t>&lt;RefProc&gt;</w:t>
      </w:r>
      <w:r>
        <w:t>2018/0902R</w:t>
      </w:r>
      <w:r>
        <w:rPr>
          <w:rStyle w:val="HideTWBExt"/>
        </w:rPr>
        <w:t>&lt;/RefProc&gt;</w:t>
      </w:r>
      <w:r>
        <w:rPr>
          <w:rStyle w:val="HideTWBExt"/>
        </w:rPr>
        <w:t>&lt;RefTypeProc&gt;</w:t>
      </w:r>
      <w:r>
        <w:t>(NLE)</w:t>
      </w:r>
      <w:r>
        <w:rPr>
          <w:rStyle w:val="HideTWBExt"/>
        </w:rPr>
        <w:t>&lt;/RefTypeProc&gt;</w:t>
      </w:r>
    </w:p>
    <w:p>
      <w:pPr>
        <w:pStyle w:val="CoverDate"/>
      </w:pPr>
      <w:r>
        <w:rPr>
          <w:rStyle w:val="HideTWBExt"/>
        </w:rPr>
        <w:t>&lt;Date&gt;</w:t>
      </w:r>
      <w:r>
        <w:rPr>
          <w:rStyle w:val="HideTWBInt"/>
        </w:rPr>
        <w:t>{08/10/2025}</w:t>
      </w:r>
      <w:r>
        <w:t>8.10.2025</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169</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Tineke Strik</w:t>
      </w:r>
      <w:r>
        <w:rPr>
          <w:rStyle w:val="HideTWBExt"/>
        </w:rPr>
        <w:t>&lt;/Rapporteur&gt;</w:t>
      </w:r>
    </w:p>
    <w:p>
      <w:pPr>
        <w:pStyle w:val="CoverNormal24a"/>
      </w:pPr>
      <w:r>
        <w:rPr>
          <w:rStyle w:val="HideTWBExt"/>
        </w:rPr>
        <w:t>&lt;DocRefPE&gt;</w:t>
      </w:r>
      <w:r>
        <w:t>(PE777.005v01-00)</w:t>
      </w:r>
      <w:r>
        <w:rPr>
          <w:rStyle w:val="HideTWBExt"/>
        </w:rPr>
        <w:t>&lt;/DocRefPE&gt;</w:t>
      </w:r>
    </w:p>
    <w:p>
      <w:pPr>
        <w:pStyle w:val="CoverNormal"/>
      </w:pPr>
      <w:r>
        <w:rPr>
          <w:rStyle w:val="HideTWBExt"/>
        </w:rPr>
        <w:t>&lt;Titre&gt;</w:t>
      </w:r>
      <w:r>
        <w:t>Proposal for a Council decision determining, pursuant to Article 7(1) of the Treaty on European Union, the existence of a clear risk of a serious breach by Hungary of the values on which the Union is founded</w:t>
      </w:r>
      <w:r>
        <w:rPr>
          <w:rStyle w:val="HideTWBExt"/>
        </w:rPr>
        <w:t>&lt;/Titre&gt;</w:t>
      </w:r>
    </w:p>
    <w:p>
      <w:pPr>
        <w:pStyle w:val="CoverNormal24a"/>
      </w:pPr>
      <w:r>
        <w:rPr>
          <w:rStyle w:val="HideTWBExt"/>
        </w:rPr>
        <w:t>&lt;DocRef&gt;</w:t>
      </w:r>
      <w:r>
        <w:t>(2018/0902R(NLE))</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Sophie Wilmès, Lucia Yar, Krzysztof Śmiszek, Veronika Cifrová Ostrihoňová, Hilde Vautmans, Nikola Minchev, Raquel García Hermida-Van Der Walle, Fabienne Keller, Malik Azmani, Irena Joveva, Anna-Maja Henriksson, Michał Wawrykiewicz,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having regard to the country chapters on Hungary in the Commission’s annual rule of law reports,</w:t>
            </w:r>
          </w:p>
        </w:tc>
        <w:tc>
          <w:tcPr>
            <w:tcW w:w="4876" w:type="dxa"/>
            <w:tcBorders>
              <w:top w:val="nil"/>
              <w:left w:val="nil"/>
              <w:bottom w:val="nil"/>
              <w:right w:val="nil"/>
            </w:tcBorders>
          </w:tcPr>
          <w:p>
            <w:pPr>
              <w:pStyle w:val="Normal6a"/>
            </w:pPr>
            <w:r>
              <w:t>–</w:t>
            </w:r>
            <w:r>
              <w:tab/>
            </w:r>
            <w:r>
              <w:t xml:space="preserve">having regard to the country chapters on Hungary in the Commission’s annual rule of law reports </w:t>
            </w:r>
            <w:r>
              <w:rPr>
                <w:b/>
                <w:i/>
              </w:rPr>
              <w:t>and specifically the 2025’s Rule of Law Report</w:t>
            </w:r>
            <w:r>
              <w:t xml:space="preserve">, </w:t>
            </w:r>
            <w:r>
              <w:rPr>
                <w:b/>
                <w:i/>
              </w:rPr>
              <w:t>which found that Hungary in particular had failed to make any headway on all but one of the key recommendations issued the previous year;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Sophie Wilmès, Lucia Yar, Krzysztof Śmiszek, Veronika Cifrová Ostrihoňová, Hilde Vautmans, Nikola Minchev, Raquel García Hermida-Van Der Walle, Fabienne Keller, Malik Azmani, Irena Joveva, Anna-Maja Henriksson,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joint declaration entitled “Statement on the infringement of the fundamental rights of LGBTIQ+ persons in Hungary”, issued on 27 May 2025 by Austria, Belgium, Cyprus, Czechia, Denmark, Estonia, Finland, France, Germany, Greece, Ireland, Latvia, Lithuania, Luxembourg, Malta, the Netherlands, Portugal, Slovenia, Spain and Sweden;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Sophie Wilmès, Lucia Yar, Veronika Cifrová Ostrihoňová, Hilde Vautmans, Nikola Minchev, Raquel García Hermida-Van Der Walle, Fabienne Keller, Malik Azmani, Irena Joveva, Anna-Maja Henriksson,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Opinion of Advocate General Tamara Ćapeta of 5 June 2025 in Case C-769/22, which provides important guidance on the scope and application of Union law in relation to the protection of fundamental values enshrined in Article 2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Krzysztof Śmiszek, Marina Kaljurand, Sophie Wilmès, Andreas Schieder, Birgit Sippel, Matjaž Nemec, Csaba Molnár, Klára Dobrev, Katarina Barley, René Repasi, Thijs Reuten, Marc Angel, Elisabeth Grossmann,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the Union is founded on the values of respect for human dignity, freedom, democracy, equality, the rule of law and respect for human rights, including the rights of persons belonging to minorities, as set out in Article 2 TEU and as reflected in the Charter and embedded in international human rights treaties and </w:t>
            </w:r>
            <w:r>
              <w:rPr>
                <w:b/>
                <w:i/>
              </w:rPr>
              <w:t>case-law;</w:t>
            </w:r>
            <w:r>
              <w:t xml:space="preserve"> whereas those values, which are common to the Member States, constitute the foundation of the rights enjoyed by those living in the Union;</w:t>
            </w:r>
          </w:p>
        </w:tc>
        <w:tc>
          <w:tcPr>
            <w:tcW w:w="4876" w:type="dxa"/>
            <w:tcBorders>
              <w:top w:val="nil"/>
              <w:left w:val="nil"/>
              <w:bottom w:val="nil"/>
              <w:right w:val="nil"/>
            </w:tcBorders>
          </w:tcPr>
          <w:p>
            <w:pPr>
              <w:pStyle w:val="Normal6a"/>
            </w:pPr>
            <w:r>
              <w:t>A.</w:t>
            </w:r>
            <w:r>
              <w:tab/>
            </w:r>
            <w:r>
              <w:t xml:space="preserve">whereas the Union is founded on the values of respect for human dignity, freedom, democracy, equality, the rule of law and respect for human rights, including the rights of persons belonging to minorities, as set out in Article 2 TEU and as reflected in the Charter and embedded in international human rights treaties and </w:t>
            </w:r>
            <w:r>
              <w:rPr>
                <w:b/>
                <w:i/>
              </w:rPr>
              <w:t>case law, and</w:t>
            </w:r>
            <w:r>
              <w:t xml:space="preserve"> whereas those values, which are common to the Member States, constitute the foundation of the rights enjoyed by those living in the Union; </w:t>
            </w:r>
            <w:r>
              <w:rPr>
                <w:b/>
                <w:i/>
              </w:rPr>
              <w:t>whereas the principles of solidarity, mutual trust and sincere co-operation are essential for the functioning of our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the Union is founded on the values of respect for human dignity, freedom, democracy, equality, the rule of law and respect for human rights, including the rights of persons belonging to minorities, as set out in Article 2 TEU and as reflected in the Charter and embedded in international human rights treaties and case-law; whereas those values, which are common to the Member States, constitute the foundation of the rights enjoyed by those living in the Union;</w:t>
            </w:r>
          </w:p>
        </w:tc>
        <w:tc>
          <w:tcPr>
            <w:tcW w:w="4876" w:type="dxa"/>
            <w:tcBorders>
              <w:top w:val="nil"/>
              <w:left w:val="nil"/>
              <w:bottom w:val="nil"/>
              <w:right w:val="nil"/>
            </w:tcBorders>
          </w:tcPr>
          <w:p>
            <w:pPr>
              <w:pStyle w:val="Normal6a"/>
            </w:pPr>
            <w:r>
              <w:t>A.</w:t>
            </w:r>
            <w:r>
              <w:tab/>
            </w:r>
            <w:r>
              <w:t>whereas the Union is founded on the values of respect for human dignity, freedom, democracy</w:t>
            </w:r>
            <w:r>
              <w:rPr>
                <w:b/>
                <w:i/>
              </w:rPr>
              <w:t>, Member State's sovereignity</w:t>
            </w:r>
            <w:r>
              <w:t>, equality, the rule of law and respect for human rights, including the rights of persons belonging to minorities, as set out in Article 2 TEU and as reflected in the Charter and embedded in international human rights treaties and case-law; whereas those values, which are common to the Member States, constitute the foundation of the rights enjoyed by those living in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the Union is founded on the values of respect for human dignity, freedom, democracy, equality, the rule of law and respect for human rights, including the rights of persons belonging to minorities, as set out in Article 2 TEU and as reflected in the Charter and embedded in international human rights treaties and case-law; whereas those values, which are common to the Member States, constitute the foundation of the rights enjoyed by those living in the </w:t>
            </w:r>
            <w:r>
              <w:rPr>
                <w:b/>
                <w:i/>
              </w:rPr>
              <w:t>Union</w:t>
            </w:r>
            <w:r>
              <w:t>;</w:t>
            </w:r>
          </w:p>
        </w:tc>
        <w:tc>
          <w:tcPr>
            <w:tcW w:w="4876" w:type="dxa"/>
            <w:tcBorders>
              <w:top w:val="nil"/>
              <w:left w:val="nil"/>
              <w:bottom w:val="nil"/>
              <w:right w:val="nil"/>
            </w:tcBorders>
          </w:tcPr>
          <w:p>
            <w:pPr>
              <w:pStyle w:val="Normal6a"/>
            </w:pPr>
            <w:r>
              <w:t>A.</w:t>
            </w:r>
            <w:r>
              <w:tab/>
            </w:r>
            <w:r>
              <w:t xml:space="preserve">whereas the Union is founded on the values of respect for human dignity, freedom, democracy, equality, the rule of law and respect for human rights, including the rights of persons belonging to minorities, as set out in Article 2 TEU and as reflected in the Charter and embedded in international human rights treaties and case-law; whereas those values, which are common to the Member States, constitute the foundation of the rights enjoyed by those living in the </w:t>
            </w:r>
            <w:r>
              <w:rPr>
                <w:b/>
                <w:i/>
              </w:rPr>
              <w:t>Member States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Sophie Wilmès, Lucia Yar, Veronika Cifrová Ostrihoňová, Hilde Vautmans, Nikola Minchev, Raquel García Hermida-Van Der Walle, Fabienne Keller, Malik Azmani, Irena Joveva, Anna-Maja Henriksson, 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whereas any clear risk of a serious breach by a Member State of the values referred to in Article 2 TEU does not concern solely the individual Member State where the risk has materialised, but has an impact on the proper functioning of EU institutions, on the other Member States, on mutual trust between them, on the misuse of Union decision-making procedures for bargaining purposes in order to shield violations of the rule of law, on democratic foundations and on the very nature of the EU and its citizens’ fundamental rights under EU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Tineke Strik, Krzysztof Śmiszek,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whereas any clear risk of a serious breach by a Member State of the values referred to in Article 2 TEU does not concern solely the individual Member State where the risk has materialised, but has an impact on the proper functioning of EU institutions, on the other Member States, on mutual trust between them, on the effectiveness in implementing common internal and foreign policies, especially in urgent situations, on democratic foundations and on the very nature of the EU and its citizens’ fundamental rights under EU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whereas the LIBE report of 23 June 2025 on its mission to Budapest revealed serious shortcomings in Hungary’s asylum and migration policy, including systematic denial of access to asylum procedures; whereas these shortcomings undermine the EU’s collective ability to manage migration effectively and demonstrate a lack of solidarity with other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whereas, according to Article 7 TEU, the Union can assess the existence of a clear risk of a serious breach of the values referred to in Article 2 TEU, or it can determine the existence of a serious and persistent breach by a Member State of the values referred to in Article 2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whereas the principle of solidarity is one of the fundamental principles of EU law and is one of the values common to the Member States on which the European Union is founded, pursuant to Article 2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Nikola Minchev, Veronika Cifrová Ostrihoňová, Raquel García Hermida-Van Der Walle,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whereas politicisation or political bargaining should have no place in rule of law procedures and debates, which should be impartial and based solely on fact-finding and legal reasoning;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w:t>
            </w:r>
            <w:r>
              <w:tab/>
            </w:r>
            <w:r>
              <w:rPr>
                <w:b/>
                <w:i/>
              </w:rPr>
              <w:t>whereas in 2018, upon a proposal of the Parliament, the Council initiated the procedure laid down in Article 7(1) TEU with a view to addressing a clear risk of a serious breach by Hungary of the values referred to in Article 2 TEU; whereas eight hearings on the situation in Hungary under the Article 7(1) TEU procedure have taken place in the Council since the start of the procedure, but the Council has not yet attempted to determine whether such risk exists, and has not addressed any recommendations to the government of Hungary;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whereas for many years, the situation in Hungary has not been addressed sufficiently and many breaches remain; </w:t>
            </w:r>
            <w:r>
              <w:rPr>
                <w:b/>
                <w:i/>
              </w:rPr>
              <w:t>whereas in the meantime, many new issues have arisen, which, in addition to the above, are having a negative effect on the Union’s image, as well as its effectiveness and credibility in the defence of fundamental rights, human rights and democracy globally, and which reveal the need to address them through concerted Union action; whereas the general situation regarding respect for the values enshrined in Article 2 TEU has not improved since 2018, or since the adoption of the 2022 report, but has instead further deteriorated;</w:t>
            </w:r>
          </w:p>
        </w:tc>
        <w:tc>
          <w:tcPr>
            <w:tcW w:w="4876" w:type="dxa"/>
            <w:tcBorders>
              <w:top w:val="nil"/>
              <w:left w:val="nil"/>
              <w:bottom w:val="nil"/>
              <w:right w:val="nil"/>
            </w:tcBorders>
          </w:tcPr>
          <w:p>
            <w:pPr>
              <w:pStyle w:val="Normal6a"/>
            </w:pPr>
            <w:r>
              <w:t>D.</w:t>
            </w:r>
            <w:r>
              <w:tab/>
            </w:r>
            <w:r>
              <w:t>whereas for many years, the situation in Hungary has not been addressed sufficiently and many breaches remain;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for many years, the situation in Hungary has not been addressed sufficiently and many breaches remain; whereas in the meantime, many new issues have arisen, which, in addition to the above, are having a negative effect on the Union’s image, as well as its effectiveness and credibility in the defence of fundamental rights, human rights and democracy globally, and which reveal the need to address them through concerted Union action; whereas the general situation regarding respect for the values enshrined in Article 2 TEU has not improved since 2018, or since the adoption of the 2022 report, but has instead further deteriorated;</w:t>
            </w:r>
          </w:p>
        </w:tc>
        <w:tc>
          <w:tcPr>
            <w:tcW w:w="4876" w:type="dxa"/>
            <w:tcBorders>
              <w:top w:val="nil"/>
              <w:left w:val="nil"/>
              <w:bottom w:val="nil"/>
              <w:right w:val="nil"/>
            </w:tcBorders>
          </w:tcPr>
          <w:p>
            <w:pPr>
              <w:pStyle w:val="Normal6a"/>
            </w:pPr>
            <w:r>
              <w:t>D.</w:t>
            </w:r>
            <w:r>
              <w:tab/>
            </w:r>
            <w:r>
              <w:t xml:space="preserve">whereas for many years, the situation in Hungary has not been addressed sufficiently </w:t>
            </w:r>
            <w:r>
              <w:rPr>
                <w:b/>
                <w:i/>
              </w:rPr>
              <w:t>by the Hungarian authorities</w:t>
            </w:r>
            <w:r>
              <w:t xml:space="preserve"> and many breaches remain; whereas in the meantime, many new issues have arisen, which, in addition to the above, are having a negative effect on the Union’s image, as well as its effectiveness and credibility in the defence of fundamental rights, human rights and democracy globally, and which reveal the need to address them through concerted Union action; whereas the general situation regarding respect for the values enshrined in Article 2 TEU has not improved since 2018, or since the adoption of the 2022 report, but has instead further deteriorated; </w:t>
            </w:r>
            <w:r>
              <w:rPr>
                <w:b/>
                <w:i/>
              </w:rPr>
              <w:t>whereas the concerns expressed in its previous resolutions, decisions and positions remain relevant;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Krzysztof Śmiszek, Marina Kaljurand, Andreas Schieder, Birgit Sippel, Matjaž Nemec, Csaba Molnár, Klára Dobrev, Katarina Barley, René Repasi, Thijs Reuten, Marc Angel, Elisabeth Grossmann,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for many years, the situation in Hungary has not been addressed sufficiently and many breaches remain; whereas in the meantime, many new issues have arisen, which, in addition to the above, are having a negative effect on the Union’s image, as well as its effectiveness and credibility in the defence of fundamental rights, human rights and democracy globally, and which reveal the need to address them through concerted Union action; whereas the general situation regarding respect for the values enshrined in Article 2 TEU has not improved since 2018, or since the adoption of the 2022 report, but has instead further deteriorated;</w:t>
            </w:r>
          </w:p>
        </w:tc>
        <w:tc>
          <w:tcPr>
            <w:tcW w:w="4876" w:type="dxa"/>
            <w:tcBorders>
              <w:top w:val="nil"/>
              <w:left w:val="nil"/>
              <w:bottom w:val="nil"/>
              <w:right w:val="nil"/>
            </w:tcBorders>
          </w:tcPr>
          <w:p>
            <w:pPr>
              <w:pStyle w:val="Normal6a"/>
            </w:pPr>
            <w:r>
              <w:t>D.</w:t>
            </w:r>
            <w:r>
              <w:tab/>
            </w:r>
            <w:r>
              <w:t xml:space="preserve">whereas for many years, the situation in Hungary has not been addressed </w:t>
            </w:r>
            <w:r>
              <w:rPr>
                <w:b/>
                <w:i/>
              </w:rPr>
              <w:t>by the Hungarian authorities</w:t>
            </w:r>
            <w:r>
              <w:t xml:space="preserve"> sufficiently and many breaches remain; whereas in the meantime, many new issues have arisen, which, in addition to the above, are having a negative effect on the Union’s image, as well as its effectiveness and credibility in the defence of fundamental rights, human rights and democracy globally, and which reveal the need to address them through concerted Union action; whereas the general situation regarding respect for the values enshrined in Article 2 TEU has not improved since 2018, or since the adoption of the 2022 report, but has instead further </w:t>
            </w:r>
            <w:r>
              <w:rPr>
                <w:b/>
                <w:i/>
              </w:rPr>
              <w:t>and gravely</w:t>
            </w:r>
            <w:r>
              <w:t xml:space="preserve"> deteriorated;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there is an increasing consensus among experts that Hungary is no longer a democracy; whereas according to the University of Gothenburg’s V-Dem Democracy Report 2025, Hungary is characterised as ‘electoral autocracy in an episode of autocratization, as of 2024’; whereas Hungary was identified as an ‘autocratising hybrid’ in the 2024 Freedom House Nations in Transit Report; whereas Hungary is rated as a ‘flawed democracy’ in the Economist Intelligence Unit’s 2024 Democracy Index; whereas Hungary ranks 73 out of 142 in the World Justice Project Rule of Law Index;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the Commission approved an amendment requested by the Hungarian authorities to its cohesion programme concerning the transfer of approximately EUR 550 million with the aim of achieving the objectives of the Strategic Technologies for Europe Platform (STEP); whereas it appears that the approval by the Commission of this amendment took place with a view to overcoming Hungary’s veto on further restrictive measures targeting Russia, including the accelerated reduction of strategic dependencies;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Sophie Wilmès, Lucia Yar, Krzysztof Śmiszek, Veronika Cifrová Ostrihoňová, Hilde Vautmans, Nikola Minchev, Raquel García Hermida-Van Der Walle, Fabienne Keller, Malik Azmani, Irena Joveva, Anna-Maja Henriksson,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concerns have been raised regarding the manner in which the 2024 Hungarian Presidency of the Council of the European Union has been used for domestic political purposes, including through official visits and public speeches, thereby undermining the impartial and consensus-building role expected from the Presidency;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Krzysztof Śmiszek, Marina Kaljurand, Andreas Schieder, Birgit Sippel, Matjaž Nemec, Csaba Molnár, Klára Dobrev, Katarina Barley, René Repasi, Thijs Reuten, Marc Angel, Elisabeth Grossmann,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the principle of solidarity is one of the fundamental principles of EU law and is one of the values common to the Member States on which the Union is founded, pursuant to Article 2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Krzysztof Śmiszek, Marina Kaljurand, Andreas Schieder, Birgit Sippel, Matjaž Nemec, Csaba Molnár, Klára Dobrev, Katarina Barley, René Repasi, Thijs Reuten, Marc Angel, Elisabeth Grossmann,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on 23 June 2025, in its report on its mission to Budapest, the Committee on Civil Liberties, Justice and Home Affairs expressed concerns about the continued rule by decree under the so-called ‘state of danger’, first because of COVID-19, then because of the Russian invasion of Ukraine, which would allow the government to suspend the application of certain laws, diverge from legal provisions and introduce other emergency measures; whereas it expressed further concerns about the speed of constitutional and legislative changes, including the continued use of accelerated legislative procedures and the lack of public debate and consultation of stakeholders, the apparent lack of transparency and absence of parliamentary oversight on public finances, the ongoing hostile political climate characterised by smear campaigns, surveillance and online and physical intimidation, and the growing polarising narrative by political actors using aggressive rhetoric, for example, calling critical actors – including judges, media and non-governmental organisations (NGOs) – ‘bedbugs to be eliminated’, hence fuelling hostility and undermining checks and balances; whereas it expressed further concerns about recent changes to the electoral legal framework introducing redistricting with potentially direct implications for electoral fairness, draft legislation putting cities with budget deficits under heightened budgetary supervision, with the risk of undermining the financial and operational independence of cities, alleged political bias, lack of transparency and potential conflicts of interest affecting the Hungarian State Audit Office (ÁSZ), the perceived lack of effective protection of fundamental rights since the abolition in 2021 of the Equal Treatment Authority and the ineffective role of the Ombudsman’s Office, which would leave victims, including LGBTIQ+ persons, without recourse;</w:t>
            </w:r>
          </w:p>
        </w:tc>
        <w:tc>
          <w:tcPr>
            <w:tcW w:w="4876" w:type="dxa"/>
            <w:tcBorders>
              <w:top w:val="nil"/>
              <w:left w:val="nil"/>
              <w:bottom w:val="nil"/>
              <w:right w:val="nil"/>
            </w:tcBorders>
          </w:tcPr>
          <w:p>
            <w:pPr>
              <w:pStyle w:val="Normal6a"/>
            </w:pPr>
            <w:r>
              <w:t>E.</w:t>
            </w:r>
            <w:r>
              <w:tab/>
            </w:r>
            <w:r>
              <w:t xml:space="preserve">whereas on 23 June 2025, in its report on its mission to Budapest, the Committee on Civil Liberties, Justice and Home Affairs expressed concerns about the continued rule by decree under the so-called ‘state of danger’, first because of COVID-19, then because of the Russian invasion of Ukraine, which would allow the government to suspend the application of certain laws, diverge from legal provisions and introduce other emergency measures; whereas it expressed further concerns about the speed of constitutional and legislative changes, including the continued use of accelerated legislative procedures and the lack of public debate and consultation of stakeholders, the apparent lack of transparency and absence of parliamentary oversight on public finances, the ongoing hostile political climate characterised by smear campaigns, surveillance and online and physical intimidation, and the growing polarising narrative by political actors using aggressive rhetoric, for example, calling critical actors – including judges, </w:t>
            </w:r>
            <w:r>
              <w:rPr>
                <w:b/>
                <w:i/>
              </w:rPr>
              <w:t>opposition politicians and political parties,</w:t>
            </w:r>
            <w:r>
              <w:t xml:space="preserve"> media </w:t>
            </w:r>
            <w:r>
              <w:rPr>
                <w:b/>
                <w:i/>
              </w:rPr>
              <w:t>outlets,</w:t>
            </w:r>
            <w:r>
              <w:t xml:space="preserve"> and non-governmental organisations (NGOs) – ‘bedbugs to be eliminated’, hence fuelling hostility and undermining checks and balances; whereas it expressed further concerns about recent changes to the electoral legal framework introducing redistricting with potentially direct implications for electoral fairness, draft legislation putting cities with budget deficits under heightened budgetary supervision, with the risk of undermining the financial and operational independence of cities, alleged political bias, lack of transparency and potential conflicts of interest affecting the Hungarian State Audit Office (ÁSZ), the perceived lack of effective protection of fundamental rights since the abolition in 2021 of the Equal Treatment Authority and the ineffective role of the Ombudsman’s Office, which would leave victims, including LGBTIQ+ persons, without recourse;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whereas on 23 June 2025, in its report on its mission to Budapest, the Committee on Civil Liberties, Justice and Home Affairs expressed concerns about the continued rule by decree under the so-called ‘state of danger’, first because of COVID-19, then because of the Russian invasion of Ukraine, which would allow the government to suspend the application of certain laws, diverge from legal provisions and introduce other emergency measures; whereas it expressed further concerns about the speed of constitutional and legislative changes, including the continued use of accelerated legislative procedures and the lack of public debate and consultation of stakeholders, the apparent lack of transparency and absence of parliamentary oversight on public finances, the ongoing hostile political climate characterised by smear campaigns, surveillance and online and physical intimidation, and the growing polarising narrative by political actors using aggressive rhetoric, for example, calling critical actors – including judges, media and non-governmental organisations (NGOs) – ‘bedbugs to be eliminated’, hence fuelling hostility and undermining checks and balances; whereas it expressed further concerns about recent changes to the electoral legal framework introducing redistricting with potentially direct implications for electoral fairness, draft legislation putting cities with budget deficits under heightened budgetary supervision, with the risk of undermining the financial and operational independence of cities, alleged political bias, lack of transparency and potential conflicts of interest affecting the Hungarian State Audit Office (ÁSZ), the perceived lack of effective protection of fundamental rights since the abolition in 2021 of the Equal Treatment Authority and the ineffective role of the Ombudsman’s Office, which would leave victims, including </w:t>
            </w:r>
            <w:r>
              <w:rPr>
                <w:b/>
                <w:i/>
              </w:rPr>
              <w:t>LGBTIQ+</w:t>
            </w:r>
            <w:r>
              <w:t xml:space="preserve"> persons, without recourse;</w:t>
            </w:r>
          </w:p>
        </w:tc>
        <w:tc>
          <w:tcPr>
            <w:tcW w:w="4876" w:type="dxa"/>
            <w:tcBorders>
              <w:top w:val="nil"/>
              <w:left w:val="nil"/>
              <w:bottom w:val="nil"/>
              <w:right w:val="nil"/>
            </w:tcBorders>
          </w:tcPr>
          <w:p>
            <w:pPr>
              <w:pStyle w:val="Normal6a"/>
            </w:pPr>
            <w:r>
              <w:t>E.</w:t>
            </w:r>
            <w:r>
              <w:tab/>
            </w:r>
            <w:r>
              <w:t xml:space="preserve">whereas on 23 June 2025, in its report on its mission to Budapest, the Committee on Civil Liberties, Justice and Home Affairs expressed concerns about the continued rule by decree under the so-called ‘state of danger’, first because of COVID-19, then because of the Russian invasion of Ukraine, which would allow the government to suspend the application of certain laws, diverge from legal provisions and introduce other emergency measures; whereas it expressed further concerns about the speed of constitutional and legislative changes, including the continued use of accelerated legislative procedures and the lack of public debate and consultation of stakeholders, the apparent lack of transparency and absence of parliamentary oversight on public finances, the ongoing hostile political climate characterised by smear campaigns, surveillance and online and physical intimidation, and the growing polarising narrative by political actors using aggressive rhetoric, for example, calling critical actors – including judges, media and non-governmental organisations (NGOs) – ‘bedbugs to be eliminated’, hence fuelling hostility and undermining checks and balances; whereas it expressed further concerns about recent changes to the electoral legal framework introducing redistricting with potentially direct implications for electoral fairness, draft legislation putting cities with budget deficits under heightened budgetary supervision, with the risk of undermining the financial and operational independence of cities, alleged political bias, lack of transparency and potential conflicts of interest affecting the Hungarian State Audit Office (ÁSZ), the perceived lack of effective protection of fundamental rights since the abolition in 2021 of the Equal Treatment Authority and the ineffective role of the Ombudsman’s Office, which would leave victims, including persons </w:t>
            </w:r>
            <w:r>
              <w:rPr>
                <w:b/>
                <w:i/>
              </w:rPr>
              <w:t>belonging to sexual minorities</w:t>
            </w:r>
            <w:r>
              <w:t>, without recourse;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Krzysztof Śmiszek, Marina Kaljurand, Andreas Schieder, Birgit Sippel, Matjaž Nemec, Katarina Barley, René Repasi, Thijs Reuten, Marc Angel, Elisabeth Grossmann,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whereas Member States are obliged to exercise their foreign policy with due regard to the common principle of solidarity, a cornerstone of European integration recognized in the Treaties and by the CJEU as a core EU value; whereas solidarity creates binding legal obligations, particularly in the Common Foreign and Security Policy (CFSP), where the Treaties require loyalty, mutual respect and trust, and coordinated action; whereas the Hungarian government has seriously and persistently breached this value by creating political deadlocks in the Council undermining the EU’s united response to Russia’s war of aggression, by obstructing and delaying support for Ukraine, threatening vetoes on sanctions, deepening energy dependence on Russia, and pursuing unilateral actions, including visits to Moscow also while holding the rotating presidency of the Council, opposing UN resolutions, and withdrawing from the Rome Statute; whereas the Hungarian government endangers European peace, values, and citizens’ well-being;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Sophie Wilmès, Lucia Yar, Veronika Cifrová Ostrihoňová, Hilde Vautmans, Nikola Minchev, Raquel García Hermida-Van Der Walle, Fabienne Keller, Malik Azmani, Irena Joveva, Anna-Maja Henriksson, Michał Wawrykiewicz,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whereas, since its entry into force on 1 January 2012, the Fundamental Law of Hungary has already been amended fifteen times, an unusually high number for a constitutional text, which undermines legal certainty, weakens institutional stability, and raises serious concerns about respect for the principles of the rule of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whereas on 8 July 2025, the Commission indicated in the country chapter on Hungary in its 2025 Rule of Law Report that the lawmaking process remains a serious source of concern, with certain important legislative processes not being linked to public consultation requirements; whereas according to the report, stakeholders reported that draft pieces of legislation are only open to the statutory eight-day consultation period, without meaningful feedback being provided; whereas they further noted that significant legislative changes are often adopted without genuine public consultation or parliamentary debate, as the Government tends to present bills with only technical amendments, which are then, following a purely formal process, supplemented with entirely new provisions introduced at the Committee on Legislation stage just before the final vote in the Hungarian Parliament; whereas the frequent changes and low quality of legislation have also raised concerns among businesses regarding the effectiveness of investment protection in Hungary;</w:t>
            </w:r>
          </w:p>
        </w:tc>
        <w:tc>
          <w:tcPr>
            <w:tcW w:w="4876" w:type="dxa"/>
            <w:tcBorders>
              <w:top w:val="nil"/>
              <w:left w:val="nil"/>
              <w:bottom w:val="nil"/>
              <w:right w:val="nil"/>
            </w:tcBorders>
          </w:tcPr>
          <w:p>
            <w:pPr>
              <w:pStyle w:val="Normal6a"/>
            </w:pPr>
            <w:r>
              <w:t>F.</w:t>
            </w:r>
            <w:r>
              <w:tab/>
            </w:r>
            <w:r>
              <w:t xml:space="preserve">whereas on 8 July 2025, the Commission indicated in the country chapter on Hungary in its 2025 Rule of Law Report that the lawmaking process remains a serious source of concern, with certain important legislative processes not being linked to public consultation requirements; whereas according to the report, stakeholders reported that draft pieces of legislation are only open to the statutory eight-day consultation period, without meaningful feedback being provided; whereas they further noted that significant legislative changes are often adopted without genuine public consultation or parliamentary debate, as the Government tends to present bills with only technical amendments, which are then, following a purely formal process, supplemented with entirely new provisions introduced at the Committee on Legislation stage just before the final vote in the Hungarian Parliament; whereas the frequent changes and low quality of legislation have also raised concerns among businesses regarding the effectiveness of investment protection in Hungary; </w:t>
            </w:r>
            <w:r>
              <w:rPr>
                <w:b/>
                <w:i/>
              </w:rPr>
              <w:t>whereas the Commission indicated that in 2025, the National Assembly adopted new rules for Hungarian members of the European Parliament (Act XX of 2025), which lay down that non-compliance with asset declaration obligations could lead to the termination of their mandate by the Electoral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Krzysztof Śmiszek, Marina Kaljurand, Andreas Schieder, Birgit Sippel, Matjaž Nemec, Csaba Molnár, Klára Dobrev, Katarina Barley, René Repasi, Thijs Reuten, Marc Angel,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whereas on 8 July 2025, the Commission indicated in the country chapter on Hungary in its 2025 Rule of Law Report that the lawmaking process remains a serious source of concern, with certain important legislative processes not being linked to public consultation requirements; whereas according to the report, stakeholders reported that draft pieces of legislation are only open to the statutory eight-day consultation period, without meaningful feedback being provided; whereas they further noted that significant legislative changes are often adopted without genuine public consultation or parliamentary debate, as the Government tends to present bills with only technical amendments, which are then, following a purely formal process, supplemented with entirely new provisions introduced at the Committee on Legislation stage just before the final vote in the Hungarian Parliament; whereas the frequent changes and low quality of legislation have also raised concerns among businesses regarding the effectiveness of investment protection in Hungary;</w:t>
            </w:r>
          </w:p>
        </w:tc>
        <w:tc>
          <w:tcPr>
            <w:tcW w:w="4876" w:type="dxa"/>
            <w:tcBorders>
              <w:top w:val="nil"/>
              <w:left w:val="nil"/>
              <w:bottom w:val="nil"/>
              <w:right w:val="nil"/>
            </w:tcBorders>
          </w:tcPr>
          <w:p>
            <w:pPr>
              <w:pStyle w:val="Normal6a"/>
            </w:pPr>
            <w:r>
              <w:t>F.</w:t>
            </w:r>
            <w:r>
              <w:tab/>
            </w:r>
            <w:r>
              <w:t>whereas on 8 July 2025, the Commission indicated in the country chapter on Hungary in its 2025 Rule of Law Report that the lawmaking process remains a serious source of concern, with certain important legislative processes not being linked to public consultation requirements; whereas according to the report, stakeholders reported that draft pieces of legislation are only open to the statutory eight-day consultation period, without meaningful feedback being provided; whereas they further noted that significant legislative changes are often adopted without genuine public consultation or parliamentary debate, as the Government tends to present bills with only technical amendments, which are then, following a purely formal process, supplemented with entirely new provisions introduced at the Committee on Legislation stage just before the final vote in the Hungarian Parliament; whereas the frequent changes and low quality of legislation</w:t>
            </w:r>
            <w:r>
              <w:rPr>
                <w:b/>
                <w:i/>
              </w:rPr>
              <w:t>, often influenced by particular interests of those close to the government,</w:t>
            </w:r>
            <w:r>
              <w:t xml:space="preserve"> have also raised concerns among businesses regarding the effectiveness of investment protection in Hungary;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whereas on 30 September 2025, the Parliamentary Assembly of the Council of Europe adopted Resolution 2617(2025) on the honouring of membership obligations to the Council of Europe by Hungary, where it reiterated its concerns about the weakening of democratic checks and balances, as well as the instrumentalisation of constitutional norms, the Fundamental Law and cardinal laws, to cement the political preferences of the ruling party; called to ensure that appointments by parliament to the Constitutional Court, to high judicial positions and to independent supervisory bodies are made irrespective of the candidate’s political affiliation, in line with the Venice Commission’s opinions and reports, in particular in relation to qualified majorities and anti-deadlock mechanisms; noted the concerns regarding the law-making process, in particular as to its transparency, the effectiveness of public consultations on draft legislation and the role of the opposition in parliament; expressed deep concern that Hungary has been under a special legal order since 2020, enabling the government to enact emergency decrees that override ordinary laws and further erode parliamentary oversight and checks and balances; urged the Hungarian authorities to put an end to this “state of danger” special legal order well before the next elections; noted that successive reforms have amplified the distortion between the number of votes received and the number of seats held; held that the reforms have favoured dominant parties, turning Fidesz's electoral victories into two-thirds constitutional majorities in every election since 2014; noted that according to the Venice Commission’s Opinion on Act LXXIX of 2024 amending certain laws relating to elections, the latest electoral reform failed to address this concern; concurred with the Venice Commission in calling for a complete overhaul of the electoral legislation after the 2026 elections, based on an inclusive consultation with main political parties, civil society organisations and scholars;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Krzysztof Śmiszek, Marina Kaljurand, Andreas Schieder, Birgit Sippel, Matjaž Nemec, Csaba Molnár, Klára Dobrev, Sabrina Repp, Katarina Barley, René Repasi, Thijs Reuten, Marc Angel, Elisabeth Grossmann,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whereas recent developments in the mid-term review of the EU cohesion policy envisage a broad flexibilisation and reprogramming of previously frozen funds, including a decision to regroup €545 million of cohesion funds in favour of Hungary; whereas the Hungarian government has formally requested such flexibilisation as part of efforts to regain access to withheld funds; whereas this reallocation mechanism risks undermining the conditionality principle and the credibility of the rule of law safeguards; whereas multiple Member States and MEPs have expressed concern that the Hungarian government may exploit legal loopholes to unfreeze further funds without meaningful compliance with rule of law benchmarks;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w:t>
            </w:r>
            <w:r>
              <w:tab/>
            </w:r>
            <w:r>
              <w:rPr>
                <w:b/>
                <w:i/>
              </w:rPr>
              <w:t>whereas in its Opinion of 16 June 2025 on Act LXXIX of 2024 amending certain laws relating to elections, the Venice Commission recommended that a reform be adopted after the 2026 parliamentary elections, but well in advance – at least one year – of the following elections, based on broad consensus after extensive public consultations with all relevant stakeholders; whereas this reform should take into account previous pending recommendations made by the Venice Commission and ODIHR in 2012 and 2021, in particular as regards the distribution of constituencies and drawing of constituency boundaries, reducing significantly the number of single-member constituencies and the number of counties in which each party needs to nominate candidates simultaneously in order to be able to run a national list of candidates, as well as lessons learned from the 2026 parliamentary elections, including recommendations made by international election observers; whereas the Venice Commission indicated that the process by which Act LXXIX of 2024 was initiated and adopted – as well as the specific boundary changes – suggests possible political motivations behind the reform, that the whole process lacked transparency and open debate, and that the delimitation of constituencies by (cardinal) law should be avoided, since such a rigid regulation makes the necessary adaptation of the delimitation to demographic evolution dependent on a political decision;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c.</w:t>
            </w:r>
            <w:r>
              <w:tab/>
            </w:r>
            <w:r>
              <w:rPr>
                <w:b/>
                <w:i/>
              </w:rPr>
              <w:t>whereas on 24 July 2025, Pre-Trial Chamber I of the International Criminal Court found that Hungary failed to comply with a request to cooperate contrary to the provisions of the Rome Statute of the International Criminal Court, and referred this instance of non-compliance to the Assembly of State Parties;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whereas on 23 June 2025, in its report on its mission to Budapest, the Committee on Civil Liberties, Justice and Home Affairs expressed concerns about the continued lack of implementation of the judgments of the European Court of Human Rights (ECtHR) and the Court of Justice of the EU (CJEU) relating to the rule of law and fundamental rights protection; whereas it expressed further concerns about continued and new challenges to judicial independence and impartiality, related to concerns about the lowering of professional criteria for judicial appointments, pressure on judges through disciplinary mechanisms, and limited transparency in case management, especially in the Supreme Court (Kúria), judicial reforms being conducted without meaningful consultation of judicial associations, and with public vilification of judges making use of their right to protest, persistent challenges to the timeliness and effectiveness of judicial review, allegedly due to low judicial salaries and staffing shortages, and the role and impartiality of the Uniformity Chamber of the Kúria;</w:t>
            </w:r>
          </w:p>
        </w:tc>
        <w:tc>
          <w:tcPr>
            <w:tcW w:w="4876" w:type="dxa"/>
            <w:tcBorders>
              <w:top w:val="nil"/>
              <w:left w:val="nil"/>
              <w:bottom w:val="nil"/>
              <w:right w:val="nil"/>
            </w:tcBorders>
          </w:tcPr>
          <w:p>
            <w:pPr>
              <w:pStyle w:val="Normal6a"/>
            </w:pPr>
            <w:r>
              <w:t>G.</w:t>
            </w:r>
            <w:r>
              <w:tab/>
            </w:r>
            <w:r>
              <w:t xml:space="preserve">whereas on 23 June 2025, in its report on its mission to Budapest, the Committee on Civil Liberties, Justice and Home Affairs expressed concerns about the continued lack of implementation of the judgments of the European Court of Human Rights (ECtHR) and the Court of Justice of the EU (CJEU) relating to the rule of law and fundamental rights protection; whereas it expressed further concerns about continued and new challenges to judicial independence and impartiality, related to concerns about the lowering of professional criteria for judicial appointments, pressure on judges through disciplinary mechanisms, and limited transparency in case management, especially in the Supreme Court (Kúria), judicial reforms being conducted without meaningful consultation of judicial associations, and with public vilification of judges making use of their right to protest, persistent challenges to the timeliness and effectiveness of judicial review, allegedly due to low judicial salaries and staffing shortages, and the role and impartiality of the Uniformity Chamber of the Kúria; </w:t>
            </w:r>
            <w:r>
              <w:rPr>
                <w:b/>
                <w:i/>
              </w:rPr>
              <w:t>whereas it also expressed concerns about the systematic weakening of the National Judicial Council (NJC), including repeated bypassing of its mandatory consultation in judicial reforms and the resignation of several of its members in protest, signalling an institutional crisis undermining judicial self-governance; whereas the mission further noted concerns regarding the National Office for the Judiciary (NOJ), which, despite claiming to operate an automated case allocation system, continues to raise serious doubts about transparency and impartiality, with stakeholders warning of risks of influence or manipulation, particularly in politically sensitive cases;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whereas on 17 July 2025, the Commission decided to refer Hungary to the CJEU for contradicting the Union's position on intra-EU arbitrations under the Energy Charter Treaty and not abiding to the case law of the CJEU;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w:t>
            </w:r>
            <w:r>
              <w:tab/>
            </w:r>
            <w:r>
              <w:rPr>
                <w:b/>
                <w:i/>
              </w:rPr>
              <w:t>whereas in its Opinion of 16 June 2025 on the constitutional and legislative amendments concerning the requirements to be appointed Prosecutor General and Constitutional Court Judge of Hungary, as well as the appointment and retirement of judges, the Venice Commission expressed regret that the amendments under examination have been adopted through a procedure which did not include any impact assessment or meaningful consultations with the public or with the relevant stakeholders, including the judiciary; recommended amending the eligibility criteria for the position of Prosecutor General by providing that he/she be appointed among the senior career prosecutors or that he/she meets substantially higher professional eligibility criteria, such as a significant work experience as a prosecutor, judge, lawyer or similar and specific competencies required for this high-level organisational role, including managerial skills; recommended considering introducing sufficient guarantees in the Prosecutor General’s appointment process, such as the establishment of a Prosecutorial Council; found that the system that would best respect the principle of judicial independence would be one in which judges can, as a rule, remain in office until a mandatory retirement age of 70 if they so wish, otherwise retire when they have reached the ordinary legal threshold for retirement, i.e. 65 years old, and any alternative mechanism authorising extensions upon request to the period of judicial activity beyond the normal retirement age (65 years old), should be based on clear, verifiable and objective criteria to avoid any undue discretion of the deciding authority; recommended clarifying what kind of experience “in the field of law” would qualify a candidate to be appointed Constitutional Court judge, in order to avoid any undue discretion of the appointing body;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c.</w:t>
            </w:r>
            <w:r>
              <w:tab/>
            </w:r>
            <w:r>
              <w:rPr>
                <w:b/>
                <w:i/>
              </w:rPr>
              <w:t>whereas in its Opinion of 16 June 2025 on certain provisions of Act XVII of 2024 concerning the power of the Minister of Justice to have access to judicial and prosecutorial decisions as well as related documents, the Venice Commission found that it has not been convincingly demonstrated why the existing possibility for the Minister of Justice to request information on statistical data and judicial practice, along with access to an extensive public database of judicial decisions, would not be sufficient in itself to achieve the legitimate aim pursued; indicated that obtaining prosecutorial decisions, in particular those that, although final and non-appealable, concern the closing of a case, raises significant proportionality issues, as such a mechanism could potentially compromise the effectiveness of the prosecution service as well as impinge upon its perceived independence from the executive;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d.</w:t>
            </w:r>
            <w:r>
              <w:tab/>
            </w:r>
            <w:r>
              <w:rPr>
                <w:b/>
                <w:i/>
              </w:rPr>
              <w:t>whereas in its decision of 4-6 March 2025 concerning the pending enhanced supervision of the execution of the judgment of the ECtHR in Baka v Hungary, the Committee of Ministers of the Council of Europe noted with profound concern the authorities’ continued failure to take any measures, nearly nine years after the judgment, to ensure judicial review of the removal of the Kúria President; strongly urged them to amend the legislation, as they had previously announced, to ensure that effective oversight by an independent judicial body is guaranteed with regard to the removal of the President of the Kúria; regretted that the information submitted by the authorities in response to the Committee’s request for an evaluation of judges’ freedom of expression still does not include any comprehensive analysis of the impact of the relevant legal provisions in practice and of whether their application has contributed to the dispelling of the “chilling effect”, which the Committee has strongly exhorted the authorities to provide; invited the authorities, in this context and in light of the concerns expressed by civil society and Hungarian judges themselves, to consider adopting further general measures to address the “chilling effect” present in the judiciary and to ensure that judges’ freedom of expression, notably related to matters of public interest concerning the judiciary, is unambiguously guaranteed not only in theory but also in practice;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e.</w:t>
            </w:r>
            <w:r>
              <w:tab/>
            </w:r>
            <w:r>
              <w:rPr>
                <w:b/>
                <w:i/>
              </w:rPr>
              <w:t>whereas in its decision of 4-6 March 2025 concerning the pending enhanced supervision of the execution of the ECtHR judgments in Gazsó group v. Hungary, the Committee of Ministers of the Council of Europe noted with satisfaction the continuing positive trends as regards the efficiency of the Hungarian judiciary, but as regards the outstanding issue of compensatory remedy in respect of excessively long criminal, administrative, and non-contentious civil proceedings, reiterated its profound concern about the continued lack of any development;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Sophie Wilmès, Lucia Yar, Veronika Cifrová Ostrihoňová, Hilde Vautmans, Nikola Minchev, Raquel García Hermida-Van Der Walle, Fabienne Keller, Malik Azmani, Irena Joveva, Anna-Maja Henriksson, Michał Wawrykiewicz,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whereas on 23 June 2025, in its report on its mission to Budapest, the Committee on Civil Liberties, Justice and Home Affairs expressed concerns about alleged engrained and institutionalised corruption, including by means of abuse of the public procurement system and political advertising, a failing anti-corruption task force, limited powers and limited access to prosecution follow-up information for the Integrity Authority, restricting its ability to effectively combat corruption and abuse of public funds</w:t>
            </w:r>
            <w:r>
              <w:rPr>
                <w:b/>
                <w:i/>
              </w:rPr>
              <w:t>, and</w:t>
            </w:r>
            <w:r>
              <w:t xml:space="preserve"> a lack of high-profile corruption cases being </w:t>
            </w:r>
            <w:r>
              <w:rPr>
                <w:b/>
                <w:i/>
              </w:rPr>
              <w:t>put</w:t>
            </w:r>
            <w:r>
              <w:t xml:space="preserve"> to trial;</w:t>
            </w:r>
          </w:p>
        </w:tc>
        <w:tc>
          <w:tcPr>
            <w:tcW w:w="4876" w:type="dxa"/>
            <w:tcBorders>
              <w:top w:val="nil"/>
              <w:left w:val="nil"/>
              <w:bottom w:val="nil"/>
              <w:right w:val="nil"/>
            </w:tcBorders>
          </w:tcPr>
          <w:p>
            <w:pPr>
              <w:pStyle w:val="Normal6a"/>
            </w:pPr>
            <w:r>
              <w:t>I.</w:t>
            </w:r>
            <w:r>
              <w:tab/>
            </w:r>
            <w:r>
              <w:t>whereas on 23 June 2025, in its report on its mission to Budapest, the Committee on Civil Liberties, Justice and Home Affairs expressed concerns about alleged engrained and institutionalised corruption, including by means of abuse of the public procurement system and political advertising, a failing anti-corruption task force, limited powers</w:t>
            </w:r>
            <w:r>
              <w:rPr>
                <w:b/>
                <w:i/>
              </w:rPr>
              <w:t>, resources</w:t>
            </w:r>
            <w:r>
              <w:t xml:space="preserve"> and limited access to prosecution follow-up information for the Integrity Authority</w:t>
            </w:r>
            <w:r>
              <w:rPr>
                <w:b/>
                <w:i/>
              </w:rPr>
              <w:t>; whereas the ongoing investigation into the Integrity Authority risks affecting its staff and the smooth functioning of the institution</w:t>
            </w:r>
            <w:r>
              <w:t xml:space="preserve">, </w:t>
            </w:r>
            <w:r>
              <w:rPr>
                <w:b/>
                <w:i/>
              </w:rPr>
              <w:t>thereby</w:t>
            </w:r>
            <w:r>
              <w:t xml:space="preserve"> restricting its ability to effectively combat corruption and abuse of public funds</w:t>
            </w:r>
            <w:r>
              <w:rPr>
                <w:b/>
                <w:i/>
              </w:rPr>
              <w:t>; whereas</w:t>
            </w:r>
            <w:r>
              <w:t xml:space="preserve"> a lack of high-profile corruption cases being </w:t>
            </w:r>
            <w:r>
              <w:rPr>
                <w:b/>
                <w:i/>
              </w:rPr>
              <w:t>brought</w:t>
            </w:r>
            <w:r>
              <w:t xml:space="preserve"> to trial;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whereas on 8 July 2025, the Commission indicated in the country chapter on Hungary in its 2025 Rule of Law Report that the implementation of the 2024-2025 National Anti-Corruption Strategy and related Action Plan is ongoing, while important actions remain pending; whereas it further indicated that the number of convictions for corruption crimes has decreased and there has been no progress to establish a robust track record on high-level corruption; whereas it further indicated that court decisions reviewing prosecutorial decisions not to investigate or prosecute corruption continue to be non-binding; whereas it further indicated that progress has yet to be made to adopt new lobbying and post-employment rules, although there are plans to legislate in this area by November 2025, and the Integrity Authority continues to report obstacles in fulfilling its oversight tasks effectively; whereas it further indicated that key shortcomings with regard to the transparency of the financing of political parties and electoral campaigns remain, competition in public procurement has been improved, and different levels of control remain for national and EU fund-related procurement; whereas the Commission indicated that there has been no progress in improving the asset declaration system, and that whistleblowing plays a limited role in the detection of corruption crimes; whereas the practical impact of the proposals made by the Anti-Corruption Task Force has been limited;</w:t>
            </w:r>
          </w:p>
        </w:tc>
        <w:tc>
          <w:tcPr>
            <w:tcW w:w="4876" w:type="dxa"/>
            <w:tcBorders>
              <w:top w:val="nil"/>
              <w:left w:val="nil"/>
              <w:bottom w:val="nil"/>
              <w:right w:val="nil"/>
            </w:tcBorders>
          </w:tcPr>
          <w:p>
            <w:pPr>
              <w:pStyle w:val="Normal6a"/>
            </w:pPr>
            <w:r>
              <w:t>J.</w:t>
            </w:r>
            <w:r>
              <w:tab/>
            </w:r>
            <w:r>
              <w:t xml:space="preserve">whereas on 8 July 2025, the Commission indicated in the country chapter on Hungary in its 2025 Rule of Law Report that the implementation of the 2024-2025 National Anti-Corruption Strategy and related Action Plan is ongoing, while important actions remain pending; whereas it further indicated that the number of convictions for corruption crimes has decreased and there has been no progress to establish a robust track record on high-level corruption; whereas it further indicated that court decisions reviewing prosecutorial decisions not to investigate or prosecute corruption continue to be non-binding; whereas it further indicated that progress has yet to be made to adopt new lobbying and post-employment rules, although there are plans to legislate in this area by November 2025, and the Integrity Authority continues to report obstacles in fulfilling its oversight tasks effectively; whereas it further indicated that key shortcomings with regard to the transparency of the financing of political parties and electoral campaigns remain, competition in public procurement has been improved, and different levels of control remain for national and EU fund-related procurement; whereas the Commission indicated that there has been no progress in improving the asset declaration system, and that whistleblowing plays a limited role in the detection of corruption crimes; whereas the practical impact of the proposals made by the Anti-Corruption Task Force has been limited; </w:t>
            </w:r>
            <w:r>
              <w:rPr>
                <w:b/>
                <w:i/>
              </w:rPr>
              <w:t>whereas the risk of political influence and undue interference with individual cases in the prosecution service and the police, the absence of investigations of corruption allegations concerning high-level officials and their immediate circle, as well as clientelism, favouritism and nepotism in high-level public administration remain areas of concern; whereas, according to stakeholders, the anti-corruption action plan lacks ambition and does not sufficiently reflect relevant recommendations of the Integrity Authority; whereas stakeholders report increased corruption risks due to an excessive use of concession contracts, that many framework agreements were concluded with a single bidder, that framework agreements concluded by central purchasing bodies have allowed certain economic operators to become market leaders or to acquire a dominant position at the expense of their competitors, and that concerns remain regarding favouritism in tender processes and selective awarding to political affiliates, which increase corruption risks;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Nikola Minchev, Sophie Wilmès, Veronika Cifrová Ostrihoňová, Raquel García Hermida-Van Der Walle,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whereas on 8 July 2025, the Commission indicated in the country chapter on Hungary in its 2025 Rule of Law Report that the implementation of the 2024-2025 National Anti-Corruption Strategy and related Action Plan is ongoing, while important actions remain pending; whereas it further indicated that the number of convictions for corruption crimes has decreased and there has been no progress to establish a robust track record on high-level corruption; whereas it further indicated that court decisions reviewing prosecutorial decisions not to investigate or prosecute corruption continue to be non-binding; whereas it further indicated that progress has yet to be made to adopt new lobbying and post-employment rules, although there are plans to legislate in this area by November 2025, and the Integrity Authority continues to report obstacles in fulfilling its oversight tasks effectively; whereas it further indicated that key shortcomings with regard to the transparency of the financing of political parties and electoral campaigns remain, competition in public procurement has been improved, </w:t>
            </w:r>
            <w:r>
              <w:rPr>
                <w:b/>
                <w:i/>
              </w:rPr>
              <w:t>and different levels of control</w:t>
            </w:r>
            <w:r>
              <w:t xml:space="preserve"> remain </w:t>
            </w:r>
            <w:r>
              <w:rPr>
                <w:b/>
                <w:i/>
              </w:rPr>
              <w:t>for national and EU fund-related procurement</w:t>
            </w:r>
            <w:r>
              <w:t>; whereas the Commission indicated that there has been no progress in improving the asset declaration system, and that whistleblowing plays a limited role in the detection of corruption crimes; whereas the practical impact of the proposals made by the Anti-Corruption Task Force has been limited;</w:t>
            </w:r>
          </w:p>
        </w:tc>
        <w:tc>
          <w:tcPr>
            <w:tcW w:w="4876" w:type="dxa"/>
            <w:tcBorders>
              <w:top w:val="nil"/>
              <w:left w:val="nil"/>
              <w:bottom w:val="nil"/>
              <w:right w:val="nil"/>
            </w:tcBorders>
          </w:tcPr>
          <w:p>
            <w:pPr>
              <w:pStyle w:val="Normal6a"/>
            </w:pPr>
            <w:r>
              <w:t>J.</w:t>
            </w:r>
            <w:r>
              <w:tab/>
            </w:r>
            <w:r>
              <w:t xml:space="preserve">whereas on 8 July 2025, the Commission indicated in the country chapter on Hungary in its 2025 Rule of Law Report that the implementation of the 2024-2025 National Anti-Corruption Strategy and related Action Plan is ongoing, while important actions remain pending; whereas it further indicated that the number of convictions for corruption crimes has decreased and there has been no progress to establish a robust track record on high-level corruption; whereas it further indicated that court decisions reviewing prosecutorial decisions not to investigate or prosecute corruption continue to be non-binding; whereas it further indicated that progress has yet to be made to adopt new lobbying and post-employment rules, although there are plans to legislate in this area by November 2025, and the Integrity Authority continues to report obstacles in fulfilling its oversight tasks effectively; whereas it further indicated that key shortcomings with regard to the transparency of the financing of political parties and electoral campaigns remain, competition in public procurement has been improved, </w:t>
            </w:r>
            <w:r>
              <w:rPr>
                <w:b/>
                <w:i/>
              </w:rPr>
              <w:t>although concerns</w:t>
            </w:r>
            <w:r>
              <w:t xml:space="preserve"> remain </w:t>
            </w:r>
            <w:r>
              <w:rPr>
                <w:b/>
                <w:i/>
              </w:rPr>
              <w:t>regarding favouritism in tender processes and selective awarding to political affiliates; whereas such abuses, if left unaddressed, can enable local governments linked to the central government to exert indirect economic coercion over voters through private actors benefiting from these practices; whereas such practices jeopardise voter independence and perpetuate a cycle in which corruption reinforces electoral outcomes favourable to those in power</w:t>
            </w:r>
            <w:r>
              <w:t>; whereas the Commission indicated that there has been no progress in improving the asset declaration system, and that whistleblowing plays a limited role in the detection of corruption crimes; whereas the practical impact of the proposals made by the Anti-Corruption Task Force has been limited;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a.</w:t>
            </w:r>
            <w:r>
              <w:tab/>
            </w:r>
            <w:r>
              <w:rPr>
                <w:b/>
                <w:i/>
              </w:rPr>
              <w:t>whereas on 16 December 2024, in its decision pursuant to Article 7(2) of Regulation (EU, Euratom) 2020/2092 of the European Parliament and of the Council of 16 December 2020 on a general regime of conditionality for the protection of the Union budget, concerning a written notification from Hungary with regard to Article 2(2) of Council Implementing Decision (EU) 2022/2506 of 15 December 2022 the Commission found that the legislative amendments do not adequately address the outstanding concerns on conflicts of interests in the boards of public interest trusts and concluded that the measure on public interests trusts and entities maintained by them should remain in place;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Sophie Wilmès, Lucia Yar, Krzysztof Śmiszek, Veronika Cifrová Ostrihoňová, Hilde Vautmans, Nikola Minchev, Raquel García Hermida-Van Der Walle, Fabienne Keller, Malik Azmani, Irena Joveva,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a.</w:t>
            </w:r>
            <w:r>
              <w:tab/>
            </w:r>
            <w:r>
              <w:rPr>
                <w:b/>
                <w:i/>
              </w:rPr>
              <w:t>whereas, on 17 June 2025, in an expedited procedure, the National Assembly adopted a law removing the cap on political campaign expenses, a matter of particular concern in the current electoral context marked by the upcoming elections and the recent redrawing of constituencies, which further heightens the need for a level playing field;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Krzysztof Śmiszek, Marina Kaljurand, Andreas Schieder, Birgit Sippel, Matjaž Nemec, Csaba Molnár, Klára Dobrev, Katarina Barley, René Repasi, Thijs Reuten, Marc Angel, Elisabeth Grossmann,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a.</w:t>
            </w:r>
            <w:r>
              <w:tab/>
            </w:r>
            <w:r>
              <w:rPr>
                <w:b/>
                <w:i/>
              </w:rPr>
              <w:t>whereas the composition, functioning and powers of public interest trusts seriously undermine academic freedom, deprive the universities under their control of any measure of self-government, and seriously undermine the transparent use of public funding for research and higher education;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b.</w:t>
            </w:r>
            <w:r>
              <w:tab/>
            </w:r>
            <w:r>
              <w:rPr>
                <w:b/>
                <w:i/>
              </w:rPr>
              <w:t>whereas on 18 June 2025, the Commission decided to close the infringement case regarding the correct transposition of Directive 2014/24/EU on public procurement, Directive 2014/23/EU on the award of concession contracts and Directive 2014/25/EU on procurement by entities operating in the water, energy, transport and postal services sectors; whereas on 12 February 2025, the Commission decided to open an infringement procedure by sending a letter of formal notice for the use of competitive procedures with negotiation in breach of Directive 2014/24/EU on public procurement; whereas on 18 June 2025, the Commission decided to open an infringement procedure by sending a letter of formal notice for failing to award a high-value exploitation contract for sand and gravel mining sites in an open and transparent tender procedure; whereas on 17 July 2025, the Commission decided to send an additional letter of formal notice for failing to comply with EU rules on public procurement and concessions when awarding a contract for the construction, operation and maintenance of its motorway network;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Krzysztof Śmiszek, Marina Kaljurand, Sophie Wilmès, Andreas Schieder, Birgit Sippel, Matjaž Nemec, Csaba Molnár, Klára Dobrev, Katarina Barley, René Repasi, Thijs Reuten, Marc Angel, Elisabeth Grossmann,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b.</w:t>
            </w:r>
            <w:r>
              <w:tab/>
            </w:r>
            <w:r>
              <w:rPr>
                <w:b/>
                <w:i/>
              </w:rPr>
              <w:t>whereas the Hungarian government - as repeatedly determined by the Commission - has failed to address, in any meaningful way, the shortcomings related to corruption and the management of public funds identified in 2022 under the Rule of Law Conditionality Regulation; whereas the deliberate refusal of the Hungarian government to act on those shortcomings deprives Hungarian citizens from billions of much needed EU financial assistance from cohesion policy and the Recovery and Resilience Facility; whereas the government’s failure to act has already led to the irrevocable loss of at least 1 billion euros of cohesion policy funding;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c.</w:t>
            </w:r>
            <w:r>
              <w:tab/>
            </w:r>
            <w:r>
              <w:rPr>
                <w:b/>
                <w:i/>
              </w:rPr>
              <w:t>whereas on 30 September 2025, the Parliamentary Assembly of the Council of Europe adopted Resolution 2617(2025) on the honouring of membership obligations to the Council of Europe by Hungary, where it mentioned that the lack of political will to tackle high-level corruption is deeply disturbing; whereas it called on the Hungarian authorities to authorise without delay the publication of the Group of States against Corruption (GRECO) reports assessing compliance regarding prevention of corruption in top executive functions and in respect of members of parliament, judges and prosecutors, to strengthen independent anti-corruption institutions, and to ensure transparent public procurement practices; whereas it called on Hungary to ensure public oversight over “public interest asset management foundations” (KEKVAs) by guaranteeing transparent governance, parliamentary scrutiny, and accountability for all public assets and funds managed by these entities;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c.</w:t>
            </w:r>
            <w:r>
              <w:tab/>
            </w:r>
            <w:r>
              <w:rPr>
                <w:b/>
                <w:i/>
              </w:rPr>
              <w:t>whereas on 24 September 2025, the Corruption Research Center Budapest indicated during a public hearing in the Committee on Petitions that there is clear empirical evidence of political favoritism in Hungary;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Krzysztof Śmiszek, Marina Kaljurand, Sophie Wilmès, Andreas Schieder, Birgit Sippel, Matjaž Nemec, Csaba Molnár, Klára Dobrev, Katarina Barley, René Repasi, Thijs Reuten, Marc Angel, Elisabeth Grossmann,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a.</w:t>
            </w:r>
            <w:r>
              <w:tab/>
            </w:r>
            <w:r>
              <w:rPr>
                <w:b/>
                <w:i/>
              </w:rPr>
              <w:t>whereas credible reports further revealed that the Hungarian government organised systematic espionage against staff of the European Anti-Fraud Office (OLAF) during an investigative mission into the potential misuse of EU funds by ELIOS, a company linked to the Hungarian Prime Minister’s son-in-law; whereas such practices gravely undermine the rule of law; whereas these revelations illustrate the broader pattern of state abuse of surveillance powers identified in the Commission’s report and underscore the urgent need for effective safeguards and accountability mechanisms in Hungary;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a.</w:t>
            </w:r>
            <w:r>
              <w:tab/>
            </w:r>
            <w:r>
              <w:rPr>
                <w:b/>
                <w:i/>
              </w:rPr>
              <w:t>whereas in its decision of 10-12 June 2025 concerning the pending enhanced supervision of the execution of the ECtHR judgments in Szabó and Vissy group v. Hungary, the Committee of Ministers of the Council of Europe strongly exhorted again the authorities to adopt, without further delay, the measures required to bring the domestic legislation on secret surveillance for national security purposes fully and effectively in line with the European Convention on Human Rights, addressing the entirety of the shortcomings identified by the ECtHR in this group;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Tineke Strik,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b.</w:t>
            </w:r>
            <w:r>
              <w:tab/>
            </w:r>
            <w:r>
              <w:rPr>
                <w:b/>
                <w:i/>
              </w:rPr>
              <w:t>whereas on 21 March 2025, the Office of the UN High Commissioner for Human Rights indicated that, to protect the right to privacy and non-discrimination, authorities should avoid using facial recognition technology to identify those peacefully participating in an assembly; whereas it recalled that public surveillance measures should be limited to those strictly necessary and proportionate for achieving legitimate objectives and should never be deployed in a discriminatory manner through targeted surveillance of peaceful assemblies of LGBTIQ+ persons or other marginalised groups; whereas on 24 March 2025, in a letter addressed to the Speaker of the National Assembly of Hungary, the Commissioner for Human Rights of the Council of Europe reminded that, in accordance with the ECtHR, the use of highly intrusive recognition technology, to identify and arrest participants for taking part in peaceful protest actions and for the purpose of pursuing a misdemeanour, is a violation of the right to private life; whereas on 9 April 2025, in their communication to the Hungarian authorities, the UN Special Rapporteur on the promotion and protection of the right to freedom of opinion and expression, Special Rapporteur on the rights to freedom of peaceful assembly and of association, Special Rapporteur on the situation of human rights defenders, Independent Expert on protection against violence and discrimination based on sexual orientation and gender identity and Working Group on discrimination against women and girls indicated that the recently enacted amendments to the Act on the Right of Assembly provide for expanded use of biometric facial recognition technologies to target, identify, and punish participants in such “prohibited assemblies” in contravention of internationally accepted standards for the use of such technology in law enforcement activities;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whereas on 8 July 2025, the Commission indicated in the country chapter on Hungary in its 2025 Rule of Law Report that the threats to media pluralism highlighted in previous rule of law reports have remained unaddressed; whereas it further indicated that no measures have been adopted, or are planned, to regulate the channelling of state advertising to media outlets, to guarantee the functional independence of the media authority or to ensure the editorial and financial independence of public service media; whereas it further indicated that journalists continue to face numerous and serious challenges to their work, journalists and media outlets have been investigated by the Sovereignty Protection Office for allegedly ‘serving foreign interests’, and access to public interest events and press conferences continues to be selectively denied; whereas it further indicated that although the accelerated treatment of court cases related to access to information continues, the scope of access to information remains limited, especially as regards public funding;</w:t>
            </w:r>
          </w:p>
        </w:tc>
        <w:tc>
          <w:tcPr>
            <w:tcW w:w="4876" w:type="dxa"/>
            <w:tcBorders>
              <w:top w:val="nil"/>
              <w:left w:val="nil"/>
              <w:bottom w:val="nil"/>
              <w:right w:val="nil"/>
            </w:tcBorders>
          </w:tcPr>
          <w:p>
            <w:pPr>
              <w:pStyle w:val="Normal6a"/>
            </w:pPr>
            <w:r>
              <w:t>M.</w:t>
            </w:r>
            <w:r>
              <w:tab/>
            </w:r>
            <w:r>
              <w:t xml:space="preserve">whereas on 8 July 2025, the Commission indicated in the country chapter on Hungary in its 2025 Rule of Law Report that the threats to media pluralism highlighted in previous rule of law reports have remained unaddressed; whereas it further indicated that no measures have been adopted, or are planned, to regulate the channelling of state advertising to media outlets, to guarantee the functional independence of the media authority or to ensure the editorial and financial independence of public service media; whereas it further indicated that journalists continue to face numerous and serious challenges to their work, journalists and media outlets have been investigated by the Sovereignty Protection Office for allegedly ‘serving foreign interests’, and access to public interest events and press conferences continues to be selectively denied; whereas it further indicated that although the accelerated treatment of court cases related to access to information continues, the scope of access to information remains limited, especially as regards public funding; </w:t>
            </w:r>
            <w:r>
              <w:rPr>
                <w:b/>
                <w:i/>
              </w:rPr>
              <w:t>whereas there has been no progress to increase transparency and fairness in the distribution of state advertising, the general rules and procedures regulating public procurement govern these expenditures and no specific rules ensuring transparency and fairness regulating distribution exist; whereas the State remains, by far, the most important player in the media advertising market channelling significant state resources to pro-government media and increasing its spending, and state advertising accounts for over 30% of the total advertising market, while the Central European Press and Media Foundation (KESMA), a conglomeration of pro-government media outlets, receives up to 75-80% of its total revenue from state advertising; whereas pressure on journalists and other media professionals has increased, as they continue to encounter numerous and serious challenges to their work; whereas, while stakeholders point out that physical attacks against journalists are very rare in Hungary, they draw attention to the prevalence of smear campaigns and derogatory statements against journalists; whereas some stakeholders report that access to public interest events and government press conferences continues to be denied on a selective basis and that inquiries from the press often go unanswered; whereas with the investigative activities carried out by the Sovereignty Protection Office into alleged ‘foreign funding’, pressure on independent journalists and media outlets has increased; whereas the 2025 Media Pluralism Monitor continues to consider the safety of journalists to be an area presenting medium risk; whereas the Council of Europe’s Platform to promote the protection of journalism and safety of journalists registered five new alerts relating to, respectively, an investigative outlet accused on engaging in foreign influence and espionage by the Sovereignty Protection Office, two journalists seeking to interview the Prime Minister who were obstructed, detained and charged, alerts relating to the Act on Transparency in the Public Sphere, and a report claiming that intelligence reports had been drawn up on media outlets and CSOs;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M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a.</w:t>
            </w:r>
            <w:r>
              <w:tab/>
            </w:r>
            <w:r>
              <w:rPr>
                <w:b/>
                <w:i/>
              </w:rPr>
              <w:t>whereas on 30 September 2025, the Parliamentary Assembly of the Council of Europe adopted Resolution 2617(2025) on the honouring of membership obligations to the Council of Europe by Hungary, where it reiterated its concerns regarding the concentration of media ownership, the lack of media pluralism and the political influence over media content; called on the Hungarian authorities to strengthen the functional independence of the Media Council, reducing the term of office of the Media Authority’s president and withdrawing some of his/her powers of appointment; called again on the Hungarian authorities to consider implementing a more open and pluralistic appointment procedure for Media Council members, including by allowing civil society groups to participate in the nomination process; and, given the State's and State-owned companies' extremely significant role in the media advertising market, through which they channel significant State resources to pro-government media, asked the authorities to ensure that the distribution of such advertising, including on social media, is fair and transparent;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Krzysztof Śmiszek, Marina Kaljurand, Andreas Schieder, Birgit Sippel, Matjaž Nemec, Csaba Molnár, Klára Dobrev, Katarina Barley, René Repasi, Thijs Reuten, Marc Angel, Elisabeth Grossmann,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M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a.</w:t>
            </w:r>
            <w:r>
              <w:tab/>
            </w:r>
            <w:r>
              <w:rPr>
                <w:b/>
                <w:i/>
              </w:rPr>
              <w:t>whereas the politically controlled allocation of state advertising, systematically channelled to government-friendly outlets, constitutes a deliberate strategy to starve independent and critical media of resources, thereby undermining media pluralism and freedom of expression; calls on the Commission to investigate these practices as a potential form of illegal state aid distorting the internal market and to take enforcement action without delay;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M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b.</w:t>
            </w:r>
            <w:r>
              <w:tab/>
            </w:r>
            <w:r>
              <w:rPr>
                <w:b/>
                <w:i/>
              </w:rPr>
              <w:t>whereas in its decision of 3-5 December 2024 concerning the pending enhanced supervision of the execution of the ECtHR judgments in Kenedi group v. Hungary, the Committee of Ministers of the Council of Europe called on the authorities to adopt additional targeted general measures to address the reoccurring reluctance of state authorities to comply with the domestic courts’ orders granting access to documents, and to ensure that effective and genuinely coercive enforcement tools are available for the implementation of such orders;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M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c.</w:t>
            </w:r>
            <w:r>
              <w:tab/>
            </w:r>
            <w:r>
              <w:rPr>
                <w:b/>
                <w:i/>
              </w:rPr>
              <w:t>whereas on 4 June 2025, the OSCE Representative on Freedom of the Media emphasized the importance of ensuring that both public service broadcasters and media regulatory bodies are independent from political influence, and addressed the issue of independent and fair allocation of state advertising, which should be allocated based on impartial and clear criteria, so as to support media pluralism, including independent media;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M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d.</w:t>
            </w:r>
            <w:r>
              <w:tab/>
            </w:r>
            <w:r>
              <w:rPr>
                <w:b/>
                <w:i/>
              </w:rPr>
              <w:t>whereas in the 2025 World Press Freedom Index, Hungary ranked 68 out of 180 countries with a score of 62.82, losing one more place compared to the previous year;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whereas on 23 June 2025, in its report on its mission to Budapest, the Committee on Civil Liberties, Justice and Home Affairs expressed concerns about the erosion of academic freedom and increasing control over education and research in Hungary, including a ban on teachers’ strikes, the possibility of arbitrary dismissal of teachers, ideological control over curricula, shrinking autonomy of universities to conduct research and marginalisation of certain student groups, including Roma, children with disabilities and </w:t>
            </w:r>
            <w:r>
              <w:rPr>
                <w:b/>
                <w:i/>
              </w:rPr>
              <w:t>LGBTIQ+</w:t>
            </w:r>
            <w:r>
              <w:t xml:space="preserve"> students;</w:t>
            </w:r>
          </w:p>
        </w:tc>
        <w:tc>
          <w:tcPr>
            <w:tcW w:w="4876" w:type="dxa"/>
            <w:tcBorders>
              <w:top w:val="nil"/>
              <w:left w:val="nil"/>
              <w:bottom w:val="nil"/>
              <w:right w:val="nil"/>
            </w:tcBorders>
          </w:tcPr>
          <w:p>
            <w:pPr>
              <w:pStyle w:val="Normal6a"/>
            </w:pPr>
            <w:r>
              <w:t>N.</w:t>
            </w:r>
            <w:r>
              <w:tab/>
            </w:r>
            <w:r>
              <w:t xml:space="preserve">whereas on 23 June 2025, in its report on its mission to Budapest, the Committee on Civil Liberties, Justice and Home Affairs expressed concerns about the erosion of academic freedom and increasing control over education and research in Hungary, including a ban on teachers’ strikes, the possibility of arbitrary dismissal of teachers, ideological control over curricula, shrinking autonomy of universities to conduct research and marginalisation of certain student groups, including Roma, children with disabilities and students </w:t>
            </w:r>
            <w:r>
              <w:rPr>
                <w:b/>
                <w:i/>
              </w:rPr>
              <w:t>belonging to sexual minorities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Krzysztof Śmiszek, Marina Kaljurand, Sophie Wilmès, Andreas Schieder, Birgit Sippel, Matjaž Nemec, Csaba Molnár, Klára Dobrev, Katarina Barley, René Repasi, Thijs Reuten, Marc Angel, Elisabeth Grossmann,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 a.</w:t>
            </w:r>
            <w:r>
              <w:tab/>
            </w:r>
            <w:r>
              <w:rPr>
                <w:b/>
                <w:i/>
              </w:rPr>
              <w:t>whereas the incorporation of Hungarian universities and research centres into public interest trusts by the Hungarian government has entailed the transfer of significant public assets to boards of trustees appointed on a political basis and operating without sufficient guarantees of independence, thereby severely undermining academic freedom, institutional autonomy and the sound management of public funds, including Union funds; whereas, consequently, for several years more than 21 higher education institutions and research centres have been excluded from participation in Erasmus+ and Horizon Europe programmes, restricting Hungarian students and researchers from accessing Union mobility and research opportunities;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 a.</w:t>
            </w:r>
            <w:r>
              <w:tab/>
            </w:r>
            <w:r>
              <w:rPr>
                <w:b/>
                <w:i/>
              </w:rPr>
              <w:t>whereas on 8 July 2025, in its Recommendation on economic, budgetary, employment and structural policies of Hungary, the Council recommended to improve education outcomes and tertiary attainment rate and increase the participation of disadvantaged groups, particularly Roma, in quality mainstream education by further increasing the attractiveness of the teaching profession and the share of pupils obtaining an upper-secondary qualification that gives access to tertiary education;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 b.</w:t>
            </w:r>
            <w:r>
              <w:tab/>
            </w:r>
            <w:r>
              <w:rPr>
                <w:b/>
                <w:i/>
              </w:rPr>
              <w:t>whereas on 21 March 2025, at the end of her visit to Hungary, the UN Special Rapporteur on the right to education praised the commitment of Hungarian educators and civil society, while expressing serious concerns about widening inequalities, curriculum rigidity, the marginalisation of Roma students and the erosion of academic freedom; whereas she warned of a “hollowing out” of the public education system, with growing inequalities between under-resourced state schools and better-funded church-run institutions; whereas she called for a review of curriculum and assessment, greater protection for students with special needs, clear and effective policies to tackle segregation, equitable funding for all types of school, and greater involvement of students, teachers and parents in decision-making;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Freedom of religion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 c.</w:t>
            </w:r>
            <w:r>
              <w:tab/>
            </w:r>
            <w:r>
              <w:rPr>
                <w:b/>
                <w:i/>
              </w:rPr>
              <w:t>whereas in its resolution of 11 December 2024 concerning the supervision of the execution of the ECtHR judgment in Magyar Keresztény Mennonita Egyház and Others v Hungary, the Committee of Ministers of the Council of Europe decided to close the examination thereof;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 d.</w:t>
            </w:r>
            <w:r>
              <w:tab/>
            </w:r>
            <w:r>
              <w:rPr>
                <w:b/>
                <w:i/>
              </w:rPr>
              <w:t>whereas on 28 February 2025, in the report on her visit to Hungary, the UN Special Rapporteur on freedom of religion or belief recommended to revisit the 2011 Church Law and its 2018 amendments to ensure that all religion and belief communities, institutions and actors, can operate freely, without discrimination, with particular attention to legal and financial restrictions on their activities;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whereas on 23 June 2025, in its report on its mission to Budapest, the Committee on Civil Liberties, Justice and Home Affairs expressed concerns about the growing financial, legal, safety and political obstacles for civil society, especially those civil society organisations (CSOs) that are advocacy-oriented, the creation of GONGOs (government-controlled NGOs), which are featured in the state-controlled and government-friendly media as experts, further polarising the NGO landscape, and the use of the Sovereignty Protection Office as a key instrument to defame as ‘foreign agents’ independent media outlets, individual investigative journalists and CSOs receiving international or EU funding, and their staff; whereas it expressed further concerns about a foreign agent law being drafted, further limiting funding and expanding surveillance;</w:t>
            </w:r>
          </w:p>
        </w:tc>
        <w:tc>
          <w:tcPr>
            <w:tcW w:w="4876" w:type="dxa"/>
            <w:tcBorders>
              <w:top w:val="nil"/>
              <w:left w:val="nil"/>
              <w:bottom w:val="nil"/>
              <w:right w:val="nil"/>
            </w:tcBorders>
          </w:tcPr>
          <w:p>
            <w:pPr>
              <w:pStyle w:val="Normal6a"/>
            </w:pPr>
            <w:r>
              <w:t>O.</w:t>
            </w:r>
            <w:r>
              <w:tab/>
            </w:r>
            <w:r>
              <w:t xml:space="preserve">whereas on 23 June 2025, in its report on its mission to Budapest, the Committee on Civil Liberties, Justice and Home Affairs expressed concerns about the growing financial, legal, safety and political obstacles for civil society, especially those civil society organisations (CSOs) that are advocacy-oriented, the creation of GONGOs (government-controlled NGOs), which are featured in the state-controlled and government-friendly media as experts, further polarising the NGO landscape, and the use of the Sovereignty Protection Office as a key instrument to defame as ‘foreign agents’ independent media outlets, individual investigative journalists and CSOs receiving international or EU funding, and their staff; </w:t>
            </w:r>
            <w:r>
              <w:rPr>
                <w:b/>
                <w:i/>
              </w:rPr>
              <w:t>expresses concern that this practice resembles the agent law in force in Russia;</w:t>
            </w:r>
            <w:r>
              <w:t xml:space="preserve"> whereas it expressed further concerns about a foreign agent law being drafted, further limiting funding and expanding surveillance;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P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 a.</w:t>
            </w:r>
            <w:r>
              <w:tab/>
            </w:r>
            <w:r>
              <w:rPr>
                <w:b/>
                <w:i/>
              </w:rPr>
              <w:t>whereas on 30 September 2025, the Parliamentary Assembly of the Council of Europe adopted Resolution 2617(2025) on the honouring of membership obligations to the Council of Europe by Hungary, where it expressed deep concern by the succession of measures aimed at silencing civil society organisations and the independent media; whereas it recalled that, as set out in the Reykjavik Principles for Democracy, civil society is a prerequisite for a functioning democracy as well as a safe and enabling environment in which civil society and human rights defenders can operate free from hindrance, insecurity and violence; whereas, to ensure such an environment, it called on Hungary to abolish the Office for the Protection of Sovereignty and to amend the Bill on the Transparency of Public Life in accordance with the Venice Commission's recommendations;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Krzysztof Śmiszek, Marina Kaljurand, Andreas Schieder, Birgit Sippel, Matjaž Nemec, Csaba Molnár, Klára Dobrev, Katarina Barley, René Repasi, Thijs Reuten, Marc Angel, Elisabeth Grossmann,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P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 a.</w:t>
            </w:r>
            <w:r>
              <w:tab/>
            </w:r>
            <w:r>
              <w:rPr>
                <w:b/>
                <w:i/>
              </w:rPr>
              <w:t>whereas the disregard for the principles of genuine consultations with civil society, as well as the principle of partnership, as enshrined by European Union legislation, in themselves distort the use of Union funding to Hungary, and therefore also constitute a horizontal violation of the Union’s financial interests under all financial instruments and programmes, which the European Commission has so far failed to act upon;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P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 b.</w:t>
            </w:r>
            <w:r>
              <w:tab/>
            </w:r>
            <w:r>
              <w:rPr>
                <w:b/>
                <w:i/>
              </w:rPr>
              <w:t>whereas on 19 May 2025, the co-rapporteurs of the Parliamentary Assembly of the Council of Europe for the monitoring of Hungary, indicated that the Draft Law on Transparency of Public Life would make it impossible for civil society organisations and independent media outlets to operate, let alone exist; it constitutes an unjustified and disproportionate attack on the freedom of association and expression of Hungarian citizens; adopting this bill would violate Hungary's international obligations with regard to human rights and fundamental freedoms; whereas on 27 May 2025, in a letter addressed to the Speaker of the National Assembly of Hungary, the Commissioner for Human Rights of the Council of Europe asked parliamentarians to refrain from adopting the Draft Law on Transparency of Public Life unless it is amended to comply with international human rights law, notably freedom of expression and association, the right to respect for private life, the right to a fair trial and the prohibition of discrimination; whereas on 4 June 2025, the OSCE Representative on Freedom of the Media indicated that some provisions of the proposed draft risk undermining OSCE commitments; whereas on 5 June 2025, the Expert Council on NGO Law of the Conference of INGOs of the Council of Europe concluded that the enactment of the draft would cause grave and unjustified damage to civil society in Hungary, would be inconsistent with a wide range of commitments that this member state of the Council of Europe and of the European Union has undertaken and would thus be entirely inappropriate;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P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 c.</w:t>
            </w:r>
            <w:r>
              <w:tab/>
            </w:r>
            <w:r>
              <w:rPr>
                <w:b/>
                <w:i/>
              </w:rPr>
              <w:t>whereas on 3 October 2024, the Commission decided to refer Hungary to the CJEU, deeming the Protection of National Sovereignty Act that established the Sovereignty Protection Office makes it possible to target activities that are a legitimate expression of the rights conferred by the EU Treaties on EU citizens and organisations and to restrict such activities, as well as makes those citizens and organisations subject to the exercise of State powers that infringe the rules on data protection and are incompatible with a number of fundamental rights, which are the pillars of a pluralistic and democratic society (Case C-829/24, Commission v Hungary);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P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 d.</w:t>
            </w:r>
            <w:r>
              <w:tab/>
            </w:r>
            <w:r>
              <w:rPr>
                <w:b/>
                <w:i/>
              </w:rPr>
              <w:t>whereas on 6 September 2024, the Commissioner for Human Rights of the Council of Europe published his written observations in the case of Hungarian Helsinki Committee v. Hungary which is pending before the European Court of Human Rights, where he indicates that the introduction of Article 353/A of the Criminal Code constitutes a component of broad restrictions to freedom of expression and freedom of association of civil society in Hungary; the criminalisation of “facilitating or supporting illegal migration” introduced through Article 353/A was neither necessary nor foreseeable within the meaning of Article 10(2) and Article 11(2) of the European Convention on Human Rights; several aspects call into question the declared purpose behind the introduction of Article 353/A;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w:t>
            </w:r>
            <w:r>
              <w:tab/>
            </w:r>
            <w:r>
              <w:rPr>
                <w:b/>
                <w:i/>
              </w:rPr>
              <w:t>whereas on 23 June 2025, in its report on its mission to Budapest, the Committee on Civil Liberties, Justice and Home Affairs expressed concerns about the 15th constitutional amendment, including articles affecting LGBTIQ+ rights, and new legislative amendments restricting the freedoms of LGBTIQ+ persons, including the removal of gender identity as grounds for discrimination and a ban on pride marches; whereas it expressed further concerns about a climate of hatred against the LGBTIQ+ community fuelled by the government’s rhetoric, instigating fear and isolation among LGBTIQ+ persons, including students and teachers;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whereas on 23 June 2025, in its report on its mission to Budapest, the Committee on Civil Liberties, Justice and Home Affairs expressed concerns about the 15th constitutional amendment, including articles affecting </w:t>
            </w:r>
            <w:r>
              <w:rPr>
                <w:b/>
                <w:i/>
              </w:rPr>
              <w:t>LGBTIQ+</w:t>
            </w:r>
            <w:r>
              <w:t xml:space="preserve"> rights, and new legislative amendments restricting the freedoms of </w:t>
            </w:r>
            <w:r>
              <w:rPr>
                <w:b/>
                <w:i/>
              </w:rPr>
              <w:t>LGBTIQ+ persons</w:t>
            </w:r>
            <w:r>
              <w:t xml:space="preserve">, </w:t>
            </w:r>
            <w:r>
              <w:rPr>
                <w:b/>
                <w:i/>
              </w:rPr>
              <w:t>including the removal of gender identity as grounds for discrimination and a ban on</w:t>
            </w:r>
            <w:r>
              <w:t xml:space="preserve"> pride marches; whereas it expressed further concerns about a climate of hatred against </w:t>
            </w:r>
            <w:r>
              <w:rPr>
                <w:b/>
                <w:i/>
              </w:rPr>
              <w:t>the LGBTIQ+ community</w:t>
            </w:r>
            <w:r>
              <w:t xml:space="preserve"> fuelled by the government’s rhetoric, instigating fear and isolation among </w:t>
            </w:r>
            <w:r>
              <w:rPr>
                <w:b/>
                <w:i/>
              </w:rPr>
              <w:t>LGBTIQ+</w:t>
            </w:r>
            <w:r>
              <w:t xml:space="preserve"> persons, including students and teachers;</w:t>
            </w:r>
          </w:p>
        </w:tc>
        <w:tc>
          <w:tcPr>
            <w:tcW w:w="4876" w:type="dxa"/>
            <w:tcBorders>
              <w:top w:val="nil"/>
              <w:left w:val="nil"/>
              <w:bottom w:val="nil"/>
              <w:right w:val="nil"/>
            </w:tcBorders>
          </w:tcPr>
          <w:p>
            <w:pPr>
              <w:pStyle w:val="Normal6a"/>
            </w:pPr>
            <w:r>
              <w:t>Q.</w:t>
            </w:r>
            <w:r>
              <w:tab/>
            </w:r>
            <w:r>
              <w:t xml:space="preserve">whereas on 23 June 2025, in its report on its mission to Budapest, the Committee on Civil Liberties, Justice and Home Affairs expressed concerns about the 15th constitutional amendment, including articles affecting </w:t>
            </w:r>
            <w:r>
              <w:rPr>
                <w:b/>
                <w:i/>
              </w:rPr>
              <w:t>the</w:t>
            </w:r>
            <w:r>
              <w:t xml:space="preserve"> rights </w:t>
            </w:r>
            <w:r>
              <w:rPr>
                <w:b/>
                <w:i/>
              </w:rPr>
              <w:t>of persons belonging to sexual minorities</w:t>
            </w:r>
            <w:r>
              <w:t xml:space="preserve">, and new legislative amendments restricting the freedoms of </w:t>
            </w:r>
            <w:r>
              <w:rPr>
                <w:b/>
                <w:i/>
              </w:rPr>
              <w:t>sexual minorities</w:t>
            </w:r>
            <w:r>
              <w:t xml:space="preserve">, </w:t>
            </w:r>
            <w:r>
              <w:rPr>
                <w:b/>
                <w:i/>
              </w:rPr>
              <w:t>for example by banning</w:t>
            </w:r>
            <w:r>
              <w:t xml:space="preserve"> pride marches; whereas it expressed further concerns about a climate of hatred against </w:t>
            </w:r>
            <w:r>
              <w:rPr>
                <w:b/>
                <w:i/>
              </w:rPr>
              <w:t>sexual minorities</w:t>
            </w:r>
            <w:r>
              <w:t xml:space="preserve"> fuelled by the government’s rhetoric, instigating fear and isolation among persons </w:t>
            </w:r>
            <w:r>
              <w:rPr>
                <w:b/>
                <w:i/>
              </w:rPr>
              <w:t>belonging to sexual minorities</w:t>
            </w:r>
            <w:r>
              <w:t>, including students and teachers;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Tineke Strik,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Q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 a.</w:t>
            </w:r>
            <w:r>
              <w:tab/>
            </w:r>
            <w:r>
              <w:rPr>
                <w:b/>
                <w:i/>
              </w:rPr>
              <w:t>whereas on 21 March 2025, the Office of the UN High Commissioner for Human Rights called on the Hungarian authorities to repeal legislation that discriminates against LGBTIQ+ individuals, and urged them to combat the high levels of intolerance, discrimination, bullying and harassment related to sexual orientation and gender identity, faced by children in particular, in line with Hungary’s international human rights obligations; whereas on 24 March 2025, in a letter addressed to the Speaker of the National Assembly of Hungary, the Commissioner for Human Rights of the Council of Europe asked members of Parliament to reconsider the amendment to the Law on the right to assembly, which effectively bans events like Pride marches; urged them to refrain from adopting pending constitutional and other amendments which raise concerns about their compatibility with human rights standards, such as a ban on legal gender recognition on a constitutional footing and removing gender identity from the explicit list of protected characteristics under the Equal Treatment Act; whereas on 25 June 2025, the Commissioner expressed deep disappointment at the decision to prohibit the Budapest Pride March; whereas on 9 April 2025, in their communication to the Hungarian authorities the UN Special Rapporteur on the promotion and protection of the right to freedom of opinion and expression, Special Rapporteur on the rights to freedom of peaceful assembly and of association, Special Rapporteur on the situation of human rights defenders, Independent Expert on protection against violence and discrimination based on sexual orientation and gender identity and Working Group on discrimination against women and girls indicated that the proposed amendments to the Fundamental Law and related legislation would establish a basis for unlawful restrictions on the human rights to freedom of expression and peaceful assembly; whereas on 27 June 2025, the Standing Rapporteur on Human Rights of the Congress of Local and Regional Authorities of the Council of Europe indicated that the new law infringes on the right of LGBTIQ+ persons to their private and family life without discrimination, as well as on the freedoms of expression and of assembly, and also impacts the decision-making autonomy of local authorities when authorising public demonstrations;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Sophie Wilmès, Lucia Yar, Krzysztof Śmiszek, Veronika Cifrová Ostrihoňová, Hilde Vautmans, Nikola Minchev, Raquel García Hermida-Van Der Walle, Fabienne Keller, Malik Azmani, Irena Joveva, Anna-Maja Henriksson,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Q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 a.</w:t>
            </w:r>
            <w:r>
              <w:tab/>
            </w:r>
            <w:r>
              <w:rPr>
                <w:b/>
                <w:i/>
              </w:rPr>
              <w:t>whereas on 27 May 2025, in their Statement on the infringement of the fundamental rights of LGBTIQ+ persons in Hungary, 20 Member States stressed that respecting and protecting the human rights and fundamental freedoms of all people, including LGBTIQ+ persons, is inherent in being part of the European family, and called on Hungary to revise these measures, while urging the Commission to make full use of the rule of law toolbox should these measures not be withdrawn;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Tineke Strik,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Q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 b.</w:t>
            </w:r>
            <w:r>
              <w:tab/>
            </w:r>
            <w:r>
              <w:rPr>
                <w:b/>
                <w:i/>
              </w:rPr>
              <w:t>whereas on 27 May 2025, in their Statement on the infringement of the fundamental rights of LGBTIQ+ persons in Hungary, 20 Member States expressed deep concern by recent legislative and constitutional amendments infringing on the fundamental rights of LGBTIQ+ persons which were adopted by the Hungarian Parliament on 18 March and 14 April 2025 following other anti-LGBTIQ+ legislation already introduced in previous years;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Q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 c.</w:t>
            </w:r>
            <w:r>
              <w:tab/>
            </w:r>
            <w:r>
              <w:rPr>
                <w:b/>
                <w:i/>
              </w:rPr>
              <w:t>whereas on 25 June 2025, the Commission President called on the Hungarian authorities to allow the Budapest Pride to go ahead without fear of any criminal or administrative sanctions against the organisers or participants;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Q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 d.</w:t>
            </w:r>
            <w:r>
              <w:tab/>
            </w:r>
            <w:r>
              <w:rPr>
                <w:b/>
                <w:i/>
              </w:rPr>
              <w:t>whereas in its judgment of 13 March 2025 in Case C-247/23 [Deldits], the CJEU found that the General Data Protection Regulation must be interpreted as requiring a national authority responsible for keeping a public register to rectify the personal data relating to the gender identity of a natural person where those data are inaccurate, and that person may be required to provide relevant and sufficient evidence that may reasonably be required of that person in order to establish that those data are inaccurate, but a Member State may not, under any circumstances, by way of an administrative practice, make the exercise of that right conditional upon the production of evidence of gender reassignment surgery;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Tineke Strik,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Q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 e.</w:t>
            </w:r>
            <w:r>
              <w:tab/>
            </w:r>
            <w:r>
              <w:rPr>
                <w:b/>
                <w:i/>
              </w:rPr>
              <w:t>whereas in its decision of 17-19 September 2024 concerning the pending enhanced supervision of the execution of the ECtHR judgments in Rana group v. Hungary, the Committee of Ministers of the Council of Europe noted with deep regret that, while for many years recognition of gender reassignment was permitted on the basis of an informal practice, the legislative amendments adopted in May 2020 have also made it impossible for transgender persons with Hungarian birth certificates to obtain legal gender recognition in Hungary and that these developments considerably aggravate the uncertainty for the persons concerned and could lead to similar violations; whereas it stressed the pressing need for legislative changes to lift the current legal ban on changing one’s sex/gender marker in the Hungarian birth register and to introduce a clear legal framework regulating the conditions and procedures for legal gender recognition; whereas it strongly called on the authorities to rapidly take the requisite measures to ensure the adoption of a clear legal framework to enable transgender persons, both lawfully settled non-Hungarian and Hungarian nationals, to access quick, transparent and accessible procedures for changing their name and sex/gender marker in their official identification documents issued by the Hungarian authorities;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Q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 f.</w:t>
            </w:r>
            <w:r>
              <w:tab/>
            </w:r>
            <w:r>
              <w:rPr>
                <w:b/>
                <w:i/>
              </w:rPr>
              <w:t>whereas in its conclusions adopted on 3 July 2024, the European Commission against Racism and Intolerance (ECRI) of the Council of Europe reiterated its view that the series of restrictive legislative measures taken during the period of “state of danger”, as emphasised in the ECRI report, have a strong bearing on the life of LGBTI persons in Hungary and should be thoroughly reviewed by independent experts in the light of Council of Europe and other international standards in the fields of equality and non-discrimination;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rights of persons belonging to minorities, including Roma and Jews, and protection against hateful statements against such minorities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Q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 g.</w:t>
            </w:r>
            <w:r>
              <w:tab/>
            </w:r>
            <w:r>
              <w:rPr>
                <w:b/>
                <w:i/>
              </w:rPr>
              <w:t>whereas on 7 May 2025, the Commission decided to close the infringement case regarding the incorrect transposition of the Council Framework Decision on combating racism and xenophobia;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Tineke Strik,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Q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 h.</w:t>
            </w:r>
            <w:r>
              <w:tab/>
            </w:r>
            <w:r>
              <w:rPr>
                <w:b/>
                <w:i/>
              </w:rPr>
              <w:t>whereas in its conclusions adopted on 3 July 2024, ECRI welcomed the steps taken by the Hungarian authorities to enhance the capacity of law enforcement officials and other criminal justice actors in dealing with hate crime cases, including hate speech of a criminal nature, but indicated that police training on hate crime is not included in the annual training programmes for all counties and may vary considerably in scope and duration, and was unable to ascertain the extent to which the actual police training provided address specifically racist and LGBTI-phobic hate crime, including hate speech of a criminal nature;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Q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 i.</w:t>
            </w:r>
            <w:r>
              <w:tab/>
            </w:r>
            <w:r>
              <w:rPr>
                <w:b/>
                <w:i/>
              </w:rPr>
              <w:t>whereas in its decision of 4-6 March 2025 concerning the pending enhanced supervision of the execution of the ECtHR judgment in Bakirdzi and E.C. v. Hungary regarding national minority voting system, the Committee of Ministers of the Council of Europe noted with regret that, so far, no measures have been taken and that time is running out for the authorities to enact the requisite legal reform and for it to come into effect at least one year before the next parliamentary elections;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whereas on 23 June 2025, in its report on its mission to Budapest, the Committee on Civil Liberties, Justice and Home Affairs expressed concerns about </w:t>
            </w:r>
            <w:r>
              <w:rPr>
                <w:b/>
                <w:i/>
              </w:rPr>
              <w:t>the interception and removal of individuals found in an irregular situation, effectively denying most asylum seekers access to Hungarian territory and to the asylum procedure;</w:t>
            </w:r>
            <w:r>
              <w:t xml:space="preserve"> </w:t>
            </w:r>
            <w:r>
              <w:rPr>
                <w:b/>
                <w:i/>
              </w:rPr>
              <w:t>whereas it expressed further concerns about the continuation of a declared state of emergency due to mass immigration, which entails a range of</w:t>
            </w:r>
            <w:r>
              <w:t xml:space="preserve"> restrictions on the civil and procedural rights of </w:t>
            </w:r>
            <w:r>
              <w:rPr>
                <w:b/>
                <w:i/>
              </w:rPr>
              <w:t>migrants</w:t>
            </w:r>
            <w:r>
              <w:t xml:space="preserve">, including </w:t>
            </w:r>
            <w:r>
              <w:rPr>
                <w:b/>
                <w:i/>
              </w:rPr>
              <w:t>Ukrainian refugees facing</w:t>
            </w:r>
            <w:r>
              <w:t xml:space="preserve"> barriers in accessing employment, healthcare and accommodation due to legal gaps, procedural delays or insufficient documentation</w:t>
            </w:r>
            <w:r>
              <w:rPr>
                <w:b/>
                <w:i/>
              </w:rPr>
              <w:t>, and the criminalisation of various forms of assistance for asylum seekers and migrants under the so-called ‘Stop Soros’ legislation</w:t>
            </w:r>
            <w:r>
              <w:t>;</w:t>
            </w:r>
          </w:p>
        </w:tc>
        <w:tc>
          <w:tcPr>
            <w:tcW w:w="4876" w:type="dxa"/>
            <w:tcBorders>
              <w:top w:val="nil"/>
              <w:left w:val="nil"/>
              <w:bottom w:val="nil"/>
              <w:right w:val="nil"/>
            </w:tcBorders>
          </w:tcPr>
          <w:p>
            <w:pPr>
              <w:pStyle w:val="Normal6a"/>
            </w:pPr>
            <w:r>
              <w:t>R.</w:t>
            </w:r>
            <w:r>
              <w:tab/>
            </w:r>
            <w:r>
              <w:t xml:space="preserve">whereas on 23 June 2025, in its report on its mission to Budapest, the Committee on Civil Liberties, Justice and Home Affairs expressed concerns about restrictions on the civil and procedural rights of </w:t>
            </w:r>
            <w:r>
              <w:rPr>
                <w:b/>
                <w:i/>
              </w:rPr>
              <w:t>refugees from neighbouring Ukraine, a victim of Russia’s war of aggression</w:t>
            </w:r>
            <w:r>
              <w:t>, including barriers in accessing employment, healthcare and accommodation due to legal gaps, procedural delays or insufficient documentation;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R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 a.</w:t>
            </w:r>
            <w:r>
              <w:tab/>
            </w:r>
            <w:r>
              <w:rPr>
                <w:b/>
                <w:i/>
              </w:rPr>
              <w:t>whereas in its judgment of 13 June 2024 in Case C-123/22 Commission v Hungary ((Accueil des demandeurs de protection internationale II), the CJEU declared that, by failing to take all the measures necessary to comply with the judgment of 17 December 2020 in Case C-808/18, Hungary has failed to fulfil its obligations under Article 260(1) TFEU, and ordered Hungary to pay the Commission a lump sum in the amount of EUR 200 000 000 and a penalty payment of EUR 1 000 000 per day from the date of delivery of the judgment until the date of compliance; whereas the Hungarian Government refused to pay these amounts voluntarily;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Krzysztof Śmiszek, Marina Kaljurand, Andreas Schieder, Birgit Sippel, Matjaž Nemec, Katarina Barley, René Repasi, Thijs Reuten, Marc Angel, Elisabeth Grossmann,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R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 a.</w:t>
            </w:r>
            <w:r>
              <w:tab/>
            </w:r>
            <w:r>
              <w:rPr>
                <w:b/>
                <w:i/>
              </w:rPr>
              <w:t>whereas the de facto closure of the Hungarian asylum system, resulting from the combined practice of denying access to the territory and conditioning applications for international protection upon prior declarations at Hungarian embassies abroad, constitutes a flagrant violation of EU asylum law, the Charter of Fundamental Rights and the Geneva Convention; emphasizes that this undermines the necessity to fulfil shared responsibilities within the Union and to implement European solutions with regard to asylum and migration;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R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 b.</w:t>
            </w:r>
            <w:r>
              <w:tab/>
            </w:r>
            <w:r>
              <w:rPr>
                <w:b/>
                <w:i/>
              </w:rPr>
              <w:t>whereas on 7 May 2025, the Commission decided to refer Hungary to the CJEU for failing to fulfil its obligations under the Council Directive 2002/90/EC to impose effective, proportionate and dissuasive sanctions for the offence of facilitation of unauthorised entry, transit and residence into the EU (migrant smuggling) and under the Council Framework Decision 2002/946/JHA that sets rules for criminal penalties regarding these offences;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R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 c.</w:t>
            </w:r>
            <w:r>
              <w:tab/>
            </w:r>
            <w:r>
              <w:rPr>
                <w:b/>
                <w:i/>
              </w:rPr>
              <w:t>whereas on 24 April 2024, the Commission decided to send a letter of formal notice for failing to comply with the ruling of the CJEU in Case C-823/21 Commission v Hungary where the CJEU declared that by making an application for international protection subject to a declaration of intent at a Hungarian embassy located in a third country, Hungary has failed to fulfil its obligations under EU asylum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Tineke Strik,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R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 d.</w:t>
            </w:r>
            <w:r>
              <w:tab/>
            </w:r>
            <w:r>
              <w:rPr>
                <w:b/>
                <w:i/>
              </w:rPr>
              <w:t>whereas in its decision of 17-19 September 2024 concerning the pending enhanced supervision of the execution of the ECtHR judgments in Ilias and Ahmed and Shahzad group v. Hungary, the Committee of Ministers of the Council of Europe called on the authorities to ensure that, before the removal of any asylum-seeker from Hungary to Serbia, a thorough and up-to-date assessment is carried out in every case of whether they would have access to an adequate asylum procedure in Serbia and if the principle of non-refoulement is respected; whereas it strongly exhorted the authorities to intensify their efforts in reforming the asylum system in order to afford effective access to means of legal entry, in particular border procedures in line with Hungary’s international obligations; whereas it called upon the authorities to establish a timeline for the legislative process, to present a draft legislative proposal and to keep the Committee informed about all relevant developments in the legislative process; whereas it reiterated, once again, their utmost concern that despite the adoption of an Interim Resolution and several recent judgments of the European Court finding similar violations, collective expulsions reportedly continue; whreas it strongly exhorted the authorities to terminate, without further delay, the practice of removing asylum-seekers to Serbia pursuant to section 5 of the State Borders Act without their identification or an examination of their individual situation;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R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 e.</w:t>
            </w:r>
            <w:r>
              <w:tab/>
            </w:r>
            <w:r>
              <w:rPr>
                <w:b/>
                <w:i/>
              </w:rPr>
              <w:t>whereas on 3 December 2024, in its report on the 2023 periodic visit to Hungary, the European Committee for the Prevention of Torture and Inhuman or Degrading Treatment or Punishment indicated that it is regrettable that there is still no legal procedure capable of offering effective protection against forced removal and/or refoulement, including chain refoulement, and no concrete steps were taken following the 2018 visit to ensure that all police officers are given a clear message, emanating from the highest political level, that any form of ill treatment of detained persons is unacceptable;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Krzysztof Śmiszek, Marina Kaljurand, Andreas Schieder, Birgit Sippel, Matjaž Nemec, Csaba Molnár, Klára Dobrev, Katarina Barley, René Repasi, Thijs Reuten, Marc Angel, Elisabeth Grossmann,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S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 a.</w:t>
            </w:r>
            <w:r>
              <w:tab/>
            </w:r>
            <w:r>
              <w:rPr>
                <w:b/>
                <w:i/>
              </w:rPr>
              <w:t>whereas the 2018 amendment to the Hungarian Labour Code (Act I of 2012 on the Labour Code, as amended by Act CXVI of 2018) – commonly referred to as the “slave law” –severely weakened the protection of workers’ rights by enabling excessive working hours without adequate safeguards, delaying the payment of overtime wages for up to three years, and limiting the role of collective agreements, thereby shifting the balance of power markedly in favour of employers and undermining existing EU and ILO labour-standards commitments;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Krzysztof Śmiszek, Marina Kaljurand, Andreas Schieder, Birgit Sippel, Matjaž Nemec, Csaba Molnár, Klára Dobrev, Katarina Barley, René Repasi, Thijs Reuten, Marc Angel, Elisabeth Grossmann,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S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 b.</w:t>
            </w:r>
            <w:r>
              <w:tab/>
            </w:r>
            <w:r>
              <w:rPr>
                <w:b/>
                <w:i/>
              </w:rPr>
              <w:t>whereas successive amendments to the Hungarian legal framework—most notably the Act I of 2012 on the Labour Code and the Act VII of 1989 on the Right to Strike – have severely curtailed the effective exercise of trade-union rights and the organisation of strikes; whereas these changes introduced complex procedural requirements, including mandatory “minimum service levels” set unilaterally by employers or the government, lengthy pre-notification and agreement obligations, and the possibility of broad designation of activities as “essential,” thereby allowing authorities to delay or render strikes legally impossible;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Krzysztof Śmiszek, Marina Kaljurand, Sophie Wilmès, Andreas Schieder, Birgit Sippel, Matjaž Nemec, Katarina Barley, René Repasi, Thijs Reuten, Marc Angel, Elisabeth Grossmann,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S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 c.</w:t>
            </w:r>
            <w:r>
              <w:tab/>
            </w:r>
            <w:r>
              <w:rPr>
                <w:b/>
                <w:i/>
              </w:rPr>
              <w:t>whereas the Commission, in its 2025 Rule of Law Report, noted that the Hungarian government continues to adopt legislative and regulatory measures that create serious uncertainty for businesses operating in the single market; whereas foreign companies, including from other EU Member States, operating in strategic sectors face intensified regulatory pressure through discriminatory taxes, export restrictions, price caps and nationalisation; whereas the Commission has already opened several infringement proceedings in this area and the Court of Justice has declared discriminatory price rules illegal; whereas such practices disproportionately affect non-Hungarian businesses, undermine legal certainty and investment protection, and risk fragmenting the single market and violating the principles of equal treatment and fair competition set out in the Treaties;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T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 a.</w:t>
            </w:r>
            <w:r>
              <w:tab/>
            </w:r>
            <w:r>
              <w:rPr>
                <w:b/>
                <w:i/>
              </w:rPr>
              <w:t>whereas on 8 July 2025, in its Recommendation on economic, budgetary, employment and structural policies of Hungary, the Council recommended to improve the regulatory framework and enhance competition in product markets and services, in particular in retail, by avoiding arbitrary administrative interventions, tailor-made legislation providing undue advantage or disadvantage to specific companies and market-distorting state-supported transactions and by reducing the use of emergency measures to what is strictly necessary, in line with the principles of the single market and the rule of law; to increase access to effective active labour market measures, in particular by providing upskilling and reskilling opportunities to the most disadvantaged groups, and ensure effective social dialogue; to improve the adequacy of social assistance and unemployment benefits, and ensure access to essential services for all; to target support measures in the housing sector to low-income households and increase housing supply, including for social housing;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T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 a.</w:t>
            </w:r>
            <w:r>
              <w:tab/>
            </w:r>
            <w:r>
              <w:rPr>
                <w:b/>
                <w:i/>
              </w:rPr>
              <w:t>whereas the values enshrined in Article 2 TEU include respect for human dignity, freedom, equality and human rights, which must be interpreted broadly to cover not only civil and political rights but also social and economic rights, as reflected in the Charter of Fundamental Rights of the European Union; and persistent failures to ensure access to adequate living standards, education and healthcare therefore constitute not only policy shortcomings but also a systemic threat to the Union’s common values; whereas persistent violations of socio-economic rights, including rising poverty, unequal access to education and healthcare, and systemic discrimination against vulnerable groups, constitute not only policy shortcomings but also a systemic threat to the Union’s common values and therefore also undermine the values of Article 2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T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 b.</w:t>
            </w:r>
            <w:r>
              <w:tab/>
            </w:r>
            <w:r>
              <w:rPr>
                <w:b/>
                <w:i/>
              </w:rPr>
              <w:t>whereas the Hungarian Central Statistical Office has recently revised its data on poverty, showing a significant increase in the proportion of the population at risk of poverty or social exclusion, with 150 000 persons living in income poverty added to the official number; whereas according to the OECD 2024 Economic Survey, Hungary’s social transfers are not well-targeted, with households in the upper income quintile receiving a larger share of transfers than those in the lower quintile, while in Czechia and Finland the poorest quintile received 25% and 45% respectively; whereas the same OECD report highlighted that inequalities of opportunity remain high, with intergenerational mobility so limited that it would take on average seven generations for children from low-income families to reach the average income, compared to two or three in Scandinavian countries; whereas the Commission’s 2025 Country Report underlined that despite Hungary’s focus on family-friendly policies, more than one in five children were at risk of poverty or social exclusion in 2024, with the depth of child poverty increasing;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T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 b.</w:t>
            </w:r>
            <w:r>
              <w:tab/>
            </w:r>
            <w:r>
              <w:rPr>
                <w:b/>
                <w:i/>
              </w:rPr>
              <w:t>whereas on 18 June 2025, the Commission decided to open infringement procedures by sending two letters of formal notice for imposing price margin restrictions on non-Hungarian companies in food retail and drugstore retail;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T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 c.</w:t>
            </w:r>
            <w:r>
              <w:tab/>
            </w:r>
            <w:r>
              <w:rPr>
                <w:b/>
                <w:i/>
              </w:rPr>
              <w:t>whereas Hungary’s fertility rate has fallen back to levels comparable to those in 2010 despite extensive and costly demographic programmes, raising concerns about their effectiveness and inclusiveness; whereas according to the OECD 2024 Economic Survey, educational outcomes in Hungary are not significantly different from the OECD average but are highly dispersed, closely linked to parents’ socio-economic status, and reproduce inequalities across generations; whereas the Commission’s 2025 Country Report noted that Hungary has the fourth-lowest share of first-generation graduates among OECD countries and that early school leaving remains high at 10.3%, particularly in villages (16.9%), in the least developed regions, for persons with disabilities (41.2%, one of the highest rates in the EU) and among Roma (58.7% compared to 9.3% for non-Roma in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T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 d.</w:t>
            </w:r>
            <w:r>
              <w:tab/>
            </w:r>
            <w:r>
              <w:rPr>
                <w:b/>
                <w:i/>
              </w:rPr>
              <w:t>Whereas life expectancy at birth in Hungary, though rebounding above its pre-COVID-19 level, remains among the lowest in the Union; and the country has only 4.4 practising nurses per 1 000 inhabitants compared to the EU average of 7.6, posing major challenges for the health and care system; and cardiovascular diseases and cancer remain the leading causes of death, with mortality rates among the highest in the EU; and Hungary continues to devote one of the lowest levels of GDP to healthcare, resulting in staff shortages, unequal access to services and persistently lower life expectancy than the Union average;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the right to equal treatment, including LGBTIQ+ rights,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the right to equal treatment, including </w:t>
            </w:r>
            <w:r>
              <w:rPr>
                <w:b/>
                <w:i/>
              </w:rPr>
              <w:t>LGBTIQ+</w:t>
            </w:r>
            <w:r>
              <w:t xml:space="preserve"> rights,</w:t>
            </w:r>
          </w:p>
        </w:tc>
        <w:tc>
          <w:tcPr>
            <w:tcW w:w="4876" w:type="dxa"/>
            <w:tcBorders>
              <w:top w:val="nil"/>
              <w:left w:val="nil"/>
              <w:bottom w:val="nil"/>
              <w:right w:val="nil"/>
            </w:tcBorders>
          </w:tcPr>
          <w:p>
            <w:pPr>
              <w:pStyle w:val="Normal6a"/>
            </w:pPr>
            <w:r>
              <w:t>(i)</w:t>
            </w:r>
            <w:r>
              <w:tab/>
            </w:r>
            <w:r>
              <w:t xml:space="preserve">the right to equal treatment, including </w:t>
            </w:r>
            <w:r>
              <w:rPr>
                <w:b/>
                <w:i/>
              </w:rPr>
              <w:t>the</w:t>
            </w:r>
            <w:r>
              <w:t xml:space="preserve"> rights </w:t>
            </w:r>
            <w:r>
              <w:rPr>
                <w:b/>
                <w:i/>
              </w:rPr>
              <w:t>of persons belonging to sexual minorities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Sophie Wilmès, Lucia Yar, Veronika Cifrová Ostrihoňová, Hilde Vautmans, Nikola Minchev, Raquel García Hermida-Van Der Walle, Fabienne Keller, Malik Azmani, Irena Joveva, Anna-Maja Henriksson, Michał Wawrykiewicz,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Believes that, taken together, the facts and trends, as illustrated by its resolutions, represent a systemic threat to the values of Article 2 TEU and constitute a clear risk of a serious breach thereof; is appalled by and condemns the deliberate and systematic efforts of the Hungarian Government to undermine the founding values of the Union enshrined in Article 2 TEU; highlights the fact that these trends have substantially worsened since the triggering of Article 7(1) TEU; stresses that the Hungarian Government bears responsibility for the restoration of compliance with EU law and the values enshrined in Article 2 TEU and expresses deep regret that the lack of decisive action by the Commission and the Council has </w:t>
            </w:r>
            <w:r>
              <w:rPr>
                <w:b/>
                <w:i/>
              </w:rPr>
              <w:t>contributed to</w:t>
            </w:r>
            <w:r>
              <w:t xml:space="preserve"> a breakdown in democracy, the rule of law and fundamental rights in Hungary;</w:t>
            </w:r>
          </w:p>
        </w:tc>
        <w:tc>
          <w:tcPr>
            <w:tcW w:w="4876" w:type="dxa"/>
            <w:tcBorders>
              <w:top w:val="nil"/>
              <w:left w:val="nil"/>
              <w:bottom w:val="nil"/>
              <w:right w:val="nil"/>
            </w:tcBorders>
          </w:tcPr>
          <w:p>
            <w:pPr>
              <w:pStyle w:val="Normal6a"/>
            </w:pPr>
            <w:r>
              <w:t>2.</w:t>
            </w:r>
            <w:r>
              <w:tab/>
            </w:r>
            <w:r>
              <w:t xml:space="preserve">Believes that, taken together, the facts and trends, as illustrated by its resolutions, represent a systemic threat to the values of Article 2 TEU and constitute a clear risk of a serious breach thereof; is appalled by and condemns the deliberate and systematic efforts of the Hungarian Government to undermine the founding values of the Union enshrined in Article 2 TEU </w:t>
            </w:r>
            <w:r>
              <w:rPr>
                <w:b/>
                <w:i/>
              </w:rPr>
              <w:t>which constitute not an optional choice, but a fundamental commitment freely undertaken by every Member State upon accession to the Union</w:t>
            </w:r>
            <w:r>
              <w:t xml:space="preserve"> ; highlights the fact that these trends have substantially worsened since the triggering of Article 7(1) TEU; stresses that the Hungarian Government bears responsibility for the restoration of compliance with EU law and the values enshrined in Article 2 TEU and expresses deep regret that the lack of decisive action by the Commission and the Council has </w:t>
            </w:r>
            <w:r>
              <w:rPr>
                <w:b/>
                <w:i/>
              </w:rPr>
              <w:t>failed to prevent</w:t>
            </w:r>
            <w:r>
              <w:t xml:space="preserve"> a breakdown in democracy, the rule of law and fundamental rights in Hungary;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Believes</w:t>
            </w:r>
            <w:r>
              <w:t xml:space="preserve"> that, taken together, the facts and trends, as illustrated by its resolutions, represent a systemic threat to the values of Article 2 TEU and constitute a </w:t>
            </w:r>
            <w:r>
              <w:rPr>
                <w:b/>
                <w:i/>
              </w:rPr>
              <w:t>clear</w:t>
            </w:r>
            <w:r>
              <w:t xml:space="preserve"> risk of a serious breach thereof; is appalled by and condemns the deliberate and systematic efforts of the Hungarian Government to undermine the founding values of the Union enshrined in Article 2 TEU; highlights the fact that these trends have substantially worsened since the triggering of Article 7(1) TEU; stresses that the Hungarian Government bears responsibility for the restoration of compliance with EU law and the values enshrined in Article 2 TEU </w:t>
            </w:r>
            <w:r>
              <w:rPr>
                <w:b/>
                <w:i/>
              </w:rPr>
              <w:t>and expresses deep regret that the lack of decisive action by the Commission and the Council has contributed to a breakdown in democracy, the rule of law and fundamental rights in Hungary</w:t>
            </w:r>
            <w:r>
              <w:t>;</w:t>
            </w:r>
          </w:p>
        </w:tc>
        <w:tc>
          <w:tcPr>
            <w:tcW w:w="4876" w:type="dxa"/>
            <w:tcBorders>
              <w:top w:val="nil"/>
              <w:left w:val="nil"/>
              <w:bottom w:val="nil"/>
              <w:right w:val="nil"/>
            </w:tcBorders>
          </w:tcPr>
          <w:p>
            <w:pPr>
              <w:pStyle w:val="Normal6a"/>
            </w:pPr>
            <w:r>
              <w:t>2.</w:t>
            </w:r>
            <w:r>
              <w:tab/>
            </w:r>
            <w:r>
              <w:rPr>
                <w:b/>
                <w:i/>
              </w:rPr>
              <w:t>Worries</w:t>
            </w:r>
            <w:r>
              <w:t xml:space="preserve"> that, taken together, the facts and trends, as illustrated by its resolutions, </w:t>
            </w:r>
            <w:r>
              <w:rPr>
                <w:b/>
                <w:i/>
              </w:rPr>
              <w:t>might</w:t>
            </w:r>
            <w:r>
              <w:t xml:space="preserve"> represent a systemic threat to the values of Article 2 TEU and </w:t>
            </w:r>
            <w:r>
              <w:rPr>
                <w:b/>
                <w:i/>
              </w:rPr>
              <w:t>might</w:t>
            </w:r>
            <w:r>
              <w:t xml:space="preserve"> constitute a risk of a serious breach thereof; is appalled by and condemns the deliberate and systematic efforts of the Hungarian Government to undermine the founding values of the Union enshrined in Article 2 TEU; highlights the fact that these trends have substantially worsened since the triggering of Article 7(1) TEU; stresses that the Hungarian Government bears responsibility for the restoration of compliance with EU law and the values enshrined in Article 2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Believes that, taken together, the facts and trends, as illustrated by its resolutions, represent a systemic threat to the values of Article 2 TEU and constitute a clear risk of a serious breach thereof; is appalled by and condemns the deliberate and systematic efforts of the Hungarian Government to undermine the founding values of the Union enshrined in Article 2 TEU; highlights </w:t>
            </w:r>
            <w:r>
              <w:rPr>
                <w:b/>
                <w:i/>
              </w:rPr>
              <w:t>the fact</w:t>
            </w:r>
            <w:r>
              <w:t xml:space="preserve"> that these trends have substantially worsened since the triggering of Article 7(1) TEU; stresses that the Hungarian Government bears responsibility for the restoration of compliance with EU law and the values enshrined in Article 2 TEU and expresses deep regret that the lack of decisive action by the Commission and the Council has contributed to a breakdown in democracy, the rule of law and fundamental rights in Hungary;</w:t>
            </w:r>
          </w:p>
        </w:tc>
        <w:tc>
          <w:tcPr>
            <w:tcW w:w="4876" w:type="dxa"/>
            <w:tcBorders>
              <w:top w:val="nil"/>
              <w:left w:val="nil"/>
              <w:bottom w:val="nil"/>
              <w:right w:val="nil"/>
            </w:tcBorders>
          </w:tcPr>
          <w:p>
            <w:pPr>
              <w:pStyle w:val="Normal6a"/>
            </w:pPr>
            <w:r>
              <w:t>2.</w:t>
            </w:r>
            <w:r>
              <w:tab/>
            </w:r>
            <w:r>
              <w:t xml:space="preserve">Believes that, taken together, the facts and trends, as illustrated by its resolutions, represent a systemic threat to </w:t>
            </w:r>
            <w:r>
              <w:rPr>
                <w:b/>
                <w:i/>
              </w:rPr>
              <w:t>all</w:t>
            </w:r>
            <w:r>
              <w:t xml:space="preserve"> the values of Article 2 TEU and constitute a clear risk of a serious breach thereof; is appalled by and condemns the deliberate and systematic efforts of the Hungarian Government to undermine the founding values of the Union enshrined in Article 2 TEU; highlights that these trends have substantially worsened since the triggering of Article 7(1) TEU; stresses that the Hungarian Government bears responsibility for the restoration of compliance with EU law and the values enshrined in Article 2 TEU and expresses deep regret that the lack of decisive action by the Commission and the Council has contributed to a breakdown in democracy, the rule of law and fundamental rights in Hungary</w:t>
            </w:r>
            <w:r>
              <w:rPr>
                <w:b/>
                <w:i/>
              </w:rPr>
              <w:t>, turning the country into a hybrid regime of electoral autocracy, according to an increasing number of the relevant authoritative indices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Stresses that persistent shortcomings in the protection of socio-economic rights, as demonstrated by poverty indicators, unequal access to healthcare, education and housing, and discriminatory demographic policies, must be regarded as an integral part of the systemic threat to the values of Article 2 TEU, alongside civil and political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w:t>
            </w:r>
            <w:r>
              <w:tab/>
            </w:r>
            <w:r>
              <w:rPr>
                <w:b/>
                <w:i/>
              </w:rPr>
              <w:t>Regrets that the level of poverty and social exclusion has increased in Hungary in 2023 and in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c.</w:t>
            </w:r>
            <w:r>
              <w:tab/>
            </w:r>
            <w:r>
              <w:rPr>
                <w:b/>
                <w:i/>
              </w:rPr>
              <w:t>Deplores that the government’s demographic programmes, which largely disregard women’s rights and perspectives, have not delivered the promised increase in birth rates and have led to the inefficient use of public funds;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d.</w:t>
            </w:r>
            <w:r>
              <w:tab/>
            </w:r>
            <w:r>
              <w:rPr>
                <w:b/>
                <w:i/>
              </w:rPr>
              <w:t>Expresses concern that the excessive centralisation of the education system has contributed to a uniform decline in learning outcomes, as evidenced by international assessments, and stresses the need to restore school autonomy and teacher empowerment;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e.</w:t>
            </w:r>
            <w:r>
              <w:tab/>
            </w:r>
            <w:r>
              <w:rPr>
                <w:b/>
                <w:i/>
              </w:rPr>
              <w:t>Notes with concern the chronic underfunding of the Hungarian healthcare system, which undermines equal access to medical services and contributes to persistently low life expectancy indicators;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f.</w:t>
            </w:r>
            <w:r>
              <w:tab/>
            </w:r>
            <w:r>
              <w:rPr>
                <w:b/>
                <w:i/>
              </w:rPr>
              <w:t>Calls on the Hungarian authorities to align economic, social and demographic policies with EU values and evidence-based best practices, and to ensure that EU funds are used in a transparent and effective manner to improve the living standards of all citizens.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Sophie Wilmès, Lucia Yar, Veronika Cifrová Ostrihoňová, Hilde Vautmans, Nikola Minchev, Raquel García Hermida-Van Der Walle, Fabienne Keller, Malik Azmani, Irena Joveva, Anna-Maja Henriksson, Michał Wawrykiewicz,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Deplores the inability of the Council to make meaningful progress in the ongoing Article 7(1) TEU procedure; urges the Council to ensure that hearings take place at a minimum of once per presidency during ongoing Article 7 TEU procedures and also address new developments affecting the rule of law, democracy and fundamental rights; calls on the Council to publish comprehensive minutes after each hearing; emphasises that there is no need for unanimity in the Council either to identify a clear risk of a serious breach of Union values under Article 7(1), or to address concrete recommendations to the Member States in question and provide deadlines for the implementation of those recommendations; calls on the Council to issue recommendations to Hungary as soon as possible in order to remedy the issues noted in Parliament’s resolutions, asking the Hungarian authorities to implement all the judgments and recommendations given; considers that a joint declaration by the Member States following each hearing would be a proper interim step until there is a required majority to address recommendations or identify the risk; insists that in all proceedings related to Article 7 TEU, Parliament should be able to present its reasoned proposal to the Council, to attend Article 7 TEU hearings and to be promptly and fully informed at every stage of the procedure</w:t>
            </w:r>
            <w:r>
              <w:rPr>
                <w:b/>
                <w:i/>
              </w:rPr>
              <w:t>;</w:t>
            </w:r>
          </w:p>
        </w:tc>
        <w:tc>
          <w:tcPr>
            <w:tcW w:w="4876" w:type="dxa"/>
            <w:tcBorders>
              <w:top w:val="nil"/>
              <w:left w:val="nil"/>
              <w:bottom w:val="nil"/>
              <w:right w:val="nil"/>
            </w:tcBorders>
          </w:tcPr>
          <w:p>
            <w:pPr>
              <w:pStyle w:val="Normal6a"/>
            </w:pPr>
            <w:r>
              <w:t>3.</w:t>
            </w:r>
            <w:r>
              <w:tab/>
            </w:r>
            <w:r>
              <w:t xml:space="preserve">Deplores the inability of the Council to make meaningful progress in the ongoing Article 7(1) TEU procedure </w:t>
            </w:r>
            <w:r>
              <w:rPr>
                <w:b/>
                <w:i/>
              </w:rPr>
              <w:t>as evidenced by the eight hearings held, which - despite repeated and growing concerns - have resulted in neither concrete recommendations nor any further steps forward; underlines that such hearings cannot be treated as a mere formal exercise, but must lead to tangible outcomes, as otherwise the credibility and effectiveness of the procedure are seriously undermine</w:t>
            </w:r>
            <w:r>
              <w:t xml:space="preserve">; urges the Council to ensure that hearings take place at a minimum of once per presidency during ongoing Article 7 TEU procedures and also address new </w:t>
            </w:r>
            <w:r>
              <w:rPr>
                <w:b/>
                <w:i/>
              </w:rPr>
              <w:t>substantial</w:t>
            </w:r>
            <w:r>
              <w:t xml:space="preserve"> developments affecting the rule of law, democracy and fundamental rights</w:t>
            </w:r>
            <w:r>
              <w:rPr>
                <w:b/>
                <w:i/>
              </w:rPr>
              <w:t>; stresses, however, that this minimum frequency must not be construed as a ceiling, nor should such hearings be reduced to a mere “tick-the-box” exercise allowing a Presidency to discharge its responsibilities by holding a single formal meeting without pursuing meaningful follow-up</w:t>
            </w:r>
            <w:r>
              <w:t xml:space="preserve"> ; calls on the Council to publish comprehensive minutes after each hearing; emphasises that there is no need for unanimity in the Council either to identify a clear risk of a serious breach of Union values under Article 7(1), or to address concrete recommendations to the Member States in question and provide deadlines for the implementation of those recommendations; calls on the Council to issue recommendations to Hungary as soon as possible in order to remedy the issues noted in Parliament’s resolutions, asking the Hungarian authorities to implement all the judgments and recommendations given; considers that a joint declaration by the Member States following each hearing would be a proper interim step until there is a required majority to address recommendations or identify the risk; insists that in all proceedings related to Article 7 TEU, Parliament should be able to present its reasoned proposal to the Council, to attend Article 7 TEU hearings and to be promptly and fully informed at every stage of the procedure </w:t>
            </w:r>
            <w:r>
              <w:rPr>
                <w:b/>
                <w:i/>
              </w:rPr>
              <w:t>through regular debriefings and formalised exchanges between the institutions, with due regard to confidentiality.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Tineke Strik, Krzysztof Śmiszek,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Deplores the inability of the Council to make meaningful progress in the ongoing Article 7(1) TEU procedure; urges the Council to ensure that hearings take place at a minimum of once per presidency during ongoing Article 7 TEU procedures and also address new developments affecting the rule of law, democracy and fundamental rights; calls on the Council to publish comprehensive minutes after each hearing; emphasises that there is no need for unanimity in the Council either to identify a clear risk of a serious breach of Union values under Article 7(1), or to address concrete recommendations to the Member States in question and provide deadlines for the implementation of those recommendations; calls on the Council to issue recommendations to Hungary as soon as possible in order to remedy the issues noted in Parliament’s resolutions, asking the Hungarian authorities to implement all the judgments and recommendations given; considers that a joint declaration by the Member States following each hearing would be a proper interim step until there is a required majority to address recommendations or identify the risk; insists that in all proceedings related to Article 7 TEU, Parliament should be able to present its reasoned proposal to the Council, to attend Article 7 TEU hearings and to be promptly and fully informed at every stage of the procedure;</w:t>
            </w:r>
          </w:p>
        </w:tc>
        <w:tc>
          <w:tcPr>
            <w:tcW w:w="4876" w:type="dxa"/>
            <w:tcBorders>
              <w:top w:val="nil"/>
              <w:left w:val="nil"/>
              <w:bottom w:val="nil"/>
              <w:right w:val="nil"/>
            </w:tcBorders>
          </w:tcPr>
          <w:p>
            <w:pPr>
              <w:pStyle w:val="Normal6a"/>
            </w:pPr>
            <w:r>
              <w:t>3.</w:t>
            </w:r>
            <w:r>
              <w:tab/>
            </w:r>
            <w:r>
              <w:t xml:space="preserve">Deplores the inability of the Council to make meaningful progress in the ongoing Article 7(1) TEU procedure; urges the Council to ensure that hearings take place at a minimum of once per presidency during ongoing Article 7 TEU procedures and also address new developments affecting the rule of law, democracy and fundamental rights; calls on the Council to publish comprehensive minutes after each hearing; emphasises that there is no need for unanimity in the Council either to identify a clear risk of a serious breach of Union values under Article 7(1), or to address concrete recommendations to the Member States in question and provide deadlines for the implementation of those recommendations; calls on the Council to issue recommendations to Hungary as soon as possible in order to remedy the issues noted in Parliament’s resolutions, asking the Hungarian authorities to implement all the judgments and recommendations given; considers that a joint declaration by the Member States following each hearing would be a proper interim step until there is a required majority to address recommendations or identify the risk; insists that in all proceedings related to Article 7 TEU, Parliament should be able to present its reasoned proposal to the Council, to attend Article 7 TEU hearings and to be promptly and fully informed at every stage of the procedure </w:t>
            </w:r>
            <w:r>
              <w:rPr>
                <w:b/>
                <w:i/>
              </w:rPr>
              <w:t>with full access to all relevant documents, including minutes and exchange of letters, with due regard to confidentiality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Deplores the inability of the Council to make meaningful progress in the ongoing Article 7(1) TEU procedure;</w:t>
            </w:r>
            <w:r>
              <w:t xml:space="preserve"> urges the Council to ensure that hearings take place at a minimum of once per presidency during ongoing Article 7 TEU procedures and also address new developments affecting the rule of law, democracy and fundamental rights; calls on the Council to publish comprehensive minutes after each hearing; emphasises that there is no need for unanimity in the Council either to identify a clear risk of a serious breach of Union values under Article 7(1), or to address concrete recommendations to the Member States in question and provide deadlines for the implementation of those recommendations; calls on the Council to issue recommendations to Hungary as soon as possible in order to remedy the issues noted in Parliament’s resolutions, asking the Hungarian authorities to implement all the judgments and recommendations given; considers that a joint declaration by the Member States following each hearing would be a proper interim step until there is a required majority to address recommendations or identify the risk; insists that in all proceedings related to Article 7 TEU, Parliament should be able to present its reasoned proposal to the Council, to attend Article 7 TEU hearings and to be promptly and fully informed at every stage of the procedure;</w:t>
            </w:r>
          </w:p>
        </w:tc>
        <w:tc>
          <w:tcPr>
            <w:tcW w:w="4876" w:type="dxa"/>
            <w:tcBorders>
              <w:top w:val="nil"/>
              <w:left w:val="nil"/>
              <w:bottom w:val="nil"/>
              <w:right w:val="nil"/>
            </w:tcBorders>
          </w:tcPr>
          <w:p>
            <w:pPr>
              <w:pStyle w:val="Normal6a"/>
            </w:pPr>
            <w:r>
              <w:t>3.</w:t>
            </w:r>
            <w:r>
              <w:tab/>
            </w:r>
            <w:r>
              <w:t>Urges the Council to ensure that hearings take place at a minimum of once per presidency during ongoing Article 7 TEU procedures and also address new developments affecting the rule of law, democracy and fundamental rights; calls on the Council to publish comprehensive minutes after each hearing; emphasises that there is no need for unanimity in the Council either to identify a clear risk of a serious breach of Union values under Article 7(1), or to address concrete recommendations to the Member States in question and provide deadlines for the implementation of those recommendations; calls on the Council to issue recommendations to Hungary as soon as possible in order to remedy the issues noted in Parliament’s resolutions, asking the Hungarian authorities to implement all the judgments and recommendations given; considers that a joint declaration by the Member States following each hearing would be a proper interim step until there is a required majority to address recommendations or identify the risk; insists that in all proceedings related to Article 7 TEU, Parliament should be able to present its reasoned proposal to the Council, to attend Article 7 TEU hearings and to be promptly and fully informed at every stage of the procedure;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Krzysztof Śmiszek, Marina Kaljurand, Sophie Wilmès, Andreas Schieder, Birgit Sippel, Matjaž Nemec, Csaba Molnár, Klára Dobrev, Katarina Barley, René Repasi, Thijs Reuten, Marc Angel, Elisabeth Grossmann,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Deplores the inability of the Council to make meaningful progress in the ongoing Article 7(1) TEU procedure; urges the Council to ensure that hearings take place at a minimum of once per presidency during ongoing Article 7 TEU procedures and also address new developments affecting the rule of law, democracy and fundamental rights; calls on the Council to publish comprehensive minutes after each hearing; emphasises that there is no need for unanimity in the Council either to identify a clear risk of a serious breach of Union values under Article 7(1), or to address concrete recommendations to the Member States in question and provide deadlines for the implementation of those recommendations; calls on the Council to issue recommendations to </w:t>
            </w:r>
            <w:r>
              <w:rPr>
                <w:b/>
                <w:i/>
              </w:rPr>
              <w:t>Hungary</w:t>
            </w:r>
            <w:r>
              <w:t xml:space="preserve"> as soon as possible in order to remedy the issues noted in Parliament’s resolutions, asking the Hungarian authorities to implement all the judgments and recommendations given; considers that a joint declaration by the Member States following each hearing would be a proper interim step until there is a required majority to address recommendations or identify the risk; insists that in all proceedings related to Article 7 TEU, Parliament should be able to present its reasoned proposal to the Council, to attend Article 7 TEU hearings and to be promptly and fully informed at every stage of the procedure;</w:t>
            </w:r>
          </w:p>
        </w:tc>
        <w:tc>
          <w:tcPr>
            <w:tcW w:w="4876" w:type="dxa"/>
            <w:tcBorders>
              <w:top w:val="nil"/>
              <w:left w:val="nil"/>
              <w:bottom w:val="nil"/>
              <w:right w:val="nil"/>
            </w:tcBorders>
          </w:tcPr>
          <w:p>
            <w:pPr>
              <w:pStyle w:val="Normal6a"/>
            </w:pPr>
            <w:r>
              <w:t>3.</w:t>
            </w:r>
            <w:r>
              <w:tab/>
            </w:r>
            <w:r>
              <w:t xml:space="preserve">Deplores the inability of the Council to make meaningful progress in the ongoing Article 7(1) TEU procedure; urges the Council to ensure that hearings take place at a minimum of once per presidency during ongoing Article 7 TEU procedures and also address new developments affecting the rule of law, democracy and fundamental rights; calls on the Council to publish comprehensive minutes after each hearing; emphasises that there is no need for unanimity in the Council either to identify a clear risk of a serious breach of Union values under Article 7(1), or to address concrete recommendations to the Member States in question and provide deadlines for the implementation of those recommendations; calls on the Council to issue recommendations to </w:t>
            </w:r>
            <w:r>
              <w:rPr>
                <w:b/>
                <w:i/>
              </w:rPr>
              <w:t>the Hungarian government</w:t>
            </w:r>
            <w:r>
              <w:t xml:space="preserve"> as soon as possible in order to remedy the issues noted in Parliament’s resolutions, asking the Hungarian authorities to implement all the judgments and recommendations given; considers that a joint declaration by the Member States following each hearing would be a proper interim step until there is a required majority to address recommendations or identify the risk; insists that in all proceedings related to Article 7 TEU, Parliament should be able to present its reasoned proposal to the Council, to attend Article 7 TEU hearings and to be promptly and fully informed at every stage of the procedure;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Sophie Wilmès, Lucia Yar, Veronika Cifrová Ostrihoňová, Hilde Vautmans, Nikola Minchev, Raquel García Hermida-Van Der Walle, Fabienne Keller, Malik Azmani, Irena Joveva, Anna-Maja Henriksson, 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Believes that any further delay to the Council’s action would amount to a breach of the rule of law principle by the Council itself; calls on the Commission and the Member States to initiate the procedure under Article 7(2) TEU and on the European Council to determine whether Hungary has committed serious and persistent breaches of EU values under Article 7(2) TEU;</w:t>
            </w:r>
          </w:p>
        </w:tc>
        <w:tc>
          <w:tcPr>
            <w:tcW w:w="4876" w:type="dxa"/>
            <w:tcBorders>
              <w:top w:val="nil"/>
              <w:left w:val="nil"/>
              <w:bottom w:val="nil"/>
              <w:right w:val="nil"/>
            </w:tcBorders>
          </w:tcPr>
          <w:p>
            <w:pPr>
              <w:pStyle w:val="Normal6a"/>
            </w:pPr>
            <w:r>
              <w:t>4.</w:t>
            </w:r>
            <w:r>
              <w:tab/>
            </w:r>
            <w:r>
              <w:t xml:space="preserve">Believes that any further delay to the Council’s action would amount to a breach of the rule of law principle by the Council itself; calls on the Commission and the Member States to initiate the procedure under Article 7(2) TEU and on the European Council to determine whether Hungary has committed serious and persistent breaches of EU values under Article 7(2) TEU </w:t>
            </w:r>
            <w:r>
              <w:rPr>
                <w:b/>
                <w:i/>
              </w:rPr>
              <w:t>and to call on the Council and the Commission to consider the adoption of proportionate and gradual measures, which may, where appropriate, involve the suspension of certain rights, including voting rights, while leaving it to the Council to determine the exact scope of such measures in order to ensure compliance with EU law and values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Tineke Strik,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Believes that any further delay to the Council’s action would amount to a breach of the rule of law principle by the Council itself; calls on the Commission and the Member States to initiate the procedure under Article 7(2) TEU and on the European Council to determine whether Hungary has committed serious and persistent breaches of EU values under Article 7(2) TEU;</w:t>
            </w:r>
          </w:p>
        </w:tc>
        <w:tc>
          <w:tcPr>
            <w:tcW w:w="4876" w:type="dxa"/>
            <w:tcBorders>
              <w:top w:val="nil"/>
              <w:left w:val="nil"/>
              <w:bottom w:val="nil"/>
              <w:right w:val="nil"/>
            </w:tcBorders>
          </w:tcPr>
          <w:p>
            <w:pPr>
              <w:pStyle w:val="Normal6a"/>
            </w:pPr>
            <w:r>
              <w:t>4.</w:t>
            </w:r>
            <w:r>
              <w:tab/>
            </w:r>
            <w:r>
              <w:t xml:space="preserve">Believes that any further delay to the Council’s action would amount to a breach of the rule of law principle by the Council itself; calls on the Commission and the Member States to initiate the procedure under Article 7(2) TEU and on the European Council to determine whether Hungary has committed serious and persistent breaches of EU values under Article 7(2) TEU; </w:t>
            </w:r>
            <w:r>
              <w:rPr>
                <w:b/>
                <w:i/>
              </w:rPr>
              <w:t>underlines that after such determination the Council may decide to suspend certain of the rights deriving from the application of the Treaties, including the voting rights of the representative of the government in the Council;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Believes that any further delay to the Council’s action would amount to a breach of the rule of law principle by the Council itself; </w:t>
            </w:r>
            <w:r>
              <w:rPr>
                <w:b/>
                <w:i/>
              </w:rPr>
              <w:t>calls on the Commission and the Member States to initiate the procedure under Article 7(2) TEU and on the European Council to determine whether Hungary has committed serious and persistent breaches of EU values under Article 7(2) TEU;</w:t>
            </w:r>
          </w:p>
        </w:tc>
        <w:tc>
          <w:tcPr>
            <w:tcW w:w="4876" w:type="dxa"/>
            <w:tcBorders>
              <w:top w:val="nil"/>
              <w:left w:val="nil"/>
              <w:bottom w:val="nil"/>
              <w:right w:val="nil"/>
            </w:tcBorders>
          </w:tcPr>
          <w:p>
            <w:pPr>
              <w:pStyle w:val="Normal6a"/>
            </w:pPr>
            <w:r>
              <w:t>4.</w:t>
            </w:r>
            <w:r>
              <w:tab/>
            </w:r>
            <w:r>
              <w:t>Believes that any further delay to the Council’s action would amount to a breach of the rule of law principle by the Council itself;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Believes that any further delay to the Council’s action would amount to a breach of the rule of law principle by the Council itself;</w:t>
            </w:r>
            <w:r>
              <w:t xml:space="preserve"> calls on the Commission and the Member States to initiate the procedure under Article 7(2) TEU and on the European Council to determine whether Hungary has committed serious and persistent breaches of EU values under Article 7(2) TEU;</w:t>
            </w:r>
          </w:p>
        </w:tc>
        <w:tc>
          <w:tcPr>
            <w:tcW w:w="4876" w:type="dxa"/>
            <w:tcBorders>
              <w:top w:val="nil"/>
              <w:left w:val="nil"/>
              <w:bottom w:val="nil"/>
              <w:right w:val="nil"/>
            </w:tcBorders>
          </w:tcPr>
          <w:p>
            <w:pPr>
              <w:pStyle w:val="Normal6a"/>
            </w:pPr>
            <w:r>
              <w:t>4.</w:t>
            </w:r>
            <w:r>
              <w:tab/>
            </w:r>
            <w:r>
              <w:t>Calls on the Commission and the Member States to initiate the procedure under Article 7(2) TEU and on the European Council to determine whether Hungary has committed serious and persistent breaches of EU values under Article 7(2)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Believes that any further delay to the Council’s action would amount to a breach of the rule of law principle by the Council itself;</w:t>
            </w:r>
            <w:r>
              <w:t xml:space="preserve"> calls on the Commission and the Member States to initiate the procedure under Article 7(2) TEU and on the European Council to determine whether Hungary has committed serious and persistent breaches of EU values under Article 7(2) TEU;</w:t>
            </w:r>
          </w:p>
        </w:tc>
        <w:tc>
          <w:tcPr>
            <w:tcW w:w="4876" w:type="dxa"/>
            <w:tcBorders>
              <w:top w:val="nil"/>
              <w:left w:val="nil"/>
              <w:bottom w:val="nil"/>
              <w:right w:val="nil"/>
            </w:tcBorders>
          </w:tcPr>
          <w:p>
            <w:pPr>
              <w:pStyle w:val="Normal6a"/>
            </w:pPr>
            <w:r>
              <w:t>4.</w:t>
            </w:r>
            <w:r>
              <w:tab/>
            </w:r>
            <w:r>
              <w:t>Calls on the Commission and the Member States to initiate the procedure under Article 7(2) TEU and on the European Council to determine whether Hungary has committed serious and persistent breaches of EU values under Article 7(2) TEU;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Krzysztof Śmiszek, Marina Kaljurand, Andreas Schieder, Birgit Sippel, Matjaž Nemec, Katarina Barley, René Repasi, Thijs Reuten, Marc Angel, Elisabeth Grossmann,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Believes that any further delay to the Council’s action would amount to a breach of the rule of law principle by the Council itself; calls on the Commission and the Member States to initiate the procedure under Article 7(2) TEU and on the European Council to determine </w:t>
            </w:r>
            <w:r>
              <w:rPr>
                <w:b/>
                <w:i/>
              </w:rPr>
              <w:t>whether</w:t>
            </w:r>
            <w:r>
              <w:t xml:space="preserve"> Hungary has committed serious and persistent breaches of EU values under Article 7(2) TEU;</w:t>
            </w:r>
          </w:p>
        </w:tc>
        <w:tc>
          <w:tcPr>
            <w:tcW w:w="4876" w:type="dxa"/>
            <w:tcBorders>
              <w:top w:val="nil"/>
              <w:left w:val="nil"/>
              <w:bottom w:val="nil"/>
              <w:right w:val="nil"/>
            </w:tcBorders>
          </w:tcPr>
          <w:p>
            <w:pPr>
              <w:pStyle w:val="Normal6a"/>
            </w:pPr>
            <w:r>
              <w:t>4.</w:t>
            </w:r>
            <w:r>
              <w:tab/>
            </w:r>
            <w:r>
              <w:t xml:space="preserve">Believes that any further delay to the Council’s action would amount to a breach of the rule of law principle by the Council itself; calls on the Commission and the Member States to initiate the procedure under Article 7(2) TEU and on the European Council to determine </w:t>
            </w:r>
            <w:r>
              <w:rPr>
                <w:b/>
                <w:i/>
              </w:rPr>
              <w:t>that</w:t>
            </w:r>
            <w:r>
              <w:t xml:space="preserve"> Hungary has committed serious and persistent breaches of EU values under Article 7(2)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Sophie Wilmès, Lucia Yar, Veronika Cifrová Ostrihoňová, Hilde Vautmans, Nikola Minchev, Raquel García Hermida-Van Der Walle, Fabienne Keller, Malik Azmani, Irena Joveva, Anna-Maja Henriksson, Michał Wawrykiewicz,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Calls on the Council and the Commission to devote more attention to tackling the systemic and deliberate dismantling of the rule of law, as well as to the interplay between the various breaches of values identified in its resolutions; stresses that the EU should defend all of the values enshrined in Article 2 TEU with equal determination, and that failure to do so undermines democratic institutions and ultimately affects the human rights and lives of everyone in countries where those values are being violated; recalls </w:t>
            </w:r>
            <w:r>
              <w:rPr>
                <w:b/>
                <w:i/>
              </w:rPr>
              <w:t>the importance of</w:t>
            </w:r>
            <w:r>
              <w:t xml:space="preserve"> the primacy of EU law and condemns undermining it, including by not abiding by the case-law of the CJEU or questioning it by using the Uniformity Chamber of the Kúria; underlines that Hungary has a legal obligation to comply with all judgments of the CJEU and ECtHR without exception, and that the failure to do so is a grave breach of the rule of law;</w:t>
            </w:r>
          </w:p>
        </w:tc>
        <w:tc>
          <w:tcPr>
            <w:tcW w:w="4876" w:type="dxa"/>
            <w:tcBorders>
              <w:top w:val="nil"/>
              <w:left w:val="nil"/>
              <w:bottom w:val="nil"/>
              <w:right w:val="nil"/>
            </w:tcBorders>
          </w:tcPr>
          <w:p>
            <w:pPr>
              <w:pStyle w:val="Normal6a"/>
            </w:pPr>
            <w:r>
              <w:t>5.</w:t>
            </w:r>
            <w:r>
              <w:tab/>
            </w:r>
            <w:r>
              <w:t xml:space="preserve">Calls on the Council and the Commission to devote more attention to tackling the systemic and deliberate dismantling of the rule of law, as well as to the interplay between the various breaches of values identified in its resolutions; stresses that the EU should defend all of the values enshrined in Article 2 TEU with equal determination, and that failure to do so undermines democratic institutions and ultimately affects the human rights and lives of everyone in countries where those values are being violated </w:t>
            </w:r>
            <w:r>
              <w:rPr>
                <w:b/>
                <w:i/>
              </w:rPr>
              <w:t>; underlines furthermore that attacks on the rule of law and citizens’ rights in one Member State inevitably weaken the rule of law across the Union as a whole, given that membership is based on mutual trust and shared obligations</w:t>
            </w:r>
            <w:r>
              <w:t xml:space="preserve">; recalls </w:t>
            </w:r>
            <w:r>
              <w:rPr>
                <w:b/>
                <w:i/>
              </w:rPr>
              <w:t>that</w:t>
            </w:r>
            <w:r>
              <w:t xml:space="preserve"> the primacy of EU law </w:t>
            </w:r>
            <w:r>
              <w:rPr>
                <w:b/>
                <w:i/>
              </w:rPr>
              <w:t>constitutes a cornerstone of the Union’s legal order and a binding obligation for all Member State</w:t>
            </w:r>
            <w:r>
              <w:t xml:space="preserve"> and condemns </w:t>
            </w:r>
            <w:r>
              <w:rPr>
                <w:b/>
                <w:i/>
              </w:rPr>
              <w:t>any attempt</w:t>
            </w:r>
            <w:r>
              <w:t xml:space="preserve"> undermining it, including by not abiding by the case-law of the CJEU or questioning it by using the Uniformity Chamber of the Kúria; underlines that Hungary has a legal obligation to comply with all judgments of the CJEU and ECtHR without exception, and that the failure to do so is a grave breach of the rule of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Calls on the Council and the Commission to devote more attention to tackling the systemic and deliberate dismantling of the rule of law, as well as to the interplay between the various breaches of values identified in its resolutions; stresses that the EU should defend all of the values enshrined in Article 2 TEU with equal determination, and that failure to do so undermines democratic institutions and ultimately affects the human rights and lives of everyone in countries where those values are being violated; recalls the importance of the primacy of EU law and condemns undermining it, including by not abiding by the case-law of the CJEU or questioning it by using the Uniformity Chamber of the Kúria; </w:t>
            </w:r>
            <w:r>
              <w:rPr>
                <w:b/>
                <w:i/>
              </w:rPr>
              <w:t>underlines that Hungary has a legal obligation to comply with all judgments of the CJEU and ECtHR without exception, and that the failure to do so is a grave breach of the rule of law;</w:t>
            </w:r>
          </w:p>
        </w:tc>
        <w:tc>
          <w:tcPr>
            <w:tcW w:w="4876" w:type="dxa"/>
            <w:tcBorders>
              <w:top w:val="nil"/>
              <w:left w:val="nil"/>
              <w:bottom w:val="nil"/>
              <w:right w:val="nil"/>
            </w:tcBorders>
          </w:tcPr>
          <w:p>
            <w:pPr>
              <w:pStyle w:val="Normal6a"/>
            </w:pPr>
            <w:r>
              <w:t>5.</w:t>
            </w:r>
            <w:r>
              <w:tab/>
            </w:r>
            <w:r>
              <w:t>Calls on the Council and the Commission to devote more attention to tackling the systemic and deliberate dismantling of the rule of law, as well as to the interplay between the various breaches of values identified in its resolutions; stresses that the EU should defend all of the values enshrined in Article 2 TEU with equal determination, and that failure to do so undermines democratic institutions and ultimately affects the human rights and lives of everyone in countries where those values are being violated; recalls the importance of the primacy of EU law and condemns undermining it, including by not abiding by the case-law of the CJEU or questioning it by using the Uniformity Chamber of the Kúria;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Condemns the practice whereby the Uniformity Chamber of the Kúria reviews and interprets CJEU judgments before they are applied by the referring court, thereby delaying or conditioning the direct effect of Union law; stresses that such a procedure is contrary to the Simmenthal doctrine and to Article 267 TFEU, which guarantee the autonomy of every national judge to seek guidance from the CJEU and to apply its rulings without interference; recalls that filtering the binding effect of CJEU judgments through a centralised domestic body undermines the principle of sincere cooperation under Article 4(3) TEU and erodes the effectiveness and uniform application of Union law; emphasises that this practice gravely undermines judicial independence and creates a chilling effect on judges, and that it must therefore be regarded as a systemic threat to the values enshrined in Article 2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Sophie Wilmès, Lucia Yar, Krzysztof Śmiszek, Veronika Cifrová Ostrihoňová, Hilde Vautmans, Nikola Minchev, Raquel García Hermida-Van Der Walle, Fabienne Keller, Malik Azmani, Irena Joveva, Anna-Maja Henriksson,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Reiterates its call on the Commission to make full use of the tools available to address the clear risk of a serious breach by Hungary of the values on which the EU is founded, in particular infringement procedures based on Article 2 TEU, expedited infringement procedures, applications for interim measures before the CJEU and actions regarding the non-implementation of the CJEU’s judgments;</w:t>
            </w:r>
          </w:p>
        </w:tc>
        <w:tc>
          <w:tcPr>
            <w:tcW w:w="4876" w:type="dxa"/>
            <w:tcBorders>
              <w:top w:val="nil"/>
              <w:left w:val="nil"/>
              <w:bottom w:val="nil"/>
              <w:right w:val="nil"/>
            </w:tcBorders>
          </w:tcPr>
          <w:p>
            <w:pPr>
              <w:pStyle w:val="Normal6a"/>
            </w:pPr>
            <w:r>
              <w:t>6.</w:t>
            </w:r>
            <w:r>
              <w:tab/>
            </w:r>
            <w:r>
              <w:t xml:space="preserve">Reiterates its call on the Commission to make full use of the tools available to address the clear risk of a serious breach by Hungary of the values on which the EU is founded, in particular infringement procedures based on Article 2 TEU, expedited infringement procedures, applications for interim measures before the CJEU and actions regarding the non-implementation of the CJEU’s judgments; </w:t>
            </w:r>
            <w:r>
              <w:rPr>
                <w:b/>
                <w:i/>
              </w:rPr>
              <w:t>recalls in this regard the recent Opinion of the Advocate General confirming that Article 2 TEU can serve as a stand-alone legal basis for infringement proceedings, and stresses that the forthcoming judgment in the case concerning anti-LGBTQI legislation may provide a new opportunity which the Commission must seize in order to launch infringement procedures in a more systematic and robust manner;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Reiterates its call on the Commission to make full use of the tools available to address the clear risk of a serious breach by Hungary of the values on which the EU is founded</w:t>
            </w:r>
            <w:r>
              <w:rPr>
                <w:b/>
                <w:i/>
              </w:rPr>
              <w:t>, in particular infringement procedures based on Article 2 TEU, expedited infringement procedures, applications for interim measures before the CJEU and actions regarding the non-implementation of the CJEU’s judgments</w:t>
            </w:r>
            <w:r>
              <w:t>;</w:t>
            </w:r>
          </w:p>
        </w:tc>
        <w:tc>
          <w:tcPr>
            <w:tcW w:w="4876" w:type="dxa"/>
            <w:tcBorders>
              <w:top w:val="nil"/>
              <w:left w:val="nil"/>
              <w:bottom w:val="nil"/>
              <w:right w:val="nil"/>
            </w:tcBorders>
          </w:tcPr>
          <w:p>
            <w:pPr>
              <w:pStyle w:val="Normal6a"/>
            </w:pPr>
            <w:r>
              <w:t>6.</w:t>
            </w:r>
            <w:r>
              <w:tab/>
            </w:r>
            <w:r>
              <w:t>Reiterates its call on the Commission to make full use of the tools available to address the clear risk of a serious breach by Hungary of the values on which the EU is founded;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Reiterates its call on the Commission to make full use of </w:t>
            </w:r>
            <w:r>
              <w:rPr>
                <w:b/>
                <w:i/>
              </w:rPr>
              <w:t>the</w:t>
            </w:r>
            <w:r>
              <w:t xml:space="preserve"> tools </w:t>
            </w:r>
            <w:r>
              <w:rPr>
                <w:b/>
                <w:i/>
              </w:rPr>
              <w:t>available</w:t>
            </w:r>
            <w:r>
              <w:t xml:space="preserve"> to address the clear risk of a serious breach by Hungary of the values on which the EU is founded, in particular infringement procedures based on Article 2 TEU, expedited infringement procedures, applications for interim measures before the CJEU and actions regarding the non-implementation of the CJEU’s judgments;</w:t>
            </w:r>
          </w:p>
        </w:tc>
        <w:tc>
          <w:tcPr>
            <w:tcW w:w="4876" w:type="dxa"/>
            <w:tcBorders>
              <w:top w:val="nil"/>
              <w:left w:val="nil"/>
              <w:bottom w:val="nil"/>
              <w:right w:val="nil"/>
            </w:tcBorders>
          </w:tcPr>
          <w:p>
            <w:pPr>
              <w:pStyle w:val="Normal6a"/>
            </w:pPr>
            <w:r>
              <w:t>6.</w:t>
            </w:r>
            <w:r>
              <w:tab/>
            </w:r>
            <w:r>
              <w:t xml:space="preserve">Reiterates its call on the Commission to make full use of </w:t>
            </w:r>
            <w:r>
              <w:rPr>
                <w:b/>
                <w:i/>
              </w:rPr>
              <w:t>all relevant</w:t>
            </w:r>
            <w:r>
              <w:t xml:space="preserve"> tools to address the clear risk of a serious breach by Hungary of the values on which the EU is founded, in particular infringement procedures based on Article 2 TEU, expedited infringement procedures, applications for interim measures before the CJEU and actions regarding the non-implementation of the CJEU’s judgments;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Nikola Minchev, Sophie Wilmès, Veronika Cifrová Ostrihoňová, Raquel García Hermida-Van Der Walle,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Recalls that the functioning of the Union shall be founded on representative democracy, and that Member States are represented in the European Council by their Heads of State or Government and in the Council by their governments, themselves democratically accountable either to their national parliaments, or to their citizens; underlines that democracy is dependent on free and fair elections, free and independent media and safeguards for civil society; calls on the Commission and Member States, in cooperation with the Organization for Security and Co-operation in Europe, to ensure that the elections in Hungary in 2026 are properly monitored and comply with the principle of democracy, bearing in mind that Hungary is the only Member State subject both to the Article 7(1) TEU procedure and the full monitoring procedure of the Parliamentary Assembly of the Council of Europe;</w:t>
            </w:r>
          </w:p>
        </w:tc>
        <w:tc>
          <w:tcPr>
            <w:tcW w:w="4876" w:type="dxa"/>
            <w:tcBorders>
              <w:top w:val="nil"/>
              <w:left w:val="nil"/>
              <w:bottom w:val="nil"/>
              <w:right w:val="nil"/>
            </w:tcBorders>
          </w:tcPr>
          <w:p>
            <w:pPr>
              <w:pStyle w:val="Normal6a"/>
            </w:pPr>
            <w:r>
              <w:t>7.</w:t>
            </w:r>
            <w:r>
              <w:tab/>
            </w:r>
            <w:r>
              <w:t xml:space="preserve">Recalls that the functioning of the Union shall be founded on representative democracy, and that Member States are represented in the European Council by their Heads of State or Government and in the Council by their governments, themselves democratically accountable either to their national parliaments, or to their citizens; underlines that democracy is dependent on free and fair elections, free and independent media and safeguards for civil society; calls on the Commission and Member States, in cooperation with the Organization for Security and Co-operation in Europe, to ensure that the elections in Hungary in 2026 are properly monitored and comply with the principle of democracy, bearing in mind that Hungary is the only Member State subject both to the Article 7(1) TEU procedure and the full monitoring procedure of the Parliamentary Assembly of the Council of Europe; </w:t>
            </w:r>
            <w:r>
              <w:rPr>
                <w:b/>
                <w:i/>
              </w:rPr>
              <w:t>calls on the Commission to pay particular attention, in its monitoring and reporting activities, to the link between corruption and electoral integrity, including practices whereby economic dependency or clientelistic networks distort free choice; stresses the need to assess and address such risks in Hungary, and to develop EU-level reflection on how to strengthen safeguards against similar patterns across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Recalls that the functioning of the Union shall be founded on representative democracy, and </w:t>
            </w:r>
            <w:r>
              <w:rPr>
                <w:b/>
                <w:i/>
              </w:rPr>
              <w:t>that</w:t>
            </w:r>
            <w:r>
              <w:t xml:space="preserve"> Member States are represented in the European Council by their Heads of State or Government and in the Council by their governments, themselves democratically accountable either to their national parliaments, or to their citizens; underlines that democracy is dependent on free and fair elections, free and independent media and safeguards for civil society; calls on the Commission and Member States, in cooperation with the Organization for Security and Co-operation in Europe, to ensure that the elections in Hungary in 2026 are properly monitored and comply with the principle of democracy, bearing in mind that Hungary is the only Member State subject both to the Article 7(1) TEU procedure and the full monitoring procedure of the Parliamentary Assembly of the Council of Europe;</w:t>
            </w:r>
          </w:p>
        </w:tc>
        <w:tc>
          <w:tcPr>
            <w:tcW w:w="4876" w:type="dxa"/>
            <w:tcBorders>
              <w:top w:val="nil"/>
              <w:left w:val="nil"/>
              <w:bottom w:val="nil"/>
              <w:right w:val="nil"/>
            </w:tcBorders>
          </w:tcPr>
          <w:p>
            <w:pPr>
              <w:pStyle w:val="Normal6a"/>
            </w:pPr>
            <w:r>
              <w:t>7.</w:t>
            </w:r>
            <w:r>
              <w:tab/>
            </w:r>
            <w:r>
              <w:t xml:space="preserve">Recalls that the functioning of the Union shall be founded on representative democracy, and Member States are represented in the European Council by their Heads of State or Government and in the Council by their governments, themselves democratically accountable either to their national Parliaments, or to their citizens; underlines that democracy is dependent on free and fair elections, free and independent media and safeguards for civil society; calls on the Commission and Member States, in cooperation with the Organization for Security and Co-operation in Europe, to ensure that the elections in Hungary in 2026 are </w:t>
            </w:r>
            <w:r>
              <w:rPr>
                <w:b/>
                <w:i/>
              </w:rPr>
              <w:t>free and fair, are</w:t>
            </w:r>
            <w:r>
              <w:t xml:space="preserve"> properly monitored and </w:t>
            </w:r>
            <w:r>
              <w:rPr>
                <w:b/>
                <w:i/>
              </w:rPr>
              <w:t>fully</w:t>
            </w:r>
            <w:r>
              <w:t xml:space="preserve"> comply with the principle of democracy, bearing in mind that Hungary is the only Member State subject both to the Article 7(1) TEU procedure and the full monitoring procedure of the Parliamentary Assembly of the Council of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Recalls that the functioning of the Union shall be founded on representative democracy, and that Member States are represented in the European Council by their Heads of State or Government and in the Council by their governments, themselves democratically accountable either to their national parliaments, or to their citizens; underlines that democracy is dependent on free and fair elections, free and independent media and safeguards for civil society; calls on the Commission and Member States, in cooperation with the Organization for Security and Co-operation in Europe, to ensure that the elections in Hungary in 2026 are properly monitored and comply with the principle of democracy, bearing in mind that Hungary is the only Member State subject both to the Article 7(1) TEU procedure and the full monitoring procedure of the Parliamentary Assembly of the Council of Europe;</w:t>
            </w:r>
          </w:p>
        </w:tc>
        <w:tc>
          <w:tcPr>
            <w:tcW w:w="4876" w:type="dxa"/>
            <w:tcBorders>
              <w:top w:val="nil"/>
              <w:left w:val="nil"/>
              <w:bottom w:val="nil"/>
              <w:right w:val="nil"/>
            </w:tcBorders>
          </w:tcPr>
          <w:p>
            <w:pPr>
              <w:pStyle w:val="Normal6a"/>
            </w:pPr>
            <w:r>
              <w:t>7.</w:t>
            </w:r>
            <w:r>
              <w:tab/>
            </w:r>
            <w:r>
              <w:t>Recalls that the functioning of the Union shall be founded on representative democracy, and that Member States are represented in the European Council by their Heads of State or Government and in the Council by their governments, themselves democratically accountable either to their national parliaments, or to their citizens; underlines that democracy is dependent on free and fair elections</w:t>
            </w:r>
            <w:r>
              <w:rPr>
                <w:b/>
                <w:i/>
              </w:rPr>
              <w:t>, freedom of expression</w:t>
            </w:r>
            <w:r>
              <w:t>, free and independent media and safeguards for civil society; calls on the Commission and Member States, in cooperation with the Organization for Security and Co-operation in Europe, to ensure that the elections in Hungary in 2026 are properly monitored and comply with the principle of democracy, bearing in mind that Hungary is the only Member State subject both to the Article 7(1) TEU procedure and the full monitoring procedure of the Parliamentary Assembly of the Council of Europe;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Sophie Wilmès, Lucia Yar, Veronika Cifrová Ostrihoňová, Hilde Vautmans, Nikola Minchev, Raquel García Hermida-Van Der Walle, Fabienne Keller, Malik Azmani, Irena Joveva, Anna-Maja Henriksson, Michał Wawrykiewicz,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Recalls the importance of the Rule of Law Conditionality Regulation and welcomes Commission Decision C(2023)8999 of 13 December 2023</w:t>
            </w:r>
            <w:r>
              <w:rPr>
                <w:vertAlign w:val="superscript"/>
              </w:rPr>
              <w:t>14</w:t>
            </w:r>
            <w:r>
              <w:t xml:space="preserve"> confirming that the risk to the Union budget has remained unchanged since December 2022, thus prolonging the measures adopted under the regulation in relation to the risk of corruption; calls on the Commission to take immediate action under the regulation as regards other breaches of the rule of law, such as those related to the judiciary, and bearing in mind the deteriorating anti-corruption situation, such as the obstacles facing the Integrity Authority;</w:t>
            </w:r>
          </w:p>
        </w:tc>
        <w:tc>
          <w:tcPr>
            <w:tcW w:w="4876" w:type="dxa"/>
            <w:tcBorders>
              <w:top w:val="nil"/>
              <w:left w:val="nil"/>
              <w:bottom w:val="nil"/>
              <w:right w:val="nil"/>
            </w:tcBorders>
          </w:tcPr>
          <w:p>
            <w:pPr>
              <w:pStyle w:val="Normal6a"/>
            </w:pPr>
            <w:r>
              <w:t>8.</w:t>
            </w:r>
            <w:r>
              <w:tab/>
            </w:r>
            <w:r>
              <w:t>Recalls the importance of the Rule of Law Conditionality Regulation and welcomes Commission Decision C(2023)8999 of 13 December 2023</w:t>
            </w:r>
            <w:r>
              <w:rPr>
                <w:vertAlign w:val="superscript"/>
              </w:rPr>
              <w:t>14</w:t>
            </w:r>
            <w:r>
              <w:t xml:space="preserve"> confirming that the risk to the Union budget has remained unchanged since December 2022, thus prolonging the measures adopted under the regulation in relation to the risk of corruption; calls on the Commission to take immediate action under the regulation as regards other breaches of the rule of law, such as those related to the judiciary, and bearing in mind the deteriorating anti-corruption situation, such as the </w:t>
            </w:r>
            <w:r>
              <w:rPr>
                <w:b/>
                <w:i/>
              </w:rPr>
              <w:t>persistant</w:t>
            </w:r>
            <w:r>
              <w:t xml:space="preserve"> obstacles facing the Integrity Authority </w:t>
            </w:r>
            <w:r>
              <w:rPr>
                <w:b/>
                <w:i/>
              </w:rPr>
              <w:t>to operate effectively and independently, including limitations on its mandate, resources and ability to follow up on cases</w:t>
            </w:r>
            <w:r>
              <w:t xml:space="preserve">; </w:t>
            </w:r>
            <w:r>
              <w:rPr>
                <w:b/>
                <w:i/>
              </w:rPr>
              <w:t>recalls, however, that such measures must not affect final beneficiaries, who continue to play a crucial role in upholding Union objectives on the ground, and stresses the need for robust safeguards to ensure that they can access EU funds directly despite government-level restrictions; and suggest, in light of further deterioration, proportionate measures affecting parts or, where duly justified, the entirety of budgetary commitments and payments to Hungary, calibrated to the nature, gravity and persistence of the breaches identified, while ensuring safeguards to protect final beneficiaries;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Commission Decision of 13 December 2023 on the reassessment, on the Commission’s initiative, of the fulfilment of the conditions under Article 4 of Regulation (EU, Euratom) 2020/2092 following Council Implementing Decision (EU) 2022/2506 of 15 December 2022 regarding Hungary, (C(2023)8999).</w:t>
            </w:r>
          </w:p>
        </w:tc>
        <w:tc>
          <w:tcPr>
            <w:tcW w:w="4876" w:type="dxa"/>
            <w:tcBorders>
              <w:top w:val="nil"/>
              <w:left w:val="nil"/>
              <w:bottom w:val="nil"/>
              <w:right w:val="nil"/>
            </w:tcBorders>
          </w:tcPr>
          <w:p>
            <w:pPr>
              <w:pStyle w:val="Normal6a"/>
            </w:pPr>
            <w:r>
              <w:rPr>
                <w:vertAlign w:val="superscript"/>
              </w:rPr>
              <w:t>14</w:t>
            </w:r>
            <w:r>
              <w:t xml:space="preserve"> </w:t>
            </w:r>
            <w:r>
              <w:t>Commission Decision of 13 December 2023 on the reassessment, on the Commission’s initiative, of the fulfilment of the conditions under Article 4 of Regulation (EU, Euratom) 2020/2092 following Council Implementing Decision (EU) 2022/2506 of 15 December 2022 regarding Hungary, (C(2023)8999).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Tineke Strik, Krzysztof Śmiszek,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Recalls the importance of the Rule of Law Conditionality Regulation and welcomes Commission Decision C(2023)8999 of 13 December 2023</w:t>
            </w:r>
            <w:r>
              <w:rPr>
                <w:vertAlign w:val="superscript"/>
              </w:rPr>
              <w:t>14</w:t>
            </w:r>
            <w:r>
              <w:t xml:space="preserve"> confirming that the risk to the Union budget has remained unchanged since December 2022, thus prolonging the measures adopted under the regulation in relation to the risk of corruption; calls on the Commission to take immediate action under the regulation as regards other breaches of the rule of law, such as those related to the judiciary, and bearing in mind the deteriorating anti-corruption situation, such as the obstacles facing the Integrity Authority;</w:t>
            </w:r>
          </w:p>
        </w:tc>
        <w:tc>
          <w:tcPr>
            <w:tcW w:w="4876" w:type="dxa"/>
            <w:tcBorders>
              <w:top w:val="nil"/>
              <w:left w:val="nil"/>
              <w:bottom w:val="nil"/>
              <w:right w:val="nil"/>
            </w:tcBorders>
          </w:tcPr>
          <w:p>
            <w:pPr>
              <w:pStyle w:val="Normal6a"/>
            </w:pPr>
            <w:r>
              <w:t>8.</w:t>
            </w:r>
            <w:r>
              <w:tab/>
            </w:r>
            <w:r>
              <w:t>Recalls the importance of the Rule of Law Conditionality Regulation and welcomes Commission Decision C(2023)8999 of 13 December 2023</w:t>
            </w:r>
            <w:r>
              <w:rPr>
                <w:vertAlign w:val="superscript"/>
              </w:rPr>
              <w:t>14</w:t>
            </w:r>
            <w:r>
              <w:t xml:space="preserve"> confirming that the risk to the Union budget has remained unchanged since December 2022, thus prolonging the measures adopted under the regulation in relation to the risk of corruption; calls on the Commission to take immediate action under the regulation as regards other breaches of the rule of law, such as those related to the judiciary, and bearing in mind the deteriorating anti-corruption situation, such as the obstacles facing the Integrity Authority</w:t>
            </w:r>
            <w:r>
              <w:rPr>
                <w:b/>
                <w:i/>
              </w:rPr>
              <w:t>, and to suggest, in light of further deterioration, measures covering 100% of budgetary commitments and payments to Hungary</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Commission Decision of 13 December 2023 on the reassessment, on the Commission’s initiative, of the fulfilment of the conditions under Article 4 of Regulation (EU, Euratom) 2020/2092 following Council Implementing Decision (EU) 2022/2506 of 15 December 2022 regarding Hungary, (C(2023)8999).</w:t>
            </w:r>
          </w:p>
        </w:tc>
        <w:tc>
          <w:tcPr>
            <w:tcW w:w="4876" w:type="dxa"/>
            <w:tcBorders>
              <w:top w:val="nil"/>
              <w:left w:val="nil"/>
              <w:bottom w:val="nil"/>
              <w:right w:val="nil"/>
            </w:tcBorders>
          </w:tcPr>
          <w:p>
            <w:pPr>
              <w:pStyle w:val="Normal6a"/>
            </w:pPr>
            <w:r>
              <w:rPr>
                <w:vertAlign w:val="superscript"/>
              </w:rPr>
              <w:t>14</w:t>
            </w:r>
            <w:r>
              <w:t xml:space="preserve"> </w:t>
            </w:r>
            <w:r>
              <w:t>Commission Decision of 13 December 2023 on the reassessment, on the Commission’s initiative, of the fulfilment of the conditions under Article 4 of Regulation (EU, Euratom) 2020/2092 following Council Implementing Decision (EU) 2022/2506 of 15 December 2022 regarding Hungary, (C(2023)8999).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Stresses that the recently published 2025 Spring Eurobarometer survey shows overwhelming public support for linking the provision of EU funds to compliance with the rule of law and democratic principles, with 85 % of European citizens and 82 % of Hungarian citizens in favour of this approach; underlines that, as the direct representative of Union citizens, Parliament should take this clear demand into account and stand firmly in defence of conditionalities as an essential tool to protect the Union budget and safeguard the values enshrined in Article 2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Sophie Wilmès, Lucia Yar, Veronika Cifrová Ostrihoňová, Hilde Vautmans, Nikola Minchev, Raquel García Hermida-Van Der Walle, Fabienne Keller, Malik Azmani, Irena Joveva, Anna-Maja Henriksson, Michał Wawrykiewicz,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Reiterates its serious concerns about the decision, considering that the horizontal enabling condition of the Charter had been fulfilled in relation to judicial independence; recalls its application with a view to reviewing the legality of Commission Decision C(2023)9014</w:t>
            </w:r>
            <w:r>
              <w:rPr>
                <w:vertAlign w:val="superscript"/>
              </w:rPr>
              <w:t>15</w:t>
            </w:r>
            <w:r>
              <w:t xml:space="preserve"> before the CJEU (Case C-225/24); calls on the Commission to freeze the funds until all of the relevant legislation has been fully implemented, the adopted measures have proven their effectiveness in practice and Hungary has implemented all of the </w:t>
            </w:r>
            <w:r>
              <w:rPr>
                <w:b/>
                <w:i/>
              </w:rPr>
              <w:t>relevant</w:t>
            </w:r>
            <w:r>
              <w:t xml:space="preserve"> judgments of the CJEU and ECtHR;</w:t>
            </w:r>
          </w:p>
        </w:tc>
        <w:tc>
          <w:tcPr>
            <w:tcW w:w="4876" w:type="dxa"/>
            <w:tcBorders>
              <w:top w:val="nil"/>
              <w:left w:val="nil"/>
              <w:bottom w:val="nil"/>
              <w:right w:val="nil"/>
            </w:tcBorders>
          </w:tcPr>
          <w:p>
            <w:pPr>
              <w:pStyle w:val="Normal6a"/>
            </w:pPr>
            <w:r>
              <w:t>9.</w:t>
            </w:r>
            <w:r>
              <w:tab/>
            </w:r>
            <w:r>
              <w:t>Reiterates its serious concerns about the decision, considering that the horizontal enabling condition of the Charter had been fulfilled in relation to judicial independence; recalls its application with a view to reviewing the legality of Commission Decision C(2023)9014</w:t>
            </w:r>
            <w:r>
              <w:rPr>
                <w:vertAlign w:val="superscript"/>
              </w:rPr>
              <w:t>15</w:t>
            </w:r>
            <w:r>
              <w:t xml:space="preserve"> before the CJEU (Case C-225/24); </w:t>
            </w:r>
            <w:r>
              <w:rPr>
                <w:b/>
                <w:i/>
              </w:rPr>
              <w:t>stresses, moreover, the paradox of releasing cohesion policy funds on the basis of judicial independence precisely where judicial independence remains in question ;</w:t>
            </w:r>
            <w:r>
              <w:t xml:space="preserve"> calls on the Commission to freeze the funds until all of the relevant legislation has been fully implemented, the adopted measures have proven their effectiveness in practice and Hungary has implemented all of the judgments of the CJEU and ECtHR; </w:t>
            </w:r>
            <w:r>
              <w:rPr>
                <w:b/>
                <w:i/>
              </w:rPr>
              <w:t>notes with deep concern that, according to the Non-implementation of European Courts Judgments and the Rule of Law - 2024 Edition, Hungary remains the worst performer among Council of Europe Member States, with 76% of leading ECtHR judgments delivered in the last ten years still awaiting implementation, which demonstrates a systemic failure to comply with the rule of law;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Commission Implementing Decision of 13 December 2023 on the approval and signature of the Commission assessment, in accordance with Article 15(4) of Regulation (EU) 2021/1060, of the fulfilment of the horizontal enabling condition ‘3, (C(2023)9014).</w:t>
            </w:r>
          </w:p>
        </w:tc>
        <w:tc>
          <w:tcPr>
            <w:tcW w:w="4876" w:type="dxa"/>
            <w:tcBorders>
              <w:top w:val="nil"/>
              <w:left w:val="nil"/>
              <w:bottom w:val="nil"/>
              <w:right w:val="nil"/>
            </w:tcBorders>
          </w:tcPr>
          <w:p>
            <w:pPr>
              <w:pStyle w:val="Normal6a"/>
            </w:pPr>
            <w:r>
              <w:rPr>
                <w:vertAlign w:val="superscript"/>
              </w:rPr>
              <w:t>15</w:t>
            </w:r>
            <w:r>
              <w:t xml:space="preserve"> </w:t>
            </w:r>
            <w:r>
              <w:t>Commission Implementing Decision of 13 December 2023 on the approval and signature of the Commission assessment, in accordance with Article 15(4) of Regulation (EU) 2021/1060, of the fulfilment of the horizontal enabling condition ‘3, (C(2023)9014).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Reiterates its serious concerns about the decision, considering that the horizontal enabling condition of the Charter had been fulfilled in relation to judicial independence; recalls its application with a view to reviewing the legality of Commission Decision C(2023)9014</w:t>
            </w:r>
            <w:r>
              <w:rPr>
                <w:vertAlign w:val="superscript"/>
              </w:rPr>
              <w:t>15</w:t>
            </w:r>
            <w:r>
              <w:t xml:space="preserve"> before the CJEU (Case C-225/24); </w:t>
            </w:r>
            <w:r>
              <w:rPr>
                <w:b/>
                <w:i/>
              </w:rPr>
              <w:t>calls on the Commission to freeze the funds until all of the relevant legislation has been fully implemented, the adopted measures have proven their effectiveness in practice and Hungary has implemented all of the relevant judgments of the CJEU and ECtHR;</w:t>
            </w:r>
          </w:p>
        </w:tc>
        <w:tc>
          <w:tcPr>
            <w:tcW w:w="4876" w:type="dxa"/>
            <w:tcBorders>
              <w:top w:val="nil"/>
              <w:left w:val="nil"/>
              <w:bottom w:val="nil"/>
              <w:right w:val="nil"/>
            </w:tcBorders>
          </w:tcPr>
          <w:p>
            <w:pPr>
              <w:pStyle w:val="Normal6a"/>
            </w:pPr>
            <w:r>
              <w:t>9.</w:t>
            </w:r>
            <w:r>
              <w:tab/>
            </w:r>
            <w:r>
              <w:t>Reiterates its serious concerns about the decision, considering that the horizontal enabling condition of the Charter had been fulfilled in relation to judicial independence; recalls its application with a view to reviewing the legality of Commission Decision C(2023)9014</w:t>
            </w:r>
            <w:r>
              <w:rPr>
                <w:vertAlign w:val="superscript"/>
              </w:rPr>
              <w:t>15</w:t>
            </w:r>
            <w:r>
              <w:t xml:space="preserve"> before the CJEU (Case C-225/24);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Commission Implementing Decision of 13 December 2023 on the approval and signature of the Commission assessment, in accordance with Article 15(4) of Regulation (EU) 2021/1060, of the fulfilment of the horizontal enabling condition ‘3, (C(2023)9014).</w:t>
            </w:r>
          </w:p>
        </w:tc>
        <w:tc>
          <w:tcPr>
            <w:tcW w:w="4876" w:type="dxa"/>
            <w:tcBorders>
              <w:top w:val="nil"/>
              <w:left w:val="nil"/>
              <w:bottom w:val="nil"/>
              <w:right w:val="nil"/>
            </w:tcBorders>
          </w:tcPr>
          <w:p>
            <w:pPr>
              <w:pStyle w:val="Normal6a"/>
            </w:pPr>
            <w:r>
              <w:rPr>
                <w:vertAlign w:val="superscript"/>
              </w:rPr>
              <w:t>15</w:t>
            </w:r>
            <w:r>
              <w:t xml:space="preserve"> </w:t>
            </w:r>
            <w:r>
              <w:t>Commission Implementing Decision of 13 December 2023 on the approval and signature of the Commission assessment, in accordance with Article 15(4) of Regulation (EU) 2021/1060, of the fulfilment of the horizontal enabling condition ‘3, (C(2023)9014).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Krzysztof Śmiszek, Marina Kaljurand, Sophie Wilmès, Andreas Schieder, Birgit Sippel, Matjaž Nemec, Csaba Molnár, Klára Dobrev, Katarina Barley, René Repasi, Thijs Reuten, Marc Angel, Elisabeth Grossmann,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Reiterates its serious concerns about the decision, considering that the horizontal enabling condition of the Charter had been fulfilled in relation to judicial independence; recalls its application with a view to reviewing the legality of Commission Decision C(2023)9014</w:t>
            </w:r>
            <w:r>
              <w:rPr>
                <w:vertAlign w:val="superscript"/>
              </w:rPr>
              <w:t>15</w:t>
            </w:r>
            <w:r>
              <w:t xml:space="preserve"> before the CJEU (Case C-225/24); calls on the Commission to freeze the funds until all of the relevant legislation has been fully implemented, the adopted measures have proven their effectiveness in practice and </w:t>
            </w:r>
            <w:r>
              <w:rPr>
                <w:b/>
                <w:i/>
              </w:rPr>
              <w:t>Hungary</w:t>
            </w:r>
            <w:r>
              <w:t xml:space="preserve"> has implemented all of the relevant judgments of the CJEU and ECtHR;</w:t>
            </w:r>
          </w:p>
        </w:tc>
        <w:tc>
          <w:tcPr>
            <w:tcW w:w="4876" w:type="dxa"/>
            <w:tcBorders>
              <w:top w:val="nil"/>
              <w:left w:val="nil"/>
              <w:bottom w:val="nil"/>
              <w:right w:val="nil"/>
            </w:tcBorders>
          </w:tcPr>
          <w:p>
            <w:pPr>
              <w:pStyle w:val="Normal6a"/>
            </w:pPr>
            <w:r>
              <w:t>9.</w:t>
            </w:r>
            <w:r>
              <w:tab/>
            </w:r>
            <w:r>
              <w:t>Reiterates its serious concerns about the decision, considering that the horizontal enabling condition of the Charter had been fulfilled in relation to judicial independence; recalls its application with a view to reviewing the legality of Commission Decision C(2023)9014</w:t>
            </w:r>
            <w:r>
              <w:rPr>
                <w:vertAlign w:val="superscript"/>
              </w:rPr>
              <w:t>15</w:t>
            </w:r>
            <w:r>
              <w:t xml:space="preserve"> before the CJEU (Case C-225/24); calls on the Commission to freeze the funds until all of the relevant legislation has been fully implemented, the adopted measures have proven their effectiveness in practice and </w:t>
            </w:r>
            <w:r>
              <w:rPr>
                <w:b/>
                <w:i/>
              </w:rPr>
              <w:t>that Hungarian government</w:t>
            </w:r>
            <w:r>
              <w:t xml:space="preserve"> has implemented all of the relevant judgments of the CJEU and ECtHR;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Commission Implementing Decision of 13 December 2023 on the approval and signature of the Commission assessment, in accordance with Article 15(4) of Regulation (EU) 2021/1060, of the fulfilment of the horizontal enabling condition ‘3, (C(2023)9014).</w:t>
            </w:r>
          </w:p>
        </w:tc>
        <w:tc>
          <w:tcPr>
            <w:tcW w:w="4876" w:type="dxa"/>
            <w:tcBorders>
              <w:top w:val="nil"/>
              <w:left w:val="nil"/>
              <w:bottom w:val="nil"/>
              <w:right w:val="nil"/>
            </w:tcBorders>
          </w:tcPr>
          <w:p>
            <w:pPr>
              <w:pStyle w:val="Normal6a"/>
            </w:pPr>
            <w:r>
              <w:rPr>
                <w:vertAlign w:val="superscript"/>
              </w:rPr>
              <w:t>15</w:t>
            </w:r>
            <w:r>
              <w:t xml:space="preserve"> </w:t>
            </w:r>
            <w:r>
              <w:t>Commission Implementing Decision of 13 December 2023 on the approval and signature of the Commission assessment, in accordance with Article 15(4) of Regulation (EU) 2021/1060, of the fulfilment of the horizontal enabling condition ‘3, (C(2023)9014).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Notes with concern the decision of the European Commission to reallocate approximately EUR 550 million in EU funds for Hungary in order to secure Budapest’s consent for the adoption of additional restrictive measures against Russia; acknowledges, nevertheless, that according to the Commission, the transferred funds would not be disbursed until the fulfilment of the remedial measures for which they had initially been suspended under the Conditionality Regulation; recalls that such transactional use of Union budgetary instruments undermines the coherence of the Union’s legal order, weakens the credibility of Article 7 TEU proceedings, and rewards a Member State that continues to engage in systemic violations of the values enshrined in Article 2 TEU; stresses that releasing funds without verifiable and durable compliance with rule of law requirements creates a precedent of political bargaining over fundamental values, thereby eroding the Union’s conditionality framework and its capacity to act consistently in defence of democracy, the rule of law and fundamental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Insists that the measures required for the release of EU funding, as defined by the relevant decisions taken under the Common Provisions Regulation, the RRF Regulation and the Rule of Law Conditionality Regulation, must be assessed in a coherent manner as an integral package and that no payments should be made while deficiencies persist in one or more areas, even if progress is made in others;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Insists that the measures required for the release of EU funding, as defined by the relevant decisions taken under the Common Provisions Regulation, the RRF Regulation and the Rule of Law Conditionality Regulation, must be assessed in a coherent manner as an integral package and that no payments should be made while deficiencies persist in one or more areas, even if progress is made in others;</w:t>
            </w:r>
          </w:p>
        </w:tc>
        <w:tc>
          <w:tcPr>
            <w:tcW w:w="4876" w:type="dxa"/>
            <w:tcBorders>
              <w:top w:val="nil"/>
              <w:left w:val="nil"/>
              <w:bottom w:val="nil"/>
              <w:right w:val="nil"/>
            </w:tcBorders>
          </w:tcPr>
          <w:p>
            <w:pPr>
              <w:pStyle w:val="Normal6a"/>
            </w:pPr>
            <w:r>
              <w:t>10.</w:t>
            </w:r>
            <w:r>
              <w:tab/>
            </w:r>
            <w:r>
              <w:t xml:space="preserve">Insists that the measures required for the release of EU funding, as defined by the relevant decisions taken under the Common Provisions Regulation, the RRF Regulation and the Rule of Law Conditionality Regulation, must be assessed in a coherent manner as an integral package and that no payments should be made while deficiencies persist in one or more areas, even if progress is made in others; </w:t>
            </w:r>
            <w:r>
              <w:rPr>
                <w:b/>
                <w:i/>
              </w:rPr>
              <w:t>c</w:t>
            </w:r>
            <w:r>
              <w:rPr>
                <w:b/>
                <w:i/>
              </w:rPr>
              <w:t>alls for enhanced cooperation between the Commission, the Parliament (in particular its Committee on Budgetary Control) and the European Court of Auditors, with a view to ensuring the efficient, transparent and equitable use of EU funds, especially in Member States where there are serious concerns regarding corruption, the misuse of public funds or non-transparent public procurement practices;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Nikola Minchev, Sophie Wilmès, Veronika Cifrová Ostrihoňová, Raquel García Hermida-Van Der Walle,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Insists that the measures required for the release of EU funding, as defined by the relevant decisions taken under the Common Provisions Regulation, the RRF Regulation and the Rule of Law Conditionality Regulation, must be assessed in a coherent manner as an integral package and that no payments should be made while deficiencies persist in one or more areas, even if progress is made in others;</w:t>
            </w:r>
          </w:p>
        </w:tc>
        <w:tc>
          <w:tcPr>
            <w:tcW w:w="4876" w:type="dxa"/>
            <w:tcBorders>
              <w:top w:val="nil"/>
              <w:left w:val="nil"/>
              <w:bottom w:val="nil"/>
              <w:right w:val="nil"/>
            </w:tcBorders>
          </w:tcPr>
          <w:p>
            <w:pPr>
              <w:pStyle w:val="Normal6a"/>
            </w:pPr>
            <w:r>
              <w:t>10.</w:t>
            </w:r>
            <w:r>
              <w:tab/>
            </w:r>
            <w:r>
              <w:t xml:space="preserve">Insists that the measures required for the release of EU funding, as defined by the relevant decisions taken under the Common Provisions Regulation, the RRF Regulation and the Rule of Law Conditionality Regulation, must be assessed in a coherent manner as an integral package and that no payments should be made while deficiencies persist in one or more areas, even if progress is made in others; </w:t>
            </w:r>
            <w:r>
              <w:rPr>
                <w:b/>
                <w:i/>
              </w:rPr>
              <w:t>calls on the Commission to ensure that such assessment always remains strictly impartial and free from politicisation, political bargaining or favouritism, as such practices would otherwise undermine both the effectiveness and the legitimacy of the instruments concerned;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Insists that the measures required for the release of EU funding, as defined by the relevant decisions taken under the Common Provisions Regulation, the RRF Regulation and the Rule of Law Conditionality Regulation, must be assessed in a coherent manner as an integral package and that no payments should be made while deficiencies persist in one or more areas, even if progress is made in others;</w:t>
            </w:r>
          </w:p>
        </w:tc>
        <w:tc>
          <w:tcPr>
            <w:tcW w:w="4876" w:type="dxa"/>
            <w:tcBorders>
              <w:top w:val="nil"/>
              <w:left w:val="nil"/>
              <w:bottom w:val="nil"/>
              <w:right w:val="nil"/>
            </w:tcBorders>
          </w:tcPr>
          <w:p>
            <w:pPr>
              <w:pStyle w:val="Normal6a"/>
            </w:pPr>
            <w:r>
              <w:t>10.</w:t>
            </w:r>
            <w:r>
              <w:tab/>
            </w:r>
            <w:r>
              <w:t xml:space="preserve">Insists that the measures required for the release of EU funding, as defined by the relevant decisions taken under the Common Provisions Regulation, the RRF Regulation and the Rule of Law Conditionality Regulation, must be assessed in a coherent manner as an integral package and that no payments should be made while deficiencies </w:t>
            </w:r>
            <w:r>
              <w:rPr>
                <w:b/>
                <w:i/>
              </w:rPr>
              <w:t>that are directly linked to the misuse of funds</w:t>
            </w:r>
            <w:r>
              <w:t xml:space="preserve"> persist in one or more areas, even if progress is made in others;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recalls that, in the case of Hungary, the Article 7 TEU procedure is still ongoing and has remained in the preventative measures stage (Article 7(1) TEU) since first being triggered by the European Parliament in September 2018; recalls, at the same time, there is little evidence between the freezing of funds and the change of practices identified as being problematic on a long term; therefore, calls on the Commission not to put at risk the continuity of EU funded programmes and reforms in a Member State neither by blocking on a very long term funds, nor by blocking and unblocking funds to leverage other political gains;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Tineke Strik, Krzysztof Śmiszek,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Reiterates its call on the Commission to ensure that the final recipients or beneficiaries of EU funds are not deprived of these funds, as set out in the Rule of Law Conditionality Regulation; calls on the Commission to find ways to distribute EU funds via local governments and NGOs if the government concerned does not cooperate regarding the deficiencies; calls on the Commission to support independent civil society in Hungary</w:t>
            </w:r>
            <w:r>
              <w:rPr>
                <w:b/>
                <w:i/>
              </w:rPr>
              <w:t>,</w:t>
            </w:r>
            <w:r>
              <w:t xml:space="preserve"> which safeguards the values enshrined in Article 2 TEU, in particular by using the Citizens, Equality, Rights and Values programme;</w:t>
            </w:r>
          </w:p>
        </w:tc>
        <w:tc>
          <w:tcPr>
            <w:tcW w:w="4876" w:type="dxa"/>
            <w:tcBorders>
              <w:top w:val="nil"/>
              <w:left w:val="nil"/>
              <w:bottom w:val="nil"/>
              <w:right w:val="nil"/>
            </w:tcBorders>
          </w:tcPr>
          <w:p>
            <w:pPr>
              <w:pStyle w:val="Normal6a"/>
            </w:pPr>
            <w:r>
              <w:t>11.</w:t>
            </w:r>
            <w:r>
              <w:tab/>
            </w:r>
            <w:r>
              <w:rPr>
                <w:b/>
                <w:i/>
              </w:rPr>
              <w:t>Recalls that the final beneficiaries of EU funding which are not government entities, should not suffer negative consequences as a result of problems caused by the national authorities in cases where budgetary measures are taken;</w:t>
            </w:r>
            <w:r>
              <w:t xml:space="preserve"> reiterates its call on the Commission to ensure that the final recipients or beneficiaries of EU funds are not deprived of these funds, as set out in the Rule of Law Conditionality Regulation; calls on the Commission to find ways to distribute EU funds via local governments and NGOs if the government concerned does not cooperate regarding the deficiencies; </w:t>
            </w:r>
            <w:r>
              <w:rPr>
                <w:b/>
                <w:i/>
              </w:rPr>
              <w:t>indicates that a possible solution is to make available the appropriations corresponding to decommitments under conditionality regimes for use under other Union instruments or programmes implemented under direct or indirect management, in particular those contributing to supporting Europe’s democracy, civil society, Union values or the fight against corruption;</w:t>
            </w:r>
            <w:r>
              <w:t xml:space="preserve"> calls on the Commission to support independent civil society in Hungary which safeguards the values enshrined in Article 2 TEU, in particular by using the Citizens, Equality, Rights and Values programme; </w:t>
            </w:r>
            <w:r>
              <w:rPr>
                <w:b/>
                <w:i/>
              </w:rPr>
              <w:t>insists that the Union should provide direct financial support to human rights defenders, notably organisers of free assemblies such as Pride marches, independent media outlets and civic initiatives, in order to safeguard fundamental rights where the national authorities deliberately obstruct or criminalise such activities;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Sophie Wilmès, Lucia Yar, Veronika Cifrová Ostrihoňová, Hilde Vautmans, Nikola Minchev, Raquel García Hermida-Van Der Walle, Fabienne Keller, Malik Azmani, Irena Joveva, Anna-Maja Henriksson, 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Reiterates its call on the Commission to ensure that the final recipients or beneficiaries of EU funds are not deprived of these funds, as set out in the Rule of Law Conditionality Regulation; calls on the Commission to find ways to distribute EU funds via local governments and NGOs if the government concerned does not cooperate regarding the deficiencies; calls on the Commission to support independent civil society in Hungary, which safeguards the values enshrined in Article 2 TEU, in particular by using the Citizens, Equality, Rights and Values programme;</w:t>
            </w:r>
          </w:p>
        </w:tc>
        <w:tc>
          <w:tcPr>
            <w:tcW w:w="4876" w:type="dxa"/>
            <w:tcBorders>
              <w:top w:val="nil"/>
              <w:left w:val="nil"/>
              <w:bottom w:val="nil"/>
              <w:right w:val="nil"/>
            </w:tcBorders>
          </w:tcPr>
          <w:p>
            <w:pPr>
              <w:pStyle w:val="Normal6a"/>
            </w:pPr>
            <w:r>
              <w:t>11.</w:t>
            </w:r>
            <w:r>
              <w:tab/>
            </w:r>
            <w:r>
              <w:rPr>
                <w:b/>
                <w:i/>
              </w:rPr>
              <w:t>Recalls that the final beneficiaries of EU funding which are not government entities, should not suffer negative consequences as a result of problems caused by the national authorities in cases where budgetary measures are taken;</w:t>
            </w:r>
            <w:r>
              <w:t xml:space="preserve"> reiterates its call on the Commission to ensure that the final recipients or beneficiaries of EU funds are not deprived of these funds, as set out in the Rule of Law Conditionality Regulation; calls on the Commission to find ways to distribute EU funds via local governments and NGOs if the government concerned does not cooperate regarding the deficiencies; calls on the Commission to support independent civil society in Hungary, which safeguards the values enshrined in Article 2 TEU, in particular by using the Citizens, Equality, Rights and Values programme; </w:t>
            </w:r>
            <w:r>
              <w:rPr>
                <w:b/>
                <w:i/>
              </w:rPr>
              <w:t>insists that the Union continues to provide direct and carefully targeted financial support to civil society organisations and initiatives promoting fundamental rights, democracy and pluralism, particularly where national authorities obstruct or criminalise such activities;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Reiterates its call on the Commission to ensure that the final recipients or beneficiaries of EU funds are not deprived of these funds, as set out in the Rule of Law Conditionality Regulation; calls on the Commission to find ways to distribute EU funds via local governments and NGOs if the government concerned does not cooperate regarding the deficiencies; calls on the Commission to support independent civil society in Hungary, which safeguards the values enshrined in Article 2 TEU, in particular by using the Citizens, Equality, Rights and Values programme;</w:t>
            </w:r>
          </w:p>
        </w:tc>
        <w:tc>
          <w:tcPr>
            <w:tcW w:w="4876" w:type="dxa"/>
            <w:tcBorders>
              <w:top w:val="nil"/>
              <w:left w:val="nil"/>
              <w:bottom w:val="nil"/>
              <w:right w:val="nil"/>
            </w:tcBorders>
          </w:tcPr>
          <w:p>
            <w:pPr>
              <w:pStyle w:val="Normal6a"/>
            </w:pPr>
            <w:r>
              <w:t>11.</w:t>
            </w:r>
            <w:r>
              <w:tab/>
            </w:r>
            <w:r>
              <w:t xml:space="preserve">Reiterates its call on the Commission to ensure that the final recipients or beneficiaries of EU funds are not deprived of these funds, as set out in the Rule of Law Conditionality Regulation; calls on the Commission to find ways to distribute EU funds via local governments and NGOs if the government concerned does not cooperate regarding the deficiencies; calls on the Commission to support independent civil society in Hungary, which safeguards the values enshrined in Article 2 TEU, in particular by using the Citizens, Equality, Rights and Values programme; </w:t>
            </w:r>
            <w:r>
              <w:rPr>
                <w:b/>
                <w:i/>
              </w:rPr>
              <w:t>calls on the Commission to reconsider the decision also to include in the package of sanctions the suspension of the Erasmus+ Programme, from which over 16 000 Hungarian higher-education students and staff have benefited;</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Reiterates its call on the Commission to ensure that the final recipients or beneficiaries of EU funds are not deprived of these funds, as set out in the Rule of Law Conditionality Regulation; calls on the Commission to find ways to distribute EU funds via local governments and NGOs if the government concerned does not cooperate regarding the deficiencies; calls on the Commission to support independent civil society in Hungary, which safeguards the values enshrined in Article 2 TEU, in particular by using the Citizens, Equality, Rights and Values programme;</w:t>
            </w:r>
          </w:p>
        </w:tc>
        <w:tc>
          <w:tcPr>
            <w:tcW w:w="4876" w:type="dxa"/>
            <w:tcBorders>
              <w:top w:val="nil"/>
              <w:left w:val="nil"/>
              <w:bottom w:val="nil"/>
              <w:right w:val="nil"/>
            </w:tcBorders>
          </w:tcPr>
          <w:p>
            <w:pPr>
              <w:pStyle w:val="Normal6a"/>
            </w:pPr>
            <w:r>
              <w:t>11.</w:t>
            </w:r>
            <w:r>
              <w:tab/>
            </w:r>
            <w:r>
              <w:t>Reiterates its call on the Commission to ensure that the final recipients or beneficiaries of EU funds are not deprived of these funds, as set out in the Rule of Law Conditionality Regulation</w:t>
            </w:r>
            <w:r>
              <w:rPr>
                <w:b/>
                <w:i/>
              </w:rPr>
              <w:t>, and to ensure that those funds are used in a transparent and proper manner</w:t>
            </w:r>
            <w:r>
              <w:t>; calls on the Commission to find ways to distribute EU funds via local governments and NGOs if the government concerned does not cooperate regarding the deficiencies; calls on the Commission to support independent civil society in Hungary, which safeguards the values enshrined in Article 2 TEU, in particular by using the Citizens, Equality, Rights and Values programme;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Reiterates its call on the Commission to ensure that the final recipients or beneficiaries of EU funds are not deprived of these funds, as set out in the Rule of Law Conditionality Regulation; calls on the Commission to find ways to distribute EU funds via local governments and </w:t>
            </w:r>
            <w:r>
              <w:rPr>
                <w:b/>
                <w:i/>
              </w:rPr>
              <w:t>NGOs</w:t>
            </w:r>
            <w:r>
              <w:t xml:space="preserve"> if the government concerned does not cooperate regarding the deficiencies; calls on the Commission to support independent civil society in Hungary, which safeguards the values enshrined in Article 2 TEU, in particular by using the Citizens, Equality, Rights and Values programme;</w:t>
            </w:r>
          </w:p>
        </w:tc>
        <w:tc>
          <w:tcPr>
            <w:tcW w:w="4876" w:type="dxa"/>
            <w:tcBorders>
              <w:top w:val="nil"/>
              <w:left w:val="nil"/>
              <w:bottom w:val="nil"/>
              <w:right w:val="nil"/>
            </w:tcBorders>
          </w:tcPr>
          <w:p>
            <w:pPr>
              <w:pStyle w:val="Normal6a"/>
            </w:pPr>
            <w:r>
              <w:t>11.</w:t>
            </w:r>
            <w:r>
              <w:tab/>
            </w:r>
            <w:r>
              <w:t xml:space="preserve">Reiterates its call on the Commission to ensure that the final recipients or beneficiaries of EU funds are not deprived of these funds, as set out in the Rule of Law Conditionality Regulation; calls on the Commission to find ways to distribute EU funds via local governments and </w:t>
            </w:r>
            <w:r>
              <w:rPr>
                <w:b/>
                <w:i/>
              </w:rPr>
              <w:t>competent national authorities</w:t>
            </w:r>
            <w:r>
              <w:t xml:space="preserve"> if the government concerned does not cooperate regarding the deficiencies; calls on the Commission to support independent civil society in Hungary, which safeguards the values enshrined in Article 2 TEU, in particular by using the Citizens, Equality, Rights and Values programme;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Expresses deep concern over the limitations of the financial data of the NGOs receiving EU public funding; calls on the European Commission to propose a legislative framework to enable the checking of NGOs’ sources of funding, to identify “who stands behind them” and any possible conflict of interests or the risks undermining NGOs’ independence from specific donors; firmly believes this missing piece of legislation would make official assessments more accurate, especially in cases related to Article 7 TEU</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https://www.eca.europa.eu/ECAPublications/SR-2025-11/SR-2025-11_EN.pdf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Sophie Wilmès, Lucia Yar, Veronika Cifrová Ostrihoňová, Hilde Vautmans, Nikola Minchev, Raquel García Hermida-Van Der Walle, Fabienne Keller, Malik Azmani, Irena Joveva, Anna-Maja Henriksson, Michał Wawrykiewicz,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Condemns the possibility to amend a programme or transfer resources subject to measures adopted under the Rule of Law Conditionality Regulation or subject to a negative assessment on the basis of the application of enabling conditions under the Common Provisions Regulation; expresses concern that this loophole has not been properly addressed in the mid-term review of cohesion policy;</w:t>
            </w:r>
          </w:p>
        </w:tc>
        <w:tc>
          <w:tcPr>
            <w:tcW w:w="4876" w:type="dxa"/>
            <w:tcBorders>
              <w:top w:val="nil"/>
              <w:left w:val="nil"/>
              <w:bottom w:val="nil"/>
              <w:right w:val="nil"/>
            </w:tcBorders>
          </w:tcPr>
          <w:p>
            <w:pPr>
              <w:pStyle w:val="Normal6a"/>
            </w:pPr>
            <w:r>
              <w:t>12.</w:t>
            </w:r>
            <w:r>
              <w:tab/>
            </w:r>
            <w:r>
              <w:t xml:space="preserve">Condemns the possibility to amend a programme or transfer resources subject to measures adopted under the Rule of Law Conditionality Regulation or subject to a negative assessment on the basis of the application of enabling conditions under the Common Provisions Regulation; expresses concern that this loophole has not been properly addressed in the mid-term review of cohesion policy; </w:t>
            </w:r>
            <w:r>
              <w:rPr>
                <w:b/>
                <w:i/>
              </w:rPr>
              <w:t>calls on the Commission to ensure that the legal guarantees it has provided, as well as the interpretation clarified in the recitals, serve as a guiding framework for any future decisions on the reallocation of funds, so as to reinforce legal certainty, safeguard cohesion objectives and prevent circumvention of conditionality ; requests that, in the framework of the future cohesion policy under the next Multiannual Financial Framework, funds suspended or frozen due to breaches of the rule of law shall be considered forfeited for the Member State concerned and shall not be reallocated to any other programme or instrument within that Member State; at the same time, welcomes the Commission’s proposal that such funds, once lost to the Member State due to persistent violations of the rule of law or of the Charter of Fundamental Rights, may be redirected to Union programmes under direct or indirect management, in particular those supporting democracy, civil society, Union values and the fight against corruption; recommends that these redirected funds should at least partly be redirected within the Member State where the violations occurred to support civil society;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Tineke Strik,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a.</w:t>
            </w:r>
            <w:r>
              <w:tab/>
            </w:r>
            <w:r>
              <w:rPr>
                <w:b/>
                <w:i/>
              </w:rPr>
              <w:t>Deplores the fact that the Hungarian authorities have repeatedly used its veto power in the Council as a bargaining chip to extract concessions on the rule of law, preventing essential aid from being granted to Ukraine and sanctions from being imposed on Russia, thus undermining strategic interests of the EU; condemns the Hungarian Government’s general policy towards Russia in spite of the war of aggression, including deepening its energy dependence and pursuing unilateral actions such as visits to Moscow, opposing UN resolutions, and withdrawing from the Rome Statute of the International Criminal Court; recalls that such action violates the principles of solidarity and sincere cooperation; stresses, in this regard, that any relaxation or circumvention of the application of the Rule of Law Conditionality Regulation in order to placate the Hungarian Government would seriously undermine the Union’s remaining effective leverage to secure compliance with the values enshrined in Article 2 TEU and to address Hungary’s obstructive conduct in the Council;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a.</w:t>
            </w:r>
            <w:r>
              <w:tab/>
            </w:r>
            <w:r>
              <w:rPr>
                <w:b/>
                <w:i/>
              </w:rPr>
              <w:t>Notes with concern that the Hungarian authorities have repeatedly exercised their veto power in the Council on strategically important and security-related decisions, such as essential aid to Ukraine and sanctions against Russia; acknowledges that the use of veto powers is a legitimate prerogative of Member States under the Treaties, but regrets that in this case it has been used as leverage to extract concessions on particular interests of the Hungarian and Russian governments, thereby undermining the Union’s sovereignty, collective security and ability to act in defence of its fundamental interests; stresses that such practices run counter to the principle of solidarity and weaken the Union’s strategic credibility as a global actor;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Sophie Wilmès, Lucia Yar, Veronika Cifrová Ostrihoňová, Hilde Vautmans, Nikola Minchev, Raquel García Hermida-Van Der Walle, Fabienne Keller, Malik Azmani, Irena Joveva, Anna-Maja Henriksson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a.</w:t>
            </w:r>
            <w:r>
              <w:tab/>
            </w:r>
            <w:r>
              <w:rPr>
                <w:b/>
                <w:i/>
              </w:rPr>
              <w:t>Notes with concern that the Hungarian authorities have repeatedly exercised their veto power in the Council on strategically important and sensitive decisions, such as essential aid to Ukraine and sanctions against Russia, not so much on the substance of these files but as leverage to extract concessions, thereby undermining the Union’s capacity to act and diverting attention from concerns over respect for EU values; stresses that such practices run counter to the principle of solidarity and the Union’s credibility as a global actor;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w:t>
            </w:r>
            <w:r>
              <w:tab/>
            </w:r>
            <w:r>
              <w:rPr>
                <w:b/>
                <w:i/>
              </w:rPr>
              <w:t>Condemns the systematic weakening of the National Judicial Council (NJC), including the repeated bypassing of its mandatory consultation in judicial reforms and the resulting resignations of its members in protest; stresses that the erosion of the NJC’s role as the self-governing body of the judiciary undermines judicial independence and compliance with Article 19(1) TEU; calls on the Hungarian authorities to fully restore the NJC’s constitutional functions and to ensure genuine consultation with the body on all judicial reforms;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c.</w:t>
            </w:r>
            <w:r>
              <w:tab/>
            </w:r>
            <w:r>
              <w:rPr>
                <w:b/>
                <w:i/>
              </w:rPr>
              <w:t>Expresses concern about the lack of transparency in case allocation despite the formal provision for automation; deplores the risks of political or hierarchical manipulation in the assignment of cases, which may affect judicial impartiality and public confidence in the justice system; calls on the Commission to closely monitor the functioning of case allocation in Hungary and to take appropriate measures under all applicable tools where systemic deficiencies are identified;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Underlines that the Hungarian authorities must guarantee equal opportunities to access EU funding for individuals, companies, civil society, NGOs and local and regional authorities, and must ensure independent judicial oversight, as well as impartial and effective complaints mechanisms; condemns the reported systemic discriminatory practices against academia, journalists, local governments, political parties and civil society, as well as companies in certain sectors; condemns smear campaigns, surveillance and online and physical intimidation creating a chilling effect;</w:t>
            </w:r>
          </w:p>
        </w:tc>
        <w:tc>
          <w:tcPr>
            <w:tcW w:w="4876" w:type="dxa"/>
            <w:tcBorders>
              <w:top w:val="nil"/>
              <w:left w:val="nil"/>
              <w:bottom w:val="nil"/>
              <w:right w:val="nil"/>
            </w:tcBorders>
          </w:tcPr>
          <w:p>
            <w:pPr>
              <w:pStyle w:val="Normal6a"/>
            </w:pPr>
            <w:r>
              <w:t>14.</w:t>
            </w:r>
            <w:r>
              <w:tab/>
            </w:r>
            <w:r>
              <w:t xml:space="preserve">Underlines that the Hungarian authorities must guarantee equal opportunities to access EU funding for individuals, companies, civil society, NGOs and local and regional authorities, </w:t>
            </w:r>
            <w:r>
              <w:rPr>
                <w:b/>
                <w:i/>
              </w:rPr>
              <w:t>must fully respect the principle of partnership throughout the management of European Union funding</w:t>
            </w:r>
            <w:r>
              <w:t xml:space="preserve"> and must ensure independent judicial oversight, as well as impartial and effective complaints mechanisms; condemns the reported systemic discriminatory practices against academia, journalists, local governments, political parties and civil society, as well as companies in certain sectors; condemns smear campaigns, surveillance and online and physical intimidation creating a chilling effect;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Krzysztof Śmiszek, Marina Kaljurand, Andreas Schieder, Birgit Sippel, Matjaž Nemec, Katarina Barley, René Repasi, Thijs Reuten, Marc Angel, Elisabeth Grossmann,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Expresses deep concern about the sustained use of politically motivated and discriminatory business practices in by the Hungarian Government, including discriminatory taxes, export restrictions, price caps and nationalisation, which disproportionately target foreign-owned companies and undermine legal certainty and investment protection; regrets the unfair advantage systematically given to Hungarian competitors through non-transparent and manipulated public procurement procedures, takeover bids by the government and entities with ties to the Prime Minister, and the use of EU funds to enrich political allies of the government, in contradiction to EU competition and public procurement rules; notes that the Commission has already opened several infringement proceedings in this field and that the Court of Justice has declared discriminatory price rules illegal; urges the Commission to take decisive and swift action against such violations of the single market; stresses that the rule of law and equal treatment of businesses are indispensable for a properly functioning internal market and for preserving investor confidence in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Deplores that despite the CJEU ruling finding relevant legislation to be in breach of EU law, the Hungarian authorities have not taken steps to restore the ability of affected higher education institutions, such as the Central European University, to operate freely in Hungary; calls on the Commission to pursue all necessary legal and financial measures to safeguard education institutions, students and academic staff against political interference;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Condemns that despite the CJEU rulings finding relevant legislation to be in breach of EU law, the Hungarian asylum and migration systems continues to display serious deficiencies and shortcomings; stresses that such persistent non-compliance undermines the principles of solidarity and fair sharing of responsibility, and hampers the Union’s collective ability to manage asylum and migration and to protect its external borders effectively;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Stresses that Article 7 should be applied in a fair, proportionate and non-politicised manner; recalls that Hungary, as a full member of the Union, is a sovereign state and enjoys the same rights and obligations as the rest of the EU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Krzysztof Śmiszek, Marina Kaljurand, Andreas Schieder, Birgit Sippel, Matjaž Nemec, Csaba Molnár, Klára Dobrev, Sabrina Repp, Katarina Barley, René Repasi, Thijs Reuten, Marc Angel, Elisabeth Grossmann,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w:t>
            </w:r>
            <w:r>
              <w:tab/>
            </w:r>
            <w:r>
              <w:rPr>
                <w:b/>
                <w:i/>
              </w:rPr>
              <w:t xml:space="preserve">Calls on the Commission and Parliament to remain vigilant regarding the reprogramming of funds previously frozen under the rule of law conditionality framework and due to the violation of enabling conditions under the Common Provisions Regulation </w:t>
            </w:r>
            <w:r>
              <w:rPr>
                <w:b/>
                <w:i/>
                <w:vertAlign w:val="superscript"/>
              </w:rPr>
              <w:t>1a</w:t>
            </w:r>
            <w:r>
              <w:rPr>
                <w:b/>
                <w:i/>
              </w:rPr>
              <w:t>; strongly regrets that the flexibilisation / reallocation mechanism may be used by the Hungarian Government to circumvent compliance obligations and restore access to EU funds without verifiable reforms; urges that any release of funds be strictly tied to full and irreversible achievements on judicial independence, academic freedom and other horizontal enabling conditions; insists that the conditionality mechanism as well as enabling conditions must be enforced robustly and that no funds be disbursed prematurely or in exchange for political compromises;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Regulation (EU) 2021/1060 of the European Parliament and of the Council of 24 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w:t>
            </w:r>
            <w:r>
              <w:tab/>
            </w:r>
            <w:r>
              <w:rPr>
                <w:b/>
                <w:i/>
              </w:rPr>
              <w:t>Calls on the Hungarian government to cooperate fully with other Member States and the European institutions in the spirit of sincere cooperation as enshrined in the Treaties; stresses that effective management of asylum and migration requires mutual trust, responsibility sharing and solidarity among all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w:t>
            </w:r>
            <w:r>
              <w:tab/>
            </w:r>
            <w:r>
              <w:rPr>
                <w:b/>
                <w:i/>
              </w:rPr>
              <w:t>Is concerned about the Hungarian Government’s lack of upholding and respecting the economic and social rights of millions of Hungarian citizens, in the areas of public health, public transport, education, housing and energy, among others, and in particular in rural areas and smaller towns;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Sophie Wilmès, Lucia Yar, Veronika Cifrová Ostrihoňová, Hilde Vautmans, Raquel García Hermida-Van Der Walle, Fabienne Keller, Malik Azmani,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Regrets</w:t>
            </w:r>
            <w:r>
              <w:t xml:space="preserve"> the politically motivated business practices that </w:t>
            </w:r>
            <w:r>
              <w:rPr>
                <w:b/>
                <w:i/>
              </w:rPr>
              <w:t>give</w:t>
            </w:r>
            <w:r>
              <w:t xml:space="preserve"> an unfair advantage to competitors, non-transparent and manipulated public procurement procedures, takeover bids </w:t>
            </w:r>
            <w:r>
              <w:rPr>
                <w:b/>
                <w:i/>
              </w:rPr>
              <w:t>by the government and</w:t>
            </w:r>
            <w:r>
              <w:t xml:space="preserve"> entities </w:t>
            </w:r>
            <w:r>
              <w:rPr>
                <w:b/>
                <w:i/>
              </w:rPr>
              <w:t>with</w:t>
            </w:r>
            <w:r>
              <w:t xml:space="preserve"> ties </w:t>
            </w:r>
            <w:r>
              <w:rPr>
                <w:b/>
                <w:i/>
              </w:rPr>
              <w:t>to the Prime Minister</w:t>
            </w:r>
            <w:r>
              <w:t>, and the use of EU funds to enrich political allies of the government in contradiction to EU competition and public procurement rules; stresses that the rule of law is crucial for a functioning single market in the EU;</w:t>
            </w:r>
          </w:p>
        </w:tc>
        <w:tc>
          <w:tcPr>
            <w:tcW w:w="4876" w:type="dxa"/>
            <w:tcBorders>
              <w:top w:val="nil"/>
              <w:left w:val="nil"/>
              <w:bottom w:val="nil"/>
              <w:right w:val="nil"/>
            </w:tcBorders>
          </w:tcPr>
          <w:p>
            <w:pPr>
              <w:pStyle w:val="Normal6a"/>
            </w:pPr>
            <w:r>
              <w:t>15.</w:t>
            </w:r>
            <w:r>
              <w:tab/>
            </w:r>
            <w:r>
              <w:rPr>
                <w:b/>
                <w:i/>
              </w:rPr>
              <w:t>Expresses concern about reports of</w:t>
            </w:r>
            <w:r>
              <w:t xml:space="preserve"> the politically motivated business practices that </w:t>
            </w:r>
            <w:r>
              <w:rPr>
                <w:b/>
                <w:i/>
              </w:rPr>
              <w:t>may create</w:t>
            </w:r>
            <w:r>
              <w:t xml:space="preserve"> an unfair advantage to competitors, non-transparent and manipulated public procurement procedures, takeover bids </w:t>
            </w:r>
            <w:r>
              <w:rPr>
                <w:b/>
                <w:i/>
              </w:rPr>
              <w:t>involving state</w:t>
            </w:r>
            <w:r>
              <w:t xml:space="preserve"> entities </w:t>
            </w:r>
            <w:r>
              <w:rPr>
                <w:b/>
                <w:i/>
              </w:rPr>
              <w:t>or actors with close political</w:t>
            </w:r>
            <w:r>
              <w:t xml:space="preserve"> ties, and the use of EU funds to enrich political allies of the government in contradiction to EU competition and public procurement rules; stresses that the rule of law is crucial for a functioning single market in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Tineke Strik, Michał Wawrykiewicz,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Stresses that the allocation of state advertising by the Hungarian government has been repeatedly reported to be deliberately and systematically channelled to government-friendly outlets, raising questions about a possible strategy to starve independent and critical media of resources, thereby undermining media pluralism and freedom of expression; calls on the Commission to examine whether such practices could constitute a form of illegal state aid distorting the internal market and to take enforcement action without delay;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Notes that budgetary measures in case of non-compliance are rather a “box-ticking exercise” instead of a structural reform; this hampers both the Member State’s ability to put in place EU goals, objectives and reforms, even to the detriment of its national population, as well as the EU’s fundamental values, as the un-blocking of EU funds does not necessarily mean full compliance with EU principles;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Tineke Strik, Krzysztof Śmiszek, Sophie Wilmès,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w:t>
            </w:r>
            <w:r>
              <w:tab/>
            </w:r>
            <w:r>
              <w:rPr>
                <w:b/>
                <w:i/>
              </w:rPr>
              <w:t>Denounces the de facto constitutional ban on Pride marches resulting in the explicit legislative prohibition to hold them, the removal of gender identity from the list of protected characteristics and the discriminatory family law provisions; recalls that these measures are in conflict with the freedom of assembly and the principle of equality; calls on the Commission to explore all available legal tools, including, where appropriate, infringement procedures while taking into account the forthcoming judgment of the CJEU in Case C-769/22 on the possible use of Article 2 TEU as a separate ground for infringement procedure;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Tineke Strik, Krzysztof Śmiszek,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c.</w:t>
            </w:r>
            <w:r>
              <w:tab/>
            </w:r>
            <w:r>
              <w:rPr>
                <w:b/>
                <w:i/>
              </w:rPr>
              <w:t>Strongly condemns that despite the CJEU rulings finding relevant legislation to be in breach of EU law, the Hungarian asylum system remains severely restricted through the combined practice of denying access to the territory and making applications for international protection conditional upon prior declarations at Hungarian embassies abroad; stresses that this constitutes a flagrant violation of EU asylum law, the Charter of Fundamental Rights and the 1951 Refugee Convention;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Sophie Wilmès, Lucia Yar, Veronika Cifrová Ostrihoňová, Hilde Vautmans, Nikola Minchev, Raquel García Hermida-Van Der Walle, Fabienne Keller, Malik Azmani, Irena Joveva, Anna-Maja Henriksson, Michał Wawrykiewicz,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Reiterates its call on the Commission and the Council to immediately enter into negotiation with Parliament on an EU mechanism on democracy, the rule of law and fundamental rights in the form of an interinstitutional agreement, including a permanent policy cycle among the EU institutions;</w:t>
            </w:r>
          </w:p>
        </w:tc>
        <w:tc>
          <w:tcPr>
            <w:tcW w:w="4876" w:type="dxa"/>
            <w:tcBorders>
              <w:top w:val="nil"/>
              <w:left w:val="nil"/>
              <w:bottom w:val="nil"/>
              <w:right w:val="nil"/>
            </w:tcBorders>
          </w:tcPr>
          <w:p>
            <w:pPr>
              <w:pStyle w:val="Normal6a"/>
            </w:pPr>
            <w:r>
              <w:t>16.</w:t>
            </w:r>
            <w:r>
              <w:tab/>
            </w:r>
            <w:r>
              <w:t xml:space="preserve">Reiterates its call on the Commission and the Council to immediately enter into negotiation with Parliament on an EU mechanism on democracy, the rule of law and fundamental rights in the form of an interinstitutional agreement, including a permanent policy cycle among the EU institutions; </w:t>
            </w:r>
            <w:r>
              <w:rPr>
                <w:b/>
                <w:i/>
              </w:rPr>
              <w:t>emphasises that while the toolbox available to the Union has been significantly expanded, its effectiveness depends on the coherent and consistent application across all institutions; stresses the need to establish a European Rule of Law Semester, featuring a clear structure with fixed milestones and active contributions from all EU institutions; underlines that this annual cycle must be based on solid, objective indicators and make clear that breaches of the rule of law are never trivial, and that any concerning findings should lead to real consequences, analogous to the European Semester mechanism applied in the field of public finances;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Sophie Wilmès, Lucia Yar, Veronika Cifrová Ostrihoňová, Hilde Vautmans, Nikola Minchev, Raquel García Hermida-Van Der Walle, Fabienne Keller, Malik Azmani, Irena Joveva, Anna-Maja Henriksson, Michał Wawrykiewicz,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Calls on the Council to adopt clear guidelines on the application of Article 7 TEU, in order to address the current lack of time limits, deadlines and automatic links between its different stages ; stresses that, under the current framework, a procedure can be launched without producing any effect on subsequent steps, as illustrated by the case of Hungary ; underlines that the preventive and sanctioning stages are not formally connected, and that the absence of clear sequencing undermines the effectiveness and credibility of the mechanism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Sophie Wilmès, Lucia Yar, Veronika Cifrová Ostrihoňová, Hilde Vautmans, Nikola Minchev, Raquel García Hermida-Van Der Walle, Fabienne Keller, Malik Azmani, Irena Joveva, Anna-Maja Henriksson, Michał Wawrykiewicz,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w:t>
            </w:r>
            <w:r>
              <w:tab/>
            </w:r>
            <w:r>
              <w:rPr>
                <w:b/>
                <w:i/>
              </w:rPr>
              <w:t>calls on the Council to adopt clear and updated guidelines on the interpretation and application of Article 7 TEU, building on a revision of the Standard modalities for hearings referred to in Article 7(1) TEU of 9 July 2019 ; in particular, the Council should clarify: within what timeframe the Member State concerned must be heard; the legal nature and effect of recommendations addressed to that Member State and whether, following such an audition, the Council should be required to decide on the existence or absence of a breach; what is meant by the obligation to “regularly” verify whether the grounds that led to the determination remain valid; and why, in cases where such grounds are found to persist, this does not automatically trigger the subsequent stage of the procedure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Sophie Wilmès, Lucia Yar, Veronika Cifrová Ostrihoňová, Hilde Vautmans, Nikola Minchev, Raquel García Hermida-Van Der Walle, Fabienne Keller, Malik Azmani, Irena Joveva, Anna-Maja Henriksson, Michał Wawrykiewicz,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c.</w:t>
            </w:r>
            <w:r>
              <w:tab/>
            </w:r>
            <w:r>
              <w:rPr>
                <w:b/>
                <w:i/>
              </w:rPr>
              <w:t>Stresses that the absence of clear deadlines, procedural certainty and automatic sequencing weakens the preventive and sanctioning functions of Article 7 TEU, and therefore undermines its credibility and effectiveness as a tool for safeguarding the values enshrined in Article 2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Sophie Wilmès, Lucia Yar, Veronika Cifrová Ostrihoňová, Hilde Vautmans, Nikola Minchev, Raquel García Hermida-Van Der Walle, Fabienne Keller, Malik Azmani, Irena Joveva, Anna-Maja Henriksson, 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d.</w:t>
            </w:r>
            <w:r>
              <w:tab/>
            </w:r>
            <w:r>
              <w:rPr>
                <w:b/>
                <w:i/>
              </w:rPr>
              <w:t>Recalls that under Article 7(2) TEU, the Council may decide to suspend certain rights deriving from the application of the Treaties to the Member State concerned, including but not limited to the voting rights of its representative in the Council ; stresses that the provision leaves open the possibility of suspending other rights, and calls on the Council to clarify the potential scope of such sanctions, which could, for example, include restrictions on participation in enhanced cooperation or restrictions on access to certain benefits of the internal market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778.253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116</w:t>
    </w:r>
    <w:r>
      <w:fldChar w:fldCharType="end"/>
    </w:r>
    <w:r>
      <w:t>/</w:t>
    </w:r>
    <w:r>
      <w:fldChar w:fldCharType="begin"/>
    </w:r>
    <w:r>
      <w:instrText xml:space="preserve"> NUMPAGES </w:instrText>
    </w:r>
    <w:r>
      <w:fldChar w:fldCharType="separate"/>
    </w:r>
    <w:r>
      <w:t>117</w:t>
    </w:r>
    <w:r>
      <w:fldChar w:fldCharType="end"/>
    </w:r>
    <w:r>
      <w:tab/>
    </w:r>
    <w:r>
      <w:rPr>
        <w:rStyle w:val="HideTWBExt"/>
      </w:rPr>
      <w:t>&lt;PathFdR&gt;</w:t>
    </w:r>
    <w:r>
      <w:t>AM\1329419EN.docx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AM\1329419EN.docx</w:t>
    </w:r>
    <w:r>
      <w:rPr>
        <w:rStyle w:val="HideTWBExt"/>
      </w:rPr>
      <w:t>&lt;/PathFdR&gt;</w:t>
    </w:r>
    <w:r>
      <w:tab/>
    </w:r>
    <w:r>
      <w:fldChar w:fldCharType="begin"/>
    </w:r>
    <w:r>
      <w:instrText xml:space="preserve"> PAGE </w:instrText>
    </w:r>
    <w:r>
      <w:fldChar w:fldCharType="separate"/>
    </w:r>
    <w:r>
      <w:t>117</w:t>
    </w:r>
    <w:r>
      <w:fldChar w:fldCharType="end"/>
    </w:r>
    <w:r>
      <w:t>/</w:t>
    </w:r>
    <w:r>
      <w:fldChar w:fldCharType="begin"/>
    </w:r>
    <w:r>
      <w:instrText xml:space="preserve"> NUMPAGES </w:instrText>
    </w:r>
    <w:r>
      <w:fldChar w:fldCharType="separate"/>
    </w:r>
    <w:r>
      <w:t>117</w:t>
    </w:r>
    <w:r>
      <w:fldChar w:fldCharType="end"/>
    </w:r>
    <w:r>
      <w:tab/>
    </w:r>
    <w:r>
      <w:t>PE</w:t>
    </w:r>
    <w:r>
      <w:rPr>
        <w:rStyle w:val="HideTWBExt"/>
      </w:rPr>
      <w:t>&lt;NoPE&gt;</w:t>
    </w:r>
    <w:r>
      <w:t>778.253</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AM\1329419EN.docx</w:t>
    </w:r>
    <w:r>
      <w:rPr>
        <w:rStyle w:val="HideTWBExt"/>
      </w:rPr>
      <w:t>&lt;/PathFdR&gt;</w:t>
    </w:r>
    <w:r>
      <w:tab/>
    </w:r>
    <w:r>
      <w:tab/>
    </w:r>
    <w:r>
      <w:t>PE</w:t>
    </w:r>
    <w:r>
      <w:rPr>
        <w:rStyle w:val="HideTWBExt"/>
      </w:rPr>
      <w:t>&lt;NoPE&gt;</w:t>
    </w:r>
    <w:r>
      <w:t>778.253</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117</Pages>
  <Words>30674</Words>
  <Characters>172342</Characters>
  <Application>Microsoft Office Word</Application>
  <DocSecurity>0</DocSecurity>
  <Lines>1</Lines>
  <Paragraphs>1451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1329419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258564</vt:lpwstr>
  </property>
  <property fmtid="{D5CDD505-2E9C-101B-9397-08002B2CF9AE}" pid="7" name="dmxml.render.traceId">
    <vt:lpwstr>68e7d5029d7ed47158fe54c1d078e5ac</vt:lpwstr>
  </property>
  <property fmtid="{D5CDD505-2E9C-101B-9397-08002B2CF9AE}" pid="8" name="FooterPath">
    <vt:lpwstr>AM\1329419EN.docx</vt:lpwstr>
  </property>
  <property fmtid="{D5CDD505-2E9C-101B-9397-08002B2CF9AE}" pid="9" name="PE Number">
    <vt:lpwstr>778.253</vt:lpwstr>
  </property>
  <property fmtid="{D5CDD505-2E9C-101B-9397-08002B2CF9AE}" pid="10" name="UID">
    <vt:lpwstr>eu.europa.europarl-DIN1-2025-0000186498_01.00-en-01.00_text-xml</vt:lpwstr>
  </property>
</Properties>
</file>