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Europaparlamentet</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{LIBE}</w:t>
      </w:r>
      <w:r>
        <w:t>Utskottet för medborgerliga fri- och rättigheter samt rättsliga och inrikes frågor</w:t>
      </w:r>
      <w:r>
        <w:rPr>
          <w:rStyle w:val="HideTWBExt"/>
        </w:rPr>
        <w:t>&lt;/Commission&gt;</w:t>
      </w:r>
    </w:p>
    <w:p>
      <w:pPr>
        <w:pStyle w:val="LineBottom"/>
      </w:pPr>
      <w:r>
        <w:t xml:space="preserve"> </w:t>
      </w:r>
    </w:p>
    <w:p>
      <w:pPr>
        <w:pStyle w:val="CoverReference"/>
      </w:pPr>
      <w:r>
        <w:rPr>
          <w:rStyle w:val="HideTWBExt"/>
        </w:rPr>
        <w:t>&lt;RefProc&gt;</w:t>
      </w:r>
      <w:r>
        <w:t>2025/2137</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{17/11/2025}</w:t>
      </w:r>
      <w:r>
        <w:t>17.11.2025</w:t>
      </w:r>
      <w:r>
        <w:rPr>
          <w:rStyle w:val="HideTWBExt"/>
        </w:rPr>
        <w:t>&lt;/Date&gt;</w:t>
      </w:r>
    </w:p>
    <w:p>
      <w:pPr>
        <w:pStyle w:val="CoverDocType"/>
      </w:pPr>
      <w:r>
        <w:rPr>
          <w:rStyle w:val="HideTWBExt"/>
        </w:rPr>
        <w:t>&lt;TypeAM&gt;</w:t>
      </w:r>
      <w:r>
        <w:t>ÄNDRINGSFÖRSLAG</w:t>
      </w:r>
      <w:r>
        <w:rPr>
          <w:rStyle w:val="HideTWBExt"/>
        </w:rPr>
        <w:t>&lt;/TypeAM&gt;</w:t>
      </w:r>
    </w:p>
    <w:p>
      <w:pPr>
        <w:pStyle w:val="CoverDocType24a"/>
      </w:pPr>
      <w:r>
        <w:rPr>
          <w:rStyle w:val="HideTWBExt"/>
        </w:rPr>
        <w:t>&lt;RangeAM&gt;</w:t>
      </w:r>
      <w:r>
        <w:t>1</w:t>
      </w:r>
      <w:r>
        <w:t xml:space="preserve"> - </w:t>
      </w:r>
      <w:r>
        <w:t>141</w:t>
      </w:r>
      <w:r>
        <w:rPr>
          <w:rStyle w:val="HideTWBExt"/>
        </w:rPr>
        <w:t>&lt;/RangeAM&gt;</w:t>
      </w:r>
    </w:p>
    <w:p>
      <w:pPr>
        <w:pStyle w:val="CoverBold"/>
      </w:pPr>
      <w:r>
        <w:rPr>
          <w:rStyle w:val="HideTWBExt"/>
        </w:rPr>
        <w:t>&lt;TitreType&gt;</w:t>
      </w:r>
      <w:r>
        <w:t>Förslag till betänkande</w:t>
      </w:r>
      <w:r>
        <w:rPr>
          <w:rStyle w:val="HideTWBExt"/>
        </w:rPr>
        <w:t>&lt;/TitreType&gt;</w:t>
      </w:r>
    </w:p>
    <w:p>
      <w:pPr>
        <w:pStyle w:val="CoverBold"/>
      </w:pPr>
      <w:r>
        <w:rPr>
          <w:rStyle w:val="HideTWBExt"/>
        </w:rPr>
        <w:t>&lt;Rapporteur&gt;</w:t>
      </w:r>
      <w:r>
        <w:t>Veronika Cifrová Ostrihoňová</w:t>
      </w:r>
      <w:r>
        <w:rPr>
          <w:rStyle w:val="HideTWBExt"/>
        </w:rPr>
        <w:t>&lt;/Rapporteur&gt;</w:t>
      </w:r>
    </w:p>
    <w:p>
      <w:pPr>
        <w:pStyle w:val="CoverNormal24a"/>
      </w:pPr>
      <w:r>
        <w:rPr>
          <w:rStyle w:val="HideTWBExt"/>
        </w:rPr>
        <w:t>&lt;DocRefPE&gt;</w:t>
      </w:r>
      <w:r>
        <w:t>(PE778.284v01-00)</w:t>
      </w:r>
      <w:r>
        <w:rPr>
          <w:rStyle w:val="HideTWBExt"/>
        </w:rPr>
        <w:t>&lt;/DocRefPE&gt;</w:t>
      </w:r>
    </w:p>
    <w:p>
      <w:pPr>
        <w:pStyle w:val="CoverNormal"/>
      </w:pPr>
      <w:r>
        <w:rPr>
          <w:rStyle w:val="HideTWBExt"/>
        </w:rPr>
        <w:t>&lt;Titre&gt;</w:t>
      </w:r>
      <w:r>
        <w:t>Allmänhetens tillgång till handlingar – rapport för 2022–2024</w:t>
      </w:r>
      <w:r>
        <w:rPr>
          <w:rStyle w:val="HideTWBExt"/>
        </w:rPr>
        <w:t>&lt;/Titre&gt;</w:t>
      </w:r>
    </w:p>
    <w:p>
      <w:pPr>
        <w:pStyle w:val="CoverNormal24a"/>
      </w:pPr>
      <w:r>
        <w:rPr>
          <w:rStyle w:val="HideTWBExt"/>
        </w:rPr>
        <w:t>&lt;DocRef&gt;</w:t>
      </w:r>
      <w:r>
        <w:t>(2025/2137(INI))</w:t>
      </w:r>
      <w:r>
        <w:rPr>
          <w:rStyle w:val="HideTWBExt"/>
        </w:rPr>
        <w:t>&lt;/DocRef&gt;</w:t>
      </w:r>
    </w:p>
    <w:p>
      <w:r>
        <w:br w:type="page"/>
      </w:r>
      <w:r>
        <w:t>AM_Com_NonLegReport</w:t>
      </w:r>
    </w:p>
    <w:p>
      <w:pPr>
        <w:pStyle w:val="AmNumberTabs"/>
      </w:pPr>
      <w:r>
        <w:br w:type="page"/>
      </w:r>
      <w:r>
        <w:rPr>
          <w:rStyle w:val="HideTWBExt"/>
        </w:rPr>
        <w:t>&lt;RepeatBlock-Amend&gt;</w:t>
      </w:r>
      <w:r>
        <w:rPr>
          <w:rStyle w:val="HideTWBExt"/>
        </w:rPr>
        <w:t>&lt;Amend&gt;</w:t>
      </w:r>
      <w:r>
        <w:t>Ändringsförslag</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4a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Europaparlamentets och rådets förordning (EG) nr 1367/2006 av den 6 september 2006 om tillämpning av bestämmelserna i Århuskonventionen om tillgång till information, allmänhetens deltagande i beslutsprocesser och tillgång till rättslig prövning i miljöfrågor på unionens institutioner och organ,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15a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EU-domstolens dom av den 17 juli 2024 i målen T-689/21,</w:t>
            </w:r>
            <w:r>
              <w:t xml:space="preserve"> </w:t>
            </w:r>
            <w:r>
              <w:rPr>
                <w:b/>
                <w:i/>
              </w:rPr>
              <w:t>Auken m.fl. mot kommissionen, och T-761/21,</w:t>
            </w:r>
            <w:r>
              <w:t xml:space="preserve"> </w:t>
            </w:r>
            <w:r>
              <w:rPr>
                <w:b/>
                <w:i/>
              </w:rPr>
              <w:t>Courtois m.fl. mot kommissionen</w:t>
            </w:r>
            <w:r>
              <w:rPr>
                <w:b/>
                <w:i/>
                <w:vertAlign w:val="superscript"/>
              </w:rPr>
              <w:t>1a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Tribunalens dom av den 17 juli 2025 i målen T-689/21,</w:t>
            </w:r>
            <w:r>
              <w:t xml:space="preserve"> </w:t>
            </w:r>
            <w:r>
              <w:rPr>
                <w:b/>
                <w:i/>
              </w:rPr>
              <w:t>Auken m.fl./kommissionen, ECLI:EU:T:2024:476, och T-761/21,</w:t>
            </w:r>
            <w:r>
              <w:t xml:space="preserve"> </w:t>
            </w:r>
            <w:r>
              <w:rPr>
                <w:b/>
                <w:i/>
              </w:rPr>
              <w:t>Courtois m.fl./kommissionen, ECLI:EU:T:2024:477.</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András László,Tom Vandendriessche,Matthieu Valet,António Tânger Corrêa,Alexandre Varaut,Marieke Ehlers,Jaroslav Bžoch,Fabrice Leggeri,Roberto Vannacci,Jorge Buxadé Villalba,Nikola Bartůšek,Petra Steger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16a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Europeiska revisionsrättens rapporter och rekommendationer, i synnerhet särskild rapport 11/2025</w:t>
            </w:r>
            <w:r>
              <w:t xml:space="preserve"> </w:t>
            </w:r>
            <w:r>
              <w:rPr>
                <w:b/>
                <w:i/>
              </w:rPr>
              <w:t>Insynen i EU-finansiering som beviljas icke-statliga organisationer,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EU:s fördrag garanterar varje medborgare rätten till demokratiskt deltagande och transparent beslutsfattande, vilket kräver att institutionerna ger allmänheten tillgång till handlingar. Denna grundläggande rätt till tillgång till handlingar, som skyddas av fördragen och stadgan, möjliggör en effektiv medborgargranskning</w:t>
            </w:r>
            <w:r>
              <w:rPr>
                <w:vertAlign w:val="superscript"/>
              </w:rPr>
              <w:t>12</w:t>
            </w:r>
            <w:r>
              <w:t>. EU-domstolen har bekräftat att allmänhetens tillgång till handlingar är en väsentlig del av deltagandedemokratin.</w:t>
            </w:r>
          </w:p>
        </w:tc>
        <w:tc>
          <w:tcPr>
            <w:tcW w:w="4876" w:type="dxa"/>
            <w:tcBorders>
              <w:top w:val="nil"/>
              <w:left w:val="nil"/>
              <w:bottom w:val="nil"/>
              <w:right w:val="nil"/>
            </w:tcBorders>
          </w:tcPr>
          <w:p>
            <w:pPr>
              <w:pStyle w:val="Normal6a"/>
            </w:pPr>
            <w:r>
              <w:t>A.</w:t>
            </w:r>
            <w:r>
              <w:tab/>
            </w:r>
            <w:r>
              <w:t>EU:s fördrag garanterar varje medborgare rätten till demokratiskt deltagande och transparent beslutsfattande, vilket kräver att institutionerna ger allmänheten tillgång till handlingar. Denna grundläggande rätt till tillgång till handlingar, som skyddas av fördragen och stadgan, möjliggör en effektiv medborgargranskning</w:t>
            </w:r>
            <w:r>
              <w:rPr>
                <w:vertAlign w:val="superscript"/>
              </w:rPr>
              <w:t>12</w:t>
            </w:r>
            <w:r>
              <w:t xml:space="preserve">. EU-domstolen har bekräftat att allmänhetens tillgång till handlingar är en väsentlig del av deltagandedemokratin. </w:t>
            </w:r>
            <w:r>
              <w:rPr>
                <w:b/>
                <w:i/>
              </w:rPr>
              <w:t>Domstolen har slagit fast att offentlig granskning av den information som lagstiftningsåtgärder bygger på är en förutsättning för utövandet av demokratiska rättigheter.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12</w:t>
            </w:r>
            <w:r>
              <w:t xml:space="preserve"> </w:t>
            </w:r>
            <w:r>
              <w:t>Artikel 10.3 i EU-fördraget, jämförd med skäl 13 i ingressen samt artikel 1.2 och artikel 9 i samma fördrag samt artikel 15 i EUF-fördraget.</w:t>
            </w:r>
          </w:p>
        </w:tc>
        <w:tc>
          <w:tcPr>
            <w:tcW w:w="4876" w:type="dxa"/>
            <w:tcBorders>
              <w:top w:val="nil"/>
              <w:left w:val="nil"/>
              <w:bottom w:val="nil"/>
              <w:right w:val="nil"/>
            </w:tcBorders>
          </w:tcPr>
          <w:p>
            <w:pPr>
              <w:pStyle w:val="Normal6a"/>
            </w:pPr>
            <w:r>
              <w:rPr>
                <w:vertAlign w:val="superscript"/>
              </w:rPr>
              <w:t>12</w:t>
            </w:r>
            <w:r>
              <w:t xml:space="preserve"> </w:t>
            </w:r>
            <w:r>
              <w:t>Artikel 10.3 i EU-fördraget, jämförd med skäl 13 i ingressen samt artikel 1.2 och artikel 9 i samma fördrag samt artikel 15 i EUF-fördraget.</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EU:s fördrag garanterar varje medborgare rätten till demokratiskt deltagande och transparent beslutsfattande, vilket kräver att </w:t>
            </w:r>
            <w:r>
              <w:rPr>
                <w:b/>
                <w:i/>
              </w:rPr>
              <w:t>institutionerna</w:t>
            </w:r>
            <w:r>
              <w:t xml:space="preserve"> ger allmänheten tillgång till handlingar. Denna grundläggande rätt till tillgång till handlingar, som skyddas av fördragen och stadgan, möjliggör en effektiv medborgargranskning</w:t>
            </w:r>
            <w:r>
              <w:rPr>
                <w:vertAlign w:val="superscript"/>
              </w:rPr>
              <w:t>12</w:t>
            </w:r>
            <w:r>
              <w:t>. EU-domstolen har bekräftat att allmänhetens tillgång till handlingar är en väsentlig del av deltagandedemokratin.</w:t>
            </w:r>
          </w:p>
        </w:tc>
        <w:tc>
          <w:tcPr>
            <w:tcW w:w="4876" w:type="dxa"/>
            <w:tcBorders>
              <w:top w:val="nil"/>
              <w:left w:val="nil"/>
              <w:bottom w:val="nil"/>
              <w:right w:val="nil"/>
            </w:tcBorders>
          </w:tcPr>
          <w:p>
            <w:pPr>
              <w:pStyle w:val="Normal6a"/>
            </w:pPr>
            <w:r>
              <w:t>A.</w:t>
            </w:r>
            <w:r>
              <w:tab/>
            </w:r>
            <w:r>
              <w:t xml:space="preserve">EU:s fördrag garanterar varje medborgare rätten till demokratiskt deltagande och transparent beslutsfattande, vilket kräver att </w:t>
            </w:r>
            <w:r>
              <w:rPr>
                <w:b/>
                <w:i/>
              </w:rPr>
              <w:t>EU:s institutioner, organ och byråer</w:t>
            </w:r>
            <w:r>
              <w:t xml:space="preserve"> ger allmänheten tillgång till handlingar. Denna grundläggande rätt till tillgång till handlingar, som skyddas av fördragen och stadgan, möjliggör en effektiv medborgargranskning</w:t>
            </w:r>
            <w:r>
              <w:rPr>
                <w:vertAlign w:val="superscript"/>
              </w:rPr>
              <w:t>12</w:t>
            </w:r>
            <w:r>
              <w:t xml:space="preserve"> </w:t>
            </w:r>
            <w:r>
              <w:rPr>
                <w:b/>
                <w:i/>
              </w:rPr>
              <w:t>och bör därför utövas på ett proaktivt sätt</w:t>
            </w:r>
            <w:r>
              <w:t>. EU-domstolen har bekräftat att allmänhetens tillgång till handlingar är en väsentlig del av deltagandedemokratin.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12</w:t>
            </w:r>
            <w:r>
              <w:t xml:space="preserve"> </w:t>
            </w:r>
            <w:r>
              <w:t>Artikel 10.3 i EU-fördraget, jämförd med skäl 13 i ingressen samt artikel 1.2 och artikel 9 i samma fördrag samt artikel 15 i EUF-fördraget.</w:t>
            </w:r>
          </w:p>
        </w:tc>
        <w:tc>
          <w:tcPr>
            <w:tcW w:w="4876" w:type="dxa"/>
            <w:tcBorders>
              <w:top w:val="nil"/>
              <w:left w:val="nil"/>
              <w:bottom w:val="nil"/>
              <w:right w:val="nil"/>
            </w:tcBorders>
          </w:tcPr>
          <w:p>
            <w:pPr>
              <w:pStyle w:val="Normal6a"/>
            </w:pPr>
            <w:r>
              <w:rPr>
                <w:vertAlign w:val="superscript"/>
              </w:rPr>
              <w:t>12</w:t>
            </w:r>
            <w:r>
              <w:t xml:space="preserve"> </w:t>
            </w:r>
            <w:r>
              <w:t>Artikel 10.3 i EU-fördraget, jämförd med skäl 13 i ingressen samt artikel 1.2 och artikel 9 i samma fördrag samt artikel 15 i EUF-fördraget.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EU-domstolen har betonat att offentlig granskning av lagstiftningsinformation är väsentlig för demokratin och gör det möjligt för medborgarna att på ett ändamålsenligt sätt utöva sina demokratiska rättigheter.</w:t>
            </w:r>
          </w:p>
        </w:tc>
        <w:tc>
          <w:tcPr>
            <w:tcW w:w="4876" w:type="dxa"/>
            <w:tcBorders>
              <w:top w:val="nil"/>
              <w:left w:val="nil"/>
              <w:bottom w:val="nil"/>
              <w:right w:val="nil"/>
            </w:tcBorders>
          </w:tcPr>
          <w:p>
            <w:pPr>
              <w:pStyle w:val="Normal6a"/>
            </w:pPr>
            <w:r>
              <w:t>B.</w:t>
            </w:r>
            <w:r>
              <w:tab/>
            </w:r>
            <w:r>
              <w:t>EU-domstolen har betonat att offentlig granskning av lagstiftningsinformation är väsentlig för demokratin och gör det möjligt för medborgarna att på ett ändamålsenligt sätt utöva sina demokratiska rättigheter</w:t>
            </w:r>
            <w:r>
              <w:rPr>
                <w:b/>
                <w:i/>
              </w:rPr>
              <w:t>, och att beslut måste fattas så öppet och så nära medborgarna som möjligt</w:t>
            </w:r>
            <w:r>
              <w:t>.</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EU-domstolen har betonat att offentlig granskning av lagstiftningsinformation är väsentlig för demokratin och gör det möjligt för medborgarna att på ett ändamålsenligt sätt utöva sina demokratiska rättigheter.</w:t>
            </w:r>
          </w:p>
        </w:tc>
        <w:tc>
          <w:tcPr>
            <w:tcW w:w="4876" w:type="dxa"/>
            <w:tcBorders>
              <w:top w:val="nil"/>
              <w:left w:val="nil"/>
              <w:bottom w:val="nil"/>
              <w:right w:val="nil"/>
            </w:tcBorders>
          </w:tcPr>
          <w:p>
            <w:pPr>
              <w:pStyle w:val="Normal6a"/>
            </w:pPr>
            <w:r>
              <w:t>B.</w:t>
            </w:r>
            <w:r>
              <w:tab/>
            </w:r>
            <w:r>
              <w:t xml:space="preserve">EU-domstolen har betonat </w:t>
            </w:r>
            <w:r>
              <w:rPr>
                <w:b/>
                <w:i/>
              </w:rPr>
              <w:t>att transparens är en väsentlig del av lagstiftningsförfarandet och</w:t>
            </w:r>
            <w:r>
              <w:t xml:space="preserve"> att offentlig granskning av lagstiftningsinformation är väsentlig för demokratin och gör det möjligt för medborgarna att på ett ändamålsenligt sätt utöva sina demokratiska rättigheter.</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Ba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I förordning (EG) nr 1049/2001 framhålls den särskilda vikten av att ge ännu större tillgång till handlingar i de fall där EU-institutionerna agerar i egenskap av lagstiftare.</w:t>
            </w:r>
            <w:r>
              <w:t xml:space="preserve"> </w:t>
            </w:r>
            <w:r>
              <w:rPr>
                <w:b/>
                <w:i/>
              </w:rPr>
              <w:t>Det finns ett särskilt behov av att direkt tillgång till lagstiftningshandlingar säkerställs.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Medborgarna förväntar sig transparens, effektivitet och ansvarsskyldighet från offentliga myndigheter, vilket är helt befogat, och EU:s institutioner, organ och byråer bör uppfylla dessa förväntningar på ett tydligt och begripligt sätt.</w:t>
            </w:r>
          </w:p>
        </w:tc>
        <w:tc>
          <w:tcPr>
            <w:tcW w:w="4876" w:type="dxa"/>
            <w:tcBorders>
              <w:top w:val="nil"/>
              <w:left w:val="nil"/>
              <w:bottom w:val="nil"/>
              <w:right w:val="nil"/>
            </w:tcBorders>
          </w:tcPr>
          <w:p>
            <w:pPr>
              <w:pStyle w:val="Normal6a"/>
            </w:pPr>
            <w:r>
              <w:t>C.</w:t>
            </w:r>
            <w:r>
              <w:tab/>
            </w:r>
            <w:r>
              <w:t xml:space="preserve">Medborgarna förväntar sig transparens, effektivitet och ansvarsskyldighet från offentliga myndigheter, vilket är helt befogat, och EU:s institutioner, organ och byråer bör uppfylla dessa förväntningar på ett tydligt och begripligt sätt. </w:t>
            </w:r>
            <w:r>
              <w:rPr>
                <w:b/>
                <w:i/>
              </w:rPr>
              <w:t>Medborgarnas förtroende för EU:s institutioner, organ och byråer är grundläggande för demokrati, god förvaltning och effektivitet i EU:s beslutsfattande.</w:t>
            </w:r>
            <w:r>
              <w:t xml:space="preserve"> </w:t>
            </w:r>
            <w:r>
              <w:rPr>
                <w:b/>
                <w:i/>
              </w:rPr>
              <w:t>Principer om öppenhet och transparens bör styra inte bara beslutsprocessen utan även hur texter utarbetas.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Medborgarna förväntar sig transparens, effektivitet och ansvarsskyldighet från offentliga myndigheter, vilket är helt befogat, och EU:s institutioner, organ och byråer bör uppfylla dessa förväntningar på ett tydligt och begripligt sätt.</w:t>
            </w:r>
          </w:p>
        </w:tc>
        <w:tc>
          <w:tcPr>
            <w:tcW w:w="4876" w:type="dxa"/>
            <w:tcBorders>
              <w:top w:val="nil"/>
              <w:left w:val="nil"/>
              <w:bottom w:val="nil"/>
              <w:right w:val="nil"/>
            </w:tcBorders>
          </w:tcPr>
          <w:p>
            <w:pPr>
              <w:pStyle w:val="Normal6a"/>
            </w:pPr>
            <w:r>
              <w:t>C.</w:t>
            </w:r>
            <w:r>
              <w:tab/>
            </w:r>
            <w:r>
              <w:t xml:space="preserve">Medborgarna förväntar sig transparens, effektivitet och ansvarsskyldighet från offentliga myndigheter, vilket är helt befogat, och EU:s institutioner, organ och byråer bör uppfylla dessa förväntningar på ett tydligt och begripligt sätt. </w:t>
            </w:r>
            <w:r>
              <w:rPr>
                <w:b/>
                <w:i/>
              </w:rPr>
              <w:t>Öppenhet och god förvaltning i EU:s funktionssätt och beslutsprocess är avgörande för att bygga upp förtroendet för unionen och säkerställer att förvaltningens legitimitet, effektivitet och ansvarsskyldighet gentemot medborgarna ökar.</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w:t>
      </w:r>
      <w:r>
        <w:rPr>
          <w:rStyle w:val="HideTWBExt"/>
        </w:rPr>
        <w:t>&lt;/NumAm&gt;</w:t>
      </w:r>
    </w:p>
    <w:p>
      <w:pPr>
        <w:pStyle w:val="NormalBold"/>
      </w:pPr>
      <w:r>
        <w:rPr>
          <w:rStyle w:val="HideTWBExt"/>
          <w:b w:val="0"/>
        </w:rPr>
        <w:t>&lt;RepeatBlock-By&gt;</w:t>
      </w:r>
      <w:r>
        <w:rPr>
          <w:rStyle w:val="HideTWBExt"/>
          <w:b w:val="0"/>
        </w:rPr>
        <w:t>&lt;Members&gt;</w:t>
      </w:r>
      <w:r>
        <w:t>Pekka Toveri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Ca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Europeiska ombudsmannens uppdrag har varit avgörande för att skydda allmänhetens tillgång till handlingar, bland annat genom rekommendationerna i den särskilda rapporten OI/2/2022/OAM.</w:t>
            </w:r>
            <w:r>
              <w:t xml:space="preserve"> </w:t>
            </w:r>
            <w:r>
              <w:rPr>
                <w:b/>
                <w:i/>
              </w:rPr>
              <w:t>Unionens institutioner måste säkerställa att Europeiska ombudsmannen kan fortsätta att utföra detta uppdrag på ett effektivt sätt.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Tillgång till tillförlitlig och korrekt information är avgörande som skydd mot felaktig information </w:t>
            </w:r>
            <w:r>
              <w:rPr>
                <w:b/>
                <w:i/>
              </w:rPr>
              <w:t>och</w:t>
            </w:r>
            <w:r>
              <w:t xml:space="preserve"> för att </w:t>
            </w:r>
            <w:r>
              <w:rPr>
                <w:b/>
                <w:i/>
              </w:rPr>
              <w:t>motverka spridningen av desinformation</w:t>
            </w:r>
            <w:r>
              <w:t xml:space="preserve"> på ett ändamålsenligt sätt.</w:t>
            </w:r>
          </w:p>
        </w:tc>
        <w:tc>
          <w:tcPr>
            <w:tcW w:w="4876" w:type="dxa"/>
            <w:tcBorders>
              <w:top w:val="nil"/>
              <w:left w:val="nil"/>
              <w:bottom w:val="nil"/>
              <w:right w:val="nil"/>
            </w:tcBorders>
          </w:tcPr>
          <w:p>
            <w:pPr>
              <w:pStyle w:val="Normal6a"/>
            </w:pPr>
            <w:r>
              <w:t>D.</w:t>
            </w:r>
            <w:r>
              <w:tab/>
            </w:r>
            <w:r>
              <w:t>Tillgång till tillförlitlig och korrekt information är avgörande som skydd mot felaktig information</w:t>
            </w:r>
            <w:r>
              <w:rPr>
                <w:b/>
                <w:i/>
              </w:rPr>
              <w:t>,</w:t>
            </w:r>
            <w:r>
              <w:t xml:space="preserve"> för att på ett ändamålsenligt sätt </w:t>
            </w:r>
            <w:r>
              <w:rPr>
                <w:b/>
                <w:i/>
              </w:rPr>
              <w:t>motverka desinformation som sprids av fientliga stater och säkerställa att unionens institutioner och organ fungerar rättvist</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w:t>
      </w:r>
      <w:r>
        <w:rPr>
          <w:rStyle w:val="HideTWBExt"/>
        </w:rPr>
        <w:t>&lt;/NumAm&gt;</w:t>
      </w:r>
    </w:p>
    <w:p>
      <w:pPr>
        <w:pStyle w:val="NormalBold"/>
      </w:pPr>
      <w:r>
        <w:rPr>
          <w:rStyle w:val="HideTWBExt"/>
          <w:b w:val="0"/>
        </w:rPr>
        <w:t>&lt;RepeatBlock-By&gt;</w:t>
      </w:r>
      <w:r>
        <w:rPr>
          <w:rStyle w:val="HideTWBExt"/>
          <w:b w:val="0"/>
        </w:rPr>
        <w:t>&lt;Members&gt;</w:t>
      </w:r>
      <w:r>
        <w:t>Erik Kaliňák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Tillgång till tillförlitlig och korrekt information är </w:t>
            </w:r>
            <w:r>
              <w:rPr>
                <w:b/>
                <w:i/>
              </w:rPr>
              <w:t>avgörande som skydd mot felaktig</w:t>
            </w:r>
            <w:r>
              <w:t xml:space="preserve"> information </w:t>
            </w:r>
            <w:r>
              <w:rPr>
                <w:b/>
                <w:i/>
              </w:rPr>
              <w:t>och för att motverka spridningen av desinformation på ett ändamålsenligt sätt</w:t>
            </w:r>
            <w:r>
              <w:t>.</w:t>
            </w:r>
          </w:p>
        </w:tc>
        <w:tc>
          <w:tcPr>
            <w:tcW w:w="4876" w:type="dxa"/>
            <w:tcBorders>
              <w:top w:val="nil"/>
              <w:left w:val="nil"/>
              <w:bottom w:val="nil"/>
              <w:right w:val="nil"/>
            </w:tcBorders>
          </w:tcPr>
          <w:p>
            <w:pPr>
              <w:pStyle w:val="Normal6a"/>
            </w:pPr>
            <w:r>
              <w:t>D.</w:t>
            </w:r>
            <w:r>
              <w:tab/>
            </w:r>
            <w:r>
              <w:t xml:space="preserve">Tillgång </w:t>
            </w:r>
            <w:r>
              <w:rPr>
                <w:b/>
                <w:i/>
              </w:rPr>
              <w:t>i god tid</w:t>
            </w:r>
            <w:r>
              <w:t xml:space="preserve"> till tillförlitlig och korrekt information är </w:t>
            </w:r>
            <w:r>
              <w:rPr>
                <w:b/>
                <w:i/>
              </w:rPr>
              <w:t>av yttersta vikt, och omotiverat nekande av tillgång till</w:t>
            </w:r>
            <w:r>
              <w:t xml:space="preserve"> information </w:t>
            </w:r>
            <w:r>
              <w:rPr>
                <w:b/>
                <w:i/>
              </w:rPr>
              <w:t>skapar legitima tvivel hos EU-medborgarna om EU-institutionernas och deras företrädares verksamhet</w:t>
            </w:r>
            <w:r>
              <w:t>.</w:t>
            </w:r>
          </w:p>
        </w:tc>
      </w:tr>
    </w:tbl>
    <w:p>
      <w:pPr>
        <w:pStyle w:val="AmOrLang"/>
      </w:pPr>
      <w:r>
        <w:t xml:space="preserve">Or. </w:t>
      </w:r>
      <w:r>
        <w:rPr>
          <w:rStyle w:val="HideTWBExt"/>
        </w:rPr>
        <w:t>&lt;Original&gt;</w:t>
      </w:r>
      <w:r>
        <w:rPr>
          <w:rStyle w:val="HideTWBInt"/>
        </w:rPr>
        <w:t>{SK}</w:t>
      </w:r>
      <w:r>
        <w:t>sk</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14</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Tillgång till tillförlitlig och korrekt information är avgörande som skydd mot felaktig information och för att motverka spridningen av desinformation på ett ändamålsenligt sätt.</w:t>
            </w:r>
          </w:p>
        </w:tc>
        <w:tc>
          <w:tcPr>
            <w:tcW w:w="4876" w:type="dxa"/>
            <w:tcBorders>
              <w:top w:val="nil"/>
              <w:left w:val="nil"/>
              <w:bottom w:val="nil"/>
              <w:right w:val="nil"/>
            </w:tcBorders>
          </w:tcPr>
          <w:p>
            <w:pPr>
              <w:pStyle w:val="Normal6a"/>
            </w:pPr>
            <w:r>
              <w:t>D.</w:t>
            </w:r>
            <w:r>
              <w:tab/>
            </w:r>
            <w:r>
              <w:t xml:space="preserve">Tillgång till tillförlitlig och korrekt information är avgörande som skydd mot felaktig information och för att motverka spridningen av desinformation på ett ändamålsenligt sätt. </w:t>
            </w:r>
            <w:r>
              <w:rPr>
                <w:b/>
                <w:i/>
              </w:rPr>
              <w:t>Dröjsmål med beviljandet av tillgång undergräver denna process.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15</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Tillgång till tillförlitlig och korrekt information är avgörande som skydd mot felaktig information och för att motverka spridningen av desinformation på ett ändamålsenligt sätt.</w:t>
            </w:r>
          </w:p>
        </w:tc>
        <w:tc>
          <w:tcPr>
            <w:tcW w:w="4876" w:type="dxa"/>
            <w:tcBorders>
              <w:top w:val="nil"/>
              <w:left w:val="nil"/>
              <w:bottom w:val="nil"/>
              <w:right w:val="nil"/>
            </w:tcBorders>
          </w:tcPr>
          <w:p>
            <w:pPr>
              <w:pStyle w:val="Normal6a"/>
            </w:pPr>
            <w:r>
              <w:t>D.</w:t>
            </w:r>
            <w:r>
              <w:tab/>
            </w:r>
            <w:r>
              <w:t xml:space="preserve">Tillgång </w:t>
            </w:r>
            <w:r>
              <w:rPr>
                <w:b/>
                <w:i/>
              </w:rPr>
              <w:t>i god tid</w:t>
            </w:r>
            <w:r>
              <w:t xml:space="preserve"> till tillförlitlig och korrekt information är avgörande som skydd mot felaktig information och för att motverka spridningen av desinformation på ett ändamålsenligt sätt.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16</w:t>
      </w:r>
      <w:r>
        <w:rPr>
          <w:rStyle w:val="HideTWBExt"/>
        </w:rPr>
        <w:t>&lt;/NumAm&gt;</w:t>
      </w:r>
    </w:p>
    <w:p>
      <w:pPr>
        <w:pStyle w:val="NormalBold"/>
      </w:pPr>
      <w:r>
        <w:rPr>
          <w:rStyle w:val="HideTWBExt"/>
          <w:b w:val="0"/>
        </w:rPr>
        <w:t>&lt;RepeatBlock-By&gt;</w:t>
      </w:r>
      <w:r>
        <w:rPr>
          <w:rStyle w:val="HideTWBExt"/>
          <w:b w:val="0"/>
        </w:rPr>
        <w:t>&lt;Members&gt;</w:t>
      </w:r>
      <w:r>
        <w:t>Veronika Cifrová Ostrihoňová,Fabienne Keller,Sophie Wilmès,Irena Joveva,Lucia Yar,Malik Azmani,Nikola Minchev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Da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Öppenhet och god samhällsstyrning är avgörande för att bygga upp förtroende, legitimitet och ansvarsskyldighet i EU.</w:t>
            </w:r>
            <w:r>
              <w:t xml:space="preserve"> </w:t>
            </w:r>
            <w:r>
              <w:rPr>
                <w:b/>
                <w:i/>
              </w:rPr>
              <w:t>Unionen bygger på representativ demokrati, och dess institutioner, organ och byråer måste upprätthålla de högsta standarderna när det gäller transparens och integritet.</w:t>
            </w:r>
            <w:r>
              <w:t xml:space="preserve"> </w:t>
            </w:r>
            <w:r>
              <w:rPr>
                <w:b/>
                <w:i/>
              </w:rPr>
              <w:t>Effektiv demokratisk tillsyn kräver robust granskning och medborgardeltagande i syfte att främja god samhällsstyrning.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17</w:t>
      </w:r>
      <w:r>
        <w:rPr>
          <w:rStyle w:val="HideTWBExt"/>
        </w:rPr>
        <w:t>&lt;/NumAm&gt;</w:t>
      </w:r>
    </w:p>
    <w:p>
      <w:pPr>
        <w:pStyle w:val="NormalBold"/>
      </w:pPr>
      <w:r>
        <w:rPr>
          <w:rStyle w:val="HideTWBExt"/>
          <w:b w:val="0"/>
        </w:rPr>
        <w:t>&lt;RepeatBlock-By&gt;</w:t>
      </w:r>
      <w:r>
        <w:rPr>
          <w:rStyle w:val="HideTWBExt"/>
          <w:b w:val="0"/>
        </w:rPr>
        <w:t>&lt;Members&gt;</w:t>
      </w:r>
      <w:r>
        <w:t>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Da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I mål 1499/2021/SF förklarade ombudsmannen entydigt att rådets avslag på begäran om att ge allmänheten full tillgång till handlingar som rör förhandlingar om lagstiftning utgjorde ett administrativt missförhållande.</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18</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Europeiska ombudsmannens strategiska undersökning som beskrivs i den särskilda rapporten OI/2/2022/OAM avslöjade systemrelaterade och betydande dröjsmål från kommissionens sida, särskilt i dess hantering av bekräftande ansökningar (begäranden från sökande om att se över det ursprungliga svaret) till följd av ursprungliga nekanden till att ge medborgarna tillgång till handlingar.</w:t>
            </w:r>
          </w:p>
        </w:tc>
        <w:tc>
          <w:tcPr>
            <w:tcW w:w="4876" w:type="dxa"/>
            <w:tcBorders>
              <w:top w:val="nil"/>
              <w:left w:val="nil"/>
              <w:bottom w:val="nil"/>
              <w:right w:val="nil"/>
            </w:tcBorders>
          </w:tcPr>
          <w:p>
            <w:pPr>
              <w:pStyle w:val="Normal6a"/>
            </w:pPr>
            <w:r>
              <w:t>E.</w:t>
            </w:r>
            <w:r>
              <w:tab/>
            </w:r>
            <w:r>
              <w:t xml:space="preserve">Europeiska ombudsmannens strategiska undersökning som beskrivs i den särskilda rapporten OI/2/2022/OAM avslöjade systemrelaterade och betydande dröjsmål från kommissionens sida, särskilt i dess hantering av bekräftande ansökningar (begäranden från sökande om att se över det ursprungliga svaret) till följd av ursprungliga nekanden till att ge medborgarna tillgång till handlingar. </w:t>
            </w:r>
            <w:r>
              <w:rPr>
                <w:b/>
                <w:i/>
              </w:rPr>
              <w:t>Det föreskrivs inga påföljder för underlåtenhet att iaktta den tidsfrist på 15 dagar som fastställs i artikel 7 i förordning (EG) nr 1049/2001 när tillgång till handlingar beviljas eller nekas.</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19</w:t>
      </w:r>
      <w:r>
        <w:rPr>
          <w:rStyle w:val="HideTWBExt"/>
        </w:rPr>
        <w:t>&lt;/NumAm&gt;</w:t>
      </w:r>
    </w:p>
    <w:p>
      <w:pPr>
        <w:pStyle w:val="NormalBold"/>
      </w:pPr>
      <w:r>
        <w:rPr>
          <w:rStyle w:val="HideTWBExt"/>
          <w:b w:val="0"/>
        </w:rPr>
        <w:t>&lt;RepeatBlock-By&gt;</w:t>
      </w:r>
      <w:r>
        <w:rPr>
          <w:rStyle w:val="HideTWBExt"/>
          <w:b w:val="0"/>
        </w:rPr>
        <w:t>&lt;Members&gt;</w:t>
      </w:r>
      <w:r>
        <w:t>András László,Tom Vandendriessche,Matthieu Valet,António Tânger Corrêa,Alexandre Varaut,Marieke Ehlers,Jaroslav Bžoch,Fabrice Leggeri,Roberto Vannacci,Jorge Buxadé Villalba,Nikola Bartůšek,Petra Steger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Ea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Europeiska revisionsrätten konstaterade i sin särskilda rapport 11/2025 att icke-statliga organisationer har stort inflytande på EU:s beslutsprocess men att det råder brist på transparens när det gäller den EU-finansiering som beviljas dessa enheter.</w:t>
            </w:r>
            <w:r>
              <w:t xml:space="preserve"> </w:t>
            </w:r>
            <w:r>
              <w:rPr>
                <w:b/>
                <w:i/>
              </w:rPr>
              <w:t>I rapporten konstaterades att viktiga aspekter av en icke-statlig organisations status systematiskt inte kontrollerades, vilket ledde till att enheter klassificerades felaktigt som icke-statliga organisationer i systemet för finansiell öppenhet.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20</w:t>
      </w:r>
      <w:r>
        <w:rPr>
          <w:rStyle w:val="HideTWBExt"/>
        </w:rPr>
        <w:t>&lt;/NumAm&gt;</w:t>
      </w:r>
    </w:p>
    <w:p>
      <w:pPr>
        <w:pStyle w:val="NormalBold"/>
      </w:pPr>
      <w:r>
        <w:rPr>
          <w:rStyle w:val="HideTWBExt"/>
          <w:b w:val="0"/>
        </w:rPr>
        <w:t>&lt;RepeatBlock-By&gt;</w:t>
      </w:r>
      <w:r>
        <w:rPr>
          <w:rStyle w:val="HideTWBExt"/>
          <w:b w:val="0"/>
        </w:rPr>
        <w:t>&lt;Members&gt;</w:t>
      </w:r>
      <w:r>
        <w:t>Veronika Cifrová Ostrihoňová,Fabienne Keller,Sophie Wilmès,Malik Azmani,Nikola Minchev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Ea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I förordning (EG) nr 1049/2001 framhålls vikten av att större tillgång till handlingar ges i de fall där EU:s institutioner agerar i egenskap av lagstiftare samt behovet att säkerställa direkt tillgång till lagstiftningshandlingar.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21</w:t>
      </w:r>
      <w:r>
        <w:rPr>
          <w:rStyle w:val="HideTWBExt"/>
        </w:rPr>
        <w:t>&lt;/NumAm&gt;</w:t>
      </w:r>
    </w:p>
    <w:p>
      <w:pPr>
        <w:pStyle w:val="NormalBold"/>
      </w:pPr>
      <w:r>
        <w:rPr>
          <w:rStyle w:val="HideTWBExt"/>
          <w:b w:val="0"/>
        </w:rPr>
        <w:t>&lt;RepeatBlock-By&gt;</w:t>
      </w:r>
      <w:r>
        <w:rPr>
          <w:rStyle w:val="HideTWBExt"/>
          <w:b w:val="0"/>
        </w:rPr>
        <w:t>&lt;Members&gt;</w:t>
      </w:r>
      <w:r>
        <w:t>András László,Tom Vandendriessche,Matthieu Valet,António Tânger Corrêa,Alexandre Varaut,Marieke Ehlers,Jaroslav Bžoch,Fabrice Leggeri,Roberto Vannacci,Jorge Buxadé Villalba,Nikola Bartůšek,Petra Steger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Eb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Eb.</w:t>
            </w:r>
            <w:r>
              <w:tab/>
            </w:r>
            <w:r>
              <w:rPr>
                <w:b/>
                <w:i/>
              </w:rPr>
              <w:t>I revisionsrättens rapport betonades att det är tillåtet för icke-statliga organisationer att få bidrag för att täcka sina driftskostnader, även för opinionsbildning, men i sin revision anger revisionsrätten tydligt att kommissionen inte lämnar några upplysningar om den opinionsbildande verksamhet som finansieras.</w:t>
            </w:r>
            <w:r>
              <w:t xml:space="preserve"> </w:t>
            </w:r>
            <w:r>
              <w:rPr>
                <w:b/>
                <w:i/>
              </w:rPr>
              <w:t>Privatpersoner och ledamöter av Europaparlamentet har upprepade gånger utan framgång begärt tillgång till kontrakt med icke-statliga organisationer.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22</w:t>
      </w:r>
      <w:r>
        <w:rPr>
          <w:rStyle w:val="HideTWBExt"/>
        </w:rPr>
        <w:t>&lt;/NumAm&gt;</w:t>
      </w:r>
    </w:p>
    <w:p>
      <w:pPr>
        <w:pStyle w:val="NormalBold"/>
      </w:pPr>
      <w:r>
        <w:rPr>
          <w:rStyle w:val="HideTWBExt"/>
          <w:b w:val="0"/>
        </w:rPr>
        <w:t>&lt;RepeatBlock-By&gt;</w:t>
      </w:r>
      <w:r>
        <w:rPr>
          <w:rStyle w:val="HideTWBExt"/>
          <w:b w:val="0"/>
        </w:rPr>
        <w:t>&lt;Members&gt;</w:t>
      </w:r>
      <w:r>
        <w:t>András László,Tom Vandendriessche,Matthieu Valet,António Tânger Corrêa,Alexandre Varaut,Marieke Ehlers,Jaroslav Bžoch,Fabrice Leggeri,Roberto Vannacci,Jorge Buxadé Villalba,Nikola Bartůšek,Petra Steger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Ec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Ec.</w:t>
            </w:r>
            <w:r>
              <w:tab/>
            </w:r>
            <w:r>
              <w:rPr>
                <w:b/>
                <w:i/>
              </w:rPr>
              <w:t>Enligt revisionsrätten genomförde kommissionen inte några ordentliga kontroller avseende de icke-statliga organisationernas ekonomiska beroende och finansieringskällor, vilket innebär att de verkliga intressenterna bakom enheter som får miljoner i EU-medel förbi­gicks.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23</w:t>
      </w:r>
      <w:r>
        <w:rPr>
          <w:rStyle w:val="HideTWBExt"/>
        </w:rPr>
        <w:t>&lt;/NumAm&gt;</w:t>
      </w:r>
    </w:p>
    <w:p>
      <w:pPr>
        <w:pStyle w:val="NormalBold"/>
      </w:pPr>
      <w:r>
        <w:rPr>
          <w:rStyle w:val="HideTWBExt"/>
          <w:b w:val="0"/>
        </w:rPr>
        <w:t>&lt;RepeatBlock-By&gt;</w:t>
      </w:r>
      <w:r>
        <w:rPr>
          <w:rStyle w:val="HideTWBExt"/>
          <w:b w:val="0"/>
        </w:rPr>
        <w:t>&lt;Members&gt;</w:t>
      </w:r>
      <w:r>
        <w:t>András László,Tom Vandendriessche,Matthieu Valet,António Tânger Corrêa,Alexandre Varaut,Marieke Ehlers,Jaroslav Bžoch,Fabrice Leggeri,Roberto Vannacci,Jorge Buxadé Villalba,Nikola Bartůšek,Petra Steger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Ed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Ed.</w:t>
            </w:r>
            <w:r>
              <w:tab/>
            </w:r>
            <w:r>
              <w:rPr>
                <w:b/>
                <w:i/>
              </w:rPr>
              <w:t>I åratal har kommissionen dragit sig undan sitt ansvar och inte hanterat allmänhetens tillgång till handlingar på ett korrekt sätt.</w:t>
            </w:r>
            <w:r>
              <w:t xml:space="preserve"> </w:t>
            </w:r>
            <w:r>
              <w:rPr>
                <w:b/>
                <w:i/>
              </w:rPr>
              <w:t>De bidrag som beviljas icke-statliga organisationer är i hög grad inte transparenta.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24</w:t>
      </w:r>
      <w:r>
        <w:rPr>
          <w:rStyle w:val="HideTWBExt"/>
        </w:rPr>
        <w:t>&lt;/NumAm&gt;</w:t>
      </w:r>
    </w:p>
    <w:p>
      <w:pPr>
        <w:pStyle w:val="NormalBold"/>
      </w:pPr>
      <w:r>
        <w:rPr>
          <w:rStyle w:val="HideTWBExt"/>
          <w:b w:val="0"/>
        </w:rPr>
        <w:t>&lt;RepeatBlock-By&gt;</w:t>
      </w:r>
      <w:r>
        <w:rPr>
          <w:rStyle w:val="HideTWBExt"/>
          <w:b w:val="0"/>
        </w:rPr>
        <w:t>&lt;Members&gt;</w:t>
      </w:r>
      <w:r>
        <w:t>András László,Tom Vandendriessche,Matthieu Valet,António Tânger Corrêa,Alexandre Varaut,Marieke Ehlers,Jaroslav Bžoch,Fabrice Leggeri,Roberto Vannacci,Jorge Buxadé Villalba,Nikola Bartůšek,Petra Steger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Ee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Ee.</w:t>
            </w:r>
            <w:r>
              <w:tab/>
            </w:r>
            <w:r>
              <w:rPr>
                <w:b/>
                <w:i/>
              </w:rPr>
              <w:t>Efter upprepade begäranden offentliggjorde kommissionen en förteckning över bidrag till icke-statliga organisationer för perioden 2019–2023, vars totala värde uppgår till 17 miljarder euro, och över 37 000 kontrakt finns tillgängliga på www.ngotransparency.eu.</w:t>
            </w:r>
            <w:r>
              <w:t xml:space="preserve"> </w:t>
            </w:r>
            <w:r>
              <w:rPr>
                <w:b/>
                <w:i/>
              </w:rPr>
              <w:t>Varken bidragsöverenskommelserna eller de finansiella rapporterna är tillgängliga för allmänheten.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25</w:t>
      </w:r>
      <w:r>
        <w:rPr>
          <w:rStyle w:val="HideTWBExt"/>
        </w:rPr>
        <w:t>&lt;/NumAm&gt;</w:t>
      </w:r>
    </w:p>
    <w:p>
      <w:pPr>
        <w:pStyle w:val="NormalBold"/>
      </w:pPr>
      <w:r>
        <w:rPr>
          <w:rStyle w:val="HideTWBExt"/>
          <w:b w:val="0"/>
        </w:rPr>
        <w:t>&lt;RepeatBlock-By&gt;</w:t>
      </w:r>
      <w:r>
        <w:rPr>
          <w:rStyle w:val="HideTWBExt"/>
          <w:b w:val="0"/>
        </w:rPr>
        <w:t>&lt;Members&gt;</w:t>
      </w:r>
      <w:r>
        <w:t>András László,Tom Vandendriessche,Matthieu Valet,António Tânger Corrêa,Alexandre Varaut,Marieke Ehlers,Jaroslav Bžoch,Fabrice Leggeri,Roberto Vannacci,Jorge Buxadé Villalba,Nikola Bartůšek,Petra Steger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Ef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Ef.</w:t>
            </w:r>
            <w:r>
              <w:tab/>
            </w:r>
            <w:r>
              <w:rPr>
                <w:b/>
                <w:i/>
              </w:rPr>
              <w:t>Kommissionen hindrar avsiktligt transparensen, trots att det handlar om europeiska skattebetalares pengar.</w:t>
            </w:r>
            <w:r>
              <w:t xml:space="preserve"> </w:t>
            </w:r>
            <w:r>
              <w:rPr>
                <w:b/>
                <w:i/>
              </w:rPr>
              <w:t>De senaste årens skandaler har visat att EU har gett icke-statliga organisationer finansiering för politisk lobbning, inbegripet parlamentet.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26</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 xml:space="preserve">I maj 2021 begärde en journalist tillgång till handlingar, bland annat textmeddelanden mellan kommissionens ordförande och Pfizer, men kommissionen uppgav att den inte hade några sådana förteckningar på grundval av interna regler för registrering. Europeiska ombudsmannen </w:t>
            </w:r>
            <w:r>
              <w:rPr>
                <w:b/>
                <w:i/>
              </w:rPr>
              <w:t>ansåg</w:t>
            </w:r>
            <w:r>
              <w:t xml:space="preserve"> att detta svar </w:t>
            </w:r>
            <w:r>
              <w:rPr>
                <w:b/>
                <w:i/>
              </w:rPr>
              <w:t>var otillräckligt och rekommenderade</w:t>
            </w:r>
            <w:r>
              <w:t xml:space="preserve"> en förnyad sökning, i enlighet med kraven på allmänhetens tillgång enligt förordning (EG) nr 1049/2001.</w:t>
            </w:r>
          </w:p>
        </w:tc>
        <w:tc>
          <w:tcPr>
            <w:tcW w:w="4876" w:type="dxa"/>
            <w:tcBorders>
              <w:top w:val="nil"/>
              <w:left w:val="nil"/>
              <w:bottom w:val="nil"/>
              <w:right w:val="nil"/>
            </w:tcBorders>
          </w:tcPr>
          <w:p>
            <w:pPr>
              <w:pStyle w:val="Normal6a"/>
            </w:pPr>
            <w:r>
              <w:t>F.</w:t>
            </w:r>
            <w:r>
              <w:tab/>
            </w:r>
            <w:r>
              <w:t xml:space="preserve">I maj 2021 begärde en journalist tillgång till handlingar, bland annat textmeddelanden mellan kommissionens ordförande och Pfizer, men kommissionen uppgav att den inte hade några sådana förteckningar på grundval av interna regler för registrering. </w:t>
            </w:r>
            <w:r>
              <w:rPr>
                <w:b/>
                <w:i/>
              </w:rPr>
              <w:t>Det sätt på vilket kommissionen hanterade ärendet ger anledning till oro.</w:t>
            </w:r>
            <w:r>
              <w:t xml:space="preserve"> Europeiska ombudsmannen </w:t>
            </w:r>
            <w:r>
              <w:rPr>
                <w:b/>
                <w:i/>
              </w:rPr>
              <w:t>kom fram till</w:t>
            </w:r>
            <w:r>
              <w:t xml:space="preserve"> att detta svar </w:t>
            </w:r>
            <w:r>
              <w:rPr>
                <w:b/>
                <w:i/>
              </w:rPr>
              <w:t>utgjorde ett administrativt missförhållande och lade fram flera rekommendationer som en uppföljning av ärendet, bland annat om registrering av textmeddelanden och</w:t>
            </w:r>
            <w:r>
              <w:t xml:space="preserve"> en förnyad sökning, i enlighet med kraven på allmänhetens tillgång enligt förordning (EG) nr 1049/2001. </w:t>
            </w:r>
            <w:r>
              <w:rPr>
                <w:b/>
                <w:i/>
              </w:rPr>
              <w:t>Tribunalen ogiltigförklarade kommissionens beslut i maj 2025.</w:t>
            </w:r>
            <w:r>
              <w:t xml:space="preserve"> </w:t>
            </w:r>
            <w:r>
              <w:rPr>
                <w:b/>
                <w:i/>
              </w:rPr>
              <w:t>Enligt tribunalen underlät kommissionen att ge en rimlig förklaring till varför den inte hade de begärda handlingarna i sin besittning.</w:t>
            </w:r>
            <w:r>
              <w:rPr>
                <w:b/>
                <w:i/>
                <w:vertAlign w:val="superscript"/>
              </w:rPr>
              <w:t>1a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Mål T-36/23,</w:t>
            </w:r>
            <w:r>
              <w:t xml:space="preserve"> </w:t>
            </w:r>
            <w:r>
              <w:rPr>
                <w:b/>
                <w:i/>
              </w:rPr>
              <w:t>Stevi och The New York Times/kommissionen, pressmeddelande:</w:t>
            </w:r>
            <w:r>
              <w:t xml:space="preserve"> </w:t>
            </w:r>
            <w:r>
              <w:rPr>
                <w:b/>
                <w:i/>
              </w:rPr>
              <w:t>https://curia.europa.eu/jcms/upload/docs/application/pdf/2025-05/cp250060sv.pdf</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27</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I maj 2021 begärde en journalist tillgång till handlingar, bland annat textmeddelanden mellan kommissionens ordförande och Pfizer, men kommissionen uppgav att den inte hade några sådana förteckningar på grundval av interna regler för registrering. Europeiska ombudsmannen ansåg att detta svar var otillräckligt och rekommenderade en förnyad sökning, i enlighet med kraven på allmänhetens tillgång enligt förordning (EG) nr 1049/2001.</w:t>
            </w:r>
          </w:p>
        </w:tc>
        <w:tc>
          <w:tcPr>
            <w:tcW w:w="4876" w:type="dxa"/>
            <w:tcBorders>
              <w:top w:val="nil"/>
              <w:left w:val="nil"/>
              <w:bottom w:val="nil"/>
              <w:right w:val="nil"/>
            </w:tcBorders>
          </w:tcPr>
          <w:p>
            <w:pPr>
              <w:pStyle w:val="Normal6a"/>
            </w:pPr>
            <w:r>
              <w:t>F.</w:t>
            </w:r>
            <w:r>
              <w:tab/>
            </w:r>
            <w:r>
              <w:t xml:space="preserve">I maj 2021 begärde en journalist tillgång till handlingar, bland annat textmeddelanden mellan kommissionens ordförande och Pfizer, men kommissionen uppgav att den inte hade några sådana förteckningar på grundval av interna regler för registrering. Europeiska ombudsmannen ansåg att detta svar var otillräckligt och rekommenderade en förnyad sökning, i enlighet med kraven på allmänhetens tillgång enligt förordning (EG) nr 1049/2001. </w:t>
            </w:r>
            <w:r>
              <w:rPr>
                <w:b/>
                <w:i/>
              </w:rPr>
              <w:t>Parlamentet noterar att fallet avsevärt har urholkat kommissionens och dess ordförandes trovärdighet i allmänhetens ögon.</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28</w:t>
      </w:r>
      <w:r>
        <w:rPr>
          <w:rStyle w:val="HideTWBExt"/>
        </w:rPr>
        <w:t>&lt;/NumAm&gt;</w:t>
      </w:r>
    </w:p>
    <w:p>
      <w:pPr>
        <w:pStyle w:val="NormalBold"/>
      </w:pPr>
      <w:r>
        <w:rPr>
          <w:rStyle w:val="HideTWBExt"/>
          <w:b w:val="0"/>
        </w:rPr>
        <w:t>&lt;RepeatBlock-By&gt;</w:t>
      </w:r>
      <w:r>
        <w:rPr>
          <w:rStyle w:val="HideTWBExt"/>
          <w:b w:val="0"/>
        </w:rPr>
        <w:t>&lt;Members&gt;</w:t>
      </w:r>
      <w:r>
        <w:t>Mariusz Kamiński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Fa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I samband med utförandet av sina uppdrag deltar kommissionsledamöterna och andra högt uppsatta EU-tjänstemän officiellt – vilket framgår av betalningen av resor, logi, dagtraktamenten och andra utgifter – i ett stort antal möten och konferenser, även sådana som inte är transparenta, såsom mötena i Bilderberggruppen, där de diskuterar politik som de anförtrotts inom sina respektive ansvarsområden, men de informerar inte allmänheten om innehållet i dessa diskussioner och för inte några protokoll över dem.</w:t>
            </w:r>
            <w:r>
              <w:t xml:space="preserve"> </w:t>
            </w:r>
            <w:r>
              <w:rPr>
                <w:b/>
                <w:i/>
              </w:rPr>
              <w:t>Ingen av de kommissionsledamöter som har deltagit i Bilderberggruppens möten under de senaste åren i samband med utförandet av sina officiella uppdrag har offentliggjort detaljerna i diskussionerna, och en av dem – kommissionsledamot Johansson – hemlighöll till och med syftet med sitt deltagande.</w:t>
            </w:r>
            <w:r>
              <w:t xml:space="preserve"> </w:t>
            </w:r>
            <w:r>
              <w:rPr>
                <w:b/>
                <w:i/>
              </w:rPr>
              <w:t>Genom att betala kostnaderna för sina ledamöters deltagande i sådana evenemang medger kommissionen att deras närvaro är kopplad till utförandet av officiella uppdrag, eftersom de därmed kan framföra EU:s politik inom ramen för sina mandat.</w:t>
            </w:r>
            <w:r>
              <w:t xml:space="preserve"> </w:t>
            </w:r>
            <w:r>
              <w:rPr>
                <w:b/>
                <w:i/>
              </w:rPr>
              <w:t>Kommissionen hindrar samtidigt allmänheten från att få tillgång till närmare uppgifter om dessa möten, och när den tvingas lämna ut handlingar – i den mån handlingar finns – maskerar den väsentlig information rörande innehållet.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29</w:t>
      </w:r>
      <w:r>
        <w:rPr>
          <w:rStyle w:val="HideTWBExt"/>
        </w:rPr>
        <w:t>&lt;/NumAm&gt;</w:t>
      </w:r>
    </w:p>
    <w:p>
      <w:pPr>
        <w:pStyle w:val="NormalBold"/>
      </w:pPr>
      <w:r>
        <w:rPr>
          <w:rStyle w:val="HideTWBExt"/>
          <w:b w:val="0"/>
        </w:rPr>
        <w:t>&lt;RepeatBlock-By&gt;</w:t>
      </w:r>
      <w:r>
        <w:rPr>
          <w:rStyle w:val="HideTWBExt"/>
          <w:b w:val="0"/>
        </w:rPr>
        <w:t>&lt;Members&gt;</w:t>
      </w:r>
      <w:r>
        <w:t>Raquel García Hermida-Van Der Walle,Veronika Cifrová Ostrihoňová,Irena Joveva,Lucia Yar,Hilde Vautmans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Fa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Textmeddelanden som rör policy, åtgärder och beslut omfattas redan av definitionen av ”handling” i förordning (EG) nr 1049/2001, enligt vilken en handling kan vara allt innehåll, oberoende av medium (på papper eller lagrat i elektronisk form, ljud- och bildupptagningar samt audiovisuella upptagningar) som har samband med den policy, de åtgärder och de beslut som omfattas av institutionens ansvarsområde. Detta betyder inte att alla textmeddelanden skulle behöva registreras och vara tillgängliga, utan endast textmeddelanden som har samband med unionens policy, åtgärder och beslut.</w:t>
            </w:r>
            <w:r>
              <w:t xml:space="preserve"> </w:t>
            </w:r>
            <w:r>
              <w:rPr>
                <w:b/>
                <w:i/>
              </w:rPr>
              <w:t>Kommissionen kan fortfarande besluta att inte bevilja allmänheten fullständig tillgång till dessa om undantagen i förordning (EG) nr 1049/2001, till exempel gällande affärsintressen, är tillämpliga.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30</w:t>
      </w:r>
      <w:r>
        <w:rPr>
          <w:rStyle w:val="HideTWBExt"/>
        </w:rPr>
        <w:t>&lt;/NumAm&gt;</w:t>
      </w:r>
    </w:p>
    <w:p>
      <w:pPr>
        <w:pStyle w:val="NormalBold"/>
      </w:pPr>
      <w:r>
        <w:rPr>
          <w:rStyle w:val="HideTWBExt"/>
          <w:b w:val="0"/>
        </w:rPr>
        <w:t>&lt;RepeatBlock-By&gt;</w:t>
      </w:r>
      <w:r>
        <w:rPr>
          <w:rStyle w:val="HideTWBExt"/>
          <w:b w:val="0"/>
        </w:rPr>
        <w:t>&lt;Members&gt;</w:t>
      </w:r>
      <w:r>
        <w:t>Veronika Cifrová Ostrihoňová,Malik Azmani,Irena Joveva,Lucia Yar,Nikola Minchev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Fa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Ombudsmannen slog fast att det i fråga om vägran att söka efter oregistrerade textmeddelanden om vaccinförhandlingarna med Pfizer handlade om administrativa missförhållanden.</w:t>
            </w:r>
            <w:r>
              <w:t xml:space="preserve"> </w:t>
            </w:r>
            <w:r>
              <w:rPr>
                <w:b/>
                <w:i/>
              </w:rPr>
              <w:t>Kommissionen angav inte att den hade genomfört rekommendationen.</w:t>
            </w:r>
            <w:r>
              <w:t xml:space="preserve"> </w:t>
            </w:r>
            <w:r>
              <w:rPr>
                <w:b/>
                <w:i/>
              </w:rPr>
              <w:t>Den 14 maj 2025 ogiltigförklarade tribunalen kommissionens beslut att hålla inne textmeddelandena, vilket bekräftade bristen på transparens.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31</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rPr>
                <w:b/>
                <w:i/>
              </w:rPr>
              <w:t>I sitt meddelande om arbetsprogrammet för</w:t>
            </w:r>
            <w:r>
              <w:t xml:space="preserve"> 2025 </w:t>
            </w:r>
            <w:r>
              <w:rPr>
                <w:b/>
                <w:i/>
              </w:rPr>
              <w:t>uttryckte</w:t>
            </w:r>
            <w:r>
              <w:t xml:space="preserve"> kommissionen </w:t>
            </w:r>
            <w:r>
              <w:rPr>
                <w:b/>
                <w:i/>
              </w:rPr>
              <w:t>sin avsikt att dra tillbaka förslagen COM(2011)0137 och COM(2008)0229 som båda syftar till att ändra</w:t>
            </w:r>
            <w:r>
              <w:t xml:space="preserve"> förordning (EG) nr 1049/2001 </w:t>
            </w:r>
            <w:r>
              <w:rPr>
                <w:b/>
                <w:i/>
              </w:rPr>
              <w:t>om allmänhetens tillgång till handlingar, med hänvisning till att ingen överenskommelse alls är i sikte efter flera års dödläge avseende lagstiftningen sedan 2011</w:t>
            </w:r>
            <w:r>
              <w:t>.</w:t>
            </w:r>
          </w:p>
        </w:tc>
        <w:tc>
          <w:tcPr>
            <w:tcW w:w="4876" w:type="dxa"/>
            <w:tcBorders>
              <w:top w:val="nil"/>
              <w:left w:val="nil"/>
              <w:bottom w:val="nil"/>
              <w:right w:val="nil"/>
            </w:tcBorders>
          </w:tcPr>
          <w:p>
            <w:pPr>
              <w:pStyle w:val="Normal6a"/>
            </w:pPr>
            <w:r>
              <w:t>G.</w:t>
            </w:r>
            <w:r>
              <w:tab/>
            </w:r>
            <w:r>
              <w:rPr>
                <w:b/>
                <w:i/>
              </w:rPr>
              <w:t>Den 10 oktober</w:t>
            </w:r>
            <w:r>
              <w:t xml:space="preserve"> 2025 </w:t>
            </w:r>
            <w:r>
              <w:rPr>
                <w:b/>
                <w:i/>
              </w:rPr>
              <w:t>offentliggjorde</w:t>
            </w:r>
            <w:r>
              <w:t xml:space="preserve"> kommissionen </w:t>
            </w:r>
            <w:r>
              <w:rPr>
                <w:b/>
                <w:i/>
              </w:rPr>
              <w:t>i Europeiska unionens officiella tidning (C/2025/5423) ett formellt tillbakadragande av lagstiftningsförslag, i synnerhet de som uppdaterar</w:t>
            </w:r>
            <w:r>
              <w:t xml:space="preserve"> förordning (EG) nr 1049/2001 </w:t>
            </w:r>
            <w:r>
              <w:rPr>
                <w:b/>
                <w:i/>
              </w:rPr>
              <w:t>i ljuset av ikraftträdandet av Lissabonfördraget och Europeiska unionens stadga om de grundläggande rättigheterna</w:t>
            </w:r>
            <w:r>
              <w: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32</w:t>
      </w:r>
      <w:r>
        <w:rPr>
          <w:rStyle w:val="HideTWBExt"/>
        </w:rPr>
        <w:t>&lt;/NumAm&gt;</w:t>
      </w:r>
    </w:p>
    <w:p>
      <w:pPr>
        <w:pStyle w:val="NormalBold"/>
      </w:pPr>
      <w:r>
        <w:rPr>
          <w:rStyle w:val="HideTWBExt"/>
          <w:b w:val="0"/>
        </w:rPr>
        <w:t>&lt;RepeatBlock-By&gt;</w:t>
      </w:r>
      <w:r>
        <w:rPr>
          <w:rStyle w:val="HideTWBExt"/>
          <w:b w:val="0"/>
        </w:rPr>
        <w:t>&lt;Members&gt;</w:t>
      </w:r>
      <w:r>
        <w:t>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Ga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Ga.</w:t>
            </w:r>
            <w:r>
              <w:tab/>
            </w:r>
            <w:r>
              <w:rPr>
                <w:b/>
                <w:i/>
              </w:rPr>
              <w:t>I sin särskilda rapport nr 11/2025 Insynen i EU-finansiering som beviljas icke-statliga organisationer pekade Europeiska revisionsrätten på bristen på tillräcklig transparens och korrekt information om EU-finansiering av icke-statliga organisationer inom ramen för den interna politiken.</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33</w:t>
      </w:r>
      <w:r>
        <w:rPr>
          <w:rStyle w:val="HideTWBExt"/>
        </w:rPr>
        <w:t>&lt;/NumAm&gt;</w:t>
      </w:r>
    </w:p>
    <w:p>
      <w:pPr>
        <w:pStyle w:val="NormalBold"/>
      </w:pPr>
      <w:r>
        <w:rPr>
          <w:rStyle w:val="HideTWBExt"/>
          <w:b w:val="0"/>
        </w:rPr>
        <w:t>&lt;RepeatBlock-By&gt;</w:t>
      </w:r>
      <w:r>
        <w:rPr>
          <w:rStyle w:val="HideTWBExt"/>
          <w:b w:val="0"/>
        </w:rPr>
        <w:t>&lt;Members&gt;</w:t>
      </w:r>
      <w:r>
        <w:t>Veronika Cifrová Ostrihoňová,Fabienne Keller,Sophie Wilmès,Lucia Yar,Irena Joveva,Malik Azmani,Nikola Minchev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Ga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Ga.</w:t>
            </w:r>
            <w:r>
              <w:tab/>
            </w:r>
            <w:r>
              <w:rPr>
                <w:b/>
                <w:i/>
              </w:rPr>
              <w:t>Den snabba utvecklingen av teknik för artificiell intelligens (AI) innebär både möjligheter och utmaningar för säkerställandet av att informationen är korrekt och transparent inom EU och för EU:s institutioner, organ och byråer.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34</w:t>
      </w:r>
      <w:r>
        <w:rPr>
          <w:rStyle w:val="HideTWBExt"/>
        </w:rPr>
        <w:t>&lt;/NumAm&gt;</w:t>
      </w:r>
    </w:p>
    <w:p>
      <w:pPr>
        <w:pStyle w:val="NormalBold"/>
      </w:pPr>
      <w:r>
        <w:rPr>
          <w:rStyle w:val="HideTWBExt"/>
          <w:b w:val="0"/>
        </w:rPr>
        <w:t>&lt;RepeatBlock-By&gt;</w:t>
      </w:r>
      <w:r>
        <w:rPr>
          <w:rStyle w:val="HideTWBExt"/>
          <w:b w:val="0"/>
        </w:rPr>
        <w:t>&lt;Members&gt;</w:t>
      </w:r>
      <w:r>
        <w:t>Veronika Cifrová Ostrihoňová,Fabienne Keller,Sophie Wilmès,Malik Azmani,Irena Joveva,Lucia Yar,Nikola Minchev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Gb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Gb.</w:t>
            </w:r>
            <w:r>
              <w:tab/>
            </w:r>
            <w:r>
              <w:rPr>
                <w:b/>
                <w:i/>
              </w:rPr>
              <w:t>AI-system kan spela en avgörande roll när det gäller att upptäcka och begränsa felaktig information och desinformation och därigenom stödja en välinformerad offentlig debatt.</w:t>
            </w:r>
            <w:r>
              <w:t xml:space="preserve"> </w:t>
            </w:r>
            <w:r>
              <w:rPr>
                <w:b/>
                <w:i/>
              </w:rPr>
              <w:t>Det är mycket viktigt att införandet av AI är förenligt med de grundläggande rättigheterna, främjar ansvarsskyldighet och upprätthåller de högsta standarderna för transparens så att allmänhetens förtroende upprätthålls och den demokratiska styrningen stärks.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35</w:t>
      </w:r>
      <w:r>
        <w:rPr>
          <w:rStyle w:val="HideTWBExt"/>
        </w:rPr>
        <w:t>&lt;/NumAm&gt;</w:t>
      </w:r>
    </w:p>
    <w:p>
      <w:pPr>
        <w:pStyle w:val="NormalBold"/>
      </w:pPr>
      <w:r>
        <w:rPr>
          <w:rStyle w:val="HideTWBExt"/>
          <w:b w:val="0"/>
        </w:rPr>
        <w:t>&lt;RepeatBlock-By&gt;</w:t>
      </w:r>
      <w:r>
        <w:rPr>
          <w:rStyle w:val="HideTWBExt"/>
          <w:b w:val="0"/>
        </w:rPr>
        <w:t>&lt;Members&gt;</w:t>
      </w:r>
      <w:r>
        <w:t>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Gb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Gb.</w:t>
            </w:r>
            <w:r>
              <w:tab/>
            </w:r>
            <w:r>
              <w:rPr>
                <w:b/>
                <w:i/>
              </w:rPr>
              <w:t>Qatargate-skandalen har visat att icke-statliga organisationer kan manipulera lagstiftningsprocessen för tredjeländers räkning, och det är nödvändigt att systematiskt förbättra transparensen i kommunikationen om kommissionens finansiering av icke-statliga organisationer.</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36</w:t>
      </w:r>
      <w:r>
        <w:rPr>
          <w:rStyle w:val="HideTWBExt"/>
        </w:rPr>
        <w:t>&lt;/NumAm&gt;</w:t>
      </w:r>
    </w:p>
    <w:p>
      <w:pPr>
        <w:pStyle w:val="NormalBold"/>
      </w:pPr>
      <w:r>
        <w:rPr>
          <w:rStyle w:val="HideTWBExt"/>
          <w:b w:val="0"/>
        </w:rPr>
        <w:t>&lt;RepeatBlock-By&gt;</w:t>
      </w:r>
      <w:r>
        <w:rPr>
          <w:rStyle w:val="HideTWBExt"/>
          <w:b w:val="0"/>
        </w:rPr>
        <w:t>&lt;Members&gt;</w:t>
      </w:r>
      <w:r>
        <w:t>Veronika Cifrová Ostrihoňová,Fabienne Keller,Sophie Wilmès,Malik Azmani,Irena Joveva,Lucia Yar,Nikola Minchev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Gc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Gc.</w:t>
            </w:r>
            <w:r>
              <w:tab/>
            </w:r>
            <w:r>
              <w:rPr>
                <w:b/>
                <w:i/>
              </w:rPr>
              <w:t>Detta fortsatta dödläge väcker oro över att det kanske inte längre räcker att förlita sig på enbart 2001 års ram när det gäller att på ett effektivt sätt stärka allmänhetens rätt att få tillgång till EU-handlingar i ett modernt institutionellt och tekniskt sammanhang.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37</w:t>
      </w:r>
      <w:r>
        <w:rPr>
          <w:rStyle w:val="HideTWBExt"/>
        </w:rPr>
        <w:t>&lt;/NumAm&gt;</w:t>
      </w:r>
    </w:p>
    <w:p>
      <w:pPr>
        <w:pStyle w:val="NormalBold"/>
      </w:pPr>
      <w:r>
        <w:rPr>
          <w:rStyle w:val="HideTWBExt"/>
          <w:b w:val="0"/>
        </w:rPr>
        <w:t>&lt;RepeatBlock-By&gt;</w:t>
      </w:r>
      <w:r>
        <w:rPr>
          <w:rStyle w:val="HideTWBExt"/>
          <w:b w:val="0"/>
        </w:rPr>
        <w:t>&lt;Members&gt;</w:t>
      </w:r>
      <w:r>
        <w:t>Veronika Cifrová Ostrihoňová,Fabienne Keller,Malik Azmani,Irena Joveva,Lucia Yar,Nikola Minchev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Gd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Gd.</w:t>
            </w:r>
            <w:r>
              <w:tab/>
            </w:r>
            <w:r>
              <w:rPr>
                <w:b/>
                <w:i/>
              </w:rPr>
              <w:t>I mål C-588/21 P, som gällde en begäran från ideella organisationer om tillgång till tekniska standarder för leksakers säkerhet, ansåg domstolen att kommissionen borde ha erkänt ett övervägande allmänintresse enligt artikel 4.2 i förordning (EG) nr 1049/2001, vilket skulle ha motiverat att sådana harmoniserade standarder utlämnas.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38</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Europaparlamentet noterar att kommissionen under 2024 ändrade sin ram för transparens genom att anta en reviderad arbetsordning </w:t>
            </w:r>
            <w:r>
              <w:rPr>
                <w:b/>
                <w:i/>
              </w:rPr>
              <w:t>som förtydligar reglerna om allmänhetens tillgång till handlingar enligt</w:t>
            </w:r>
            <w:r>
              <w:t xml:space="preserve"> förordning (EG) nr 1049/2001.</w:t>
            </w:r>
          </w:p>
        </w:tc>
        <w:tc>
          <w:tcPr>
            <w:tcW w:w="4876" w:type="dxa"/>
            <w:tcBorders>
              <w:top w:val="nil"/>
              <w:left w:val="nil"/>
              <w:bottom w:val="nil"/>
              <w:right w:val="nil"/>
            </w:tcBorders>
          </w:tcPr>
          <w:p>
            <w:pPr>
              <w:pStyle w:val="Normal6a"/>
            </w:pPr>
            <w:r>
              <w:t>1.</w:t>
            </w:r>
            <w:r>
              <w:tab/>
            </w:r>
            <w:r>
              <w:t xml:space="preserve">Europaparlamentet noterar </w:t>
            </w:r>
            <w:r>
              <w:rPr>
                <w:b/>
                <w:i/>
              </w:rPr>
              <w:t>med oro</w:t>
            </w:r>
            <w:r>
              <w:t xml:space="preserve"> att kommissionen under 2024 ändrade sin ram för transparens genom att anta en reviderad arbetsordning</w:t>
            </w:r>
            <w:r>
              <w:rPr>
                <w:b/>
                <w:i/>
              </w:rPr>
              <w:t>.</w:t>
            </w:r>
            <w:r>
              <w:t xml:space="preserve"> </w:t>
            </w:r>
            <w:r>
              <w:rPr>
                <w:b/>
                <w:i/>
              </w:rPr>
              <w:t>Parlamentet understryker att dessa ändringar riskerar att undergräva en enhetlig tillämpning av</w:t>
            </w:r>
            <w:r>
              <w:t xml:space="preserve"> förordning (EG) nr 1049/2001 </w:t>
            </w:r>
            <w:r>
              <w:rPr>
                <w:b/>
                <w:i/>
              </w:rPr>
              <w:t>och utgör ett steg tillbaka i fråga om transparens, eftersom de omfattar begränsningar av bevarandet av handlingar (såsom textmeddelanden) och skapar nya presumtioner om att handlingar inte ska lämnas ut</w:t>
            </w:r>
            <w:r>
              <w: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39</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Europaparlamentet noterar att kommissionen under 2024 ändrade sin ram för transparens genom att anta en reviderad arbetsordning </w:t>
            </w:r>
            <w:r>
              <w:rPr>
                <w:b/>
                <w:i/>
              </w:rPr>
              <w:t>som förtydligar</w:t>
            </w:r>
            <w:r>
              <w:t xml:space="preserve"> reglerna om allmänhetens tillgång till handlingar enligt förordning (EG) nr 1049/2001.</w:t>
            </w:r>
          </w:p>
        </w:tc>
        <w:tc>
          <w:tcPr>
            <w:tcW w:w="4876" w:type="dxa"/>
            <w:tcBorders>
              <w:top w:val="nil"/>
              <w:left w:val="nil"/>
              <w:bottom w:val="nil"/>
              <w:right w:val="nil"/>
            </w:tcBorders>
          </w:tcPr>
          <w:p>
            <w:pPr>
              <w:pStyle w:val="Normal6a"/>
            </w:pPr>
            <w:r>
              <w:t>1.</w:t>
            </w:r>
            <w:r>
              <w:tab/>
            </w:r>
            <w:r>
              <w:t>Europaparlamentet noterar att kommissionen under 2024 ändrade sin ram för transparens genom att anta en reviderad arbetsordning</w:t>
            </w:r>
            <w:r>
              <w:rPr>
                <w:b/>
                <w:i/>
              </w:rPr>
              <w:t>, i ett försök att förtydliga</w:t>
            </w:r>
            <w:r>
              <w:t xml:space="preserve"> reglerna om allmänhetens tillgång till handlingar enligt förordning (EG) nr 1049/2001. </w:t>
            </w:r>
            <w:r>
              <w:rPr>
                <w:b/>
                <w:i/>
              </w:rPr>
              <w:t>Parlamentet framhåller dock de farhågor som framförts av vissa berörda parter om att de nya reglerna innebär begränsningar som undergräver transparensen och inte är förenliga med EU-domstolens etablerade rättspraxis.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40</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Europaparlamentet konstaterar att kommissionen under 2024 mottog 6 938 ursprungliga begäranden om tillgång till handlingar och 641 bekräftande ansökningar, vilket </w:t>
            </w:r>
            <w:r>
              <w:rPr>
                <w:b/>
                <w:i/>
              </w:rPr>
              <w:t>är en ökning</w:t>
            </w:r>
            <w:r>
              <w:t xml:space="preserve"> med 7 % jämfört med 2023</w:t>
            </w:r>
            <w:r>
              <w:rPr>
                <w:vertAlign w:val="superscript"/>
              </w:rPr>
              <w:t>13</w:t>
            </w:r>
            <w:r>
              <w:t>.</w:t>
            </w:r>
          </w:p>
        </w:tc>
        <w:tc>
          <w:tcPr>
            <w:tcW w:w="4876" w:type="dxa"/>
            <w:tcBorders>
              <w:top w:val="nil"/>
              <w:left w:val="nil"/>
              <w:bottom w:val="nil"/>
              <w:right w:val="nil"/>
            </w:tcBorders>
          </w:tcPr>
          <w:p>
            <w:pPr>
              <w:pStyle w:val="Normal6a"/>
            </w:pPr>
            <w:r>
              <w:t>2.</w:t>
            </w:r>
            <w:r>
              <w:tab/>
            </w:r>
            <w:r>
              <w:t xml:space="preserve">Europaparlamentet konstaterar att kommissionen under 2024 mottog 6 938 ursprungliga begäranden om tillgång till handlingar och 641 bekräftande ansökningar, vilket </w:t>
            </w:r>
            <w:r>
              <w:rPr>
                <w:b/>
                <w:i/>
              </w:rPr>
              <w:t>innebär att antalet bekräftande ansökningar ökade</w:t>
            </w:r>
            <w:r>
              <w:t xml:space="preserve"> med 7 % jämfört med 2023</w:t>
            </w:r>
            <w:r>
              <w:rPr>
                <w:vertAlign w:val="superscript"/>
              </w:rPr>
              <w:t>13</w:t>
            </w:r>
            <w:r>
              <w:t xml:space="preserve">. </w:t>
            </w:r>
            <w:r>
              <w:rPr>
                <w:b/>
                <w:i/>
              </w:rPr>
              <w:t>Under 2023 mottog kommissionen 7 274 ursprungliga begäranden om tillgång till handlingar och 599 bekräftande ansökningar, vilket innebär att antalet bekräftande ansökningar ökade med 43 % jämfört med 2022.</w:t>
            </w:r>
            <w:r>
              <w:rPr>
                <w:b/>
                <w:i/>
                <w:vertAlign w:val="superscript"/>
              </w:rPr>
              <w:t>1a</w:t>
            </w:r>
            <w:r>
              <w:t xml:space="preserve"> </w:t>
            </w:r>
            <w:r>
              <w:rPr>
                <w:b/>
                <w:i/>
              </w:rPr>
              <w:t>Under 2022 mottog kommissionen 7 410 ursprungliga begäranden om tillgång till handlingar och 418 bekräftande ansökningar, vilket innebär att antalet bekräftande ansökningar ökade med 17,8 % jämfört med 2021.</w:t>
            </w:r>
            <w:r>
              <w:rPr>
                <w:b/>
                <w:i/>
                <w:vertAlign w:val="superscript"/>
              </w:rPr>
              <w:t>1b</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13</w:t>
            </w:r>
            <w:r>
              <w:t xml:space="preserve"> </w:t>
            </w:r>
            <w:r>
              <w:t>Kommissionens rapport av den 19 maj 2025 om tillämpningen av förordning (EG) nr 1049/2001 om allmänhetens tillgång till Europaparlamentets, rådets och kommissionens handlingar under 2024 (COM(2025)0239).</w:t>
            </w:r>
          </w:p>
        </w:tc>
        <w:tc>
          <w:tcPr>
            <w:tcW w:w="4876" w:type="dxa"/>
            <w:tcBorders>
              <w:top w:val="nil"/>
              <w:left w:val="nil"/>
              <w:bottom w:val="nil"/>
              <w:right w:val="nil"/>
            </w:tcBorders>
          </w:tcPr>
          <w:p>
            <w:pPr>
              <w:pStyle w:val="Normal6a"/>
            </w:pPr>
            <w:r>
              <w:rPr>
                <w:vertAlign w:val="superscript"/>
              </w:rPr>
              <w:t>13</w:t>
            </w:r>
            <w:r>
              <w:t xml:space="preserve"> </w:t>
            </w:r>
            <w:r>
              <w:t>Kommissionens rapport av den 19 maj 2025 om tillämpningen av förordning (EG) nr 1049/2001 om allmänhetens tillgång till Europaparlamentets, rådets och kommissionens handlingar under 2024 (COM(2025)0239).</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Kommissionens rapport av den 3 juli 2024 om tillämpningen av förordning (EG) nr 1049/2001 under 2023 om allmänhetens tillgång till Europaparlamentets, rådets och kommissionens handlingar (COM(2024)0266).</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1b</w:t>
            </w:r>
            <w:r>
              <w:t xml:space="preserve"> </w:t>
            </w:r>
            <w:r>
              <w:rPr>
                <w:b/>
                <w:i/>
              </w:rPr>
              <w:t>Kommissionens rapport av den 13 september 2023 om tillämpningen av förordning (EG) nr 1049/2001 om allmänhetens tillgång till Europaparlamentets, rådets och kommissionens handlingar under 2022 (COM(2023)0523).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41</w:t>
      </w:r>
      <w:r>
        <w:rPr>
          <w:rStyle w:val="HideTWBExt"/>
        </w:rPr>
        <w:t>&lt;/NumAm&gt;</w:t>
      </w:r>
    </w:p>
    <w:p>
      <w:pPr>
        <w:pStyle w:val="NormalBold"/>
      </w:pPr>
      <w:r>
        <w:rPr>
          <w:rStyle w:val="HideTWBExt"/>
          <w:b w:val="0"/>
        </w:rPr>
        <w:t>&lt;RepeatBlock-By&gt;</w:t>
      </w:r>
      <w:r>
        <w:rPr>
          <w:rStyle w:val="HideTWBExt"/>
          <w:b w:val="0"/>
        </w:rPr>
        <w:t>&lt;Members&gt;</w:t>
      </w:r>
      <w:r>
        <w:t>András László,Tom Vandendriessche,Matthieu Valet,António Tânger Corrêa,Alexandre Varaut,Marieke Ehlers,Jaroslav Bžoch,Fabrice Leggeri,Roberto Vannacci,Jorge Buxadé Villalba,Petra Steger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Europaparlamentet konstaterar att kommissionen under 2024 mottog 6 938 ursprungliga begäranden om tillgång till handlingar och 641 bekräftande ansökningar, vilket </w:t>
            </w:r>
            <w:r>
              <w:rPr>
                <w:b/>
                <w:i/>
              </w:rPr>
              <w:t>är en</w:t>
            </w:r>
            <w:r>
              <w:t xml:space="preserve"> ökning med 7 % jämfört med 2023</w:t>
            </w:r>
            <w:r>
              <w:rPr>
                <w:vertAlign w:val="superscript"/>
              </w:rPr>
              <w:t>13</w:t>
            </w:r>
            <w:r>
              <w:t>.</w:t>
            </w:r>
          </w:p>
        </w:tc>
        <w:tc>
          <w:tcPr>
            <w:tcW w:w="4876" w:type="dxa"/>
            <w:tcBorders>
              <w:top w:val="nil"/>
              <w:left w:val="nil"/>
              <w:bottom w:val="nil"/>
              <w:right w:val="nil"/>
            </w:tcBorders>
          </w:tcPr>
          <w:p>
            <w:pPr>
              <w:pStyle w:val="Normal6a"/>
            </w:pPr>
            <w:r>
              <w:t>2.</w:t>
            </w:r>
            <w:r>
              <w:tab/>
            </w:r>
            <w:r>
              <w:t xml:space="preserve">Europaparlamentet konstaterar att kommissionen under 2024 mottog 6 938 ursprungliga begäranden om tillgång till handlingar och 641 bekräftande ansökningar, vilket </w:t>
            </w:r>
            <w:r>
              <w:rPr>
                <w:b/>
                <w:i/>
              </w:rPr>
              <w:t>innebär en liten</w:t>
            </w:r>
            <w:r>
              <w:t xml:space="preserve"> ökning med 7 % jämfört med 2023</w:t>
            </w:r>
            <w:r>
              <w:rPr>
                <w:vertAlign w:val="superscript"/>
              </w:rPr>
              <w:t>13</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13</w:t>
            </w:r>
            <w:r>
              <w:t xml:space="preserve"> </w:t>
            </w:r>
            <w:r>
              <w:t>Kommissionens rapport av den 19 maj 2025 om tillämpningen av förordning (EG) nr 1049/2001 om allmänhetens tillgång till Europaparlamentets, rådets och kommissionens handlingar under 2024 (COM(2025)0239).</w:t>
            </w:r>
          </w:p>
        </w:tc>
        <w:tc>
          <w:tcPr>
            <w:tcW w:w="4876" w:type="dxa"/>
            <w:tcBorders>
              <w:top w:val="nil"/>
              <w:left w:val="nil"/>
              <w:bottom w:val="nil"/>
              <w:right w:val="nil"/>
            </w:tcBorders>
          </w:tcPr>
          <w:p>
            <w:pPr>
              <w:pStyle w:val="Normal6a"/>
            </w:pPr>
            <w:r>
              <w:rPr>
                <w:vertAlign w:val="superscript"/>
              </w:rPr>
              <w:t>13</w:t>
            </w:r>
            <w:r>
              <w:t xml:space="preserve"> </w:t>
            </w:r>
            <w:r>
              <w:t>Kommissionens rapport av den 19 maj 2025 om tillämpningen av förordning (EG) nr 1049/2001 om allmänhetens tillgång till Europaparlamentets, rådets och kommissionens handlingar under 2024 (COM(2025)0239).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42</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Europaparlamentet betonar att kommissionen när det gäller bekräftande ansökningar beslutade att bevilja delvis eller fullständig tillgång till handlingar i 51 % av fallen 2022, 85 % av fallen 2023 och 60 % av fallen 2024.</w:t>
            </w:r>
            <w:r>
              <w:t xml:space="preserve"> </w:t>
            </w:r>
            <w:r>
              <w:rPr>
                <w:b/>
                <w:i/>
              </w:rPr>
              <w:t>Parlamentet konstaterar att de bekräftande ansökningarna ökar medan de ursprungliga begärandena minskar och att andelen beslut som ändras i samband med de bekräftande ansökningarna visar på en underlåtenhet att göra en grundlig bedömning av de ursprungliga begärandena.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43</w:t>
      </w:r>
      <w:r>
        <w:rPr>
          <w:rStyle w:val="HideTWBExt"/>
        </w:rPr>
        <w:t>&lt;/NumAm&gt;</w:t>
      </w:r>
    </w:p>
    <w:p>
      <w:pPr>
        <w:pStyle w:val="NormalBold"/>
      </w:pPr>
      <w:r>
        <w:rPr>
          <w:rStyle w:val="HideTWBExt"/>
          <w:b w:val="0"/>
        </w:rPr>
        <w:t>&lt;RepeatBlock-By&gt;</w:t>
      </w:r>
      <w:r>
        <w:rPr>
          <w:rStyle w:val="HideTWBExt"/>
          <w:b w:val="0"/>
        </w:rPr>
        <w:t>&lt;Members&gt;</w:t>
      </w:r>
      <w:r>
        <w:t>András László,Tom Vandendriessche,Matthieu Valet,António Tânger Corrêa,Alexandre Varaut,Marieke Ehlers,Jaroslav Bžoch,Fabrice Leggeri,Roberto Vannacci,Jorge Buxadé Villalba,Petra Steger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Europaparlamentet belyser att parlamentets offentliga register över handlingar den 31 december 2024 innehöll 918 803 hänvisningar (en ökning från 898 267 i slutet av 2023). Parlamentet noterar att den totala andelen positiva svar fortfarande var </w:t>
            </w:r>
            <w:r>
              <w:rPr>
                <w:b/>
                <w:i/>
              </w:rPr>
              <w:t>hög, 91 %,</w:t>
            </w:r>
            <w:r>
              <w:t xml:space="preserve"> och att ansökningar i genomsnitt behandlades inom cirka nio arbetsdagar</w:t>
            </w:r>
            <w:r>
              <w:rPr>
                <w:vertAlign w:val="superscript"/>
              </w:rPr>
              <w:t>14</w:t>
            </w:r>
            <w:r>
              <w:t>.</w:t>
            </w:r>
          </w:p>
        </w:tc>
        <w:tc>
          <w:tcPr>
            <w:tcW w:w="4876" w:type="dxa"/>
            <w:tcBorders>
              <w:top w:val="nil"/>
              <w:left w:val="nil"/>
              <w:bottom w:val="nil"/>
              <w:right w:val="nil"/>
            </w:tcBorders>
          </w:tcPr>
          <w:p>
            <w:pPr>
              <w:pStyle w:val="Normal6a"/>
            </w:pPr>
            <w:r>
              <w:t>3.</w:t>
            </w:r>
            <w:r>
              <w:tab/>
            </w:r>
            <w:r>
              <w:t xml:space="preserve">Europaparlamentet belyser att parlamentets offentliga register över handlingar den 31 december 2024 innehöll 918 803 hänvisningar (en ökning från 898 267 i slutet av 2023). Parlamentet noterar att den totala andelen positiva svar fortfarande var </w:t>
            </w:r>
            <w:r>
              <w:rPr>
                <w:b/>
                <w:i/>
              </w:rPr>
              <w:t>91 %</w:t>
            </w:r>
            <w:r>
              <w:t xml:space="preserve"> och att ansökningar i genomsnitt behandlades inom cirka nio arbetsdagar</w:t>
            </w:r>
            <w:r>
              <w:rPr>
                <w:vertAlign w:val="superscript"/>
              </w:rPr>
              <w:t>14</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14</w:t>
            </w:r>
            <w:r>
              <w:t xml:space="preserve"> </w:t>
            </w:r>
            <w:r>
              <w:t>Europaparlamentet, Allmänhetens tillgång till handlingar 2024 – Europaparlamentets årsrapport, generaldirektoratet för parlamentets ledning, enheten för transparens, maj 2025.</w:t>
            </w:r>
          </w:p>
        </w:tc>
        <w:tc>
          <w:tcPr>
            <w:tcW w:w="4876" w:type="dxa"/>
            <w:tcBorders>
              <w:top w:val="nil"/>
              <w:left w:val="nil"/>
              <w:bottom w:val="nil"/>
              <w:right w:val="nil"/>
            </w:tcBorders>
          </w:tcPr>
          <w:p>
            <w:pPr>
              <w:pStyle w:val="Normal6a"/>
            </w:pPr>
            <w:r>
              <w:rPr>
                <w:vertAlign w:val="superscript"/>
              </w:rPr>
              <w:t>14</w:t>
            </w:r>
            <w:r>
              <w:t xml:space="preserve"> </w:t>
            </w:r>
            <w:r>
              <w:t>Europaparlamentet, Allmänhetens tillgång till handlingar 2024 – Europaparlamentets årsrapport, generaldirektoratet för parlamentets ledning, enheten för transparens, maj 2025.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44</w:t>
      </w:r>
      <w:r>
        <w:rPr>
          <w:rStyle w:val="HideTWBExt"/>
        </w:rPr>
        <w:t>&lt;/NumAm&gt;</w:t>
      </w:r>
    </w:p>
    <w:p>
      <w:pPr>
        <w:pStyle w:val="NormalBold"/>
      </w:pPr>
      <w:r>
        <w:rPr>
          <w:rStyle w:val="HideTWBExt"/>
          <w:b w:val="0"/>
        </w:rPr>
        <w:t>&lt;RepeatBlock-By&gt;</w:t>
      </w:r>
      <w:r>
        <w:rPr>
          <w:rStyle w:val="HideTWBExt"/>
          <w:b w:val="0"/>
        </w:rPr>
        <w:t>&lt;Members&gt;</w:t>
      </w:r>
      <w:r>
        <w:t>Veronika Cifrová Ostrihoňová,Fabienne Keller,Malik Azmani,Irena Joveva,Lucia Yar,Nikola Minchev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3a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Europaparlamentet upprepar att det måste hållas vederbörligen informerat under internationella förhandlingar om avtal som kräver dess godkännande.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45</w:t>
      </w:r>
      <w:r>
        <w:rPr>
          <w:rStyle w:val="HideTWBExt"/>
        </w:rPr>
        <w:t>&lt;/NumAm&gt;</w:t>
      </w:r>
    </w:p>
    <w:p>
      <w:pPr>
        <w:pStyle w:val="NormalBold"/>
      </w:pPr>
      <w:r>
        <w:rPr>
          <w:rStyle w:val="HideTWBExt"/>
          <w:b w:val="0"/>
        </w:rPr>
        <w:t>&lt;RepeatBlock-By&gt;</w:t>
      </w:r>
      <w:r>
        <w:rPr>
          <w:rStyle w:val="HideTWBExt"/>
          <w:b w:val="0"/>
        </w:rPr>
        <w:t>&lt;Members&gt;</w:t>
      </w:r>
      <w:r>
        <w:t>Veronika Cifrová Ostrihoňová,Fabienne Keller,Sophie Wilmès,Malik Azmani,Irena Joveva,Lucia Yar,Nikola Minchev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3b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3b.</w:t>
            </w:r>
            <w:r>
              <w:tab/>
            </w:r>
            <w:r>
              <w:rPr>
                <w:b/>
                <w:i/>
              </w:rPr>
              <w:t>Europaparlamentet konstaterar att kommissionen var den EU-institution som mottog flest begäranden om tillgång till handlingar, där avdelningar inom generalsekretariatet och generaldirektoratet för hälsa och livsmedelssäkerhet var de främsta mottagarna.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46</w:t>
      </w:r>
      <w:r>
        <w:rPr>
          <w:rStyle w:val="HideTWBExt"/>
        </w:rPr>
        <w:t>&lt;/NumAm&gt;</w:t>
      </w:r>
    </w:p>
    <w:p>
      <w:pPr>
        <w:pStyle w:val="NormalBold"/>
      </w:pPr>
      <w:r>
        <w:rPr>
          <w:rStyle w:val="HideTWBExt"/>
          <w:b w:val="0"/>
        </w:rPr>
        <w:t>&lt;RepeatBlock-By&gt;</w:t>
      </w:r>
      <w:r>
        <w:rPr>
          <w:rStyle w:val="HideTWBExt"/>
          <w:b w:val="0"/>
        </w:rPr>
        <w:t>&lt;Members&gt;</w:t>
      </w:r>
      <w:r>
        <w:t>Veronika Cifrová Ostrihoňová,Fabienne Keller,Sophie Wilmès,Malik Azmani,Irena Joveva,Lucia Yar,Nikola Minchev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3c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3c.</w:t>
            </w:r>
            <w:r>
              <w:tab/>
            </w:r>
            <w:r>
              <w:rPr>
                <w:b/>
                <w:i/>
              </w:rPr>
              <w:t>Europaparlamentet konstaterar att kommissionen gav 5 542 ursprungliga besked och 305 bekräftande besked, medan de andra EU-institutionerna också främjade transparensarbetet:</w:t>
            </w:r>
            <w:r>
              <w:t xml:space="preserve"> </w:t>
            </w:r>
            <w:r>
              <w:rPr>
                <w:b/>
                <w:i/>
              </w:rPr>
              <w:t>rådets register innehöll över 527 000 handlingar i slutet av 2024, varav mer än 72 % var offentligt tillgängliga, och det behandlade över 2 800 begäranden om tillgång, främst från det civila samhället och den akademiska världen, och beviljade fullständig eller delvis tillgång i 85 % av fallen.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47</w:t>
      </w:r>
      <w:r>
        <w:rPr>
          <w:rStyle w:val="HideTWBExt"/>
        </w:rPr>
        <w:t>&lt;/NumAm&gt;</w:t>
      </w:r>
    </w:p>
    <w:p>
      <w:pPr>
        <w:pStyle w:val="NormalBold"/>
      </w:pPr>
      <w:r>
        <w:rPr>
          <w:rStyle w:val="HideTWBExt"/>
          <w:b w:val="0"/>
        </w:rPr>
        <w:t>&lt;RepeatBlock-By&gt;</w:t>
      </w:r>
      <w:r>
        <w:rPr>
          <w:rStyle w:val="HideTWBExt"/>
          <w:b w:val="0"/>
        </w:rPr>
        <w:t>&lt;Members&gt;</w:t>
      </w:r>
      <w:r>
        <w:t>Veronika Cifrová Ostrihoňová,Fabienne Keller,Sophie Wilmès,Malik Azmani,Irena Joveva,Lucia Yar,Nikola Minchev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3d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3d.</w:t>
            </w:r>
            <w:r>
              <w:tab/>
            </w:r>
            <w:r>
              <w:rPr>
                <w:b/>
                <w:i/>
              </w:rPr>
              <w:t>Europaparlamentet välkomnar denna utveckling eftersom den belyser EU:s pågående engagemang för transparens i ett sammanhang med komplexa rättsliga och politiska utmaningar.</w:t>
            </w:r>
            <w:r>
              <w:t xml:space="preserve"> </w:t>
            </w:r>
            <w:r>
              <w:rPr>
                <w:b/>
                <w:i/>
              </w:rPr>
              <w:t>Parlamentet noterar dock att kommissionen i 85 % av de granskade fallen inte fattade något beslut inom de lagstadgade tidsfristerna och att förseningen i 60 % av fallen uppgick till mer än 60 arbetsdagar.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48</w:t>
      </w:r>
      <w:r>
        <w:rPr>
          <w:rStyle w:val="HideTWBExt"/>
        </w:rPr>
        <w:t>&lt;/NumAm&gt;</w:t>
      </w:r>
    </w:p>
    <w:p>
      <w:pPr>
        <w:pStyle w:val="NormalBold"/>
      </w:pPr>
      <w:r>
        <w:rPr>
          <w:rStyle w:val="HideTWBExt"/>
          <w:b w:val="0"/>
        </w:rPr>
        <w:t>&lt;RepeatBlock-By&gt;</w:t>
      </w:r>
      <w:r>
        <w:rPr>
          <w:rStyle w:val="HideTWBExt"/>
          <w:b w:val="0"/>
        </w:rPr>
        <w:t>&lt;Members&gt;</w:t>
      </w:r>
      <w:r>
        <w:t>Veronika Cifrová Ostrihoňová,Malik Azmani,Lucia Yar,Nikola Minchev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3e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3e.</w:t>
            </w:r>
            <w:r>
              <w:tab/>
            </w:r>
            <w:r>
              <w:rPr>
                <w:b/>
                <w:i/>
              </w:rPr>
              <w:t>Europaparlamentet understryker att miljöinformation som innehas av offentliga myndigheter är av allmänintresse och att allmänheten enligt Århuskonventionen bör ha bred tillgång till sådan information.</w:t>
            </w:r>
            <w:r>
              <w:t xml:space="preserve"> </w:t>
            </w:r>
            <w:r>
              <w:rPr>
                <w:b/>
                <w:i/>
              </w:rPr>
              <w:t>Parlamentet beklagar att vägran att ge tillgång till information om utsläppens effekter på miljön, till exempel när det gäller kemiska föroreningar, kan ha en negativ inverkan på folkhälsan och skyddet av invånarna mot farliga ämnen.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49</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Europaparlamentet betonar att även om viss information måste undanhållas </w:t>
            </w:r>
            <w:r>
              <w:rPr>
                <w:b/>
                <w:i/>
              </w:rPr>
              <w:t>bör ett partiellt utlämnande, där så fortfarande är både genomförbart och önskvärt, övervägas mot bakgrund av det allt överskuggande allmänintresset av transparens, som omfattar principerna om sund styrning, institutionell effektivitet, demokratisk ansvarsskyldighet och ökat samhällsengagemang i beslutsfattandet</w:t>
            </w:r>
            <w:r>
              <w:t>.</w:t>
            </w:r>
          </w:p>
        </w:tc>
        <w:tc>
          <w:tcPr>
            <w:tcW w:w="4876" w:type="dxa"/>
            <w:tcBorders>
              <w:top w:val="nil"/>
              <w:left w:val="nil"/>
              <w:bottom w:val="nil"/>
              <w:right w:val="nil"/>
            </w:tcBorders>
          </w:tcPr>
          <w:p>
            <w:pPr>
              <w:pStyle w:val="Normal6a"/>
            </w:pPr>
            <w:r>
              <w:t>4.</w:t>
            </w:r>
            <w:r>
              <w:tab/>
            </w:r>
            <w:r>
              <w:t>Europaparlamentet betonar att även om viss information måste undanhållas </w:t>
            </w:r>
            <w:r>
              <w:rPr>
                <w:b/>
                <w:i/>
              </w:rPr>
              <w:t>ska övriga delar av den begärda handlingen lämnas ut, i enlighet med artikel 4.6 i förordning (EG) nr 1049/2001</w:t>
            </w:r>
            <w:r>
              <w: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Erik Kaliňák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Europaparlamentet </w:t>
            </w:r>
            <w:r>
              <w:rPr>
                <w:b/>
                <w:i/>
              </w:rPr>
              <w:t>betonar att även om</w:t>
            </w:r>
            <w:r>
              <w:t xml:space="preserve"> viss information måste undanhållas </w:t>
            </w:r>
            <w:r>
              <w:rPr>
                <w:b/>
                <w:i/>
              </w:rPr>
              <w:t>bör</w:t>
            </w:r>
            <w:r>
              <w:t xml:space="preserve"> ett partiellt utlämnande</w:t>
            </w:r>
            <w:r>
              <w:rPr>
                <w:b/>
                <w:i/>
              </w:rPr>
              <w:t>, där så fortfarande är både genomförbart och önskvärt, övervägas mot bakgrund av det allt överskuggande allmänintresset av transparens, som omfattar principerna om sund styrning, institutionell effektivitet, demokratisk ansvarsskyldighet och ökat samhällsengagemang i beslutsfattandet</w:t>
            </w:r>
            <w:r>
              <w:t>.</w:t>
            </w:r>
          </w:p>
        </w:tc>
        <w:tc>
          <w:tcPr>
            <w:tcW w:w="4876" w:type="dxa"/>
            <w:tcBorders>
              <w:top w:val="nil"/>
              <w:left w:val="nil"/>
              <w:bottom w:val="nil"/>
              <w:right w:val="nil"/>
            </w:tcBorders>
          </w:tcPr>
          <w:p>
            <w:pPr>
              <w:pStyle w:val="Normal6a"/>
            </w:pPr>
            <w:r>
              <w:t>4.</w:t>
            </w:r>
            <w:r>
              <w:tab/>
            </w:r>
            <w:r>
              <w:t>Europaparlamentet </w:t>
            </w:r>
            <w:r>
              <w:rPr>
                <w:b/>
                <w:i/>
              </w:rPr>
              <w:t>respekterar att</w:t>
            </w:r>
            <w:r>
              <w:t xml:space="preserve"> viss information måste undanhållas</w:t>
            </w:r>
            <w:r>
              <w:rPr>
                <w:b/>
                <w:i/>
              </w:rPr>
              <w:t>, främst av skäl som rör allmän säkerhet eller försvar.</w:t>
            </w:r>
            <w:r>
              <w:t xml:space="preserve"> </w:t>
            </w:r>
            <w:r>
              <w:rPr>
                <w:b/>
                <w:i/>
              </w:rPr>
              <w:t>I ett sådant fall är inte ens</w:t>
            </w:r>
            <w:r>
              <w:t xml:space="preserve"> ett partiellt utlämnande </w:t>
            </w:r>
            <w:r>
              <w:rPr>
                <w:b/>
                <w:i/>
              </w:rPr>
              <w:t>av den berörda informationen lämpligt</w:t>
            </w:r>
            <w:r>
              <w:t>.</w:t>
            </w:r>
          </w:p>
        </w:tc>
      </w:tr>
    </w:tbl>
    <w:p>
      <w:pPr>
        <w:pStyle w:val="AmOrLang"/>
      </w:pPr>
      <w:r>
        <w:t xml:space="preserve">Or. </w:t>
      </w:r>
      <w:r>
        <w:rPr>
          <w:rStyle w:val="HideTWBExt"/>
        </w:rPr>
        <w:t>&lt;Original&gt;</w:t>
      </w:r>
      <w:r>
        <w:rPr>
          <w:rStyle w:val="HideTWBInt"/>
        </w:rPr>
        <w:t>{SK}</w:t>
      </w:r>
      <w:r>
        <w:t>sk</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Europaparlamentet betonar att även om viss information måste undanhållas bör ett partiellt utlämnande, där så fortfarande är både genomförbart och önskvärt, övervägas mot bakgrund av det allt överskuggande allmänintresset av transparens, som omfattar principerna om sund styrning, institutionell effektivitet, demokratisk ansvarsskyldighet och ökat samhällsengagemang i beslutsfattandet.</w:t>
            </w:r>
          </w:p>
        </w:tc>
        <w:tc>
          <w:tcPr>
            <w:tcW w:w="4876" w:type="dxa"/>
            <w:tcBorders>
              <w:top w:val="nil"/>
              <w:left w:val="nil"/>
              <w:bottom w:val="nil"/>
              <w:right w:val="nil"/>
            </w:tcBorders>
          </w:tcPr>
          <w:p>
            <w:pPr>
              <w:pStyle w:val="Normal6a"/>
            </w:pPr>
            <w:r>
              <w:t>4.</w:t>
            </w:r>
            <w:r>
              <w:tab/>
            </w:r>
            <w:r>
              <w:t>Europaparlamentet betonar att även om viss information måste undanhållas</w:t>
            </w:r>
            <w:r>
              <w:rPr>
                <w:b/>
                <w:i/>
              </w:rPr>
              <w:t> av motiverade skäl</w:t>
            </w:r>
            <w:r>
              <w:t xml:space="preserve"> bör ett partiellt utlämnande, där så fortfarande är både genomförbart och önskvärt, övervägas mot bakgrund av det allt överskuggande allmänintresset av transparens, som omfattar principerna om sund styrning, </w:t>
            </w:r>
            <w:r>
              <w:rPr>
                <w:b/>
                <w:i/>
              </w:rPr>
              <w:t>insyn,</w:t>
            </w:r>
            <w:r>
              <w:t xml:space="preserve"> institutionell effektivitet, demokratisk ansvarsskyldighet och ökat samhällsengagemang i beslutsfattandet.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Europaparlamentet betonar att även om viss information måste undanhållas bör ett partiellt utlämnande, där så fortfarande är både genomförbart och önskvärt, övervägas mot bakgrund av det allt överskuggande allmänintresset av transparens, som omfattar principerna om sund styrning, institutionell effektivitet, demokratisk ansvarsskyldighet och ökat samhällsengagemang i beslutsfattandet.</w:t>
            </w:r>
          </w:p>
        </w:tc>
        <w:tc>
          <w:tcPr>
            <w:tcW w:w="4876" w:type="dxa"/>
            <w:tcBorders>
              <w:top w:val="nil"/>
              <w:left w:val="nil"/>
              <w:bottom w:val="nil"/>
              <w:right w:val="nil"/>
            </w:tcBorders>
          </w:tcPr>
          <w:p>
            <w:pPr>
              <w:pStyle w:val="Normal6a"/>
            </w:pPr>
            <w:r>
              <w:t>4.</w:t>
            </w:r>
            <w:r>
              <w:tab/>
            </w:r>
            <w:r>
              <w:t xml:space="preserve">Europaparlamentet betonar </w:t>
            </w:r>
            <w:r>
              <w:rPr>
                <w:b/>
                <w:i/>
              </w:rPr>
              <w:t>med oro</w:t>
            </w:r>
            <w:r>
              <w:t xml:space="preserve"> att även om viss information måste undanhållas bör ett partiellt utlämnande, där så fortfarande är både genomförbart och önskvärt, övervägas mot bakgrund av det allt överskuggande allmänintresset av transparens, som omfattar principerna om sund styrning, institutionell effektivitet, demokratisk ansvarsskyldighet och ökat samhällsengagemang i beslutsfattandet.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4a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Europaparlamentet uttrycker oro över att undantagen i artikel 4 i förordning (EU) nr 1049/2001 frekvent används för att neka fullständig tillgång till handlingar.</w:t>
            </w:r>
            <w:r>
              <w:t xml:space="preserve"> </w:t>
            </w:r>
            <w:r>
              <w:rPr>
                <w:b/>
                <w:i/>
              </w:rPr>
              <w:t>Parlamentet påminner om att begränsningar av tillgången till handlingar, inbegripet lagstiftningshandlingar, enligt Europeiska ombudsmannen bör utgöra ett undantag och begränsas till vad som är absolut nödvändigt.</w:t>
            </w:r>
            <w:r>
              <w:t xml:space="preserve"> </w:t>
            </w:r>
            <w:r>
              <w:rPr>
                <w:b/>
                <w:i/>
              </w:rPr>
              <w:t>Parlamentet beklagar rådets och kommissionens missbruk av skyddet av beslutsprocessen i både kommittéförfarandet och de ordinarie förfarandena</w:t>
            </w:r>
            <w:r>
              <w:rPr>
                <w:b/>
                <w:i/>
                <w:vertAlign w:val="superscript"/>
              </w:rPr>
              <w:t>1a</w:t>
            </w:r>
            <w:r>
              <w:rPr>
                <w:b/>
                <w:i/>
              </w:rPr>
              <w:t>.</w:t>
            </w:r>
            <w:r>
              <w:t xml:space="preserve"> </w:t>
            </w:r>
            <w:r>
              <w:rPr>
                <w:b/>
                <w:i/>
              </w:rPr>
              <w:t>Parlamentet påminner om domstolens bedömning att ett avslöjande av medlemsstaternas ståndpunkter i kommittéförfarandet inte i sig skulle undergräva beslutsprocessen</w:t>
            </w:r>
            <w:r>
              <w:rPr>
                <w:b/>
                <w:i/>
                <w:vertAlign w:val="superscript"/>
              </w:rPr>
              <w:t>1b</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Se exempelvis mål T-163/21,</w:t>
            </w:r>
            <w:r>
              <w:t xml:space="preserve"> </w:t>
            </w:r>
            <w:r>
              <w:rPr>
                <w:b/>
                <w:i/>
              </w:rPr>
              <w:t>De Capitani/rådet eller Covington &amp; Burling, och mål T‑201/21,</w:t>
            </w:r>
            <w:r>
              <w:t xml:space="preserve"> </w:t>
            </w:r>
            <w:r>
              <w:rPr>
                <w:b/>
                <w:i/>
              </w:rPr>
              <w:t>Van Vooren/kommissionen, av den 14 juni 2024.</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1b</w:t>
            </w:r>
            <w:r>
              <w:t xml:space="preserve"> </w:t>
            </w:r>
            <w:r>
              <w:rPr>
                <w:b/>
                <w:i/>
              </w:rPr>
              <w:t>Se tidigare citerat mål, Covington &amp; Burling, och mål T‑201/21,</w:t>
            </w:r>
            <w:r>
              <w:t xml:space="preserve"> </w:t>
            </w:r>
            <w:r>
              <w:rPr>
                <w:b/>
                <w:i/>
              </w:rPr>
              <w:t>Van Vooren/kommissionen, av den 14 juni 2024.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Pekka Toveri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4a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Europaparlamentet beaktar dagens hybridhot och deras inverkan på den europeiska demokratin.</w:t>
            </w:r>
            <w:r>
              <w:t xml:space="preserve"> </w:t>
            </w:r>
            <w:r>
              <w:rPr>
                <w:b/>
                <w:i/>
              </w:rPr>
              <w:t>Parlamentet är fast övertygat om att ett starkt och konsekvent engagemang för allmänhetens tillgång och transparens utgör en grundpelare i unionens demokratiska system, ökar medborgarnas engagemang och deltagande samt bidrar till god samhällsstyrning och sund ekonomisk förvaltning.</w:t>
            </w:r>
            <w:r>
              <w:t xml:space="preserve"> </w:t>
            </w:r>
            <w:r>
              <w:rPr>
                <w:b/>
                <w:i/>
              </w:rPr>
              <w:t>Parlamentet understryker att en förstärkning av denna grundläggande pelare också stärker EU:s motståndskraft mot utländsk inblandning och försök att undergräva unionens integritet.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4b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4b.</w:t>
            </w:r>
            <w:r>
              <w:tab/>
            </w:r>
            <w:r>
              <w:rPr>
                <w:b/>
                <w:i/>
              </w:rPr>
              <w:t>Europaparlamentet menar att tillämpning av en proaktiv strategi och antagande av snabbare, mindre betungande och mer tillgängliga förfaranden för hantering av klagomål mot avslag på begäranden om tillgång skulle bidra till att säkerställa faktisk transparens och förhindra onödiga rättstvister som skulle kunna leda till onödiga kostnader och bördor.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Pekka Toveri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4b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4b.</w:t>
            </w:r>
            <w:r>
              <w:tab/>
            </w:r>
            <w:r>
              <w:rPr>
                <w:b/>
                <w:i/>
              </w:rPr>
              <w:t>Väl utformad transparens bidrar till att motverka konspiratoriska narrativ och desinformation som undergräver medborgarnas förtroende för demokratiska institutioner och systematiskt utnyttjas i rysk hybridkrigföring och av andra antidemokratiska och fientliga aktörer.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Europaparlamentet uttrycker oro över den ihållande och utbredda vanan att officiella handlingar tilldelas en för hög säkerhetsskyddsklassificeringsnivå av EU:s institutioner, organ och byråer. Parlamentet upprepar sin långvariga uppmaning, som har framförts i tidigare resolutioner om allmänhetens tillgång till handlingar, att fastställa tydliga, konsekventa och rättsligt bindande regler för att ge handlingar en säkerhetsskyddsklassificering samt för att häva säkerhetsskyddsklassificeringen av desamma.</w:t>
            </w:r>
          </w:p>
        </w:tc>
        <w:tc>
          <w:tcPr>
            <w:tcW w:w="4876" w:type="dxa"/>
            <w:tcBorders>
              <w:top w:val="nil"/>
              <w:left w:val="nil"/>
              <w:bottom w:val="nil"/>
              <w:right w:val="nil"/>
            </w:tcBorders>
          </w:tcPr>
          <w:p>
            <w:pPr>
              <w:pStyle w:val="Normal6a"/>
            </w:pPr>
            <w:r>
              <w:t>5.</w:t>
            </w:r>
            <w:r>
              <w:tab/>
            </w:r>
            <w:r>
              <w:t xml:space="preserve">Europaparlamentet uttrycker </w:t>
            </w:r>
            <w:r>
              <w:rPr>
                <w:b/>
                <w:i/>
              </w:rPr>
              <w:t>djup</w:t>
            </w:r>
            <w:r>
              <w:t xml:space="preserve"> oro över den ihållande och utbredda vanan att officiella handlingar tilldelas en för hög säkerhetsskyddsklassificeringsnivå av EU:s institutioner, organ och byråer. Parlamentet upprepar sin långvariga uppmaning, som har framförts i tidigare resolutioner om allmänhetens tillgång till handlingar, att fastställa tydliga, konsekventa och rättsligt bindande regler för att ge handlingar en säkerhetsskyddsklassificering samt för att häva säkerhetsskyddsklassificeringen av desamma</w:t>
            </w:r>
            <w:r>
              <w:rPr>
                <w:b/>
                <w:i/>
              </w:rPr>
              <w:t>,</w:t>
            </w:r>
            <w:r>
              <w:t xml:space="preserve"> </w:t>
            </w:r>
            <w:r>
              <w:rPr>
                <w:b/>
                <w:i/>
              </w:rPr>
              <w:t>i syfte att säkerställa demokratisk ansvarsskyldighet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Europaparlamentet uttrycker oro över den ihållande och utbredda vanan att officiella handlingar tilldelas en för hög säkerhetsskyddsklassificeringsnivå av EU:s institutioner, organ och byråer. Parlamentet upprepar sin långvariga uppmaning, som har framförts i tidigare resolutioner om allmänhetens tillgång till handlingar, att fastställa tydliga, konsekventa och rättsligt bindande regler för att ge handlingar en säkerhetsskyddsklassificering samt för att häva säkerhetsskyddsklassificeringen av desamma.</w:t>
            </w:r>
          </w:p>
        </w:tc>
        <w:tc>
          <w:tcPr>
            <w:tcW w:w="4876" w:type="dxa"/>
            <w:tcBorders>
              <w:top w:val="nil"/>
              <w:left w:val="nil"/>
              <w:bottom w:val="nil"/>
              <w:right w:val="nil"/>
            </w:tcBorders>
          </w:tcPr>
          <w:p>
            <w:pPr>
              <w:pStyle w:val="Normal6a"/>
            </w:pPr>
            <w:r>
              <w:t>5.</w:t>
            </w:r>
            <w:r>
              <w:tab/>
            </w:r>
            <w:r>
              <w:t>Europaparlamentet uttrycker oro över den ihållande och utbredda vanan att officiella handlingar tilldelas en för hög säkerhetsskyddsklassificeringsnivå av EU:s institutioner, organ och byråer</w:t>
            </w:r>
            <w:r>
              <w:rPr>
                <w:b/>
                <w:i/>
              </w:rPr>
              <w:t>, vilket uppenbart strider mot principen om öppenhet</w:t>
            </w:r>
            <w:r>
              <w:t>. Parlamentet upprepar sin långvariga uppmaning, som har framförts i tidigare resolutioner om allmänhetens tillgång till handlingar, att fastställa tydliga, konsekventa och rättsligt bindande regler för att ge handlingar en säkerhetsskyddsklassificering samt för att häva säkerhetsskyddsklassificeringen av desamma.</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59</w:t>
      </w:r>
      <w:r>
        <w:rPr>
          <w:rStyle w:val="HideTWBExt"/>
        </w:rPr>
        <w:t>&lt;/NumAm&gt;</w:t>
      </w:r>
    </w:p>
    <w:p>
      <w:pPr>
        <w:pStyle w:val="NormalBold"/>
      </w:pPr>
      <w:r>
        <w:rPr>
          <w:rStyle w:val="HideTWBExt"/>
          <w:b w:val="0"/>
        </w:rPr>
        <w:t>&lt;RepeatBlock-By&gt;</w:t>
      </w:r>
      <w:r>
        <w:rPr>
          <w:rStyle w:val="HideTWBExt"/>
          <w:b w:val="0"/>
        </w:rPr>
        <w:t>&lt;Members&gt;</w:t>
      </w:r>
      <w:r>
        <w:t>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5a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Europaparlamentet är bekymrat över att undantagen i artikel 4 i förordning (EU) nr 1049/2001 frekvent används för att neka fullständig tillgång till handlingar.</w:t>
            </w:r>
            <w:r>
              <w:t xml:space="preserve"> </w:t>
            </w:r>
            <w:r>
              <w:rPr>
                <w:b/>
                <w:i/>
              </w:rPr>
              <w:t>Parlamentet påminner om att en institution, ett organ eller en byrå som åberopar ett av undantagen för tillgång till handlingar enligt denna artikel ska göra en objektiv och individuell bedömning, påvisa att risken för det skyddade intresset är välgrundad, förutsebar och inte rent hypotetisk och vederbörligen motivera hur tillgång till handlingen specifikt och i praktiken skulle skada det skyddade intresset.</w:t>
            </w:r>
            <w:r>
              <w:t xml:space="preserve"> </w:t>
            </w:r>
            <w:r>
              <w:rPr>
                <w:b/>
                <w:i/>
              </w:rPr>
              <w:t>Parlamentet begär att EU:s institutioner, organ och byråer ska införliva dessa bedömningar i sina rutiner för tillgång till handlingar.</w:t>
            </w:r>
            <w:r>
              <w:t xml:space="preserve"> </w:t>
            </w:r>
            <w:r>
              <w:rPr>
                <w:b/>
                <w:i/>
              </w:rPr>
              <w:t>Parlamentet betonar att det kan vara möjligt att lämna ut vissa delar av en handling även om övriga delar måste skyddas, med beaktande av det övervägande allmänintresset av utlämnandet, inklusive behovet att säkerställa god styrning, effektivitet och ansvarsskyldighet gentemot medborgarna samt medborgarnas nära delaktighet i beslutsprocessen.</w:t>
            </w:r>
            <w:r>
              <w:t xml:space="preserve"> </w:t>
            </w:r>
            <w:r>
              <w:rPr>
                <w:b/>
                <w:i/>
              </w:rPr>
              <w:t>Parlamentet framhåller den rättspraxis från EU-domstolen som erkänner allmänhetens rätt att få tillgång till handlingar från rådets arbetsgrupper när dessa verkar inom ramen för lagstiftningsprocessen.</w:t>
            </w:r>
            <w:r>
              <w:t xml:space="preserve"> </w:t>
            </w:r>
            <w:r>
              <w:rPr>
                <w:b/>
                <w:i/>
              </w:rPr>
              <w:t>Parlamentet noterar dock att tillgång fortfarande måste begäras aktivt.</w:t>
            </w:r>
            <w:r>
              <w:t xml:space="preserve"> </w:t>
            </w:r>
            <w:r>
              <w:rPr>
                <w:b/>
                <w:i/>
              </w:rPr>
              <w:t>Parlamentet konstaterar med oro att ett vanligt problem när personer begär tillgång till handlingar är att institutioner, organ och byråer ger avslag på grundval av dåligt underbyggda argument och att det finns inkonsekvenser i hanteringen av liknande begäranden om tillgång till handlingar.</w:t>
            </w:r>
            <w:r>
              <w:t xml:space="preserve"> </w:t>
            </w:r>
            <w:r>
              <w:rPr>
                <w:b/>
                <w:i/>
              </w:rPr>
              <w:t>Parlamentet begär att EU:s institutioner ska utveckla bästa praxis så att bestämmelserna i förordning (EG) nr 1049/2001 och relevant rättspraxis från EU-domstolen kan tillämpas och tolkas enhetligt.</w:t>
            </w:r>
            <w:r>
              <w:t xml:space="preserve"> </w:t>
            </w:r>
            <w:r>
              <w:rPr>
                <w:b/>
                <w:i/>
              </w:rPr>
              <w:t>Parlamentet begär dessutom att EU:s byråer ska införliva förordning (EG) nr 1049/2001 i sin policy för tillgång till handlingar.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60</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Europaparlamentet beklagar djupt att det fortfarande saknas en meningsfull uppföljning från kommissionens och rådets sida som svar på dessa rekommendationer.</w:t>
            </w:r>
          </w:p>
        </w:tc>
        <w:tc>
          <w:tcPr>
            <w:tcW w:w="4876" w:type="dxa"/>
            <w:tcBorders>
              <w:top w:val="nil"/>
              <w:left w:val="nil"/>
              <w:bottom w:val="nil"/>
              <w:right w:val="nil"/>
            </w:tcBorders>
          </w:tcPr>
          <w:p>
            <w:pPr>
              <w:pStyle w:val="Normal6a"/>
            </w:pPr>
            <w:r>
              <w:t>6.</w:t>
            </w:r>
            <w:r>
              <w:tab/>
            </w:r>
            <w:r>
              <w:t xml:space="preserve">Europaparlamentet beklagar djupt att det fortfarande saknas en meningsfull uppföljning från kommissionens och rådets sida som svar på dessa rekommendationer. </w:t>
            </w:r>
            <w:r>
              <w:rPr>
                <w:b/>
                <w:i/>
              </w:rPr>
              <w:t>Parlamentet beklagar också djupt att de flesta handlingar som rör lagstiftningsärenden inte offentliggörs av EU-institutionerna på förhand, vilket gör att allmänheten inte kan veta vilka handlingar som faktiskt existerar och därmed inte kan utöva sin rätt att begära tillgång till handlingarna.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61</w:t>
      </w:r>
      <w:r>
        <w:rPr>
          <w:rStyle w:val="HideTWBExt"/>
        </w:rPr>
        <w:t>&lt;/NumAm&gt;</w:t>
      </w:r>
    </w:p>
    <w:p>
      <w:pPr>
        <w:pStyle w:val="NormalBold"/>
      </w:pPr>
      <w:r>
        <w:rPr>
          <w:rStyle w:val="HideTWBExt"/>
          <w:b w:val="0"/>
        </w:rPr>
        <w:t>&lt;RepeatBlock-By&gt;</w:t>
      </w:r>
      <w:r>
        <w:rPr>
          <w:rStyle w:val="HideTWBExt"/>
          <w:b w:val="0"/>
        </w:rPr>
        <w:t>&lt;Members&gt;</w:t>
      </w:r>
      <w:r>
        <w:t>Erik Kaliňák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Europaparlamentet </w:t>
            </w:r>
            <w:r>
              <w:rPr>
                <w:b/>
                <w:i/>
              </w:rPr>
              <w:t>beklagar djupt att det fortfarande saknas en meningsfull uppföljning från</w:t>
            </w:r>
            <w:r>
              <w:t xml:space="preserve"> kommissionens och rådets </w:t>
            </w:r>
            <w:r>
              <w:rPr>
                <w:b/>
                <w:i/>
              </w:rPr>
              <w:t>sida</w:t>
            </w:r>
            <w:r>
              <w:t xml:space="preserve"> som svar på dessa rekommendationer.</w:t>
            </w:r>
          </w:p>
        </w:tc>
        <w:tc>
          <w:tcPr>
            <w:tcW w:w="4876" w:type="dxa"/>
            <w:tcBorders>
              <w:top w:val="nil"/>
              <w:left w:val="nil"/>
              <w:bottom w:val="nil"/>
              <w:right w:val="nil"/>
            </w:tcBorders>
          </w:tcPr>
          <w:p>
            <w:pPr>
              <w:pStyle w:val="Normal6a"/>
            </w:pPr>
            <w:r>
              <w:t>6.</w:t>
            </w:r>
            <w:r>
              <w:tab/>
            </w:r>
            <w:r>
              <w:t>Europaparlamentet </w:t>
            </w:r>
            <w:r>
              <w:rPr>
                <w:b/>
                <w:i/>
              </w:rPr>
              <w:t>noterar</w:t>
            </w:r>
            <w:r>
              <w:t xml:space="preserve"> kommissionens och rådets </w:t>
            </w:r>
            <w:r>
              <w:rPr>
                <w:b/>
                <w:i/>
              </w:rPr>
              <w:t>åtgärder</w:t>
            </w:r>
            <w:r>
              <w:t xml:space="preserve"> som svar på dessa rekommendationer.</w:t>
            </w:r>
          </w:p>
        </w:tc>
      </w:tr>
    </w:tbl>
    <w:p>
      <w:pPr>
        <w:pStyle w:val="AmOrLang"/>
      </w:pPr>
      <w:r>
        <w:t xml:space="preserve">Or. </w:t>
      </w:r>
      <w:r>
        <w:rPr>
          <w:rStyle w:val="HideTWBExt"/>
        </w:rPr>
        <w:t>&lt;Original&gt;</w:t>
      </w:r>
      <w:r>
        <w:rPr>
          <w:rStyle w:val="HideTWBInt"/>
        </w:rPr>
        <w:t>{SK}</w:t>
      </w:r>
      <w:r>
        <w:t>sk</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62</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Europaparlamentet beklagar djupt att det fortfarande saknas en meningsfull uppföljning från kommissionens och rådets sida som svar på dessa rekommendationer.</w:t>
            </w:r>
          </w:p>
        </w:tc>
        <w:tc>
          <w:tcPr>
            <w:tcW w:w="4876" w:type="dxa"/>
            <w:tcBorders>
              <w:top w:val="nil"/>
              <w:left w:val="nil"/>
              <w:bottom w:val="nil"/>
              <w:right w:val="nil"/>
            </w:tcBorders>
          </w:tcPr>
          <w:p>
            <w:pPr>
              <w:pStyle w:val="Normal6a"/>
            </w:pPr>
            <w:r>
              <w:rPr>
                <w:i/>
              </w:rPr>
              <w:t>(Berör inte den svenska versionen.)</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63</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6a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Europaparlamentet är djupt oroat över kommissionens förslag från 2022 till förordning om informationssäkerhet i unionens institutioner, organ och byråer</w:t>
            </w:r>
            <w:r>
              <w:rPr>
                <w:b/>
                <w:i/>
                <w:vertAlign w:val="superscript"/>
              </w:rPr>
              <w:t>1a</w:t>
            </w:r>
            <w:r>
              <w:rPr>
                <w:b/>
                <w:i/>
              </w:rPr>
              <w:t>, som kan leda till att vissa handlingar tilldelas en för hög säkerhetsskyddsklassificering.</w:t>
            </w:r>
            <w:r>
              <w:t xml:space="preserve"> </w:t>
            </w:r>
            <w:r>
              <w:rPr>
                <w:b/>
                <w:i/>
              </w:rPr>
              <w:t>Parlamentet är oroat över att förslaget skulle införa ett krav på behovsenlig behörighet för utlämning av vissa icke säkerhetsskyddsklassificerade uppgifter, vilket skulle undergräva den grundläggande rätten till tillgång till handlingar i artikel 15 i fördraget om Europeiska unionens funktionssätt och förordning (EG) nr 1049/2001.</w:t>
            </w:r>
            <w:r>
              <w:t xml:space="preserve"> </w:t>
            </w:r>
            <w:r>
              <w:rPr>
                <w:b/>
                <w:i/>
              </w:rPr>
              <w:t>Parlamentet begär att behandlingen av känsliga eller ”säkerhetsskyddsklassificerade” EU-uppgifter, i enlighet med artikel 52 i stadgan, ska regleras av en ny EU-förordning som bygger på artikel 15 i EUF-fördraget och inbegriper en tillsynsbefogenhet för Europaparlamentet och, vid behov, för domstolen.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Förslag till Europaparlamentets och rådets förordning om informationssäkerhet i unionens institutioner, organ och byråer, COM(2022)0119.</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64</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6a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Europaparlamentet uppmanar kommissionen att säkerställa insyn i beslut som fattas i samband med överträdelseförfaranden, kommittéförfaranden, förhandlingar om internationella avtal och EU-medel som används för att finansiera samarbete med tredjeländer på migrations- och säkerhetsområdet, inbegripet information om belopp, syfte och finansieringskälla, samt detaljerade uppgifter om alla andra potentiella stödåtgärder från EU:s byråer, så att parlamentet och allmänheten kan kontrollera genomförandet av EU:s budget.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6b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6b.</w:t>
            </w:r>
            <w:r>
              <w:tab/>
            </w:r>
            <w:r>
              <w:rPr>
                <w:b/>
                <w:i/>
              </w:rPr>
              <w:t>Europaparlamentet är bekymrat över svårigheterna med att få tillgång till handlingar från vissa EU-byråer, som hindrar medborgare och parlamentsledamöter från att effektivt granska dem.</w:t>
            </w:r>
            <w:r>
              <w:t xml:space="preserve"> </w:t>
            </w:r>
            <w:r>
              <w:rPr>
                <w:b/>
                <w:i/>
              </w:rPr>
              <w:t>Parlamentet anser att det är viktigt att offentliggöra möten och kontakter mellan EU-byråer och tredje parter för att säkerställa ökad transparens.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66</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Europaparlamentet konstaterar att Europeiska ombudsmannens undersökning som beskrivs i den särskilda rapporten OI/2/2022/OAM avslöjade ett mönster av systemrelaterade dröjsmål från kommissionens sida när det gäller att besvara bekräftande ansökningar, och fann att strukturella brister, otillräckliga resurser och bristfällig kommunikation i slutändan avskräckte enskilda personer från att utöva sin rätt till tillgång.</w:t>
            </w:r>
          </w:p>
        </w:tc>
        <w:tc>
          <w:tcPr>
            <w:tcW w:w="4876" w:type="dxa"/>
            <w:tcBorders>
              <w:top w:val="nil"/>
              <w:left w:val="nil"/>
              <w:bottom w:val="nil"/>
              <w:right w:val="nil"/>
            </w:tcBorders>
          </w:tcPr>
          <w:p>
            <w:pPr>
              <w:pStyle w:val="Normal6a"/>
            </w:pPr>
            <w:r>
              <w:t>7.</w:t>
            </w:r>
            <w:r>
              <w:tab/>
            </w:r>
            <w:r>
              <w:t xml:space="preserve">Europaparlamentet konstaterar att Europeiska ombudsmannens undersökning som beskrivs i den särskilda rapporten OI/2/2022/OAM avslöjade ett mönster av systemrelaterade dröjsmål från kommissionens sida när det gäller att besvara bekräftande ansökningar, och fann att strukturella brister, otillräckliga resurser och bristfällig kommunikation i slutändan avskräckte enskilda personer från att utöva sin rätt till tillgång. </w:t>
            </w:r>
            <w:r>
              <w:rPr>
                <w:b/>
                <w:i/>
              </w:rPr>
              <w:t>I samband med en översyn av förordning (EG) nr 1049/2001 begär parlamentet att det införs tydliga påföljder för unionens institutioner, byråer eller organ om dessa inte respekterar de fastställda tidsfristerna för att bevilja eller neka tillgång till handlingar.</w:t>
            </w:r>
            <w:r>
              <w:t xml:space="preserve"> </w:t>
            </w:r>
            <w:r>
              <w:rPr>
                <w:b/>
                <w:i/>
              </w:rPr>
              <w:t>Parlamentet anser att en begäran om tillgång till handlingar bör betraktas som beviljad om inget svar inkommer inom den angivna tidsfristen.</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67</w:t>
      </w:r>
      <w:r>
        <w:rPr>
          <w:rStyle w:val="HideTWBExt"/>
        </w:rPr>
        <w:t>&lt;/NumAm&gt;</w:t>
      </w:r>
    </w:p>
    <w:p>
      <w:pPr>
        <w:pStyle w:val="NormalBold"/>
      </w:pPr>
      <w:r>
        <w:rPr>
          <w:rStyle w:val="HideTWBExt"/>
          <w:b w:val="0"/>
        </w:rPr>
        <w:t>&lt;RepeatBlock-By&gt;</w:t>
      </w:r>
      <w:r>
        <w:rPr>
          <w:rStyle w:val="HideTWBExt"/>
          <w:b w:val="0"/>
        </w:rPr>
        <w:t>&lt;Members&gt;</w:t>
      </w:r>
      <w:r>
        <w:t>Pekka Toveri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Europaparlamentet konstaterar att Europeiska ombudsmannens undersökning som beskrivs i den särskilda rapporten OI/2/2022/OAM avslöjade ett mönster av systemrelaterade dröjsmål från kommissionens sida när det gäller att besvara bekräftande ansökningar, och fann att strukturella brister, otillräckliga resurser och bristfällig kommunikation i slutändan avskräckte enskilda personer från att utöva sin rätt till tillgång.</w:t>
            </w:r>
          </w:p>
        </w:tc>
        <w:tc>
          <w:tcPr>
            <w:tcW w:w="4876" w:type="dxa"/>
            <w:tcBorders>
              <w:top w:val="nil"/>
              <w:left w:val="nil"/>
              <w:bottom w:val="nil"/>
              <w:right w:val="nil"/>
            </w:tcBorders>
          </w:tcPr>
          <w:p>
            <w:pPr>
              <w:pStyle w:val="Normal6a"/>
            </w:pPr>
            <w:r>
              <w:t>7.</w:t>
            </w:r>
            <w:r>
              <w:tab/>
            </w:r>
            <w:r>
              <w:t xml:space="preserve">Europaparlamentet konstaterar att Europeiska ombudsmannens undersökning som beskrivs i den särskilda rapporten OI/2/2022/OAM avslöjade ett mönster av systemrelaterade dröjsmål från kommissionens sida när det gäller att besvara bekräftande ansökningar, och fann att strukturella brister, otillräckliga resurser och bristfällig kommunikation i slutändan avskräckte enskilda personer från att utöva sin rätt till tillgång. </w:t>
            </w:r>
            <w:r>
              <w:rPr>
                <w:b/>
                <w:i/>
              </w:rPr>
              <w:t>Parlamentet noterar att kommissionen ännu inte har genomfört några av ombudsmannens viktigaste rekommendationer, särskilt de om tidsfrister.</w:t>
            </w:r>
            <w:r>
              <w:t xml:space="preserve"> </w:t>
            </w:r>
            <w:r>
              <w:rPr>
                <w:b/>
                <w:i/>
              </w:rPr>
              <w:t>Parlamentet uppmanar kommissionen och rådet att vidta de åtgärder som är nödvändiga för att säkerställa att ombudsmannens rekommendationer efterlevs.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68</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Europaparlamentet </w:t>
            </w:r>
            <w:r>
              <w:rPr>
                <w:b/>
                <w:i/>
              </w:rPr>
              <w:t>konstaterar att Europeiska ombudsmannens undersökning som beskrivs i den särskilda rapporten OI/2/2022/OAM avslöjade ett</w:t>
            </w:r>
            <w:r>
              <w:t xml:space="preserve"> mönster av systemrelaterade dröjsmål från kommissionens sida när det gäller att besvara bekräftande ansökningar</w:t>
            </w:r>
            <w:r>
              <w:rPr>
                <w:b/>
                <w:i/>
              </w:rPr>
              <w:t>, och fann att</w:t>
            </w:r>
            <w:r>
              <w:t xml:space="preserve"> strukturella brister, otillräckliga resurser och bristfällig kommunikation i slutändan avskräckte enskilda personer från att utöva sin rätt till tillgång.</w:t>
            </w:r>
          </w:p>
        </w:tc>
        <w:tc>
          <w:tcPr>
            <w:tcW w:w="4876" w:type="dxa"/>
            <w:tcBorders>
              <w:top w:val="nil"/>
              <w:left w:val="nil"/>
              <w:bottom w:val="nil"/>
              <w:right w:val="nil"/>
            </w:tcBorders>
          </w:tcPr>
          <w:p>
            <w:pPr>
              <w:pStyle w:val="Normal6a"/>
            </w:pPr>
            <w:r>
              <w:t>7.</w:t>
            </w:r>
            <w:r>
              <w:tab/>
            </w:r>
            <w:r>
              <w:t xml:space="preserve">Europaparlamentet </w:t>
            </w:r>
            <w:r>
              <w:rPr>
                <w:b/>
                <w:i/>
              </w:rPr>
              <w:t>uttrycker på nytt sin oro över det</w:t>
            </w:r>
            <w:r>
              <w:t xml:space="preserve"> mönster av systemrelaterade dröjsmål från kommissionens sida när det gäller att besvara bekräftande ansökningar </w:t>
            </w:r>
            <w:r>
              <w:rPr>
                <w:b/>
                <w:i/>
              </w:rPr>
              <w:t>som Europeiska ombudsmannens undersökning som beskrivs i den särskilda rapporten OI/2/2022/OAM avslöjade, och där</w:t>
            </w:r>
            <w:r>
              <w:t xml:space="preserve"> strukturella brister, otillräckliga resurser och bristfällig kommunikation i slutändan avskräckte enskilda personer från att utöva sin rätt till tillgång. </w:t>
            </w:r>
            <w:r>
              <w:rPr>
                <w:b/>
                <w:i/>
              </w:rPr>
              <w:t>Parlamentet uppmanar med eftertryck kommissionen att rätta till sina systematiska dröjsmål i behandlingen av begäranden om allmänhetens tillgång till handlingar.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Europaparlamentet konstaterar att Europeiska ombudsmannens undersökning som beskrivs i den särskilda rapporten OI/2/2022/OAM avslöjade ett mönster av systemrelaterade dröjsmål från kommissionens sida när det gäller att besvara bekräftande ansökningar, och fann att strukturella brister, otillräckliga resurser och bristfällig kommunikation i slutändan avskräckte enskilda personer från att utöva sin rätt till tillgång.</w:t>
            </w:r>
          </w:p>
        </w:tc>
        <w:tc>
          <w:tcPr>
            <w:tcW w:w="4876" w:type="dxa"/>
            <w:tcBorders>
              <w:top w:val="nil"/>
              <w:left w:val="nil"/>
              <w:bottom w:val="nil"/>
              <w:right w:val="nil"/>
            </w:tcBorders>
          </w:tcPr>
          <w:p>
            <w:pPr>
              <w:pStyle w:val="Normal6a"/>
            </w:pPr>
            <w:r>
              <w:t>7.</w:t>
            </w:r>
            <w:r>
              <w:tab/>
            </w:r>
            <w:r>
              <w:t xml:space="preserve">Europaparlamentet konstaterar att Europeiska ombudsmannens undersökning som beskrivs i den särskilda rapporten OI/2/2022/OAM avslöjade ett mönster av systemrelaterade dröjsmål från kommissionens sida när det gäller att besvara bekräftande ansökningar, och fann att strukturella brister, otillräckliga resurser och bristfällig kommunikation i slutändan avskräckte enskilda personer från att utöva sin rätt till tillgång. </w:t>
            </w:r>
            <w:r>
              <w:rPr>
                <w:b/>
                <w:i/>
              </w:rPr>
              <w:t>Parlamentet påpekar att en sådan kultur riskerar att undergräva medborgarnas förtroende för EU-institutionerna ytterligare.</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70</w:t>
      </w:r>
      <w:r>
        <w:rPr>
          <w:rStyle w:val="HideTWBExt"/>
        </w:rPr>
        <w:t>&lt;/NumAm&gt;</w:t>
      </w:r>
    </w:p>
    <w:p>
      <w:pPr>
        <w:pStyle w:val="NormalBold"/>
      </w:pPr>
      <w:r>
        <w:rPr>
          <w:rStyle w:val="HideTWBExt"/>
          <w:b w:val="0"/>
        </w:rPr>
        <w:t>&lt;RepeatBlock-By&gt;</w:t>
      </w:r>
      <w:r>
        <w:rPr>
          <w:rStyle w:val="HideTWBExt"/>
          <w:b w:val="0"/>
        </w:rPr>
        <w:t>&lt;Members&gt;</w:t>
      </w:r>
      <w:r>
        <w:t>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7a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Med hänvisning till Europeiska revisionsrättens slutsatser beklagar Europaparlamentet att det saknas en tillförlitlig bild av all EU-finansiering som beviljas icke-statliga organisationer.</w:t>
            </w:r>
            <w:r>
              <w:t xml:space="preserve"> </w:t>
            </w:r>
            <w:r>
              <w:rPr>
                <w:b/>
                <w:i/>
              </w:rPr>
              <w:t>Enskilda uppgifter offentliggörs nämligen i många oliks system och databaser och på talrika webbplatser, vilket leder till fragmentering och begränsar transparensen och möjligheten att kontrollera icke-statliga organisationers roll i EU:s beslutsfattande och i genomförandet av EU-program.</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71</w:t>
      </w:r>
      <w:r>
        <w:rPr>
          <w:rStyle w:val="HideTWBExt"/>
        </w:rPr>
        <w:t>&lt;/NumAm&gt;</w:t>
      </w:r>
    </w:p>
    <w:p>
      <w:pPr>
        <w:pStyle w:val="NormalBold"/>
      </w:pPr>
      <w:r>
        <w:rPr>
          <w:rStyle w:val="HideTWBExt"/>
          <w:b w:val="0"/>
        </w:rPr>
        <w:t>&lt;RepeatBlock-By&gt;</w:t>
      </w:r>
      <w:r>
        <w:rPr>
          <w:rStyle w:val="HideTWBExt"/>
          <w:b w:val="0"/>
        </w:rPr>
        <w:t>&lt;Members&gt;</w:t>
      </w:r>
      <w:r>
        <w:t>Veronika Cifrová Ostrihoňová,Fabienne Keller,Malik Azmani,Irena Joveva,Lucia Yar,Nikola Minchev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7a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Europaparlamentet beklagar att kommissionen inte fullt ut har genomfört ombudsmannens rekommendationer och inte heller har visat något konkret engagemang för en systemreform.</w:t>
            </w:r>
            <w:r>
              <w:t xml:space="preserve"> </w:t>
            </w:r>
            <w:r>
              <w:rPr>
                <w:b/>
                <w:i/>
              </w:rPr>
              <w:t>Parlamentet välkomnar nya verktyg såsom Ease-portalen, men uppmanar kommissionen att gripa sig an centrala frågor såsom ständiga dröjsmål, bristande kontakt med sökande och otillräcklig transparens i uppmärksammade fall.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72</w:t>
      </w:r>
      <w:r>
        <w:rPr>
          <w:rStyle w:val="HideTWBExt"/>
        </w:rPr>
        <w:t>&lt;/NumAm&gt;</w:t>
      </w:r>
    </w:p>
    <w:p>
      <w:pPr>
        <w:pStyle w:val="NormalBold"/>
      </w:pPr>
      <w:r>
        <w:rPr>
          <w:rStyle w:val="HideTWBExt"/>
          <w:b w:val="0"/>
        </w:rPr>
        <w:t>&lt;RepeatBlock-By&gt;</w:t>
      </w:r>
      <w:r>
        <w:rPr>
          <w:rStyle w:val="HideTWBExt"/>
          <w:b w:val="0"/>
        </w:rPr>
        <w:t>&lt;Members&gt;</w:t>
      </w:r>
      <w:r>
        <w:t>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Europaparlamentet uppmanar kommissionen att säkerställa att alla framtida lagstiftningsförslag bygger på tillförlitliga och kontrollerbara uppgifter som tydligt visar på deras nödvändighet, proportionalitet och förväntade ändamålsenlighet. Parlamentet riktar dessutom en bestämd uppmaning till kommissionen att säkerställa full transparens i urvalet av berörda parter som rådfrågas under utarbetandet av lagstiftningsförslag.</w:t>
            </w:r>
          </w:p>
        </w:tc>
        <w:tc>
          <w:tcPr>
            <w:tcW w:w="4876" w:type="dxa"/>
            <w:tcBorders>
              <w:top w:val="nil"/>
              <w:left w:val="nil"/>
              <w:bottom w:val="nil"/>
              <w:right w:val="nil"/>
            </w:tcBorders>
          </w:tcPr>
          <w:p>
            <w:pPr>
              <w:pStyle w:val="Normal6a"/>
            </w:pPr>
            <w:r>
              <w:t>8.</w:t>
            </w:r>
            <w:r>
              <w:tab/>
            </w:r>
            <w:r>
              <w:t xml:space="preserve">Europaparlamentet uppmanar kommissionen att säkerställa att alla framtida lagstiftningsförslag bygger på tillförlitliga och kontrollerbara uppgifter som tydligt visar på deras nödvändighet, proportionalitet och förväntade ändamålsenlighet. Parlamentet riktar dessutom en bestämd uppmaning till kommissionen att säkerställa full transparens i urvalet av berörda parter som rådfrågas under utarbetandet av lagstiftningsförslag. </w:t>
            </w:r>
            <w:r>
              <w:rPr>
                <w:b/>
                <w:i/>
              </w:rPr>
              <w:t>Parlamentet uppmanar kommissionen att offentliggöra namnen på de skribenter, organisationer, tankesmedjor, stiftelser och andra enheter som medverkar till utarbetandet av periodiska rapporter såsom rättsstatsrapporten.</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73</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Europaparlamentet uppmanar kommissionen att säkerställa att alla framtida lagstiftningsförslag bygger på tillförlitliga och kontrollerbara uppgifter som tydligt visar på deras nödvändighet, proportionalitet och förväntade ändamålsenlighet. Parlamentet riktar dessutom en bestämd uppmaning till kommissionen att säkerställa full transparens i urvalet av berörda parter som rådfrågas under utarbetandet av lagstiftningsförslag.</w:t>
            </w:r>
          </w:p>
        </w:tc>
        <w:tc>
          <w:tcPr>
            <w:tcW w:w="4876" w:type="dxa"/>
            <w:tcBorders>
              <w:top w:val="nil"/>
              <w:left w:val="nil"/>
              <w:bottom w:val="nil"/>
              <w:right w:val="nil"/>
            </w:tcBorders>
          </w:tcPr>
          <w:p>
            <w:pPr>
              <w:pStyle w:val="Normal6a"/>
            </w:pPr>
            <w:r>
              <w:t>8.</w:t>
            </w:r>
            <w:r>
              <w:tab/>
            </w:r>
            <w:r>
              <w:t xml:space="preserve">Europaparlamentet uppmanar kommissionen att säkerställa att alla framtida lagstiftningsförslag </w:t>
            </w:r>
            <w:r>
              <w:rPr>
                <w:b/>
                <w:i/>
              </w:rPr>
              <w:t>är förenliga med de grundläggande rättigheterna,</w:t>
            </w:r>
            <w:r>
              <w:t xml:space="preserve"> bygger på tillförlitliga och kontrollerbara uppgifter som tydligt visar på deras nödvändighet, proportionalitet och förväntade ändamålsenlighet </w:t>
            </w:r>
            <w:r>
              <w:rPr>
                <w:b/>
                <w:i/>
              </w:rPr>
              <w:t>samt åtföljs av en omfattande konsekvensbedömning</w:t>
            </w:r>
            <w:r>
              <w:t xml:space="preserve">. Parlamentet riktar dessutom en bestämd uppmaning till kommissionen att säkerställa full transparens i urvalet av berörda parter som rådfrågas under utarbetandet av lagstiftningsförslag </w:t>
            </w:r>
            <w:r>
              <w:rPr>
                <w:b/>
                <w:i/>
              </w:rPr>
              <w:t>samt tillräcklig tid för breda offentliga samråd</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74</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Europaparlamentet uppmanar kommissionen att säkerställa att alla framtida lagstiftningsförslag bygger på tillförlitliga och kontrollerbara uppgifter som tydligt visar på deras nödvändighet, proportionalitet och förväntade ändamålsenlighet. Parlamentet riktar dessutom en bestämd uppmaning till kommissionen att säkerställa full transparens i urvalet av berörda parter som rådfrågas under utarbetandet av lagstiftningsförslag.</w:t>
            </w:r>
          </w:p>
        </w:tc>
        <w:tc>
          <w:tcPr>
            <w:tcW w:w="4876" w:type="dxa"/>
            <w:tcBorders>
              <w:top w:val="nil"/>
              <w:left w:val="nil"/>
              <w:bottom w:val="nil"/>
              <w:right w:val="nil"/>
            </w:tcBorders>
          </w:tcPr>
          <w:p>
            <w:pPr>
              <w:pStyle w:val="Normal6a"/>
            </w:pPr>
            <w:r>
              <w:t>8.</w:t>
            </w:r>
            <w:r>
              <w:tab/>
            </w:r>
            <w:r>
              <w:t>Europaparlamentet uppmanar kommissionen att säkerställa att alla framtida lagstiftningsförslag bygger på tillförlitliga och kontrollerbara uppgifter som tydligt visar på deras nödvändighet</w:t>
            </w:r>
            <w:r>
              <w:rPr>
                <w:b/>
                <w:i/>
              </w:rPr>
              <w:t>, kostnadseffektivitet, överensstämmelse med subsidiaritetsprincipen</w:t>
            </w:r>
            <w:r>
              <w:t>, proportionalitet och förväntade ändamålsenlighet. Parlamentet riktar dessutom en bestämd uppmaning till kommissionen att säkerställa full transparens i urvalet av berörda parter som rådfrågas under utarbetandet av lagstiftningsförslag.</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75</w:t>
      </w:r>
      <w:r>
        <w:rPr>
          <w:rStyle w:val="HideTWBExt"/>
        </w:rPr>
        <w:t>&lt;/NumAm&gt;</w:t>
      </w:r>
    </w:p>
    <w:p>
      <w:pPr>
        <w:pStyle w:val="NormalBold"/>
      </w:pPr>
      <w:r>
        <w:rPr>
          <w:rStyle w:val="HideTWBExt"/>
          <w:b w:val="0"/>
        </w:rPr>
        <w:t>&lt;RepeatBlock-By&gt;</w:t>
      </w:r>
      <w:r>
        <w:rPr>
          <w:rStyle w:val="HideTWBExt"/>
          <w:b w:val="0"/>
        </w:rPr>
        <w:t>&lt;Members&gt;</w:t>
      </w:r>
      <w:r>
        <w:t>András László,Tom Vandendriessche,Matthieu Valet,António Tânger Corrêa,Alexandre Varaut,Marieke Ehlers,Jaroslav Bžoch,Fabrice Leggeri,Roberto Vannacci,Jorge Buxadé Villalba,Nikola Bartůšek,Petra Steger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8a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Europaparlamentet noterar med stor oro den allmänna bristen på transparens och ordentlig granskning i förbindelserna mellan EU-institutionerna och icke-statliga organisationer.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76</w:t>
      </w:r>
      <w:r>
        <w:rPr>
          <w:rStyle w:val="HideTWBExt"/>
        </w:rPr>
        <w:t>&lt;/NumAm&gt;</w:t>
      </w:r>
    </w:p>
    <w:p>
      <w:pPr>
        <w:pStyle w:val="NormalBold"/>
      </w:pPr>
      <w:r>
        <w:rPr>
          <w:rStyle w:val="HideTWBExt"/>
          <w:b w:val="0"/>
        </w:rPr>
        <w:t>&lt;RepeatBlock-By&gt;</w:t>
      </w:r>
      <w:r>
        <w:rPr>
          <w:rStyle w:val="HideTWBExt"/>
          <w:b w:val="0"/>
        </w:rPr>
        <w:t>&lt;Members&gt;</w:t>
      </w:r>
      <w:r>
        <w:t>András László,Tom Vandendriessche,Matthieu Valet,António Tânger Corrêa,Alexandre Varaut,Marieke Ehlers,Jaroslav Bžoch,Fabrice Leggeri,Roberto Vannacci,Jorge Buxadé Villalba,Nikola Bartůšek,Petra Steger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8b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8b.</w:t>
            </w:r>
            <w:r>
              <w:tab/>
            </w:r>
            <w:r>
              <w:rPr>
                <w:b/>
                <w:i/>
              </w:rPr>
              <w:t>Europaparlamentet uppmanar kommissionen att automatiskt och utan föregående begäran offentliggöra alla bidrag, kontrakt och handlingar på en central onlineplattform som är lättillgänglig, sökbar och transparent.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77</w:t>
      </w:r>
      <w:r>
        <w:rPr>
          <w:rStyle w:val="HideTWBExt"/>
        </w:rPr>
        <w:t>&lt;/NumAm&gt;</w:t>
      </w:r>
    </w:p>
    <w:p>
      <w:pPr>
        <w:pStyle w:val="NormalBold"/>
      </w:pPr>
      <w:r>
        <w:rPr>
          <w:rStyle w:val="HideTWBExt"/>
          <w:b w:val="0"/>
        </w:rPr>
        <w:t>&lt;RepeatBlock-By&gt;</w:t>
      </w:r>
      <w:r>
        <w:rPr>
          <w:rStyle w:val="HideTWBExt"/>
          <w:b w:val="0"/>
        </w:rPr>
        <w:t>&lt;Members&gt;</w:t>
      </w:r>
      <w:r>
        <w:t>András László,Tom Vandendriessche,Matthieu Valet,António Tânger Corrêa,Alexandre Varaut,Marieke Ehlers,Jaroslav Bžoch,Fabrice Leggeri,Roberto Vannacci,Jorge Buxadé Villalba,Nikola Bartůšek,Petra Steger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8c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8c.</w:t>
            </w:r>
            <w:r>
              <w:tab/>
            </w:r>
            <w:r>
              <w:rPr>
                <w:b/>
                <w:i/>
              </w:rPr>
              <w:t>Europaparlamentet uppmanar eftertryckligen kommissionen att offentliggöra alla handlingar som rör finansiering av icke-statliga organisationer inom den nuvarande fleråriga budgetramen.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78</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Europaparlamentet beklagar </w:t>
            </w:r>
            <w:r>
              <w:rPr>
                <w:b/>
                <w:i/>
              </w:rPr>
              <w:t>att det i rådetfortfarande finns brister gällande transparensen</w:t>
            </w:r>
            <w:r>
              <w:t>. Parlamentet noterar med oro de rön som visar på rådets vägran att bevilja tillgång till handlingar från trepartsmöten. Parlamentet beklagar att även de senaste analyserna belyser bristen på proaktiva metoder för offentliggörande och registrering.</w:t>
            </w:r>
          </w:p>
        </w:tc>
        <w:tc>
          <w:tcPr>
            <w:tcW w:w="4876" w:type="dxa"/>
            <w:tcBorders>
              <w:top w:val="nil"/>
              <w:left w:val="nil"/>
              <w:bottom w:val="nil"/>
              <w:right w:val="nil"/>
            </w:tcBorders>
          </w:tcPr>
          <w:p>
            <w:pPr>
              <w:pStyle w:val="Normal6a"/>
            </w:pPr>
            <w:r>
              <w:t>9.</w:t>
            </w:r>
            <w:r>
              <w:tab/>
            </w:r>
            <w:r>
              <w:t xml:space="preserve">Europaparlamentet beklagar </w:t>
            </w:r>
            <w:r>
              <w:rPr>
                <w:b/>
                <w:i/>
              </w:rPr>
              <w:t>bristen på transparens i rådet</w:t>
            </w:r>
            <w:r>
              <w:t xml:space="preserve">. Parlamentet noterar med oro de rön som visar på rådets vägran att bevilja tillgång till handlingar från trepartsmöten. Parlamentet beklagar att även de senaste analyserna belyser bristen på proaktiva metoder för offentliggörande och registrering. </w:t>
            </w:r>
            <w:r>
              <w:rPr>
                <w:b/>
                <w:i/>
              </w:rPr>
              <w:t>Parlamentet påminner om att rådets möten enligt artikel 16.8 i EU-fördraget ska vara offentliga när det överlägger och röstar om ett utkast till lagstiftningsakt.</w:t>
            </w:r>
            <w:r>
              <w:t xml:space="preserve"> </w:t>
            </w:r>
            <w:r>
              <w:rPr>
                <w:b/>
                <w:i/>
              </w:rPr>
              <w:t>Parlamentet understryker att märkningen av de flesta förberedande handlingarna i pågående lagstiftningsförfaranden med ”LIMITE” innebär en oproportionerlig begränsning av medborgarnas rätt att få tillgång till lagstiftningshandlingar.</w:t>
            </w:r>
            <w:r>
              <w:t xml:space="preserve"> </w:t>
            </w:r>
            <w:r>
              <w:rPr>
                <w:b/>
                <w:i/>
              </w:rPr>
              <w:t>Parlamentet betonar att alla lagstiftningshandlingar som utarbetas av och/eller cirkulerar i de förberedande organen också bör förtecknas i ett användarvänligt offentligt register så att medborgarna fullt ut kan utöva sin rätt att få tillgång till handlingar.</w:t>
            </w:r>
            <w:r>
              <w:t xml:space="preserve"> </w:t>
            </w:r>
            <w:r>
              <w:rPr>
                <w:b/>
                <w:i/>
              </w:rPr>
              <w:t>Parlamentet uppmanar med eftertryck rådet att förbättra sina regler och förfaranden för transparens, inklusive tillgång till och klassificering av lagstiftningshandlingar.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Europaparlamentet beklagar att det i </w:t>
            </w:r>
            <w:r>
              <w:rPr>
                <w:b/>
                <w:i/>
              </w:rPr>
              <w:t>rådetfortfarande</w:t>
            </w:r>
            <w:r>
              <w:t xml:space="preserve"> finns brister gällande transparensen. Parlamentet noterar med oro de rön som visar på rådets vägran att bevilja tillgång till handlingar från trepartsmöten. Parlamentet beklagar att även de senaste analyserna belyser bristen på proaktiva metoder för offentliggörande och registrering.</w:t>
            </w:r>
          </w:p>
        </w:tc>
        <w:tc>
          <w:tcPr>
            <w:tcW w:w="4876" w:type="dxa"/>
            <w:tcBorders>
              <w:top w:val="nil"/>
              <w:left w:val="nil"/>
              <w:bottom w:val="nil"/>
              <w:right w:val="nil"/>
            </w:tcBorders>
          </w:tcPr>
          <w:p>
            <w:pPr>
              <w:pStyle w:val="Normal6a"/>
            </w:pPr>
            <w:r>
              <w:t>9.</w:t>
            </w:r>
            <w:r>
              <w:tab/>
            </w:r>
            <w:r>
              <w:t xml:space="preserve">Europaparlamentet beklagar </w:t>
            </w:r>
            <w:r>
              <w:rPr>
                <w:b/>
                <w:i/>
              </w:rPr>
              <w:t>djupt</w:t>
            </w:r>
            <w:r>
              <w:t xml:space="preserve"> att det i </w:t>
            </w:r>
            <w:r>
              <w:rPr>
                <w:b/>
                <w:i/>
              </w:rPr>
              <w:t>rådet fortfarande</w:t>
            </w:r>
            <w:r>
              <w:t xml:space="preserve"> finns brister gällande transparensen. Parlamentet noterar med oro de rön som visar på rådets vägran att bevilja tillgång till handlingar från trepartsmöten. Parlamentet beklagar </w:t>
            </w:r>
            <w:r>
              <w:rPr>
                <w:b/>
                <w:i/>
              </w:rPr>
              <w:t>djupt</w:t>
            </w:r>
            <w:r>
              <w:t xml:space="preserve"> att även de senaste analyserna belyser bristen på proaktiva metoder för offentliggörande och registrering.</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80</w:t>
      </w:r>
      <w:r>
        <w:rPr>
          <w:rStyle w:val="HideTWBExt"/>
        </w:rPr>
        <w:t>&lt;/NumAm&gt;</w:t>
      </w:r>
    </w:p>
    <w:p>
      <w:pPr>
        <w:pStyle w:val="NormalBold"/>
      </w:pPr>
      <w:r>
        <w:rPr>
          <w:rStyle w:val="HideTWBExt"/>
          <w:b w:val="0"/>
        </w:rPr>
        <w:t>&lt;RepeatBlock-By&gt;</w:t>
      </w:r>
      <w:r>
        <w:rPr>
          <w:rStyle w:val="HideTWBExt"/>
          <w:b w:val="0"/>
        </w:rPr>
        <w:t>&lt;Members&gt;</w:t>
      </w:r>
      <w:r>
        <w:t>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Europaparlamentet beklagar att det i rådet fortfarande finns brister gällande transparensen. Parlamentet noterar med oro de rön som visar på rådets vägran att bevilja tillgång till handlingar från trepartsmöten. Parlamentet beklagar att även de senaste analyserna belyser bristen på proaktiva metoder för offentliggörande och registrering.</w:t>
            </w:r>
          </w:p>
        </w:tc>
        <w:tc>
          <w:tcPr>
            <w:tcW w:w="4876" w:type="dxa"/>
            <w:tcBorders>
              <w:top w:val="nil"/>
              <w:left w:val="nil"/>
              <w:bottom w:val="nil"/>
              <w:right w:val="nil"/>
            </w:tcBorders>
          </w:tcPr>
          <w:p>
            <w:pPr>
              <w:pStyle w:val="Normal6a"/>
            </w:pPr>
            <w:r>
              <w:t>9.</w:t>
            </w:r>
            <w:r>
              <w:tab/>
            </w:r>
            <w:r>
              <w:t xml:space="preserve">Europaparlamentet beklagar att det i rådet fortfarande finns brister gällande transparensen. Parlamentet noterar med </w:t>
            </w:r>
            <w:r>
              <w:rPr>
                <w:b/>
                <w:i/>
              </w:rPr>
              <w:t>stor</w:t>
            </w:r>
            <w:r>
              <w:t xml:space="preserve"> oro de rön som visar på rådets vägran att bevilja tillgång till handlingar från trepartsmöten. Parlamentet beklagar att även de senaste analyserna belyser bristen på proaktiva metoder för offentliggörande och registrering.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Erik Kaliňák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Europaparlamentet beklagar att det i rådet fortfarande finns brister gällande transparensen. Parlamentet noterar </w:t>
            </w:r>
            <w:r>
              <w:rPr>
                <w:b/>
                <w:i/>
              </w:rPr>
              <w:t>med oro de rön som visar på</w:t>
            </w:r>
            <w:r>
              <w:t xml:space="preserve"> rådets vägran att bevilja tillgång till handlingar från trepartsmöten. Parlamentet beklagar att även de senaste analyserna belyser bristen på proaktiva metoder för offentliggörande och registrering.</w:t>
            </w:r>
          </w:p>
        </w:tc>
        <w:tc>
          <w:tcPr>
            <w:tcW w:w="4876" w:type="dxa"/>
            <w:tcBorders>
              <w:top w:val="nil"/>
              <w:left w:val="nil"/>
              <w:bottom w:val="nil"/>
              <w:right w:val="nil"/>
            </w:tcBorders>
          </w:tcPr>
          <w:p>
            <w:pPr>
              <w:pStyle w:val="Normal6a"/>
            </w:pPr>
            <w:r>
              <w:t>9.</w:t>
            </w:r>
            <w:r>
              <w:tab/>
            </w:r>
            <w:r>
              <w:t>Europaparlamentet beklagar att det i rådet fortfarande finns brister gällande transparensen. Parlamentet noterar rådets vägran att bevilja tillgång till handlingar från trepartsmöten. Parlamentet beklagar att även de senaste analyserna belyser bristen på proaktiva metoder för offentliggörande och registrering.</w:t>
            </w:r>
          </w:p>
        </w:tc>
      </w:tr>
    </w:tbl>
    <w:p>
      <w:pPr>
        <w:pStyle w:val="AmOrLang"/>
      </w:pPr>
      <w:r>
        <w:t xml:space="preserve">Or. </w:t>
      </w:r>
      <w:r>
        <w:rPr>
          <w:rStyle w:val="HideTWBExt"/>
        </w:rPr>
        <w:t>&lt;Original&gt;</w:t>
      </w:r>
      <w:r>
        <w:rPr>
          <w:rStyle w:val="HideTWBInt"/>
        </w:rPr>
        <w:t>{SK}</w:t>
      </w:r>
      <w:r>
        <w:t>sk</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9a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9a.</w:t>
            </w:r>
            <w:r>
              <w:tab/>
            </w:r>
            <w:r>
              <w:rPr>
                <w:b/>
                <w:i/>
              </w:rPr>
              <w:t>Europaparlamentet upprepar att rådet måste upprätthålla samma standarder för transparens som parlamentet och kommissionen.</w:t>
            </w:r>
            <w:r>
              <w:t xml:space="preserve"> </w:t>
            </w:r>
            <w:r>
              <w:rPr>
                <w:b/>
                <w:i/>
              </w:rPr>
              <w:t>Parlamentet betonar att det interinstitutionella förtroendet undergrävs när en institution konsekvent vägrar att ge allmänheten tillgång till handlingar som är relevanta för EU:s beslutsfattande.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9a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9a.</w:t>
            </w:r>
            <w:r>
              <w:tab/>
            </w:r>
            <w:r>
              <w:rPr>
                <w:b/>
                <w:i/>
              </w:rPr>
              <w:t>Europaparlamentet betonar att internationella avtal, såsom avtalet mellan EU och Mercosur, påverkar EU:s lagstiftning och att förhandlingarna måste vara transparenta för parlamentet under hela processen, bland annat genom att ledamöterna ges tillgång till alla relevanta handlingar.</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Raquel García Hermida-Van Der Walle,Veronika Cifrová Ostrihoňová,Irena Joveva,Lucia Yar,Hilde Vautmans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Europaparlamentet välkomnar EU-domstolens dom i målet Stevi och The New York Times mot kommissionen som ett viktigt bidrag till ramen för den rättspraxis som har främjat transparenta tillämpningar inom EU:s institutioner, organ och byråer. Parlamentet noterar att domen understryker skyldigheten att proaktivt bevara dokumentation för att säkerställa att rätten till tillgång kan utövas på ett ändamålsenligt sätt. Parlamentet beklagar dock att EU-domstolen valde att inte omtolka förordning (EG) nr 1049/2001 mot bakgrund av moderna kommunikationsmetoder och framväxande skyldigheter kring transparens.</w:t>
            </w:r>
          </w:p>
        </w:tc>
        <w:tc>
          <w:tcPr>
            <w:tcW w:w="4876" w:type="dxa"/>
            <w:tcBorders>
              <w:top w:val="nil"/>
              <w:left w:val="nil"/>
              <w:bottom w:val="nil"/>
              <w:right w:val="nil"/>
            </w:tcBorders>
          </w:tcPr>
          <w:p>
            <w:pPr>
              <w:pStyle w:val="Normal6a"/>
            </w:pPr>
            <w:r>
              <w:t>10.</w:t>
            </w:r>
            <w:r>
              <w:tab/>
            </w:r>
            <w:r>
              <w:t xml:space="preserve">Europaparlamentet välkomnar EU-domstolens dom i målet Stevi och The New York Times mot kommissionen som ett viktigt bidrag till ramen för den rättspraxis som har främjat transparenta tillämpningar inom EU:s institutioner, organ och byråer. Parlamentet </w:t>
            </w:r>
            <w:r>
              <w:rPr>
                <w:b/>
                <w:i/>
              </w:rPr>
              <w:t>menar att det sätt på vilket ordförande von der Leyen har hanterat denna begäran om tillgång till handlingar har minskat förtroendet för kommissionen.</w:t>
            </w:r>
            <w:r>
              <w:t xml:space="preserve"> </w:t>
            </w:r>
            <w:r>
              <w:rPr>
                <w:b/>
                <w:i/>
              </w:rPr>
              <w:t>Parlamentet beklagar kommissionens fortsatta vägran att ange varför ingen (delvis) tillgång kunde ges till de begärda handlingarna.</w:t>
            </w:r>
            <w:r>
              <w:t xml:space="preserve"> </w:t>
            </w:r>
            <w:r>
              <w:rPr>
                <w:b/>
                <w:i/>
              </w:rPr>
              <w:t>Parlamentet</w:t>
            </w:r>
            <w:r>
              <w:t xml:space="preserve"> noterar att domen understryker skyldigheten att proaktivt bevara dokumentation för att säkerställa att rätten till tillgång kan utövas på ett ändamålsenligt sätt</w:t>
            </w:r>
            <w:r>
              <w:rPr>
                <w:b/>
                <w:i/>
              </w:rPr>
              <w:t>.</w:t>
            </w:r>
            <w:r>
              <w:t xml:space="preserve"> </w:t>
            </w:r>
            <w:r>
              <w:rPr>
                <w:b/>
                <w:i/>
              </w:rPr>
              <w:t>Parlamentet konstaterar i detta avseende att registrering av en handling är en följd av handlingens existens och inte en förutsättning för dess existens och att kommissionen inte kan förlita sig enbart på avsaknaden av registrering i sitt system när det gäller att fastställa att den inte innehar en begärd handling.</w:t>
            </w:r>
            <w:r>
              <w:t xml:space="preserve"> </w:t>
            </w:r>
            <w:r>
              <w:rPr>
                <w:b/>
                <w:i/>
              </w:rPr>
              <w:t>Parlamentet är fast övertygat om att förlust eller radering av en handling enbart på grund av att handlingen förklaras vara ”kortlivad” i grunden undergräver principen om transparens och god förvaltning, vilket utgör ett farligt exempel för framtida hantering av begäranden om tillgång till handlingar</w:t>
            </w:r>
            <w:r>
              <w:t>. Parlamentet beklagar dock att EU-domstolen valde att inte omtolka förordning (EG) nr 1049/2001 mot bakgrund av moderna kommunikationsmetoder och framväxande skyldigheter kring transparens.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85</w:t>
      </w:r>
      <w:r>
        <w:rPr>
          <w:rStyle w:val="HideTWBExt"/>
        </w:rPr>
        <w:t>&lt;/NumAm&gt;</w:t>
      </w:r>
    </w:p>
    <w:p>
      <w:pPr>
        <w:pStyle w:val="NormalBold"/>
      </w:pPr>
      <w:r>
        <w:rPr>
          <w:rStyle w:val="HideTWBExt"/>
          <w:b w:val="0"/>
        </w:rPr>
        <w:t>&lt;RepeatBlock-By&gt;</w:t>
      </w:r>
      <w:r>
        <w:rPr>
          <w:rStyle w:val="HideTWBExt"/>
          <w:b w:val="0"/>
        </w:rPr>
        <w:t>&lt;Members&gt;</w:t>
      </w:r>
      <w:r>
        <w:t>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Europaparlamentet välkomnar EU-domstolens dom i målet Stevi och The New York Times mot kommissionen som ett viktigt bidrag till ramen för den rättspraxis som har främjat transparenta tillämpningar inom EU:s institutioner, organ och byråer. Parlamentet noterar att domen understryker skyldigheten att proaktivt bevara dokumentation för att säkerställa att rätten till tillgång kan utövas på ett ändamålsenligt sätt. Parlamentet beklagar dock att EU-domstolen valde att inte omtolka förordning (EG) nr 1049/2001 mot bakgrund av moderna kommunikationsmetoder och framväxande skyldigheter kring transparens.</w:t>
            </w:r>
          </w:p>
        </w:tc>
        <w:tc>
          <w:tcPr>
            <w:tcW w:w="4876" w:type="dxa"/>
            <w:tcBorders>
              <w:top w:val="nil"/>
              <w:left w:val="nil"/>
              <w:bottom w:val="nil"/>
              <w:right w:val="nil"/>
            </w:tcBorders>
          </w:tcPr>
          <w:p>
            <w:pPr>
              <w:pStyle w:val="Normal6a"/>
            </w:pPr>
            <w:r>
              <w:t>10.</w:t>
            </w:r>
            <w:r>
              <w:tab/>
            </w:r>
            <w:r>
              <w:t xml:space="preserve">Europaparlamentet välkomnar EU-domstolens dom i målet Stevi och The New York Times mot kommissionen som ett viktigt bidrag till ramen för den rättspraxis som har främjat transparenta tillämpningar inom EU:s institutioner, organ och byråer. Parlamentet noterar att domen understryker skyldigheten att proaktivt bevara dokumentation för att säkerställa att rätten till tillgång kan utövas på ett ändamålsenligt sätt. Parlamentet beklagar dock att EU-domstolen valde att inte omtolka förordning (EG) nr 1049/2001 mot bakgrund av moderna kommunikationsmetoder och framväxande skyldigheter kring transparens. </w:t>
            </w:r>
            <w:r>
              <w:rPr>
                <w:b/>
                <w:i/>
              </w:rPr>
              <w:t>Parlamentet beklagar att kommissionens interna policy inte föreskriver att textmeddelanden ska registreras, vilket felaktigt motiveras av att de till sin natur är ”kortlivade handlingar” och ”inte är tänkta att innehålla viktig information om kommissionens politik, verksamhet och beslut”.</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86</w:t>
      </w:r>
      <w:r>
        <w:rPr>
          <w:rStyle w:val="HideTWBExt"/>
        </w:rPr>
        <w:t>&lt;/NumAm&gt;</w:t>
      </w:r>
    </w:p>
    <w:p>
      <w:pPr>
        <w:pStyle w:val="NormalBold"/>
      </w:pPr>
      <w:r>
        <w:rPr>
          <w:rStyle w:val="HideTWBExt"/>
          <w:b w:val="0"/>
        </w:rPr>
        <w:t>&lt;RepeatBlock-By&gt;</w:t>
      </w:r>
      <w:r>
        <w:rPr>
          <w:rStyle w:val="HideTWBExt"/>
          <w:b w:val="0"/>
        </w:rPr>
        <w:t>&lt;Members&gt;</w:t>
      </w:r>
      <w:r>
        <w:t>Erik Kaliňák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Europaparlamentet välkomnar EU-domstolens dom i målet Stevi och The New York Times mot kommissionen som ett viktigt bidrag till </w:t>
            </w:r>
            <w:r>
              <w:rPr>
                <w:b/>
                <w:i/>
              </w:rPr>
              <w:t>ramen för den rättspraxis som har främjat transparenta tillämpningar</w:t>
            </w:r>
            <w:r>
              <w:t xml:space="preserve"> inom EU:s institutioner, organ och byråer. Parlamentet </w:t>
            </w:r>
            <w:r>
              <w:rPr>
                <w:b/>
                <w:i/>
              </w:rPr>
              <w:t>noterar att domen understryker skyldigheten att proaktivt bevara dokumentation för att säkerställa att rätten till tillgång kan utövas på ett ändamålsenligt sätt.</w:t>
            </w:r>
            <w:r>
              <w:t xml:space="preserve"> </w:t>
            </w:r>
            <w:r>
              <w:rPr>
                <w:b/>
                <w:i/>
              </w:rPr>
              <w:t>Parlamentet beklagar dock att EU-domstolen valde att inte omtolka förordning (EG) nr 1049/2001 mot bakgrund av moderna kommunikationsmetoder och framväxande skyldigheter kring transparens</w:t>
            </w:r>
            <w:r>
              <w:t>.</w:t>
            </w:r>
          </w:p>
        </w:tc>
        <w:tc>
          <w:tcPr>
            <w:tcW w:w="4876" w:type="dxa"/>
            <w:tcBorders>
              <w:top w:val="nil"/>
              <w:left w:val="nil"/>
              <w:bottom w:val="nil"/>
              <w:right w:val="nil"/>
            </w:tcBorders>
          </w:tcPr>
          <w:p>
            <w:pPr>
              <w:pStyle w:val="Normal6a"/>
            </w:pPr>
            <w:r>
              <w:t>10.</w:t>
            </w:r>
            <w:r>
              <w:tab/>
            </w:r>
            <w:r>
              <w:t>Europaparlamentet välkomnar EU-domstolens dom i målet Stevi och The New York Times mot kommissionen som ett viktigt bidrag till </w:t>
            </w:r>
            <w:r>
              <w:rPr>
                <w:b/>
                <w:i/>
              </w:rPr>
              <w:t>stöd för transparens</w:t>
            </w:r>
            <w:r>
              <w:t xml:space="preserve"> inom EU:s institutioner, organ och byråer. Parlamentet </w:t>
            </w:r>
            <w:r>
              <w:rPr>
                <w:b/>
                <w:i/>
              </w:rPr>
              <w:t>uppmanar eftertryckligen kommissionen att offentliggöra alla textmeddelanden som utväxlats mellan den 1 januari 2021 och den 11 maj 2022 mellan kommissionens ordförande och den verkställande direktören för läkemedelsbolaget Pfizer</w:t>
            </w:r>
            <w:r>
              <w:t>.</w:t>
            </w:r>
          </w:p>
        </w:tc>
      </w:tr>
    </w:tbl>
    <w:p>
      <w:pPr>
        <w:pStyle w:val="AmOrLang"/>
      </w:pPr>
      <w:r>
        <w:t xml:space="preserve">Or. </w:t>
      </w:r>
      <w:r>
        <w:rPr>
          <w:rStyle w:val="HideTWBExt"/>
        </w:rPr>
        <w:t>&lt;Original&gt;</w:t>
      </w:r>
      <w:r>
        <w:rPr>
          <w:rStyle w:val="HideTWBInt"/>
        </w:rPr>
        <w:t>{SK}</w:t>
      </w:r>
      <w:r>
        <w:t>sk</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87</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Europaparlamentet välkomnar EU-domstolens dom i målet Stevi och The New York Times mot kommissionen som ett viktigt bidrag till ramen för den rättspraxis som har främjat transparenta tillämpningar inom EU:s institutioner, organ och byråer. Parlamentet noterar att domen understryker skyldigheten att proaktivt bevara dokumentation för att säkerställa att rätten till tillgång kan utövas på ett ändamålsenligt sätt. Parlamentet beklagar dock att EU-domstolen valde att inte omtolka förordning (EG) nr 1049/2001 mot bakgrund av moderna kommunikationsmetoder och framväxande skyldigheter kring transparens.</w:t>
            </w:r>
          </w:p>
        </w:tc>
        <w:tc>
          <w:tcPr>
            <w:tcW w:w="4876" w:type="dxa"/>
            <w:tcBorders>
              <w:top w:val="nil"/>
              <w:left w:val="nil"/>
              <w:bottom w:val="nil"/>
              <w:right w:val="nil"/>
            </w:tcBorders>
          </w:tcPr>
          <w:p>
            <w:pPr>
              <w:pStyle w:val="Normal6a"/>
            </w:pPr>
            <w:r>
              <w:t>10.</w:t>
            </w:r>
            <w:r>
              <w:tab/>
            </w:r>
            <w:r>
              <w:t xml:space="preserve">Europaparlamentet välkomnar EU-domstolens dom i målet Stevi och The New York Times mot kommissionen som ett viktigt bidrag till ramen för den rättspraxis som har främjat transparenta tillämpningar inom EU:s institutioner, organ och byråer. Parlamentet noterar att domen understryker skyldigheten att proaktivt bevara dokumentation för att säkerställa att rätten till tillgång kan utövas på ett ändamålsenligt sätt. Parlamentet beklagar dock att EU-domstolen valde att inte omtolka förordning (EG) nr 1049/2001 mot bakgrund av moderna kommunikationsmetoder och framväxande skyldigheter kring transparens. </w:t>
            </w:r>
            <w:r>
              <w:rPr>
                <w:b/>
                <w:i/>
              </w:rPr>
              <w:t>Parlamentet är oroat över hur kommissionen hanterade ärendet och även över dess oförmåga att förklara varför textmeddelandena inte tillgängliggjordes.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88</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Europaparlamentet välkomnar EU-domstolens dom i målet Stevi och The New York Times mot kommissionen som ett viktigt bidrag till ramen för den rättspraxis som har främjat transparenta tillämpningar inom EU:s institutioner, organ och byråer. Parlamentet noterar att domen understryker skyldigheten att proaktivt bevara dokumentation för att säkerställa att rätten till tillgång kan utövas på ett ändamålsenligt sätt. Parlamentet beklagar dock att EU-domstolen valde att inte omtolka förordning (EG) nr 1049/2001 mot bakgrund av moderna kommunikationsmetoder och framväxande skyldigheter kring transparens.</w:t>
            </w:r>
          </w:p>
        </w:tc>
        <w:tc>
          <w:tcPr>
            <w:tcW w:w="4876" w:type="dxa"/>
            <w:tcBorders>
              <w:top w:val="nil"/>
              <w:left w:val="nil"/>
              <w:bottom w:val="nil"/>
              <w:right w:val="nil"/>
            </w:tcBorders>
          </w:tcPr>
          <w:p>
            <w:pPr>
              <w:pStyle w:val="Normal6a"/>
            </w:pPr>
            <w:r>
              <w:t>10.</w:t>
            </w:r>
            <w:r>
              <w:tab/>
            </w:r>
            <w:r>
              <w:t xml:space="preserve">Europaparlamentet välkomnar EU-domstolens dom i målet Stevi och The New York Times mot kommissionen som ett viktigt bidrag till ramen för den rättspraxis som har främjat transparenta tillämpningar inom EU:s institutioner, organ och byråer. Parlamentet noterar att domen understryker skyldigheten att proaktivt bevara dokumentation för att säkerställa att rätten till tillgång kan utövas på ett ändamålsenligt sätt. Parlamentet beklagar dock att EU-domstolen valde att inte omtolka förordning (EG) nr 1049/2001 mot bakgrund av moderna kommunikationsmetoder och framväxande skyldigheter kring transparens. </w:t>
            </w:r>
            <w:r>
              <w:rPr>
                <w:b/>
                <w:i/>
              </w:rPr>
              <w:t>Parlamentet kräver att kommissionen i egenskap av fördragens väktare följer sina egna regler.</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89</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10a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Europaparlamentet uppmanar alla EU:s institutioner, organ och byråer att proaktivt bevara, registrera och tillgängliggöra alla officiella handlingar, inbegripet sådana som framställts genom textmeddelanden, appar för snabbmeddelandetjänster och alla andra former av digital kommunikation, när de rör offentliga angelägenheter.</w:t>
            </w:r>
            <w:r>
              <w:t xml:space="preserve"> </w:t>
            </w:r>
            <w:r>
              <w:rPr>
                <w:b/>
                <w:i/>
              </w:rPr>
              <w:t>Parlamentet påminner om att rätten till tillgång till handlingar, såsom klargjorts av domstolen i mål T-36/23 (Stevi och The New York Times mot kommissionen), omfattar alla relevanta format och inte får kringgås genom interna registreringsregler eller selektiv registerhantering.</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90</w:t>
      </w:r>
      <w:r>
        <w:rPr>
          <w:rStyle w:val="HideTWBExt"/>
        </w:rPr>
        <w:t>&lt;/NumAm&gt;</w:t>
      </w:r>
    </w:p>
    <w:p>
      <w:pPr>
        <w:pStyle w:val="NormalBold"/>
      </w:pPr>
      <w:r>
        <w:rPr>
          <w:rStyle w:val="HideTWBExt"/>
          <w:b w:val="0"/>
        </w:rPr>
        <w:t>&lt;RepeatBlock-By&gt;</w:t>
      </w:r>
      <w:r>
        <w:rPr>
          <w:rStyle w:val="HideTWBExt"/>
          <w:b w:val="0"/>
        </w:rPr>
        <w:t>&lt;Members&gt;</w:t>
      </w:r>
      <w:r>
        <w:t>Pekka Toveri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10a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Europaparlamentet betonar att transparens måste förbli den allmänna regeln, men att ett begränsat antal legitima undantag måste finnas i den tillämpliga lagstiftningen, bland annat av säkerhetsskäl och för att skydda känsliga pågående förhandlingar och värna ett skyddat ”utrymme för övervägande” under interna överläggningar.</w:t>
            </w:r>
            <w:r>
              <w:t xml:space="preserve"> </w:t>
            </w:r>
            <w:r>
              <w:rPr>
                <w:b/>
                <w:i/>
              </w:rPr>
              <w:t>Parlamentet noterar att dessa undantag också gäller vissa olämpliga eller otillbörliga begäranden och är avgörande för att säkerställa ett effektivt och ansvarsfullt beslutsfattande inom unionens institutioner.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91</w:t>
      </w:r>
      <w:r>
        <w:rPr>
          <w:rStyle w:val="HideTWBExt"/>
        </w:rPr>
        <w:t>&lt;/NumAm&gt;</w:t>
      </w:r>
    </w:p>
    <w:p>
      <w:pPr>
        <w:pStyle w:val="NormalBold"/>
      </w:pPr>
      <w:r>
        <w:rPr>
          <w:rStyle w:val="HideTWBExt"/>
          <w:b w:val="0"/>
        </w:rPr>
        <w:t>&lt;RepeatBlock-By&gt;</w:t>
      </w:r>
      <w:r>
        <w:rPr>
          <w:rStyle w:val="HideTWBExt"/>
          <w:b w:val="0"/>
        </w:rPr>
        <w:t>&lt;Members&gt;</w:t>
      </w:r>
      <w:r>
        <w:t>Veronika Cifrová Ostrihoňová,Fabienne Keller,Malik Azmani,Irena Joveva,Lucia Yar,Nikola Minchev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10a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Europaparlamentet beklagar att flera av de lagstiftningsförslag som kommissionen lade fram under den förra valperioden saknade en åtföljande konsekvensbedömning eller ett vederbörligen motiverat undantag från skyldigheten att tillhandahålla en konsekvensbedömning.</w:t>
            </w:r>
            <w:r>
              <w:t xml:space="preserve"> </w:t>
            </w:r>
            <w:r>
              <w:rPr>
                <w:b/>
                <w:i/>
              </w:rPr>
              <w:t>Parlamentet understryker att medlagstiftarna måste få fullständig information om de belägg som ligger till grund för lagstiftningsinitiativ.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92</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10a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Europaparlamentet är också oroat över bristen på transparens från kommissionens sida när det gäller att offentliggöra inköpsavtal i samband med covid-19.</w:t>
            </w:r>
            <w:r>
              <w:t xml:space="preserve"> </w:t>
            </w:r>
            <w:r>
              <w:rPr>
                <w:b/>
                <w:i/>
              </w:rPr>
              <w:t>Parlamentet betonar att EU-domstolen ansåg att kommissionen inte gav allmänheten tillräckligt omfattande tillgång till inköpsavtalen för covid-19-vacciner</w:t>
            </w:r>
            <w:r>
              <w:rPr>
                <w:b/>
                <w:i/>
                <w:vertAlign w:val="superscript"/>
              </w:rPr>
              <w:t>1a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Målen T-689/21,</w:t>
            </w:r>
            <w:r>
              <w:t xml:space="preserve"> </w:t>
            </w:r>
            <w:r>
              <w:rPr>
                <w:b/>
                <w:i/>
              </w:rPr>
              <w:t>Auken m.fl./kommissionen, och T-761/21,</w:t>
            </w:r>
            <w:r>
              <w:t xml:space="preserve"> </w:t>
            </w:r>
            <w:r>
              <w:rPr>
                <w:b/>
                <w:i/>
              </w:rPr>
              <w:t>Courtois m.fl./kommissionen, pressmeddelande:</w:t>
            </w:r>
            <w:r>
              <w:t xml:space="preserve"> </w:t>
            </w:r>
            <w:r>
              <w:rPr>
                <w:b/>
                <w:i/>
              </w:rPr>
              <w:t>https://curia.europa.eu/jcms/upload/docs/application/pdf/2024-07/cp240113en.pdf</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93</w:t>
      </w:r>
      <w:r>
        <w:rPr>
          <w:rStyle w:val="HideTWBExt"/>
        </w:rPr>
        <w:t>&lt;/NumAm&gt;</w:t>
      </w:r>
    </w:p>
    <w:p>
      <w:pPr>
        <w:pStyle w:val="NormalBold"/>
      </w:pPr>
      <w:r>
        <w:rPr>
          <w:rStyle w:val="HideTWBExt"/>
          <w:b w:val="0"/>
        </w:rPr>
        <w:t>&lt;RepeatBlock-By&gt;</w:t>
      </w:r>
      <w:r>
        <w:rPr>
          <w:rStyle w:val="HideTWBExt"/>
          <w:b w:val="0"/>
        </w:rPr>
        <w:t>&lt;Members&gt;</w:t>
      </w:r>
      <w:r>
        <w:t>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10a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Europaparlamentet beklagar, mot bakgrund av revisionsrättens rapport och den senaste tidens skandaler i samband med kommissionens ekonomiska stöd till icke-statliga organisationer som bedriver lobbyverksamhet för en skärpning av den gröna given, att kommissionen finansierar icke-statliga organisationer på ett icke-transparent sätt som ger upphov till etiska betänkligheter.</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94</w:t>
      </w:r>
      <w:r>
        <w:rPr>
          <w:rStyle w:val="HideTWBExt"/>
        </w:rPr>
        <w:t>&lt;/NumAm&gt;</w:t>
      </w:r>
    </w:p>
    <w:p>
      <w:pPr>
        <w:pStyle w:val="NormalBold"/>
      </w:pPr>
      <w:r>
        <w:rPr>
          <w:rStyle w:val="HideTWBExt"/>
          <w:b w:val="0"/>
        </w:rPr>
        <w:t>&lt;RepeatBlock-By&gt;</w:t>
      </w:r>
      <w:r>
        <w:rPr>
          <w:rStyle w:val="HideTWBExt"/>
          <w:b w:val="0"/>
        </w:rPr>
        <w:t>&lt;Members&gt;</w:t>
      </w:r>
      <w:r>
        <w:t>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10b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10b.</w:t>
            </w:r>
            <w:r>
              <w:tab/>
            </w:r>
            <w:r>
              <w:rPr>
                <w:b/>
                <w:i/>
              </w:rPr>
              <w:t>Europaparlamentet beklagar djupt bristen på insyn i kommissionens agerande, så som avslöjats i affärerna kring Pfizergate och Smart Kid Belt, särskilt dess vägran att tillgängliggöra korrespondens med företrädare för barnstolstillverkare, vilket, enligt vad Europeiska unionens domstol konstaterade i sin dom av den 14 maj 2025 i mål T-227/24, utgjorde en överträdelse av bestämmelserna om tillgång till handlingar.</w:t>
            </w:r>
            <w:r>
              <w:t xml:space="preserve"> </w:t>
            </w:r>
            <w:r>
              <w:rPr>
                <w:b/>
                <w:i/>
              </w:rPr>
              <w:t>Parlamentet uppmanar kommissionen att offentliggöra information om genomförandet av domen i ärendet Smart Kid Belt och att göra en fullständig bedömning av de interna förfarandena för samråd och tillgång till handlingar. Parlamentet uppmanar kommissionen att ta itu med systemproblem när det gäller transparens, yrkesetik och ansvarsskyldighet för tjänstemän och att rapportera tillbaka till parlamentet om korrigerande åtgärder som vidtagits.</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95</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10b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10b.</w:t>
            </w:r>
            <w:r>
              <w:tab/>
            </w:r>
            <w:r>
              <w:rPr>
                <w:b/>
                <w:i/>
              </w:rPr>
              <w:t>Europaparlamentet begär att skyldigheten enligt artikel 17 i förordning (EG) nr 1049/2001 att årligen rapportera om genomförandet av förordningen utvidgas till alla EU:s övriga institutioner, byråer och organ som omfattas av artikel 15 i EUF-fördraget.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96</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10b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10b.</w:t>
            </w:r>
            <w:r>
              <w:tab/>
            </w:r>
            <w:r>
              <w:rPr>
                <w:b/>
                <w:i/>
              </w:rPr>
              <w:t>Europaparlamentet uppmanar med eftertryck EU:s institutioner, organ och byråer att genomföra en policy för inbyggd transparens och proaktivt offentliggöra handlingar, inbegripet information om beslutsprocesser såsom mötesprotokoll, dokument med fyra kolumner, medlemsstaternas ståndpunkter och andra relevanta handlingar oavsett typ av förfarande, med det slutliga målet att säkerställa att medborgarna fullt ut kan utöva sin rätt till tillgång till handlingar och fullgöra sin roll som granskare.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97</w:t>
      </w:r>
      <w:r>
        <w:rPr>
          <w:rStyle w:val="HideTWBExt"/>
        </w:rPr>
        <w:t>&lt;/NumAm&gt;</w:t>
      </w:r>
    </w:p>
    <w:p>
      <w:pPr>
        <w:pStyle w:val="NormalBold"/>
      </w:pPr>
      <w:r>
        <w:rPr>
          <w:rStyle w:val="HideTWBExt"/>
          <w:b w:val="0"/>
        </w:rPr>
        <w:t>&lt;RepeatBlock-By&gt;</w:t>
      </w:r>
      <w:r>
        <w:rPr>
          <w:rStyle w:val="HideTWBExt"/>
          <w:b w:val="0"/>
        </w:rPr>
        <w:t>&lt;Members&gt;</w:t>
      </w:r>
      <w:r>
        <w:t>Raquel García Hermida-Van Der Walle,Veronika Cifrová Ostrihoňová,Irena Joveva,Lucia Yar,Hilde Vautmans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10a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Europaparlamentet uppmanar eftertryckligen kommissionen att medge att medborgarnas utövande av rätten till insyn och tillgång till handlingar inte är ett uttryck för misstro, som följaktligen bör begränsas eller motverkas, utan snarare utgör en möjlighet för EU:s institutioner att visa hur beslut fattas och öka samhällets förtroende för unionen.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98</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Europaparlamentet noterar antagandet av kommissionens reviderade interna regler om tillgång till handlingar, och att frågan om deras förenlighet med stadgan, EU-fördraget, EUF-fördraget och förordning (EG) nr 1049/2001 har tagits upp. Parlamentet betonar att tillgång till handlingar är en grundläggande rättighet enligt EU-rätten som är avgörande för att säkerställa transparens, demokratisk ansvarsskyldighet och meningsfullt </w:t>
            </w:r>
            <w:r>
              <w:rPr>
                <w:b/>
                <w:i/>
              </w:rPr>
              <w:t>medborgardeltagande.Parlamentet</w:t>
            </w:r>
            <w:r>
              <w:t xml:space="preserve"> uppmanar kommissionen att se över dessa regler mot bakgrund av relevant rättspraxis och</w:t>
            </w:r>
            <w:r>
              <w:rPr>
                <w:b/>
                <w:i/>
              </w:rPr>
              <w:t>, när så är lämpligt,</w:t>
            </w:r>
            <w:r>
              <w:t xml:space="preserve"> förtydliga eller anpassa dem så att största möjliga transparens uppnås.</w:t>
            </w:r>
          </w:p>
        </w:tc>
        <w:tc>
          <w:tcPr>
            <w:tcW w:w="4876" w:type="dxa"/>
            <w:tcBorders>
              <w:top w:val="nil"/>
              <w:left w:val="nil"/>
              <w:bottom w:val="nil"/>
              <w:right w:val="nil"/>
            </w:tcBorders>
          </w:tcPr>
          <w:p>
            <w:pPr>
              <w:pStyle w:val="Normal6a"/>
            </w:pPr>
            <w:r>
              <w:t>11.</w:t>
            </w:r>
            <w:r>
              <w:tab/>
            </w:r>
            <w:r>
              <w:t xml:space="preserve">Europaparlamentet noterar antagandet av kommissionens reviderade interna regler om tillgång till handlingar, och att frågan om deras förenlighet med stadgan, EU-fördraget, EUF-fördraget och förordning (EG) nr 1049/2001 har tagits upp. Parlamentet betonar att tillgång till handlingar är en grundläggande rättighet enligt EU-rätten som är avgörande för att säkerställa transparens, demokratisk ansvarsskyldighet och meningsfullt </w:t>
            </w:r>
            <w:r>
              <w:rPr>
                <w:b/>
                <w:i/>
              </w:rPr>
              <w:t>medborgardeltagande.</w:t>
            </w:r>
            <w:r>
              <w:t xml:space="preserve"> </w:t>
            </w:r>
            <w:r>
              <w:rPr>
                <w:b/>
                <w:i/>
              </w:rPr>
              <w:t>Parlamentet</w:t>
            </w:r>
            <w:r>
              <w:t xml:space="preserve"> uppmanar kommissionen att se över dessa regler mot bakgrund av relevant rättspraxis och förtydliga eller anpassa dem så att största möjliga transparens uppnås. </w:t>
            </w:r>
            <w:r>
              <w:rPr>
                <w:b/>
                <w:i/>
              </w:rPr>
              <w:t>Parlamentet anser att detta är nödvändigt med tanke på unionens demokratiska trovärdighet.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99</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Europaparlamentet noterar antagandet av kommissionens reviderade interna regler om tillgång till handlingar, och att frågan om deras förenlighet med stadgan, EU-fördraget, EUF-fördraget och förordning (EG) nr 1049/2001 har tagits upp. Parlamentet betonar att tillgång till handlingar är en grundläggande rättighet enligt EU-rätten som är avgörande för att säkerställa transparens, demokratisk ansvarsskyldighet och meningsfullt medborgardeltagande. Parlamentet uppmanar kommissionen att se över dessa regler mot bakgrund av relevant rättspraxis och</w:t>
            </w:r>
            <w:r>
              <w:rPr>
                <w:b/>
                <w:i/>
              </w:rPr>
              <w:t>, när så är lämpligt, förtydliga eller anpassa dem så att största möjliga transparens uppnås</w:t>
            </w:r>
            <w:r>
              <w:t>.</w:t>
            </w:r>
          </w:p>
        </w:tc>
        <w:tc>
          <w:tcPr>
            <w:tcW w:w="4876" w:type="dxa"/>
            <w:tcBorders>
              <w:top w:val="nil"/>
              <w:left w:val="nil"/>
              <w:bottom w:val="nil"/>
              <w:right w:val="nil"/>
            </w:tcBorders>
          </w:tcPr>
          <w:p>
            <w:pPr>
              <w:pStyle w:val="Normal6a"/>
            </w:pPr>
            <w:r>
              <w:t>11.</w:t>
            </w:r>
            <w:r>
              <w:tab/>
            </w:r>
            <w:r>
              <w:t xml:space="preserve">Europaparlamentet noterar antagandet av kommissionens reviderade interna regler om tillgång till handlingar, och att frågan om deras förenlighet med stadgan, EU-fördraget, EUF-fördraget och förordning (EG) nr 1049/2001 har tagits upp </w:t>
            </w:r>
            <w:r>
              <w:rPr>
                <w:b/>
                <w:i/>
              </w:rPr>
              <w:t>och att det pågår mål vid Europeiska unionens tribunal</w:t>
            </w:r>
            <w:r>
              <w:t xml:space="preserve">. Parlamentet betonar att tillgång till handlingar är en grundläggande rättighet enligt EU-rätten som är avgörande för att säkerställa transparens, demokratisk ansvarsskyldighet och meningsfullt medborgardeltagande. Parlamentet uppmanar kommissionen att se över dessa regler mot bakgrund av relevant rättspraxis </w:t>
            </w:r>
            <w:r>
              <w:rPr>
                <w:b/>
                <w:i/>
              </w:rPr>
              <w:t>i linje med kraven</w:t>
            </w:r>
            <w:r>
              <w:t xml:space="preserve"> och </w:t>
            </w:r>
            <w:r>
              <w:rPr>
                <w:b/>
                <w:i/>
              </w:rPr>
              <w:t>andan i artikel 15 i EUF-fördraget och förordning (EG) nr 1049/2001</w:t>
            </w:r>
            <w:r>
              <w: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100</w:t>
      </w:r>
      <w:r>
        <w:rPr>
          <w:rStyle w:val="HideTWBExt"/>
        </w:rPr>
        <w:t>&lt;/NumAm&gt;</w:t>
      </w:r>
    </w:p>
    <w:p>
      <w:pPr>
        <w:pStyle w:val="NormalBold"/>
      </w:pPr>
      <w:r>
        <w:rPr>
          <w:rStyle w:val="HideTWBExt"/>
          <w:b w:val="0"/>
        </w:rPr>
        <w:t>&lt;RepeatBlock-By&gt;</w:t>
      </w:r>
      <w:r>
        <w:rPr>
          <w:rStyle w:val="HideTWBExt"/>
          <w:b w:val="0"/>
        </w:rPr>
        <w:t>&lt;Members&gt;</w:t>
      </w:r>
      <w:r>
        <w:t>Erik Kaliňák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Europaparlamentet noterar antagandet av kommissionens reviderade interna regler om tillgång till handlingar, och att frågan om deras förenlighet med stadgan, EU-fördraget, EUF-fördraget och förordning (EG) nr 1049/2001 har tagits upp. Parlamentet betonar att tillgång till handlingar är en </w:t>
            </w:r>
            <w:r>
              <w:rPr>
                <w:b/>
                <w:i/>
              </w:rPr>
              <w:t>grundläggande</w:t>
            </w:r>
            <w:r>
              <w:t xml:space="preserve"> rättighet enligt EU-rätten som är avgörande för att säkerställa transparens, demokratisk ansvarsskyldighet och </w:t>
            </w:r>
            <w:r>
              <w:rPr>
                <w:b/>
                <w:i/>
              </w:rPr>
              <w:t>meningsfullt</w:t>
            </w:r>
            <w:r>
              <w:t xml:space="preserve"> medborgardeltagande. Parlamentet uppmanar kommissionen att se över dessa regler mot bakgrund av relevant rättspraxis och, </w:t>
            </w:r>
            <w:r>
              <w:rPr>
                <w:b/>
                <w:i/>
              </w:rPr>
              <w:t>när så är lämpligt, förtydliga eller</w:t>
            </w:r>
            <w:r>
              <w:t xml:space="preserve"> anpassa dem så att största möjliga transparens uppnås.</w:t>
            </w:r>
          </w:p>
        </w:tc>
        <w:tc>
          <w:tcPr>
            <w:tcW w:w="4876" w:type="dxa"/>
            <w:tcBorders>
              <w:top w:val="nil"/>
              <w:left w:val="nil"/>
              <w:bottom w:val="nil"/>
              <w:right w:val="nil"/>
            </w:tcBorders>
          </w:tcPr>
          <w:p>
            <w:pPr>
              <w:pStyle w:val="Normal6a"/>
            </w:pPr>
            <w:r>
              <w:t>11.</w:t>
            </w:r>
            <w:r>
              <w:tab/>
            </w:r>
            <w:r>
              <w:t xml:space="preserve">Europaparlamentet noterar antagandet av kommissionens reviderade interna regler om tillgång till handlingar, och att frågan om deras förenlighet med stadgan, EU-fördraget, EUF-fördraget och förordning (EG) nr 1049/2001 har tagits upp. Parlamentet betonar att tillgång till handlingar är en rättighet </w:t>
            </w:r>
            <w:r>
              <w:rPr>
                <w:b/>
                <w:i/>
              </w:rPr>
              <w:t>av yttersta vikt</w:t>
            </w:r>
            <w:r>
              <w:t xml:space="preserve"> enligt EU-rätten som är avgörande för att säkerställa transparens, demokratisk ansvarsskyldighet och </w:t>
            </w:r>
            <w:r>
              <w:rPr>
                <w:b/>
                <w:i/>
              </w:rPr>
              <w:t>ordentligt</w:t>
            </w:r>
            <w:r>
              <w:t xml:space="preserve"> medborgardeltagande. Parlamentet uppmanar kommissionen att se över dessa regler mot bakgrund av relevant rättspraxis och, </w:t>
            </w:r>
            <w:r>
              <w:rPr>
                <w:b/>
                <w:i/>
              </w:rPr>
              <w:t>om de inte överensstämmer med domstolens rättspraxis, utan dröjsmål</w:t>
            </w:r>
            <w:r>
              <w:t xml:space="preserve"> anpassa dem så att största möjliga transparens uppnås.</w:t>
            </w:r>
          </w:p>
        </w:tc>
      </w:tr>
    </w:tbl>
    <w:p>
      <w:pPr>
        <w:pStyle w:val="AmOrLang"/>
      </w:pPr>
      <w:r>
        <w:t xml:space="preserve">Or. </w:t>
      </w:r>
      <w:r>
        <w:rPr>
          <w:rStyle w:val="HideTWBExt"/>
        </w:rPr>
        <w:t>&lt;Original&gt;</w:t>
      </w:r>
      <w:r>
        <w:rPr>
          <w:rStyle w:val="HideTWBInt"/>
        </w:rPr>
        <w:t>{SK}</w:t>
      </w:r>
      <w:r>
        <w:t>sk</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101</w:t>
      </w:r>
      <w:r>
        <w:rPr>
          <w:rStyle w:val="HideTWBExt"/>
        </w:rPr>
        <w:t>&lt;/NumAm&gt;</w:t>
      </w:r>
    </w:p>
    <w:p>
      <w:pPr>
        <w:pStyle w:val="NormalBold"/>
      </w:pPr>
      <w:r>
        <w:rPr>
          <w:rStyle w:val="HideTWBExt"/>
          <w:b w:val="0"/>
        </w:rPr>
        <w:t>&lt;RepeatBlock-By&gt;</w:t>
      </w:r>
      <w:r>
        <w:rPr>
          <w:rStyle w:val="HideTWBExt"/>
          <w:b w:val="0"/>
        </w:rPr>
        <w:t>&lt;Members&gt;</w:t>
      </w:r>
      <w:r>
        <w:t>Raquel García Hermida-Van Der Walle,Veronika Cifrová Ostrihoňová,Irena Joveva,Lucia Yar,Hilde Vautmans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Europaparlamentet noterar antagandet av kommissionens reviderade interna regler om tillgång till handlingar, och att frågan om deras förenlighet med stadgan, EU-fördraget, EUF-fördraget och förordning (EG) nr 1049/2001 har tagits upp. Parlamentet betonar att tillgång till handlingar är en grundläggande rättighet enligt EU-rätten som är avgörande för att säkerställa transparens, demokratisk ansvarsskyldighet och meningsfullt medborgardeltagande. Parlamentet uppmanar kommissionen att se över </w:t>
            </w:r>
            <w:r>
              <w:rPr>
                <w:b/>
                <w:i/>
              </w:rPr>
              <w:t>dessa</w:t>
            </w:r>
            <w:r>
              <w:t xml:space="preserve"> regler mot bakgrund av relevant rättspraxis och</w:t>
            </w:r>
            <w:r>
              <w:rPr>
                <w:b/>
                <w:i/>
              </w:rPr>
              <w:t>, när så är lämpligt,</w:t>
            </w:r>
            <w:r>
              <w:t xml:space="preserve"> förtydliga eller anpassa dem så att största möjliga transparens uppnås.</w:t>
            </w:r>
          </w:p>
        </w:tc>
        <w:tc>
          <w:tcPr>
            <w:tcW w:w="4876" w:type="dxa"/>
            <w:tcBorders>
              <w:top w:val="nil"/>
              <w:left w:val="nil"/>
              <w:bottom w:val="nil"/>
              <w:right w:val="nil"/>
            </w:tcBorders>
          </w:tcPr>
          <w:p>
            <w:pPr>
              <w:pStyle w:val="Normal6a"/>
            </w:pPr>
            <w:r>
              <w:t>11.</w:t>
            </w:r>
            <w:r>
              <w:tab/>
            </w:r>
            <w:r>
              <w:t xml:space="preserve">Europaparlamentet noterar antagandet av kommissionens reviderade interna regler om tillgång till handlingar, och att frågan om deras förenlighet med stadgan, EU-fördraget, EUF-fördraget och förordning (EG) nr 1049/2001 har tagits upp. Parlamentet betonar att tillgång till handlingar är en grundläggande rättighet enligt EU-rätten som är avgörande för att säkerställa transparens, demokratisk ansvarsskyldighet och meningsfullt medborgardeltagande. Parlamentet uppmanar </w:t>
            </w:r>
            <w:r>
              <w:rPr>
                <w:b/>
                <w:i/>
              </w:rPr>
              <w:t>med eftertryck</w:t>
            </w:r>
            <w:r>
              <w:t xml:space="preserve"> kommissionen att se över </w:t>
            </w:r>
            <w:r>
              <w:rPr>
                <w:b/>
                <w:i/>
              </w:rPr>
              <w:t>sina</w:t>
            </w:r>
            <w:r>
              <w:t xml:space="preserve"> regler </w:t>
            </w:r>
            <w:r>
              <w:rPr>
                <w:b/>
                <w:i/>
              </w:rPr>
              <w:t>om registerhantering och arkiv</w:t>
            </w:r>
            <w:r>
              <w:t xml:space="preserve"> mot bakgrund av relevant rättspraxis och förtydliga eller anpassa dem så att största möjliga transparens uppnås.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102</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Europaparlamentet noterar antagandet av kommissionens reviderade interna regler om tillgång till handlingar</w:t>
            </w:r>
            <w:r>
              <w:rPr>
                <w:b/>
                <w:i/>
              </w:rPr>
              <w:t>, och</w:t>
            </w:r>
            <w:r>
              <w:t xml:space="preserve"> att frågan om deras förenlighet med stadgan, EU-fördraget, EUF-fördraget och förordning (EG) nr 1049/2001 har tagits upp. Parlamentet betonar att tillgång till handlingar är en grundläggande rättighet enligt EU-rätten som är avgörande för att säkerställa transparens, demokratisk ansvarsskyldighet och meningsfullt medborgardeltagande. Parlamentet uppmanar kommissionen att se över dessa regler mot bakgrund av relevant rättspraxis och, när så är lämpligt, förtydliga eller anpassa dem så att största möjliga transparens uppnås.</w:t>
            </w:r>
          </w:p>
        </w:tc>
        <w:tc>
          <w:tcPr>
            <w:tcW w:w="4876" w:type="dxa"/>
            <w:tcBorders>
              <w:top w:val="nil"/>
              <w:left w:val="nil"/>
              <w:bottom w:val="nil"/>
              <w:right w:val="nil"/>
            </w:tcBorders>
          </w:tcPr>
          <w:p>
            <w:pPr>
              <w:pStyle w:val="Normal6a"/>
            </w:pPr>
            <w:r>
              <w:t>11.</w:t>
            </w:r>
            <w:r>
              <w:tab/>
            </w:r>
            <w:r>
              <w:t>Europaparlamentet noterar antagandet av kommissionens reviderade interna regler om tillgång till handlingar</w:t>
            </w:r>
            <w:r>
              <w:rPr>
                <w:b/>
                <w:i/>
              </w:rPr>
              <w:t>.</w:t>
            </w:r>
            <w:r>
              <w:t xml:space="preserve"> </w:t>
            </w:r>
            <w:r>
              <w:rPr>
                <w:b/>
                <w:i/>
              </w:rPr>
              <w:t>Parlamentet är bekymrat över</w:t>
            </w:r>
            <w:r>
              <w:t xml:space="preserve"> att frågan om deras förenlighet med stadgan, EU-fördraget, EUF-fördraget och förordning (EG) nr 1049/2001 har tagits upp. Parlamentet betonar att tillgång till handlingar är en grundläggande rättighet enligt EU-rätten som är avgörande för att säkerställa transparens, demokratisk ansvarsskyldighet och meningsfullt medborgardeltagande. Parlamentet uppmanar kommissionen att se över dessa regler mot bakgrund av relevant rättspraxis och, när så är lämpligt, förtydliga eller anpassa dem så att största möjliga transparens uppnås.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103</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11a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11a.</w:t>
            </w:r>
            <w:r>
              <w:tab/>
            </w:r>
            <w:r>
              <w:rPr>
                <w:b/>
                <w:i/>
              </w:rPr>
              <w:t>Europaparlamentet begär att EU:s institutioner, organ och byråer ska införa tillgängliga förfaranden för hantering av klagomål som rör avslag på begäranden om tillgång till handlingar samt åtgärder som säkerställer att medborgarna kan bestrida beslut när så är nödvändigt.</w:t>
            </w:r>
            <w:r>
              <w:t xml:space="preserve"> </w:t>
            </w:r>
            <w:r>
              <w:rPr>
                <w:b/>
                <w:i/>
              </w:rPr>
              <w:t>Parlamentet påminner om att EU:s institutioner ska ge individanpassade svar och inte förlita sig på enbart allmänna presumtioner.</w:t>
            </w:r>
            <w:r>
              <w:t xml:space="preserve"> </w:t>
            </w:r>
            <w:r>
              <w:rPr>
                <w:b/>
                <w:i/>
              </w:rPr>
              <w:t>Parlamentet påminner om att det när det gäller handlingar som rör miljöutsläpp ska anses föreligga ett övervägande allmänintresse av utlämnande mot bakgrund av Århusförordningen.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104</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Europaparlamentet noterar kommissionens tillbakadragande av sina förslag från 2008 och 2011 om översyn av förordning (EG) nr 1049/2001. Parlamentet beklagar beslutet att dra tillbaka dessa efter år av dödläge utan en tydlig färdplan, tidsplan eller meningsfullt samråd, vilket innebär att man går miste om ett viktigt tillfälle att modernisera den befintliga och föråldrade ramen. Parlamentet uppmanar kommissionen att lägga fram ett uppdaterat förslag som begränsar undantag till att endast gälla strikt nödvändiga fall och fastställer en ny EU-standard för öppenhet och för allmänhetens tillgång till handlingar.</w:t>
            </w:r>
          </w:p>
        </w:tc>
        <w:tc>
          <w:tcPr>
            <w:tcW w:w="4876" w:type="dxa"/>
            <w:tcBorders>
              <w:top w:val="nil"/>
              <w:left w:val="nil"/>
              <w:bottom w:val="nil"/>
              <w:right w:val="nil"/>
            </w:tcBorders>
          </w:tcPr>
          <w:p>
            <w:pPr>
              <w:pStyle w:val="Normal6a"/>
            </w:pPr>
            <w:r>
              <w:t>12.</w:t>
            </w:r>
            <w:r>
              <w:tab/>
            </w:r>
            <w:r>
              <w:t xml:space="preserve">Europaparlamentet noterar kommissionens tillbakadragande av sina förslag från 2008 och 2011 om översyn av förordning (EG) nr 1049/2001. Parlamentet beklagar beslutet att dra tillbaka dessa efter år av dödläge utan en tydlig färdplan, tidsplan eller meningsfullt samråd, vilket innebär att man går miste om ett viktigt tillfälle att modernisera den befintliga och föråldrade ramen. Parlamentet uppmanar kommissionen att lägga fram ett uppdaterat förslag som begränsar undantag till att endast gälla strikt nödvändiga fall och fastställer en ny EU-standard för öppenhet och för allmänhetens tillgång till handlingar. </w:t>
            </w:r>
            <w:r>
              <w:rPr>
                <w:b/>
                <w:i/>
              </w:rPr>
              <w:t>I avvaktan på ett uppdaterat förslag begär parlamentet att förordning (EG) nr 1049/2001 ska tolkas strikt och tillämpas konsekvent i linje med relevant rättspraxis och principen att största möjliga tillgång till handlingar bör garanteras.</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105</w:t>
      </w:r>
      <w:r>
        <w:rPr>
          <w:rStyle w:val="HideTWBExt"/>
        </w:rPr>
        <w:t>&lt;/NumAm&gt;</w:t>
      </w:r>
    </w:p>
    <w:p>
      <w:pPr>
        <w:pStyle w:val="NormalBold"/>
      </w:pPr>
      <w:r>
        <w:rPr>
          <w:rStyle w:val="HideTWBExt"/>
          <w:b w:val="0"/>
        </w:rPr>
        <w:t>&lt;RepeatBlock-By&gt;</w:t>
      </w:r>
      <w:r>
        <w:rPr>
          <w:rStyle w:val="HideTWBExt"/>
          <w:b w:val="0"/>
        </w:rPr>
        <w:t>&lt;Members&gt;</w:t>
      </w:r>
      <w:r>
        <w:t>Raquel García Hermida-Van Der Walle,Veronika Cifrová Ostrihoňová,Irena Joveva,Lucia Yar,Hilde Vautmans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Europaparlamentet noterar kommissionens tillbakadragande av sina förslag från 2008 och 2011 om översyn av förordning (EG) nr 1049/2001. Parlamentet beklagar beslutet att dra tillbaka dessa efter år av dödläge utan en tydlig färdplan, tidsplan eller meningsfullt samråd, vilket innebär att man går miste om ett viktigt tillfälle att modernisera den befintliga och föråldrade ramen. Parlamentet uppmanar kommissionen att lägga fram ett uppdaterat förslag som begränsar undantag till att endast gälla strikt nödvändiga fall och fastställer en ny EU-standard för öppenhet och för allmänhetens tillgång till handlingar.</w:t>
            </w:r>
          </w:p>
        </w:tc>
        <w:tc>
          <w:tcPr>
            <w:tcW w:w="4876" w:type="dxa"/>
            <w:tcBorders>
              <w:top w:val="nil"/>
              <w:left w:val="nil"/>
              <w:bottom w:val="nil"/>
              <w:right w:val="nil"/>
            </w:tcBorders>
          </w:tcPr>
          <w:p>
            <w:pPr>
              <w:pStyle w:val="Normal6a"/>
            </w:pPr>
            <w:r>
              <w:t>12.</w:t>
            </w:r>
            <w:r>
              <w:tab/>
            </w:r>
            <w:r>
              <w:t xml:space="preserve">Europaparlamentet noterar kommissionens tillbakadragande av sina förslag från 2008 och 2011 om översyn av förordning (EG) nr 1049/2001. Parlamentet beklagar beslutet att dra tillbaka dessa efter år av dödläge utan en tydlig färdplan, tidsplan eller meningsfullt samråd, vilket innebär att man går miste om ett viktigt tillfälle att modernisera den befintliga och föråldrade ramen. Parlamentet </w:t>
            </w:r>
            <w:r>
              <w:rPr>
                <w:b/>
                <w:i/>
              </w:rPr>
              <w:t>rekommenderar starkt kommissionen att undersöka olika nationella lagar och kulturer när det gäller tillgång till handlingar, även i de medlemsstater där det finns högre standarder för transparens än på unionsnivå.</w:t>
            </w:r>
            <w:r>
              <w:t xml:space="preserve"> </w:t>
            </w:r>
            <w:r>
              <w:rPr>
                <w:b/>
                <w:i/>
              </w:rPr>
              <w:t>Parlamentet</w:t>
            </w:r>
            <w:r>
              <w:t xml:space="preserve"> uppmanar kommissionen att lägga fram ett uppdaterat förslag som begränsar undantag till att endast gälla strikt nödvändiga fall och fastställer en ny EU-standard för öppenhet och för allmänhetens tillgång till handlingar.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106</w:t>
      </w:r>
      <w:r>
        <w:rPr>
          <w:rStyle w:val="HideTWBExt"/>
        </w:rPr>
        <w:t>&lt;/NumAm&gt;</w:t>
      </w:r>
    </w:p>
    <w:p>
      <w:pPr>
        <w:pStyle w:val="NormalBold"/>
      </w:pPr>
      <w:r>
        <w:rPr>
          <w:rStyle w:val="HideTWBExt"/>
          <w:b w:val="0"/>
        </w:rPr>
        <w:t>&lt;RepeatBlock-By&gt;</w:t>
      </w:r>
      <w:r>
        <w:rPr>
          <w:rStyle w:val="HideTWBExt"/>
          <w:b w:val="0"/>
        </w:rPr>
        <w:t>&lt;Members&gt;</w:t>
      </w:r>
      <w:r>
        <w:t>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Europaparlamentet noterar kommissionens tillbakadragande av sina förslag från 2008 och 2011 om översyn av förordning (EG) nr 1049/2001. Parlamentet beklagar beslutet att dra tillbaka dessa efter år av dödläge utan en tydlig färdplan, tidsplan eller meningsfullt samråd, vilket innebär att man går miste om ett viktigt tillfälle att modernisera den befintliga och föråldrade ramen. Parlamentet uppmanar kommissionen att lägga fram ett uppdaterat förslag som begränsar undantag till att endast gälla strikt nödvändiga fall och fastställer en ny EU-standard för öppenhet och för allmänhetens tillgång till handlingar.</w:t>
            </w:r>
          </w:p>
        </w:tc>
        <w:tc>
          <w:tcPr>
            <w:tcW w:w="4876" w:type="dxa"/>
            <w:tcBorders>
              <w:top w:val="nil"/>
              <w:left w:val="nil"/>
              <w:bottom w:val="nil"/>
              <w:right w:val="nil"/>
            </w:tcBorders>
          </w:tcPr>
          <w:p>
            <w:pPr>
              <w:pStyle w:val="Normal6a"/>
            </w:pPr>
            <w:r>
              <w:t>12.</w:t>
            </w:r>
            <w:r>
              <w:tab/>
            </w:r>
            <w:r>
              <w:t xml:space="preserve">Europaparlamentet noterar kommissionens tillbakadragande av sina förslag från 2008 och 2011 om översyn av förordning (EG) nr 1049/2001. Parlamentet beklagar </w:t>
            </w:r>
            <w:r>
              <w:rPr>
                <w:b/>
                <w:i/>
              </w:rPr>
              <w:t>djupt</w:t>
            </w:r>
            <w:r>
              <w:t xml:space="preserve"> beslutet att dra tillbaka dessa efter år av dödläge utan en tydlig färdplan, tidsplan eller meningsfullt samråd, vilket innebär att man går miste om ett viktigt tillfälle att modernisera den befintliga och föråldrade ramen. Parlamentet uppmanar kommissionen att lägga fram ett uppdaterat </w:t>
            </w:r>
            <w:r>
              <w:rPr>
                <w:b/>
                <w:i/>
              </w:rPr>
              <w:t>och mer ambitiöst</w:t>
            </w:r>
            <w:r>
              <w:t xml:space="preserve"> förslag som begränsar undantag till att endast gälla strikt nödvändiga fall och fastställer en ny EU-standard för öppenhet och för allmänhetens tillgång till handlingar.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107</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Europaparlamentet noterar kommissionens tillbakadragande av sina förslag från 2008 och 2011 om översyn av förordning (EG) nr 1049/2001. Parlamentet beklagar beslutet att dra tillbaka dessa efter år av dödläge utan en tydlig färdplan, tidsplan eller meningsfullt samråd, vilket innebär att man går miste om ett viktigt tillfälle att modernisera den befintliga och föråldrade ramen. Parlamentet uppmanar kommissionen att lägga fram ett uppdaterat förslag som begränsar undantag till att endast gälla strikt nödvändiga fall och fastställer en ny EU-standard för öppenhet och för allmänhetens tillgång till handlingar.</w:t>
            </w:r>
          </w:p>
        </w:tc>
        <w:tc>
          <w:tcPr>
            <w:tcW w:w="4876" w:type="dxa"/>
            <w:tcBorders>
              <w:top w:val="nil"/>
              <w:left w:val="nil"/>
              <w:bottom w:val="nil"/>
              <w:right w:val="nil"/>
            </w:tcBorders>
          </w:tcPr>
          <w:p>
            <w:pPr>
              <w:pStyle w:val="Normal6a"/>
            </w:pPr>
            <w:r>
              <w:t>12.</w:t>
            </w:r>
            <w:r>
              <w:tab/>
            </w:r>
            <w:r>
              <w:t xml:space="preserve">Europaparlamentet noterar kommissionens tillbakadragande av sina förslag från 2008 och 2011 om översyn av förordning (EG) nr 1049/2001. Parlamentet beklagar beslutet att dra tillbaka dessa efter år av dödläge utan en tydlig färdplan, tidsplan eller meningsfullt samråd, vilket innebär att man går miste om ett viktigt tillfälle att modernisera den befintliga och föråldrade ramen. Parlamentet uppmanar kommissionen att lägga fram ett uppdaterat förslag som begränsar undantag till att endast gälla strikt nödvändiga fall och fastställer en ny </w:t>
            </w:r>
            <w:r>
              <w:rPr>
                <w:b/>
                <w:i/>
              </w:rPr>
              <w:t>ambitiös</w:t>
            </w:r>
            <w:r>
              <w:t xml:space="preserve"> EU-standard för öppenhet och för allmänhetens tillgång till handlingar.</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108</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Europaparlamentet noterar kommissionens tillbakadragande av sina förslag från 2008 och 2011 om översyn av förordning (EG) nr 1049/2001. Parlamentet beklagar beslutet att dra tillbaka dessa efter år av dödläge utan en tydlig färdplan, tidsplan eller meningsfullt samråd, vilket innebär att man går miste om ett viktigt tillfälle att modernisera den befintliga och föråldrade ramen. Parlamentet uppmanar kommissionen att lägga fram ett uppdaterat förslag som </w:t>
            </w:r>
            <w:r>
              <w:rPr>
                <w:b/>
                <w:i/>
              </w:rPr>
              <w:t>begränsar undantag till att endast gälla strikt nödvändiga fall och fastställer en ny EU-standard för öppenhet och för allmänhetens tillgång till handlingar</w:t>
            </w:r>
            <w:r>
              <w:t>.</w:t>
            </w:r>
          </w:p>
        </w:tc>
        <w:tc>
          <w:tcPr>
            <w:tcW w:w="4876" w:type="dxa"/>
            <w:tcBorders>
              <w:top w:val="nil"/>
              <w:left w:val="nil"/>
              <w:bottom w:val="nil"/>
              <w:right w:val="nil"/>
            </w:tcBorders>
          </w:tcPr>
          <w:p>
            <w:pPr>
              <w:pStyle w:val="Normal6a"/>
            </w:pPr>
            <w:r>
              <w:t>12.</w:t>
            </w:r>
            <w:r>
              <w:tab/>
            </w:r>
            <w:r>
              <w:t xml:space="preserve">Europaparlamentet noterar kommissionens tillbakadragande av sina förslag från 2008 och 2011 om översyn av förordning (EG) nr 1049/2001. Parlamentet beklagar beslutet att dra tillbaka dessa efter år av dödläge utan en tydlig färdplan, tidsplan eller meningsfullt samråd, vilket innebär att man går miste om ett viktigt tillfälle att modernisera den befintliga och föråldrade ramen. Parlamentet uppmanar kommissionen att lägga fram ett uppdaterat förslag som </w:t>
            </w:r>
            <w:r>
              <w:rPr>
                <w:b/>
                <w:i/>
              </w:rPr>
              <w:t>införlivar EU-domstolens och Europadomstolens rättspraxis och tar hänsyn till parlamentets rekommendationer, inbegripet dess ståndpunkt från 2011</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109</w:t>
      </w:r>
      <w:r>
        <w:rPr>
          <w:rStyle w:val="HideTWBExt"/>
        </w:rPr>
        <w:t>&lt;/NumAm&gt;</w:t>
      </w:r>
    </w:p>
    <w:p>
      <w:pPr>
        <w:pStyle w:val="NormalBold"/>
      </w:pPr>
      <w:r>
        <w:rPr>
          <w:rStyle w:val="HideTWBExt"/>
          <w:b w:val="0"/>
        </w:rPr>
        <w:t>&lt;RepeatBlock-By&gt;</w:t>
      </w:r>
      <w:r>
        <w:rPr>
          <w:rStyle w:val="HideTWBExt"/>
          <w:b w:val="0"/>
        </w:rPr>
        <w:t>&lt;Members&gt;</w:t>
      </w:r>
      <w:r>
        <w:t>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12a.</w:t>
            </w:r>
            <w:r>
              <w:tab/>
            </w:r>
            <w:r>
              <w:rPr>
                <w:b/>
                <w:i/>
              </w:rPr>
              <w:t>Europaparlamentet betonar att EU-institutionerna, när de utfärdar officiella handlingar eller publicerar rapporter som på något sätt påverkar medlemsstaterna eller deras medborgare, måste ange namnen på de tjänstemän och/eller experter som författat dem.</w:t>
            </w:r>
            <w:r>
              <w:t xml:space="preserve"> </w:t>
            </w:r>
            <w:r>
              <w:rPr>
                <w:b/>
                <w:i/>
              </w:rPr>
              <w:t>Parlamentet betonar att EU-medborgarnas rätt att få kännedom om vem som författat dessa handlingar går före behovet att, om det behövs och går att tillämpa, skydda rätten till integritet för de personer som skrivit sådana handlingar eller rapporter.</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110</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12a.</w:t>
            </w:r>
            <w:r>
              <w:tab/>
            </w:r>
            <w:r>
              <w:rPr>
                <w:b/>
                <w:i/>
              </w:rPr>
              <w:t>Europaparlamentet uppmanas att föregå med gott exempel genom att proaktivt lämna ut handlingar i enlighet med sin etablerade praxis för lagstiftningstransparens och att utöka detta arbetssätt till administrativa handlingar, inbegripet föredragningslistor och protokoll från samordnarnas sammanträden, liksom presidiets handlingar, inbegripet meddelanden från generalsekreteraren.</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111</w:t>
      </w:r>
      <w:r>
        <w:rPr>
          <w:rStyle w:val="HideTWBExt"/>
        </w:rPr>
        <w:t>&lt;/NumAm&gt;</w:t>
      </w:r>
    </w:p>
    <w:p>
      <w:pPr>
        <w:pStyle w:val="NormalBold"/>
      </w:pPr>
      <w:r>
        <w:rPr>
          <w:rStyle w:val="HideTWBExt"/>
          <w:b w:val="0"/>
        </w:rPr>
        <w:t>&lt;RepeatBlock-By&gt;</w:t>
      </w:r>
      <w:r>
        <w:rPr>
          <w:rStyle w:val="HideTWBExt"/>
          <w:b w:val="0"/>
        </w:rPr>
        <w:t>&lt;Members&gt;</w:t>
      </w:r>
      <w:r>
        <w:t>Fabienne Keller,Veronika Cifrová Ostrihoňová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12a.</w:t>
            </w:r>
            <w:r>
              <w:tab/>
            </w:r>
            <w:r>
              <w:rPr>
                <w:b/>
                <w:i/>
              </w:rPr>
              <w:t>Europaparlamentet framhåller behovet av större transparens och proaktiv tillgång till handlingar från EU:s byråer.</w:t>
            </w:r>
            <w:r>
              <w:t xml:space="preserve"> </w:t>
            </w:r>
            <w:r>
              <w:rPr>
                <w:b/>
                <w:i/>
              </w:rPr>
              <w:t>Parlamentet uppmanar Europeiska unionens asylbyrå (EUAA) att i tid ge Europaparlamentet tillgång till sin information och analys om säkra ursprungsländer och säkra tredjeländer, i enlighet med artikel 12.4 i EUAA-förordningen, i syfte att stärka den demokratiska tillsynen.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112</w:t>
      </w:r>
      <w:r>
        <w:rPr>
          <w:rStyle w:val="HideTWBExt"/>
        </w:rPr>
        <w:t>&lt;/NumAm&gt;</w:t>
      </w:r>
    </w:p>
    <w:p>
      <w:pPr>
        <w:pStyle w:val="NormalBold"/>
      </w:pPr>
      <w:r>
        <w:rPr>
          <w:rStyle w:val="HideTWBExt"/>
          <w:b w:val="0"/>
        </w:rPr>
        <w:t>&lt;RepeatBlock-By&gt;</w:t>
      </w:r>
      <w:r>
        <w:rPr>
          <w:rStyle w:val="HideTWBExt"/>
          <w:b w:val="0"/>
        </w:rPr>
        <w:t>&lt;Members&gt;</w:t>
      </w:r>
      <w:r>
        <w:t>Georgiana Teodorescu,Cristian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12a.</w:t>
            </w:r>
            <w:r>
              <w:tab/>
            </w:r>
            <w:r>
              <w:rPr>
                <w:b/>
                <w:i/>
              </w:rPr>
              <w:t>Europaparlamentet påpekar med eftertryck att alla undantag från allmänhetens tillgång till EU:s handlingar eller information måste analyseras från fall till fall, med beaktande av att tillgången till sådana handlingar är regel, medan undantagen från denna regel är föremål för strikt tolkning.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113</w:t>
      </w:r>
      <w:r>
        <w:rPr>
          <w:rStyle w:val="HideTWBExt"/>
        </w:rPr>
        <w:t>&lt;/NumAm&gt;</w:t>
      </w:r>
    </w:p>
    <w:p>
      <w:pPr>
        <w:pStyle w:val="NormalBold"/>
      </w:pPr>
      <w:r>
        <w:rPr>
          <w:rStyle w:val="HideTWBExt"/>
          <w:b w:val="0"/>
        </w:rPr>
        <w:t>&lt;RepeatBlock-By&gt;</w:t>
      </w:r>
      <w:r>
        <w:rPr>
          <w:rStyle w:val="HideTWBExt"/>
          <w:b w:val="0"/>
        </w:rPr>
        <w:t>&lt;Members&gt;</w:t>
      </w:r>
      <w:r>
        <w:t>Georgiana Teodorescu,Cristian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12b.</w:t>
            </w:r>
            <w:r>
              <w:tab/>
            </w:r>
            <w:r>
              <w:rPr>
                <w:b/>
                <w:i/>
              </w:rPr>
              <w:t>Europaparlamentet betonar att när EU:s institutioner utfärdar officiella handlingar eller rapporter som på något sätt påverkar medlemsstaterna eller deras medborgare, måste namnen på de tjänstemän och/eller experter som författat texterna anges i dem.</w:t>
            </w:r>
            <w:r>
              <w:t xml:space="preserve"> </w:t>
            </w:r>
            <w:r>
              <w:rPr>
                <w:b/>
                <w:i/>
              </w:rPr>
              <w:t>Parlamentet betonar att unionsmedborgarnas rätt att få kännedom om dessa handlingars författares identitet går före behovet att, om det behövs och är tillämpbart, skydda integriteten för de personer som författat handlingarna eller rapporterna.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114</w:t>
      </w:r>
      <w:r>
        <w:rPr>
          <w:rStyle w:val="HideTWBExt"/>
        </w:rPr>
        <w:t>&lt;/NumAm&gt;</w:t>
      </w:r>
    </w:p>
    <w:p>
      <w:pPr>
        <w:pStyle w:val="NormalBold"/>
      </w:pPr>
      <w:r>
        <w:rPr>
          <w:rStyle w:val="HideTWBExt"/>
          <w:b w:val="0"/>
        </w:rPr>
        <w:t>&lt;RepeatBlock-By&gt;</w:t>
      </w:r>
      <w:r>
        <w:rPr>
          <w:rStyle w:val="HideTWBExt"/>
          <w:b w:val="0"/>
        </w:rPr>
        <w:t>&lt;Members&gt;</w:t>
      </w:r>
      <w:r>
        <w:t>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Europaparlamentet rekommenderar att systemrelaterade dröjsmål i hanteringen av bekräftande ansökningar snarast åtgärdas genom att man förbättrar de interna förfarandena, tilldelar tillräckliga resurser och säkerställer snabb och transparent kommunikation med sökande, i syfte att upprätthålla rättsliga skyldigheter och främja allmänhetens förtroende och deltagande.</w:t>
            </w:r>
          </w:p>
        </w:tc>
        <w:tc>
          <w:tcPr>
            <w:tcW w:w="4876" w:type="dxa"/>
            <w:tcBorders>
              <w:top w:val="nil"/>
              <w:left w:val="nil"/>
              <w:bottom w:val="nil"/>
              <w:right w:val="nil"/>
            </w:tcBorders>
          </w:tcPr>
          <w:p>
            <w:pPr>
              <w:pStyle w:val="Normal6a"/>
            </w:pPr>
            <w:r>
              <w:t>13.</w:t>
            </w:r>
            <w:r>
              <w:tab/>
            </w:r>
            <w:r>
              <w:t xml:space="preserve">Europaparlamentet rekommenderar att systemrelaterade dröjsmål i hanteringen av bekräftande ansökningar snarast åtgärdas genom att man förbättrar de interna förfarandena, tilldelar tillräckliga resurser och säkerställer snabb och transparent kommunikation med sökande, i syfte att upprätthålla rättsliga skyldigheter och främja allmänhetens förtroende och deltagande. </w:t>
            </w:r>
            <w:r>
              <w:rPr>
                <w:b/>
                <w:i/>
              </w:rPr>
              <w:t>Parlamentet rekommenderar att EU:s institutioner, organ och byråer på sina respektive webbplatser ger råd om vilken information som en begäran om tillgång till handlingar enligt förordning (EG) nr 1049/2001 bör innehålla, för att underlätta hanteringen av sådana begäranden.</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Europaparlamentet </w:t>
            </w:r>
            <w:r>
              <w:rPr>
                <w:b/>
                <w:i/>
              </w:rPr>
              <w:t>rekommenderar att</w:t>
            </w:r>
            <w:r>
              <w:t xml:space="preserve"> systemrelaterade </w:t>
            </w:r>
            <w:r>
              <w:rPr>
                <w:b/>
                <w:i/>
              </w:rPr>
              <w:t>dröjsmål</w:t>
            </w:r>
            <w:r>
              <w:t xml:space="preserve"> i hanteringen av bekräftande ansökningar </w:t>
            </w:r>
            <w:r>
              <w:rPr>
                <w:b/>
                <w:i/>
              </w:rPr>
              <w:t>snarast åtgärdas</w:t>
            </w:r>
            <w:r>
              <w:t xml:space="preserve"> genom att </w:t>
            </w:r>
            <w:r>
              <w:rPr>
                <w:b/>
                <w:i/>
              </w:rPr>
              <w:t>man förbättrar</w:t>
            </w:r>
            <w:r>
              <w:t xml:space="preserve"> de interna förfarandena, </w:t>
            </w:r>
            <w:r>
              <w:rPr>
                <w:b/>
                <w:i/>
              </w:rPr>
              <w:t>tilldelar</w:t>
            </w:r>
            <w:r>
              <w:t xml:space="preserve"> tillräckliga resurser och </w:t>
            </w:r>
            <w:r>
              <w:rPr>
                <w:b/>
                <w:i/>
              </w:rPr>
              <w:t>säkerställer</w:t>
            </w:r>
            <w:r>
              <w:t xml:space="preserve"> snabb och transparent kommunikation med sökande, i syfte att upprätthålla rättsliga skyldigheter och främja allmänhetens förtroende och deltagande.</w:t>
            </w:r>
          </w:p>
        </w:tc>
        <w:tc>
          <w:tcPr>
            <w:tcW w:w="4876" w:type="dxa"/>
            <w:tcBorders>
              <w:top w:val="nil"/>
              <w:left w:val="nil"/>
              <w:bottom w:val="nil"/>
              <w:right w:val="nil"/>
            </w:tcBorders>
          </w:tcPr>
          <w:p>
            <w:pPr>
              <w:pStyle w:val="Normal6a"/>
            </w:pPr>
            <w:r>
              <w:t>13.</w:t>
            </w:r>
            <w:r>
              <w:tab/>
            </w:r>
            <w:r>
              <w:t xml:space="preserve">Europaparlamentet </w:t>
            </w:r>
            <w:r>
              <w:rPr>
                <w:b/>
                <w:i/>
              </w:rPr>
              <w:t>upprepar sin bestämda uppmaning till kommissionen om att ta itu med de</w:t>
            </w:r>
            <w:r>
              <w:t xml:space="preserve"> systemrelaterade </w:t>
            </w:r>
            <w:r>
              <w:rPr>
                <w:b/>
                <w:i/>
              </w:rPr>
              <w:t>dröjsmålen</w:t>
            </w:r>
            <w:r>
              <w:t xml:space="preserve"> i hanteringen av bekräftande ansökningar genom att </w:t>
            </w:r>
            <w:r>
              <w:rPr>
                <w:b/>
                <w:i/>
              </w:rPr>
              <w:t>tillämpa ett proaktivt förfaringssätt, förbättra</w:t>
            </w:r>
            <w:r>
              <w:t xml:space="preserve"> de interna förfarandena, </w:t>
            </w:r>
            <w:r>
              <w:rPr>
                <w:b/>
                <w:i/>
              </w:rPr>
              <w:t>tilldela</w:t>
            </w:r>
            <w:r>
              <w:t xml:space="preserve"> tillräckliga resurser och </w:t>
            </w:r>
            <w:r>
              <w:rPr>
                <w:b/>
                <w:i/>
              </w:rPr>
              <w:t>säkerställa</w:t>
            </w:r>
            <w:r>
              <w:t xml:space="preserve"> snabb och transparent kommunikation med sökande, i syfte att upprätthålla rättsliga skyldigheter och främja allmänhetens förtroende och deltagande.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116</w:t>
      </w:r>
      <w:r>
        <w:rPr>
          <w:rStyle w:val="HideTWBExt"/>
        </w:rPr>
        <w:t>&lt;/NumAm&gt;</w:t>
      </w:r>
    </w:p>
    <w:p>
      <w:pPr>
        <w:pStyle w:val="NormalBold"/>
      </w:pPr>
      <w:r>
        <w:rPr>
          <w:rStyle w:val="HideTWBExt"/>
          <w:b w:val="0"/>
        </w:rPr>
        <w:t>&lt;RepeatBlock-By&gt;</w:t>
      </w:r>
      <w:r>
        <w:rPr>
          <w:rStyle w:val="HideTWBExt"/>
          <w:b w:val="0"/>
        </w:rPr>
        <w:t>&lt;Members&gt;</w:t>
      </w:r>
      <w:r>
        <w:t>Sophie Wilmès,Hilde Vautmans,Lucia Yar,Nikola Minchev,Malik Azmani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Europaparlamentet rekommenderar att systemrelaterade dröjsmål i hanteringen av bekräftande ansökningar snarast åtgärdas genom att man förbättrar de interna förfarandena, tilldelar tillräckliga resurser och säkerställer snabb och transparent kommunikation med sökande, i syfte att upprätthålla rättsliga skyldigheter och främja allmänhetens förtroende och deltagande.</w:t>
            </w:r>
          </w:p>
        </w:tc>
        <w:tc>
          <w:tcPr>
            <w:tcW w:w="4876" w:type="dxa"/>
            <w:tcBorders>
              <w:top w:val="nil"/>
              <w:left w:val="nil"/>
              <w:bottom w:val="nil"/>
              <w:right w:val="nil"/>
            </w:tcBorders>
          </w:tcPr>
          <w:p>
            <w:pPr>
              <w:pStyle w:val="Normal6a"/>
            </w:pPr>
            <w:r>
              <w:t>13.</w:t>
            </w:r>
            <w:r>
              <w:tab/>
            </w:r>
            <w:r>
              <w:t xml:space="preserve">Europaparlamentet rekommenderar att systemrelaterade dröjsmål i hanteringen av bekräftande ansökningar snarast åtgärdas genom att man förbättrar de interna förfarandena, tilldelar tillräckliga resurser </w:t>
            </w:r>
            <w:r>
              <w:rPr>
                <w:b/>
                <w:i/>
              </w:rPr>
              <w:t>på grundval av en grundlig behovsbedömning</w:t>
            </w:r>
            <w:r>
              <w:t xml:space="preserve"> och säkerställer snabb och transparent kommunikation med sökande, i syfte att upprätthålla rättsliga skyldigheter och främja allmänhetens förtroende och deltagande.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117</w:t>
      </w:r>
      <w:r>
        <w:rPr>
          <w:rStyle w:val="HideTWBExt"/>
        </w:rPr>
        <w:t>&lt;/NumAm&gt;</w:t>
      </w:r>
    </w:p>
    <w:p>
      <w:pPr>
        <w:pStyle w:val="NormalBold"/>
      </w:pPr>
      <w:r>
        <w:rPr>
          <w:rStyle w:val="HideTWBExt"/>
          <w:b w:val="0"/>
        </w:rPr>
        <w:t>&lt;RepeatBlock-By&gt;</w:t>
      </w:r>
      <w:r>
        <w:rPr>
          <w:rStyle w:val="HideTWBExt"/>
          <w:b w:val="0"/>
        </w:rPr>
        <w:t>&lt;Members&gt;</w:t>
      </w:r>
      <w:r>
        <w:t>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Europaparlamentet rekommenderar att systemrelaterade dröjsmål i hanteringen av bekräftande ansökningar snarast åtgärdas genom att man förbättrar de interna förfarandena, tilldelar tillräckliga resurser och säkerställer snabb och transparent kommunikation med sökande, i syfte att upprätthålla rättsliga skyldigheter och främja allmänhetens förtroende och deltagande.</w:t>
            </w:r>
          </w:p>
        </w:tc>
        <w:tc>
          <w:tcPr>
            <w:tcW w:w="4876" w:type="dxa"/>
            <w:tcBorders>
              <w:top w:val="nil"/>
              <w:left w:val="nil"/>
              <w:bottom w:val="nil"/>
              <w:right w:val="nil"/>
            </w:tcBorders>
          </w:tcPr>
          <w:p>
            <w:pPr>
              <w:pStyle w:val="Normal6a"/>
            </w:pPr>
            <w:r>
              <w:t>13.</w:t>
            </w:r>
            <w:r>
              <w:tab/>
            </w:r>
            <w:r>
              <w:t xml:space="preserve">Europaparlamentet rekommenderar att systemrelaterade dröjsmål i hanteringen av bekräftande ansökningar snarast åtgärdas genom att man förbättrar de interna förfarandena, tilldelar tillräckliga </w:t>
            </w:r>
            <w:r>
              <w:rPr>
                <w:b/>
                <w:i/>
              </w:rPr>
              <w:t>mänskliga och ekonomiska</w:t>
            </w:r>
            <w:r>
              <w:t xml:space="preserve"> resurser och säkerställer snabb och transparent kommunikation med sökande, i syfte att upprätthålla rättsliga skyldigheter och främja allmänhetens förtroende och deltagande.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118</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Europaparlamentet rekommenderar att systemrelaterade dröjsmål i hanteringen av bekräftande ansökningar </w:t>
            </w:r>
            <w:r>
              <w:rPr>
                <w:b/>
                <w:i/>
              </w:rPr>
              <w:t>snarast</w:t>
            </w:r>
            <w:r>
              <w:t xml:space="preserve"> åtgärdas genom att man förbättrar de interna förfarandena, tilldelar tillräckliga resurser och säkerställer snabb och transparent kommunikation med sökande, i syfte att upprätthålla rättsliga skyldigheter och främja allmänhetens förtroende och deltagande.</w:t>
            </w:r>
          </w:p>
        </w:tc>
        <w:tc>
          <w:tcPr>
            <w:tcW w:w="4876" w:type="dxa"/>
            <w:tcBorders>
              <w:top w:val="nil"/>
              <w:left w:val="nil"/>
              <w:bottom w:val="nil"/>
              <w:right w:val="nil"/>
            </w:tcBorders>
          </w:tcPr>
          <w:p>
            <w:pPr>
              <w:pStyle w:val="Normal6a"/>
            </w:pPr>
            <w:r>
              <w:t>13.</w:t>
            </w:r>
            <w:r>
              <w:tab/>
            </w:r>
            <w:r>
              <w:t xml:space="preserve">Europaparlamentet rekommenderar att systemrelaterade dröjsmål i hanteringen av bekräftande ansökningar </w:t>
            </w:r>
            <w:r>
              <w:rPr>
                <w:b/>
                <w:i/>
              </w:rPr>
              <w:t>omedelbart</w:t>
            </w:r>
            <w:r>
              <w:t xml:space="preserve"> åtgärdas genom att man förbättrar de interna förfarandena, tilldelar tillräckliga resurser och säkerställer snabb och transparent kommunikation med sökande, i syfte att upprätthålla rättsliga skyldigheter och främja allmänhetens förtroende och deltagande.</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119</w:t>
      </w:r>
      <w:r>
        <w:rPr>
          <w:rStyle w:val="HideTWBExt"/>
        </w:rPr>
        <w:t>&lt;/NumAm&gt;</w:t>
      </w:r>
    </w:p>
    <w:p>
      <w:pPr>
        <w:pStyle w:val="NormalBold"/>
      </w:pPr>
      <w:r>
        <w:rPr>
          <w:rStyle w:val="HideTWBExt"/>
          <w:b w:val="0"/>
        </w:rPr>
        <w:t>&lt;RepeatBlock-By&gt;</w:t>
      </w:r>
      <w:r>
        <w:rPr>
          <w:rStyle w:val="HideTWBExt"/>
          <w:b w:val="0"/>
        </w:rPr>
        <w:t>&lt;Members&gt;</w:t>
      </w:r>
      <w:r>
        <w:t>Erik Kaliňák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Europaparlamentet rekommenderar att systemrelaterade dröjsmål i hanteringen av bekräftande ansökningar snarast åtgärdas genom att man förbättrar de interna förfarandena</w:t>
            </w:r>
            <w:r>
              <w:rPr>
                <w:b/>
                <w:i/>
              </w:rPr>
              <w:t>, tilldelar tillräckliga resurser</w:t>
            </w:r>
            <w:r>
              <w:t xml:space="preserve"> och säkerställer snabb och transparent kommunikation med sökande, i syfte att upprätthålla rättsliga skyldigheter och främja allmänhetens förtroende och deltagande.</w:t>
            </w:r>
          </w:p>
        </w:tc>
        <w:tc>
          <w:tcPr>
            <w:tcW w:w="4876" w:type="dxa"/>
            <w:tcBorders>
              <w:top w:val="nil"/>
              <w:left w:val="nil"/>
              <w:bottom w:val="nil"/>
              <w:right w:val="nil"/>
            </w:tcBorders>
          </w:tcPr>
          <w:p>
            <w:pPr>
              <w:pStyle w:val="Normal6a"/>
            </w:pPr>
            <w:r>
              <w:t>13.</w:t>
            </w:r>
            <w:r>
              <w:tab/>
            </w:r>
            <w:r>
              <w:t xml:space="preserve">Europaparlamentet rekommenderar att systemrelaterade dröjsmål i hanteringen av bekräftande ansökningar snarast åtgärdas genom att man förbättrar de interna förfarandena och säkerställer snabb och transparent kommunikation med sökande, i syfte att upprätthålla rättsliga skyldigheter och </w:t>
            </w:r>
            <w:r>
              <w:rPr>
                <w:b/>
                <w:i/>
              </w:rPr>
              <w:t>därigenom</w:t>
            </w:r>
            <w:r>
              <w:t xml:space="preserve"> främja allmänhetens förtroende och deltagande.</w:t>
            </w:r>
          </w:p>
        </w:tc>
      </w:tr>
    </w:tbl>
    <w:p>
      <w:pPr>
        <w:pStyle w:val="AmOrLang"/>
      </w:pPr>
      <w:r>
        <w:t xml:space="preserve">Or. </w:t>
      </w:r>
      <w:r>
        <w:rPr>
          <w:rStyle w:val="HideTWBExt"/>
        </w:rPr>
        <w:t>&lt;Original&gt;</w:t>
      </w:r>
      <w:r>
        <w:rPr>
          <w:rStyle w:val="HideTWBInt"/>
        </w:rPr>
        <w:t>{SK}</w:t>
      </w:r>
      <w:r>
        <w:t>sk</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120</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13a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13a.</w:t>
            </w:r>
            <w:r>
              <w:tab/>
            </w:r>
            <w:r>
              <w:rPr>
                <w:b/>
                <w:i/>
              </w:rPr>
              <w:t>Europaparlamentet begär att avslag på begäranden om tillgång ska motiveras med konkreta och specificerade skäl och meddelas utan oskäliga dröjsmål, i enlighet med senaste rättspraxis.</w:t>
            </w:r>
            <w:r>
              <w:t xml:space="preserve"> </w:t>
            </w:r>
            <w:r>
              <w:rPr>
                <w:b/>
                <w:i/>
              </w:rPr>
              <w:t>Parlamentet begär att ett påskyndat överprövningsförfarande införs av Europeiska ombudsmannen eller domstolen, i synnerhet i fall som rör viktiga allmänintressen.</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121</w:t>
      </w:r>
      <w:r>
        <w:rPr>
          <w:rStyle w:val="HideTWBExt"/>
        </w:rPr>
        <w:t>&lt;/NumAm&gt;</w:t>
      </w:r>
    </w:p>
    <w:p>
      <w:pPr>
        <w:pStyle w:val="NormalBold"/>
      </w:pPr>
      <w:r>
        <w:rPr>
          <w:rStyle w:val="HideTWBExt"/>
          <w:b w:val="0"/>
        </w:rPr>
        <w:t>&lt;RepeatBlock-By&gt;</w:t>
      </w:r>
      <w:r>
        <w:rPr>
          <w:rStyle w:val="HideTWBExt"/>
          <w:b w:val="0"/>
        </w:rPr>
        <w:t>&lt;Members&gt;</w:t>
      </w:r>
      <w:r>
        <w:t>Georgiana Teodorescu,Cristian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13a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13a.</w:t>
            </w:r>
            <w:r>
              <w:tab/>
            </w:r>
            <w:r>
              <w:rPr>
                <w:b/>
                <w:i/>
              </w:rPr>
              <w:t>Europaparlamentet påpekar att när det gäller EU-tjänstemän eller EU-experter som utarbetar rapporter eller dokument som påverkar medlemsstaterna har rätten att få veta deras namn företräde framför varje eventuellt tillämpligt skydd av deras personuppgifter.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122</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13b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13b.</w:t>
            </w:r>
            <w:r>
              <w:tab/>
            </w:r>
            <w:r>
              <w:rPr>
                <w:b/>
                <w:i/>
              </w:rPr>
              <w:t>Europaparlamentet uppmanar EU:s institutioner, organ och byråer att inrätta obligatoriska och kontinuerliga fortbildningsprogram för all personal, med särskilt avseende på dem som hanterar dokument och beslutsprocesser, i syfte att främja en intern kultur av transparens, ansvarsskyldighet och god förvaltning.</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123</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 xml:space="preserve">Europaparlamentet betonar att transparens och </w:t>
            </w:r>
            <w:r>
              <w:rPr>
                <w:b/>
                <w:i/>
              </w:rPr>
              <w:t>tillgång till</w:t>
            </w:r>
            <w:r>
              <w:t xml:space="preserve"> handlingar som innehas av EU:s institutioner, organ och byråer måste vara regel och att </w:t>
            </w:r>
            <w:r>
              <w:rPr>
                <w:b/>
                <w:i/>
              </w:rPr>
              <w:t>undantag från denna regel</w:t>
            </w:r>
            <w:r>
              <w:t xml:space="preserve"> måste tolkas strikt, med beaktande av det allt överskuggande allmänintresset av utlämnande för att möjliggöra offentlig granskning.</w:t>
            </w:r>
          </w:p>
        </w:tc>
        <w:tc>
          <w:tcPr>
            <w:tcW w:w="4876" w:type="dxa"/>
            <w:tcBorders>
              <w:top w:val="nil"/>
              <w:left w:val="nil"/>
              <w:bottom w:val="nil"/>
              <w:right w:val="nil"/>
            </w:tcBorders>
          </w:tcPr>
          <w:p>
            <w:pPr>
              <w:pStyle w:val="Normal6a"/>
            </w:pPr>
            <w:r>
              <w:t>14.</w:t>
            </w:r>
            <w:r>
              <w:tab/>
            </w:r>
            <w:r>
              <w:t xml:space="preserve">Europaparlamentet betonar att transparens och </w:t>
            </w:r>
            <w:r>
              <w:rPr>
                <w:b/>
                <w:i/>
              </w:rPr>
              <w:t>proaktivt offentliggörande av</w:t>
            </w:r>
            <w:r>
              <w:t xml:space="preserve"> handlingar som innehas av EU:s institutioner, organ och byråer måste vara regel och att </w:t>
            </w:r>
            <w:r>
              <w:rPr>
                <w:b/>
                <w:i/>
              </w:rPr>
              <w:t>alla beslut om att neka allmänheten tillgång till handlingar</w:t>
            </w:r>
            <w:r>
              <w:t xml:space="preserve"> måste tolkas strikt, med beaktande av det allt överskuggande allmänintresset av utlämnande</w:t>
            </w:r>
            <w:r>
              <w:rPr>
                <w:b/>
                <w:i/>
              </w:rPr>
              <w:t>, och baseras på tydligt och strikt definierade rättsliga undantag åtföljda av motiverade och specifika motiveringar,</w:t>
            </w:r>
            <w:r>
              <w:t xml:space="preserve"> för att möjliggöra offentlig granskning </w:t>
            </w:r>
            <w:r>
              <w:rPr>
                <w:b/>
                <w:i/>
              </w:rPr>
              <w:t>genom att säkerställa att medborgarna förstår nekandet av tillgång och kan använda de rättsmedel som finns tillgängliga vid behov</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124</w:t>
      </w:r>
      <w:r>
        <w:rPr>
          <w:rStyle w:val="HideTWBExt"/>
        </w:rPr>
        <w:t>&lt;/NumAm&gt;</w:t>
      </w:r>
    </w:p>
    <w:p>
      <w:pPr>
        <w:pStyle w:val="NormalBold"/>
      </w:pPr>
      <w:r>
        <w:rPr>
          <w:rStyle w:val="HideTWBExt"/>
          <w:b w:val="0"/>
        </w:rPr>
        <w:t>&lt;RepeatBlock-By&gt;</w:t>
      </w:r>
      <w:r>
        <w:rPr>
          <w:rStyle w:val="HideTWBExt"/>
          <w:b w:val="0"/>
        </w:rPr>
        <w:t>&lt;Members&gt;</w:t>
      </w:r>
      <w:r>
        <w:t>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Europaparlamentet betonar att transparens och tillgång till handlingar som innehas av EU:s institutioner, organ och byråer måste vara regel och att undantag från denna regel måste tolkas strikt, med beaktande av det allt överskuggande allmänintresset av utlämnande för att möjliggöra offentlig granskning.</w:t>
            </w:r>
          </w:p>
        </w:tc>
        <w:tc>
          <w:tcPr>
            <w:tcW w:w="4876" w:type="dxa"/>
            <w:tcBorders>
              <w:top w:val="nil"/>
              <w:left w:val="nil"/>
              <w:bottom w:val="nil"/>
              <w:right w:val="nil"/>
            </w:tcBorders>
          </w:tcPr>
          <w:p>
            <w:pPr>
              <w:pStyle w:val="Normal6a"/>
            </w:pPr>
            <w:r>
              <w:t>14.</w:t>
            </w:r>
            <w:r>
              <w:tab/>
            </w:r>
            <w:r>
              <w:t xml:space="preserve">Europaparlamentet betonar att transparens och tillgång till handlingar som innehas av EU:s institutioner, organ och byråer måste vara regel och att undantag från denna regel måste tolkas strikt, med beaktande av det allt överskuggande allmänintresset av utlämnande för att möjliggöra offentlig granskning. </w:t>
            </w:r>
            <w:r>
              <w:rPr>
                <w:b/>
                <w:i/>
              </w:rPr>
              <w:t>Parlamentet uppmanar kommissionen att vara mer transparent när det gäller avtal med tredje parter</w:t>
            </w:r>
            <w:r>
              <w:t xml:space="preserve"> </w:t>
            </w:r>
            <w:r>
              <w:rPr>
                <w:b/>
                <w:i/>
              </w:rPr>
              <w:t>och att ta mer initiativ till att offentliggöra så mycket information som möjligt om upphandlingsförfaranden.</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125</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 xml:space="preserve">Europaparlamentet betonar att transparens och tillgång till handlingar </w:t>
            </w:r>
            <w:r>
              <w:rPr>
                <w:b/>
                <w:i/>
              </w:rPr>
              <w:t>som innehas av EU:s institutioner, organ och byråer</w:t>
            </w:r>
            <w:r>
              <w:t xml:space="preserve"> måste vara regel och att undantag </w:t>
            </w:r>
            <w:r>
              <w:rPr>
                <w:b/>
                <w:i/>
              </w:rPr>
              <w:t>från denna regel</w:t>
            </w:r>
            <w:r>
              <w:t xml:space="preserve"> måste </w:t>
            </w:r>
            <w:r>
              <w:rPr>
                <w:b/>
                <w:i/>
              </w:rPr>
              <w:t>tolkas</w:t>
            </w:r>
            <w:r>
              <w:t xml:space="preserve"> strikt</w:t>
            </w:r>
            <w:r>
              <w:rPr>
                <w:b/>
                <w:i/>
              </w:rPr>
              <w:t>, med beaktande av det allt överskuggande allmänintresset av utlämnande för att möjliggöra offentlig granskning</w:t>
            </w:r>
            <w:r>
              <w:t>.</w:t>
            </w:r>
          </w:p>
        </w:tc>
        <w:tc>
          <w:tcPr>
            <w:tcW w:w="4876" w:type="dxa"/>
            <w:tcBorders>
              <w:top w:val="nil"/>
              <w:left w:val="nil"/>
              <w:bottom w:val="nil"/>
              <w:right w:val="nil"/>
            </w:tcBorders>
          </w:tcPr>
          <w:p>
            <w:pPr>
              <w:pStyle w:val="Normal6a"/>
            </w:pPr>
            <w:r>
              <w:t>14.</w:t>
            </w:r>
            <w:r>
              <w:tab/>
            </w:r>
            <w:r>
              <w:t>Europaparlamentet betonar att transparens och tillgång till handlingar måste vara regel</w:t>
            </w:r>
            <w:r>
              <w:rPr>
                <w:b/>
                <w:i/>
              </w:rPr>
              <w:t>,</w:t>
            </w:r>
            <w:r>
              <w:t xml:space="preserve"> och att undantag måste </w:t>
            </w:r>
            <w:r>
              <w:rPr>
                <w:b/>
                <w:i/>
              </w:rPr>
              <w:t>beslutas vid den tidpunkt då de relevanta handlingarna upprättas och kan åberopas endast om det är</w:t>
            </w:r>
            <w:r>
              <w:t xml:space="preserve"> strikt </w:t>
            </w:r>
            <w:r>
              <w:rPr>
                <w:b/>
                <w:i/>
              </w:rPr>
              <w:t>nödvändigt och motiverat med hänsyn till en konkret, faktisk och förutsebar skada.</w:t>
            </w:r>
            <w:r>
              <w:t xml:space="preserve"> </w:t>
            </w:r>
            <w:r>
              <w:rPr>
                <w:b/>
                <w:i/>
              </w:rPr>
              <w:t>Parlamentet efterlyser inrättandet av en oberoende övervakningsmekanism för en årlig översyn av praxis för säkerhetsskyddsklassificering och hävande av säkerhetsskyddsklassificering</w:t>
            </w:r>
            <w:r>
              <w: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126</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Europaparlamentet betonar att transparens och tillgång till handlingar som innehas av EU:s institutioner, organ och byråer måste vara regel och att undantag från denna regel måste tolkas strikt, med beaktande av det allt överskuggande allmänintresset av utlämnande för att möjliggöra offentlig granskning.</w:t>
            </w:r>
          </w:p>
        </w:tc>
        <w:tc>
          <w:tcPr>
            <w:tcW w:w="4876" w:type="dxa"/>
            <w:tcBorders>
              <w:top w:val="nil"/>
              <w:left w:val="nil"/>
              <w:bottom w:val="nil"/>
              <w:right w:val="nil"/>
            </w:tcBorders>
          </w:tcPr>
          <w:p>
            <w:pPr>
              <w:pStyle w:val="Normal6a"/>
            </w:pPr>
            <w:r>
              <w:t>14.</w:t>
            </w:r>
            <w:r>
              <w:tab/>
            </w:r>
            <w:r>
              <w:t xml:space="preserve">Europaparlamentet betonar att transparens och tillgång till handlingar som innehas av EU:s institutioner, organ och byråer måste vara regel och att undantag från denna regel måste tolkas strikt, med beaktande av det allt överskuggande allmänintresset av utlämnande för att möjliggöra offentlig granskning </w:t>
            </w:r>
            <w:r>
              <w:rPr>
                <w:b/>
                <w:i/>
              </w:rPr>
              <w:t>och demokratisk trovärdighet</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127</w:t>
      </w:r>
      <w:r>
        <w:rPr>
          <w:rStyle w:val="HideTWBExt"/>
        </w:rPr>
        <w:t>&lt;/NumAm&gt;</w:t>
      </w:r>
    </w:p>
    <w:p>
      <w:pPr>
        <w:pStyle w:val="NormalBold"/>
      </w:pPr>
      <w:r>
        <w:rPr>
          <w:rStyle w:val="HideTWBExt"/>
          <w:b w:val="0"/>
        </w:rPr>
        <w:t>&lt;RepeatBlock-By&gt;</w:t>
      </w:r>
      <w:r>
        <w:rPr>
          <w:rStyle w:val="HideTWBExt"/>
          <w:b w:val="0"/>
        </w:rPr>
        <w:t>&lt;Members&gt;</w:t>
      </w:r>
      <w:r>
        <w:t>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14a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14a.</w:t>
            </w:r>
            <w:r>
              <w:tab/>
            </w:r>
            <w:r>
              <w:rPr>
                <w:b/>
                <w:i/>
              </w:rPr>
              <w:t>Europaparlamentet noterar med oro att medborgarna för närvarande endast kan bestrida ett avslag på en begäran om tillgång till handlingar eller klaga på avsaknaden av ett snabbt svar när tidsfristerna inte iakttas genom att lämna ett klagomål till ombudsmannen, vars rekommendationer tyvärr inte är rättsligt bindande, eller genom att väcka talan mot institutionen vid EU-domstolen, vilket medför en extremt långdragen och kostsam process med osäkra resultat och skapar en orimlig börda som avskräcker medborgare som vill bestrida ett beslut om (delvis) nekad tillgång.</w:t>
            </w:r>
            <w:r>
              <w:t xml:space="preserve"> </w:t>
            </w:r>
            <w:r>
              <w:rPr>
                <w:b/>
                <w:i/>
              </w:rPr>
              <w:t>Parlamentet betonar att detta i praktiken betyder att det inte finns någon effektiv åtgärd att vidta mot ett avslag på en begäran om tillgång till handlingar.</w:t>
            </w:r>
            <w:r>
              <w:t xml:space="preserve"> </w:t>
            </w:r>
            <w:r>
              <w:rPr>
                <w:b/>
                <w:i/>
              </w:rPr>
              <w:t>Parlamentet uppmanar ändå EU:s institutioner att fullt ut och snabbt följa upp ombudsmannens beslut och rekommendationer.</w:t>
            </w:r>
            <w:r>
              <w:t xml:space="preserve"> </w:t>
            </w:r>
            <w:r>
              <w:rPr>
                <w:b/>
                <w:i/>
              </w:rPr>
              <w:t>Parlamentet begär att EU:s institutioner, organ och byråer ska införa snabbare, mer tillgängliga och ännu enklare förfaranden för hantering av klagomål som rör avslag på begäranden om tillgång till handlingar samt åtgärder som säkerställer att medborgarna kan bestrida beslut när så är nödvändigt.</w:t>
            </w:r>
            <w:r>
              <w:t xml:space="preserve"> </w:t>
            </w:r>
            <w:r>
              <w:rPr>
                <w:b/>
                <w:i/>
              </w:rPr>
              <w:t>I detta sammanhang rekommenderar parlamentet att högre tjänstemän eller oberoende experter utses med befogenhet att utan onödigt dröjsmål granska överklaganden som rör begäranden om tillgång till handlingar.</w:t>
            </w:r>
            <w:r>
              <w:t xml:space="preserve"> </w:t>
            </w:r>
            <w:r>
              <w:rPr>
                <w:b/>
                <w:i/>
              </w:rPr>
              <w:t>Parlamentet framhåller att de mycket höga rättsliga kostnader som det civila samhället måste betala har en hämmande verkan på dess tillgång till rättslig prövning i fråga om tillgång till handlingar – som är en grundläggande rättighet enligt artikel 42 i stadgan – och undergräver det civila samhällets rätt till ett effektivt rättsmedel enligt artikel 47 i stadgan.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128</w:t>
      </w:r>
      <w:r>
        <w:rPr>
          <w:rStyle w:val="HideTWBExt"/>
        </w:rPr>
        <w:t>&lt;/NumAm&gt;</w:t>
      </w:r>
    </w:p>
    <w:p>
      <w:pPr>
        <w:pStyle w:val="NormalBold"/>
      </w:pPr>
      <w:r>
        <w:rPr>
          <w:rStyle w:val="HideTWBExt"/>
          <w:b w:val="0"/>
        </w:rPr>
        <w:t>&lt;RepeatBlock-By&gt;</w:t>
      </w:r>
      <w:r>
        <w:rPr>
          <w:rStyle w:val="HideTWBExt"/>
          <w:b w:val="0"/>
        </w:rPr>
        <w:t>&lt;Members&gt;</w:t>
      </w:r>
      <w:r>
        <w:t>Mariusz Kamiński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14a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14a.</w:t>
            </w:r>
            <w:r>
              <w:tab/>
            </w:r>
            <w:r>
              <w:rPr>
                <w:b/>
                <w:i/>
              </w:rPr>
              <w:t>Europaparlamentet framhåller skyldigheten att föra ett fullständigt och korrekt register över alla åtgärder som vidtas av kommissionsledamöter och tjänstemän vid kommissionen i deras tjänsteutövning.</w:t>
            </w:r>
            <w:r>
              <w:t xml:space="preserve"> </w:t>
            </w:r>
            <w:r>
              <w:rPr>
                <w:b/>
                <w:i/>
              </w:rPr>
              <w:t>Parlamentet anser att det är oacceptabelt att möten där kommissionsledamöter och andra högt uppsatta tjänstemän deltar inom ramen för sina officiella uppdrag – vilket bekräftas av finansieringen av resor, logi och dagtraktamenten från EU:s budget – inte registreras på lämpligt sätt och att deras förfaranden döljs för allmänheten, såsom i fallet med kommissionsledamöternas deltagande i Bilderberggruppens möten.</w:t>
            </w:r>
            <w:r>
              <w:t xml:space="preserve"> </w:t>
            </w:r>
            <w:r>
              <w:rPr>
                <w:b/>
                <w:i/>
              </w:rPr>
              <w:t>Parlamentet betonar att sådana vanor strider mot principerna om transparens och offentlig ansvarsskyldighet och väcker frågor om potentiella intressekonflikter och extern påverkan på EU:s politik.</w:t>
            </w:r>
            <w:r>
              <w:t xml:space="preserve"> </w:t>
            </w:r>
            <w:r>
              <w:rPr>
                <w:b/>
                <w:i/>
              </w:rPr>
              <w:t>Parlamentet uppmanar kommissionen att sätta upp korrekta protokoll från sådana möten och säkerställa att de är transparenta och tillgängliga för allmänheten, vilket hittills inte har gjorts på vederbörligt sätt.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129</w:t>
      </w:r>
      <w:r>
        <w:rPr>
          <w:rStyle w:val="HideTWBExt"/>
        </w:rPr>
        <w:t>&lt;/NumAm&gt;</w:t>
      </w:r>
    </w:p>
    <w:p>
      <w:pPr>
        <w:pStyle w:val="NormalBold"/>
      </w:pPr>
      <w:r>
        <w:rPr>
          <w:rStyle w:val="HideTWBExt"/>
          <w:b w:val="0"/>
        </w:rPr>
        <w:t>&lt;RepeatBlock-By&gt;</w:t>
      </w:r>
      <w:r>
        <w:rPr>
          <w:rStyle w:val="HideTWBExt"/>
          <w:b w:val="0"/>
        </w:rPr>
        <w:t>&lt;Members&gt;</w:t>
      </w:r>
      <w:r>
        <w:t>Georgiana Teodorescu,Cristian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14a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14a.</w:t>
            </w:r>
            <w:r>
              <w:tab/>
            </w:r>
            <w:r>
              <w:rPr>
                <w:b/>
                <w:i/>
              </w:rPr>
              <w:t>Europaparlamentet ställer sig bakom det civila samhällets uppmaning om att direktsända alla offentliga utfrågningar i Europeiska unionens domstol, vilket redan görs i vissa nationella och internationella domstolar, till exempel i Conseil Constitutionnel i Frankrike och Europeiska domstolen för de mänskliga rättigheterna.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130</w:t>
      </w:r>
      <w:r>
        <w:rPr>
          <w:rStyle w:val="HideTWBExt"/>
        </w:rPr>
        <w:t>&lt;/NumAm&gt;</w:t>
      </w:r>
    </w:p>
    <w:p>
      <w:pPr>
        <w:pStyle w:val="NormalBold"/>
      </w:pPr>
      <w:r>
        <w:rPr>
          <w:rStyle w:val="HideTWBExt"/>
          <w:b w:val="0"/>
        </w:rPr>
        <w:t>&lt;RepeatBlock-By&gt;</w:t>
      </w:r>
      <w:r>
        <w:rPr>
          <w:rStyle w:val="HideTWBExt"/>
          <w:b w:val="0"/>
        </w:rPr>
        <w:t>&lt;Members&gt;</w:t>
      </w:r>
      <w:r>
        <w:t>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14a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14a.</w:t>
            </w:r>
            <w:r>
              <w:tab/>
            </w:r>
            <w:r>
              <w:rPr>
                <w:b/>
                <w:i/>
              </w:rPr>
              <w:t>Europaparlamentet stöder kraven från det civila samhället på att alla offentliga utfrågningar i Europeiska unionens domstol ska direktströmmas, så som vissa nationella och internationella domstolar redan gör,</w:t>
            </w:r>
            <w:r>
              <w:t xml:space="preserve"> </w:t>
            </w:r>
            <w:r>
              <w:rPr>
                <w:b/>
                <w:i/>
              </w:rPr>
              <w:t>till exempel Conseil Constitutionnel i Frankrike och Europeiska domstolen för de mänskliga rättigheterna.</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131</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14a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14a.</w:t>
            </w:r>
            <w:r>
              <w:tab/>
            </w:r>
            <w:r>
              <w:rPr>
                <w:b/>
                <w:i/>
              </w:rPr>
              <w:t>Europaparlamentet begär full transparens när det gäller användningen av AI-system i EU-institutionernas beslut och förfaranden, inbegripet offentliggörande av detaljerad information om algoritmer, träningsdata och konsekvensbedömningar.</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132</w:t>
      </w:r>
      <w:r>
        <w:rPr>
          <w:rStyle w:val="HideTWBExt"/>
        </w:rPr>
        <w:t>&lt;/NumAm&gt;</w:t>
      </w:r>
    </w:p>
    <w:p>
      <w:pPr>
        <w:pStyle w:val="NormalBold"/>
      </w:pPr>
      <w:r>
        <w:rPr>
          <w:rStyle w:val="HideTWBExt"/>
          <w:b w:val="0"/>
        </w:rPr>
        <w:t>&lt;RepeatBlock-By&gt;</w:t>
      </w:r>
      <w:r>
        <w:rPr>
          <w:rStyle w:val="HideTWBExt"/>
          <w:b w:val="0"/>
        </w:rPr>
        <w:t>&lt;Members&gt;</w:t>
      </w:r>
      <w:r>
        <w:t>Sophie Wilmès,Hilde Vautmans,Lucia Yar,Nikola Minchev,Malik Azmani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Europaparlamentet understryker att bristande kunskap om huruvida handlingar faktiskt existerar kan hindra medborgarna från att utöva sin rätt att begära tillgång till handlingar. Parlamentet betonar att det enligt fördragen och stadgan är en juridisk skyldighet att säkerställa att medborgarna kan förstå, i detalj följa och vara delaktiga i lagstiftningsprocessen och det är ett grundläggande krav för demokratisk granskning och för demokratin som helhet.</w:t>
            </w:r>
          </w:p>
        </w:tc>
        <w:tc>
          <w:tcPr>
            <w:tcW w:w="4876" w:type="dxa"/>
            <w:tcBorders>
              <w:top w:val="nil"/>
              <w:left w:val="nil"/>
              <w:bottom w:val="nil"/>
              <w:right w:val="nil"/>
            </w:tcBorders>
          </w:tcPr>
          <w:p>
            <w:pPr>
              <w:pStyle w:val="Normal6a"/>
            </w:pPr>
            <w:r>
              <w:t>15.</w:t>
            </w:r>
            <w:r>
              <w:tab/>
            </w:r>
            <w:r>
              <w:t xml:space="preserve">Europaparlamentet understryker att bristande kunskap om huruvida handlingar faktiskt existerar kan hindra medborgarna från att utöva sin rätt att begära tillgång till handlingar. Parlamentet betonar att det enligt fördragen och stadgan är en juridisk skyldighet att säkerställa att medborgarna kan förstå, i detalj följa och vara delaktiga i lagstiftningsprocessen och det är ett grundläggande krav för demokratisk granskning och för demokratin som helhet. </w:t>
            </w:r>
            <w:r>
              <w:rPr>
                <w:b/>
                <w:i/>
              </w:rPr>
              <w:t>Parlamentet efterlyser därför riktade upplysnings- och informationskampanjer på både EU-nivå och nationell nivå för att informera medborgarna om deras rätt till tillgång till handlingar och om de verktyg och förfaranden som kan tillämpas för att utöva denna rätt.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133</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Europaparlamentet understryker att bristande kunskap om huruvida handlingar faktiskt existerar kan hindra medborgarna från att utöva sin rätt att begära tillgång till handlingar. Parlamentet betonar att det enligt fördragen och stadgan är en juridisk skyldighet att säkerställa att medborgarna kan förstå, i detalj följa och vara delaktiga i lagstiftningsprocessen och det är ett grundläggande krav för demokratisk granskning och för demokratin som helhet.</w:t>
            </w:r>
          </w:p>
        </w:tc>
        <w:tc>
          <w:tcPr>
            <w:tcW w:w="4876" w:type="dxa"/>
            <w:tcBorders>
              <w:top w:val="nil"/>
              <w:left w:val="nil"/>
              <w:bottom w:val="nil"/>
              <w:right w:val="nil"/>
            </w:tcBorders>
          </w:tcPr>
          <w:p>
            <w:pPr>
              <w:pStyle w:val="Normal6a"/>
            </w:pPr>
            <w:r>
              <w:t>15.</w:t>
            </w:r>
            <w:r>
              <w:tab/>
            </w:r>
            <w:r>
              <w:t>Europaparlamentet understryker att bristande kunskap om huruvida handlingar faktiskt existerar kan hindra medborgarna från att utöva sin rätt att begära tillgång till handlingar. Parlamentet betonar att det enligt fördragen och stadgan är en juridisk skyldighet att säkerställa att medborgarna kan förstå, i detalj följa och vara delaktiga i lagstiftningsprocessen</w:t>
            </w:r>
            <w:r>
              <w:rPr>
                <w:b/>
                <w:i/>
              </w:rPr>
              <w:t>, inklusive processen i de förberedande organ som deltar i lagstiftningsförfarandena och har tillgång till all relevant information,</w:t>
            </w:r>
            <w:r>
              <w:t xml:space="preserve"> och det är ett grundläggande krav för demokratisk granskning och för demokratin som helhet.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134</w:t>
      </w:r>
      <w:r>
        <w:rPr>
          <w:rStyle w:val="HideTWBExt"/>
        </w:rPr>
        <w:t>&lt;/NumAm&gt;</w:t>
      </w:r>
    </w:p>
    <w:p>
      <w:pPr>
        <w:pStyle w:val="NormalBold"/>
      </w:pPr>
      <w:r>
        <w:rPr>
          <w:rStyle w:val="HideTWBExt"/>
          <w:b w:val="0"/>
        </w:rPr>
        <w:t>&lt;RepeatBlock-By&gt;</w:t>
      </w:r>
      <w:r>
        <w:rPr>
          <w:rStyle w:val="HideTWBExt"/>
          <w:b w:val="0"/>
        </w:rPr>
        <w:t>&lt;Members&gt;</w:t>
      </w:r>
      <w:r>
        <w:t>Veronika Cifrová Ostrihoňová,Fabienne Keller,Malik Azmani,Irena Joveva,Lucia Yar,Nikola Minchev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15a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15a.</w:t>
            </w:r>
            <w:r>
              <w:tab/>
            </w:r>
            <w:r>
              <w:rPr>
                <w:b/>
                <w:i/>
              </w:rPr>
              <w:t>Europaparlamentet betonar att internationella avtal har bindande rättslig verkan och formar utvecklingen av EU:s lagstiftning.</w:t>
            </w:r>
            <w:r>
              <w:t xml:space="preserve"> </w:t>
            </w:r>
            <w:r>
              <w:rPr>
                <w:b/>
                <w:i/>
              </w:rPr>
              <w:t>Parlamentet insisterar därför på att det är absolut nödvändigt att säkerställa full transparens under hela förhandlingsprocessen genom att Europaparlamentets ledamöter får snabb och obegränsad tillgång till alla relevanta handlingar.</w:t>
            </w:r>
            <w:r>
              <w:t xml:space="preserve"> </w:t>
            </w:r>
            <w:r>
              <w:rPr>
                <w:b/>
                <w:i/>
              </w:rPr>
              <w:t>Parlamentet påminner om att parlamentet enligt artikel 218 i fördraget om Europeiska unionens funktionssätt (EUF-fördraget) "omedelbart och fullständigt [ska] informeras i alla skeden av förfarandet".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135</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15a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15a.</w:t>
            </w:r>
            <w:r>
              <w:tab/>
            </w:r>
            <w:r>
              <w:rPr>
                <w:b/>
                <w:i/>
              </w:rPr>
              <w:t>Europaparlamentet efterlyser ett proaktivt offentliggörande av alla rådets förberedande handlingar i god tid inför interinstitutionella förhandlingar, inbegripet de olika medlemsstaternas ståndpunkter, de så kallade fyrspaltiga dokumenten och förhandlade texter till internationella avtal, så att offentliggörande fastställs som gängse praxis i alla skeden av beslutsfattandet, i enlighet med de principer om demokratiskt deltagande som fastställs i fördragen och stadgan.</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136</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15a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15a.</w:t>
            </w:r>
            <w:r>
              <w:tab/>
            </w:r>
            <w:r>
              <w:rPr>
                <w:b/>
                <w:i/>
              </w:rPr>
              <w:t>Europaparlamentet understryker att transparens måste gå hand i hand med ansvarsskyldighet.</w:t>
            </w:r>
            <w:r>
              <w:t xml:space="preserve"> </w:t>
            </w:r>
            <w:r>
              <w:rPr>
                <w:b/>
                <w:i/>
              </w:rPr>
              <w:t>Parlamentet efterlyser årliga revisioner från Europeiska ombudsmannens sida av institutionernas uppfyllande av transparenskraven, inbegripet specifika fall av omotiverade avslag eller dröjsmål när det gäller beviljande av tillgång.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137</w:t>
      </w:r>
      <w:r>
        <w:rPr>
          <w:rStyle w:val="HideTWBExt"/>
        </w:rPr>
        <w:t>&lt;/NumAm&gt;</w:t>
      </w:r>
    </w:p>
    <w:p>
      <w:pPr>
        <w:pStyle w:val="NormalBold"/>
      </w:pPr>
      <w:r>
        <w:rPr>
          <w:rStyle w:val="HideTWBExt"/>
          <w:b w:val="0"/>
        </w:rPr>
        <w:t>&lt;RepeatBlock-By&gt;</w:t>
      </w:r>
      <w:r>
        <w:rPr>
          <w:rStyle w:val="HideTWBExt"/>
          <w:b w:val="0"/>
        </w:rPr>
        <w:t>&lt;Members&gt;</w:t>
      </w:r>
      <w:r>
        <w:t>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15a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15a.</w:t>
            </w:r>
            <w:r>
              <w:tab/>
            </w:r>
            <w:r>
              <w:rPr>
                <w:b/>
                <w:i/>
              </w:rPr>
              <w:t>Europaparlamentet betonar att transparens och fullständig tillgång till EU-institutionernas handlingar måste vara regel och att undantag från denna regel måste tolkas strikt, med beaktande av det överordnade allmänintresset av ett utlämnande.</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138</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15a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15a.</w:t>
            </w:r>
            <w:r>
              <w:tab/>
            </w:r>
            <w:r>
              <w:rPr>
                <w:b/>
                <w:i/>
              </w:rPr>
              <w:t>Europaparlamentet efterlyser ett användarvänligt system på parlamentets webbplats där den text som det röstas om och omröstningsresultaten kan filtreras per grupp och per parlamentsledamot för varje omröstning med namnupprop.</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139</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15b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15b.</w:t>
            </w:r>
            <w:r>
              <w:tab/>
            </w:r>
            <w:r>
              <w:rPr>
                <w:b/>
                <w:i/>
              </w:rPr>
              <w:t>Europaparlamentet begär att när ett begärt dokumente eller meddelande rör frågor av överordnat allmänintresse eller större kontroverser, såsom i fallet med förhandlingar om och upphandling av covid-19-vacciner, bör huvudregeln vara ett fullständigt utlämnande, och undantag bör tillåtas endast av konkreta och tungt vägande skäl.</w:t>
            </w:r>
            <w:r>
              <w:t xml:space="preserve"> </w:t>
            </w:r>
            <w:r>
              <w:rPr>
                <w:b/>
                <w:i/>
              </w:rPr>
              <w:t>Parlamentet efterlyser en snabb överprövning i fall av avslag i sådana frågor.</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140</w:t>
      </w:r>
      <w:r>
        <w:rPr>
          <w:rStyle w:val="HideTWBExt"/>
        </w:rPr>
        <w:t>&lt;/NumAm&gt;</w:t>
      </w:r>
    </w:p>
    <w:p>
      <w:pPr>
        <w:pStyle w:val="NormalBold"/>
      </w:pPr>
      <w:r>
        <w:rPr>
          <w:rStyle w:val="HideTWBExt"/>
          <w:b w:val="0"/>
        </w:rPr>
        <w:t>&lt;RepeatBlock-By&gt;</w:t>
      </w:r>
      <w:r>
        <w:rPr>
          <w:rStyle w:val="HideTWBExt"/>
          <w:b w:val="0"/>
        </w:rPr>
        <w:t>&lt;Members&gt;</w:t>
      </w:r>
      <w:r>
        <w:t>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15b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15b.</w:t>
            </w:r>
            <w:r>
              <w:tab/>
            </w:r>
            <w:r>
              <w:rPr>
                <w:b/>
                <w:i/>
              </w:rPr>
              <w:t>Europaparlamentet uppmanar EU-institutionerna att fullt ut följa domstolens dom i mål T-540/15 om tillgång till handlingar från trepartsmöten.</w:t>
            </w:r>
            <w:r>
              <w:t xml:space="preserve"> </w:t>
            </w:r>
            <w:r>
              <w:rPr>
                <w:b/>
                <w:i/>
              </w:rPr>
              <w:t>Parlamentet uppmanar EU-institutionerna, i synnerhet rådet, att förbättra sina regler och förfaranden för lagstiftningstransparens.</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141</w:t>
      </w:r>
      <w:r>
        <w:rPr>
          <w:rStyle w:val="HideTWBExt"/>
        </w:rPr>
        <w:t>&lt;/NumAm&gt;</w:t>
      </w:r>
    </w:p>
    <w:p>
      <w:pPr>
        <w:pStyle w:val="NormalBold"/>
      </w:pPr>
      <w:r>
        <w:rPr>
          <w:rStyle w:val="HideTWBExt"/>
          <w:b w:val="0"/>
        </w:rPr>
        <w:t>&lt;RepeatBlock-By&gt;</w:t>
      </w:r>
      <w:r>
        <w:rPr>
          <w:rStyle w:val="HideTWBExt"/>
          <w:b w:val="0"/>
        </w:rPr>
        <w:t>&lt;Members&gt;</w:t>
      </w:r>
      <w:r>
        <w:t>Veronika Cifrová Ostrihoňová,Malik Azmani,Lucia Yar,Nikola Minchev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15b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15b.</w:t>
            </w:r>
            <w:r>
              <w:tab/>
            </w:r>
            <w:r>
              <w:rPr>
                <w:b/>
                <w:i/>
              </w:rPr>
              <w:t>Europaparlamentet uppmanar med eftertryck EU och medlemsstaterna att iaktta slutsatserna och rekommendationerna från Århuskonventionens efterlevnadskommitté och ombudsmannen, samtidigt som de respekterar sina egna internationella åtaganden enligt Århuskonventionen samt rättsstatsprincipen.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779.637</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78</w:t>
    </w:r>
    <w:r>
      <w:fldChar w:fldCharType="end"/>
    </w:r>
    <w:r>
      <w:t>/</w:t>
    </w:r>
    <w:r>
      <w:fldChar w:fldCharType="begin"/>
    </w:r>
    <w:r>
      <w:instrText xml:space="preserve"> NUMPAGES </w:instrText>
    </w:r>
    <w:r>
      <w:fldChar w:fldCharType="separate"/>
    </w:r>
    <w:r>
      <w:t>79</w:t>
    </w:r>
    <w:r>
      <w:fldChar w:fldCharType="end"/>
    </w:r>
    <w:r>
      <w:tab/>
    </w:r>
    <w:r>
      <w:rPr>
        <w:rStyle w:val="HideTWBExt"/>
      </w:rPr>
      <w:t>&lt;PathFdR&gt;</w:t>
    </w:r>
    <w:r>
      <w:t>AM\1332000SV.docx</w:t>
    </w:r>
    <w:r>
      <w:rPr>
        <w:rStyle w:val="HideTWBExt"/>
      </w:rPr>
      <w:t>&lt;/PathFdR&gt;</w:t>
    </w:r>
  </w:p>
  <w:p>
    <w:pPr>
      <w:pStyle w:val="EPFooter2"/>
    </w:pPr>
    <w:r>
      <w:t>SV</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AM\1332000SV.docx</w:t>
    </w:r>
    <w:r>
      <w:rPr>
        <w:rStyle w:val="HideTWBExt"/>
      </w:rPr>
      <w:t>&lt;/PathFdR&gt;</w:t>
    </w:r>
    <w:r>
      <w:tab/>
    </w:r>
    <w:r>
      <w:fldChar w:fldCharType="begin"/>
    </w:r>
    <w:r>
      <w:instrText xml:space="preserve"> PAGE </w:instrText>
    </w:r>
    <w:r>
      <w:fldChar w:fldCharType="separate"/>
    </w:r>
    <w:r>
      <w:t>79</w:t>
    </w:r>
    <w:r>
      <w:fldChar w:fldCharType="end"/>
    </w:r>
    <w:r>
      <w:t>/</w:t>
    </w:r>
    <w:r>
      <w:fldChar w:fldCharType="begin"/>
    </w:r>
    <w:r>
      <w:instrText xml:space="preserve"> NUMPAGES </w:instrText>
    </w:r>
    <w:r>
      <w:fldChar w:fldCharType="separate"/>
    </w:r>
    <w:r>
      <w:t>79</w:t>
    </w:r>
    <w:r>
      <w:fldChar w:fldCharType="end"/>
    </w:r>
    <w:r>
      <w:tab/>
    </w:r>
    <w:r>
      <w:t>PE</w:t>
    </w:r>
    <w:r>
      <w:rPr>
        <w:rStyle w:val="HideTWBExt"/>
      </w:rPr>
      <w:t>&lt;NoPE&gt;</w:t>
    </w:r>
    <w:r>
      <w:t>779.637</w:t>
    </w:r>
    <w:r>
      <w:rPr>
        <w:rStyle w:val="HideTWBExt"/>
      </w:rPr>
      <w:t>&lt;/NoPE&gt;</w:t>
    </w:r>
    <w:r>
      <w:rPr>
        <w:rStyle w:val="HideTWBExt"/>
      </w:rPr>
      <w:t>&lt;Version&gt;</w:t>
    </w:r>
    <w:r>
      <w:t>v01-00</w:t>
    </w:r>
    <w:r>
      <w:rPr>
        <w:rStyle w:val="HideTWBExt"/>
      </w:rPr>
      <w:t>&lt;/Version&gt;</w:t>
    </w:r>
  </w:p>
  <w:p>
    <w:pPr>
      <w:pStyle w:val="EPFooter2"/>
    </w:pPr>
    <w:r>
      <w:tab/>
    </w:r>
    <w:r>
      <w:tab/>
    </w:r>
    <w:r>
      <w:t>SV</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AM\1332000SV.docx</w:t>
    </w:r>
    <w:r>
      <w:rPr>
        <w:rStyle w:val="HideTWBExt"/>
      </w:rPr>
      <w:t>&lt;/PathFdR&gt;</w:t>
    </w:r>
    <w:r>
      <w:tab/>
    </w:r>
    <w:r>
      <w:tab/>
    </w:r>
    <w:r>
      <w:t>PE</w:t>
    </w:r>
    <w:r>
      <w:rPr>
        <w:rStyle w:val="HideTWBExt"/>
      </w:rPr>
      <w:t>&lt;NoPE&gt;</w:t>
    </w:r>
    <w:r>
      <w:t>779.637</w:t>
    </w:r>
    <w:r>
      <w:rPr>
        <w:rStyle w:val="HideTWBExt"/>
      </w:rPr>
      <w:t>&lt;/NoPE&gt;</w:t>
    </w:r>
    <w:r>
      <w:rPr>
        <w:rStyle w:val="HideTWBExt"/>
      </w:rPr>
      <w:t>&lt;Version&gt;</w:t>
    </w:r>
    <w:r>
      <w:t>v01-00</w:t>
    </w:r>
    <w:r>
      <w:rPr>
        <w:rStyle w:val="HideTWBExt"/>
      </w:rPr>
      <w:t>&lt;/Version&gt;</w:t>
    </w:r>
  </w:p>
  <w:p>
    <w:pPr>
      <w:pStyle w:val="EPFooter2"/>
    </w:pPr>
    <w:r>
      <w:t>SV</w:t>
    </w:r>
    <w:r>
      <w:tab/>
    </w:r>
    <w:r>
      <w:rPr>
        <w:rStyle w:val="EPFooter2Motto"/>
      </w:rPr>
      <w:t>Förenade i mångfalden</w:t>
    </w:r>
    <w:r>
      <w:tab/>
    </w:r>
    <w:r>
      <w:t>SV</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140430 HideTWBExt;}{\s16\qr \li0\ri0\sb240\sa240\nowidctlpar\wrapdefault\aspalpha\aspnum\faauto\adjustright\rin0\lin0\itap0 \rtlch\fcs1 \af0\afs20\alang1025 \ltrch\fcs0 &#13;_x000a_\fs24\lang2057\langfe2057\cgrid\langnp2057\langfenp2057 \sbasedon0 \snext16 \spriority0 \styrsid1140430 AmOrLang;}{\s17\ql \li0\ri0\sa120\nowidctlpar\wrapdefault\aspalpha\aspnum\faauto\adjustright\rin0\lin0\itap0 \rtlch\fcs1 \af0\afs20\alang1025 &#13;_x000a_\ltrch\fcs0 \fs24\lang2057\langfe2057\cgrid\langnp2057\langfenp2057 \sbasedon0 \snext17 \spriority0 \styrsid1140430 Normal6a;}{\s18\ql \li0\ri0\nowidctlpar\wrapdefault\aspalpha\aspnum\faauto\adjustright\rin0\lin0\itap0 \rtlch\fcs1 \af0\afs20\alang1025 &#13;_x000a_\ltrch\fcs0 \b\fs24\lang2057\langfe2057\cgrid\langnp2057\langfenp2057 \sbasedon0 \snext18 \spriority0 \styrsid1140430 NormalBold;}{\s19\qc \li0\ri0\sa240\nowidctlpar\wrapdefault\aspalpha\aspnum\faauto\adjustright\rin0\lin0\itap0 \rtlch\fcs1 &#13;_x000a_\af0\afs20\alang1025 \ltrch\fcs0 \i\fs24\lang2057\langfe2057\cgrid\langnp2057\langfenp2057 \sbasedon0 \snext19 \spriority0 \styrsid1140430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1140430 AmNumberTabs;}}{\*\rsidtbl \rsid24658\rsid358857\rsid735077\rsid787282\rsid1140430\rsid2892074\rsid3622648\rsid4666813\rsid5708216&#13;_x000a_\rsid6641733\rsid7553164\rsid8465581\rsid8681905\rsid8724649\rsid9636012\rsid9862312\rsid11215221\rsid11370291\rsid11434737\rsid11607138\rsid11824949\rsid12154954\rsid12213393\rsid14424199\rsid15204470\rsid15285974\rsid15535219\rsid15950462\rsid16324206&#13;_x000a_\rsid16662270}{\mmathPr\mmathFont34\mbrkBin0\mbrkBinSub0\msmallFrac0\mdispDef1\mlMargin0\mrMargin0\mdefJc1\mwrapIndent1440\mintLim0\mnaryLim1}{\info{\author FELIX Karina}{\operator FELIX Karina}{\creatim\yr2019\mo7\dy3\hr17\min21}&#13;_x000a_{\revtim\yr2019\mo7\dy3\hr17\min21}{\version1}{\edmins0}{\nofpages1}{\nofwords25}{\nofchars291}{\*\company European Parliament}{\nofcharsws29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14043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2213393 &#13;_x000a_\chftnsep &#13;_x000a_\par }}{\*\ftnsepc \ltrpar \pard\plain \ltrpar\ql \li0\ri0\widctlpar\wrapdefault\aspalpha\aspnum\faauto\adjustright\rin0\lin0\itap0 \rtlch\fcs1 \af0\afs20\alang1025 \ltrch\fcs0 \fs24\lang2057\langfe2057\cgrid\langnp2057\langfenp2057 {\rtlch\fcs1 \af0 &#13;_x000a_\ltrch\fcs0 \insrsid12213393 \chftnsepc &#13;_x000a_\par }}{\*\aftnsep \ltrpar \pard\plain \ltrpar\ql \li0\ri0\widctlpar\wrapdefault\aspalpha\aspnum\faauto\adjustright\rin0\lin0\itap0 \rtlch\fcs1 \af0\afs20\alang1025 \ltrch\fcs0 \fs24\lang2057\langfe2057\cgrid\langnp2057\langfenp2057 {\rtlch\fcs1 \af0 &#13;_x000a_\ltrch\fcs0 \insrsid12213393 \chftnsep &#13;_x000a_\par }}{\*\aftnsepc \ltrpar \pard\plain \ltrpar\ql \li0\ri0\widctlpar\wrapdefault\aspalpha\aspnum\faauto\adjustright\rin0\lin0\itap0 \rtlch\fcs1 \af0\afs20\alang1025 \ltrch\fcs0 \fs24\lang2057\langfe2057\cgrid\langnp2057\langfenp2057 {\rtlch\fcs1 \af0 &#13;_x000a_\ltrch\fcs0 \insrsid122133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1140430 \rtlch\fcs1 \af0\afs20\alang1025 \ltrch\fcs0 \b\fs24\lang2057\langfe2057\cgrid\langnp2057\langfenp2057 {\rtlch\fcs1 \af0 \ltrch\fcs0 \cs15\b0\v\f1\fs20\cf9\lang1024\langfe1024\noproof\insrsid1140430\charrsid4417459 &#13;_x000a_{\*\bkmkstart restart}&lt;Amend&gt;}{\rtlch\fcs1 \af0 \ltrch\fcs0 \insrsid1140430\charrsid1799708 [ZAMENDMENT]}{\rtlch\fcs1 \af0 \ltrch\fcs0 \insrsid1140430 \tab \tab }{\rtlch\fcs1 \af0 \ltrch\fcs0 &#13;_x000a_\cs15\b0\v\f1\fs20\cf9\lang1024\langfe1024\noproof\insrsid1140430\charrsid4417459 &lt;NumAm&gt;}{\rtlch\fcs1 \af0 \ltrch\fcs0 \insrsid1140430\charrsid1799708 [ZNRAM]}{\rtlch\fcs1 \af0 \ltrch\fcs0 &#13;_x000a_\cs15\b0\v\f1\fs20\cf9\lang1024\langfe1024\noproof\insrsid1140430\charrsid4417459 &lt;/NumAm&gt;}{\rtlch\fcs1 \af0 \ltrch\fcs0 \insrsid1140430\charrsid4080556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14699840 &lt;RepeatBlock-By&gt;}{\rtlch\fcs1 \af0 \ltrch\fcs0 \lang1024\langfe1024\noproof\insrsid1140430\charrsid14699840 [RepeatMembers]}{\rtlch\fcs1 \af0 \ltrch\fcs0 &#13;_x000a_\cs15\b0\v\f1\fs20\cf9\lang1024\langfe1024\noproof\insrsid1140430\charrsid14699840 &lt;Members&gt;}{\rtlch\fcs1 \af0 \ltrch\fcs0 \insrsid1140430\charrsid14699840 [ZMEMBERS]}{\rtlch\fcs1 \af0 \ltrch\fcs0 &#13;_x000a_\cs15\b0\v\f1\fs20\cf9\lang1024\langfe1024\noproof\insrsid1140430\charrsid14699840 &lt;/Members&gt;}{\rtlch\fcs1 \af0 \ltrch\fcs0 \insrsid1140430\charrsid14699840 &#13;_x000a_\par }\pard\plain \ltrpar\ql \li0\ri0\widctlpar\wrapdefault\aspalpha\aspnum\faauto\adjustright\rin0\lin0\itap0\pararsid1140430 \rtlch\fcs1 \af0\afs20\alang1025 \ltrch\fcs0 \fs24\lang2057\langfe2057\cgrid\langnp2057\langfenp2057 {\rtlch\fcs1 \af0 \ltrch\fcs0 &#13;_x000a_\cs15\v\f1\fs20\cf9\lang1024\langfe1024\noproof\langnp1043\insrsid1140430\charrsid14424489 &lt;AuNomDe&gt;&lt;OptDel&gt;}{\rtlch\fcs1 \af0 \ltrch\fcs0 \lang1043\langfe2057\langnp1043\insrsid1140430\charrsid14424489 [ZONBEHALF]}{\rtlch\fcs1 \af0 \ltrch\fcs0 &#13;_x000a_\cs15\v\f1\fs20\cf9\lang1024\langfe1024\noproof\langnp1043\insrsid1140430\charrsid14424489 &lt;/OptDel&gt;&lt;/AuNomDe&gt;}{\rtlch\fcs1 \af0 \ltrch\fcs0 \lang1043\langfe2057\langnp1043\insrsid1140430\charrsid14424489 &#13;_x000a_\par }{\rtlch\fcs1 \af0 \ltrch\fcs0 \insrsid1140430\charrsid14699840 &lt;&lt;&lt;}{\rtlch\fcs1 \af0 \ltrch\fcs0 \cs15\v\f1\fs20\cf9\lang1024\langfe1024\noproof\insrsid1140430\charrsid14699840 &lt;/RepeatBlock-By&gt;}{\rtlch\fcs1 \af0 \ltrch\fcs0 &#13;_x000a_\insrsid1140430\charrsid14699840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4737239 &lt;DocAmend&gt;}{\rtlch\fcs1 \af0 \ltrch\fcs0 \insrsid1140430\charrsid1799708 [Z}{\rtlch\fcs1 \af0 \ltrch\fcs0 \insrsid1140430 AMDOC}{\rtlch\fcs1 \af0 \ltrch\fcs0 &#13;_x000a_\insrsid1140430\charrsid1799708 ]}{\rtlch\fcs1 \af0 \ltrch\fcs0 \cs15\b0\v\f1\fs20\cf9\lang1024\langfe1024\noproof\insrsid1140430\charrsid4737239 &lt;/DocAmend&gt;}{\rtlch\fcs1 \af0 \ltrch\fcs0 \insrsid1140430\charrsid1799708 &#13;_x000a_\par }{\rtlch\fcs1 \af0 \ltrch\fcs0 \cs15\b0\v\f1\fs20\cf9\lang1024\langfe1024\noproof\insrsid1140430\charrsid1799708 &lt;Article&gt;}{\rtlch\fcs1 \af0 \ltrch\fcs0 \insrsid1140430\charrsid1799708 [ZAMPART]}{\rtlch\fcs1 \af0 \ltrch\fcs0 &#13;_x000a_\cs15\b0\v\f1\fs20\cf9\lang1024\langfe1024\noproof\insrsid1140430\charrsid1799708 &lt;/Article&gt;}{\rtlch\fcs1 \af0 \ltrch\fcs0 \insrsid1140430\charrsid1799708 &#13;_x000a_\par \ltrrow}\trowd \irow0\irowband0\ltrrow\ts11\trqc\trgaph340\trleft-340\trftsWidth3\trwWidth9752\trftsWidthB3\trpaddl340\trpaddr340\trpaddfl3\trpaddft3\trpaddfb3\trpaddfr3\tblrsid7949889\tblind0\tblindtype3 \clvertalt\clbrdrt\brdrtbl \clbrdrl\brdrtbl &#13;_x000a_\clbrdrb\brdrtbl \clbrdrr\brdrtbl \cltxlrtb\clftsWidth3\clwWidth9752\clshdrawnil \cellx9412\pard\plain \ltrpar\ql \li0\ri0\keepn\widctlpar\intbl\wrapdefault\aspalpha\aspnum\faauto\adjustright\rin0\lin0\pararsid13053803 \rtlch\fcs1 \af0\afs20\alang1025 &#13;_x000a_\ltrch\fcs0 \fs24\lang2057\langfe2057\cgrid\langnp2057\langfenp2057 {\rtlch\fcs1 \af0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0\irowband0\ltrrow&#13;_x000a_\ts11\trqc\trgaph340\trleft-340\trftsWidth3\trwWidth9752\trftsWidthB3\trpaddl340\trpaddr340\trpaddfl3\trpaddft3\trpaddfb3\trpaddfr3\tblrsid7949889\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19\qc \li0\ri0\sa240\keepn\nowidctlpar\intbl\wrapdefault\aspalpha\aspnum\faauto\adjustright\rin0\lin0\pararsid13053803 \rtlch\fcs1 \af0\afs20\alang1025 \ltrch\fcs0 \i\fs24\lang2057\langfe2057\cgrid\langnp2057\langfenp2057 {\rtlch\fcs1 \af0 \ltrch\fcs0 &#13;_x000a_\insrsid1140430\charrsid1799708 [ZLEFT]\cell [ZRIGHT]\cell }\pard\plain \ltrpar\ql \li0\ri0\widctlpar\intbl\wrapdefault\aspalpha\aspnum\faauto\adjustright\rin0\lin0 \rtlch\fcs1 \af0\afs20\alang1025 \ltrch\fcs0 &#13;_x000a_\fs24\lang2057\langfe2057\cgrid\langnp2057\langfenp2057 {\rtlch\fcs1 \af0 \ltrch\fcs0 \insrsid1140430\charrsid1799708 \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7\ql \li0\ri0\sa120\nowidctlpar\intbl\wrapdefault\aspalpha\aspnum\faauto\adjustright\rin0\lin0\pararsid7949889 \rtlch\fcs1 \af0\afs20\alang1025 \ltrch\fcs0 \fs24\lang2057\langfe2057\cgrid\langnp2057\langfenp2057 {\rtlch\fcs1 \af0 \ltrch\fcs0 &#13;_x000a_\insrsid1140430\charrsid1799708 [ZTEXTL]\cell [ZTEXTR]}{\rtlch\fcs1 \af0\afs24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2\irowband2\lastrow \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6\qr \li0\ri0\sb240\sa240\nowidctlpar\wrapdefault\aspalpha\aspnum\faauto\adjustright\rin0\lin0\itap0\pararsid1140430 \rtlch\fcs1 \af0\afs20\alang1025 \ltrch\fcs0 \fs24\lang2057\langfe2057\cgrid\langnp2057\langfenp2057 {\rtlch\fcs1 \af0 \ltrch\fcs0 &#13;_x000a_\insrsid1140430\charrsid1799708 Or. }{\rtlch\fcs1 \af0 \ltrch\fcs0 \cs15\v\f1\fs20\cf9\lang1024\langfe1024\noproof\insrsid1140430\charrsid1799708 &lt;Original&gt;}{\rtlch\fcs1 \af0 \ltrch\fcs0 \insrsid1140430\charrsid1799708 [ZORLANG]}{\rtlch\fcs1 \af0 &#13;_x000a_\ltrch\fcs0 \cs15\v\f1\fs20\cf9\lang1024\langfe1024\noproof\insrsid1140430\charrsid1799708 &lt;/Original&gt;}{\rtlch\fcs1 \af0 \ltrch\fcs0 \insrsid1140430\charrsid1799708 &#13;_x000a_\par }\pard\plain \ltrpar\ql \li0\ri0\widctlpar\wrapdefault\aspalpha\aspnum\faauto\adjustright\rin0\lin0\itap0\pararsid1140430 \rtlch\fcs1 \af0\afs20\alang1025 \ltrch\fcs0 \fs24\lang2057\langfe2057\cgrid\langnp2057\langfenp2057 {\rtlch\fcs1 \af0 \ltrch\fcs0 &#13;_x000a_\cs15\v\f1\fs20\cf9\lang1024\langfe1024\noproof\insrsid1140430\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4&#13;_x000a_9504b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sv-SE"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4"/>
        <w:tab w:val="right" w:pos="9070"/>
      </w:tabs>
      <w:spacing w:before="240" w:after="240"/>
    </w:pPr>
    <w:rPr>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widowControl/>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79</Pages>
  <Words>15231</Words>
  <Characters>103373</Characters>
  <Application>Microsoft Office Word</Application>
  <DocSecurity>0</DocSecurity>
  <Lines>1</Lines>
  <Paragraphs>1240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SV</vt:lpwstr>
  </property>
  <property fmtid="{D5CDD505-2E9C-101B-9397-08002B2CF9AE}" pid="3" name="&lt;FdR&gt;">
    <vt:lpwstr>1332000</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298958</vt:lpwstr>
  </property>
  <property fmtid="{D5CDD505-2E9C-101B-9397-08002B2CF9AE}" pid="7" name="dmxml.render.traceId">
    <vt:lpwstr>692db9abadb8fccb561fb07952b6b99e</vt:lpwstr>
  </property>
  <property fmtid="{D5CDD505-2E9C-101B-9397-08002B2CF9AE}" pid="8" name="FooterPath">
    <vt:lpwstr>AM\1332000SV.docx</vt:lpwstr>
  </property>
  <property fmtid="{D5CDD505-2E9C-101B-9397-08002B2CF9AE}" pid="9" name="PE Number">
    <vt:lpwstr>779.637</vt:lpwstr>
  </property>
  <property fmtid="{D5CDD505-2E9C-101B-9397-08002B2CF9AE}" pid="10" name="UID">
    <vt:lpwstr>eu.europa.europarl-DIN1-2025-0000221306_01.00-sv-01.00_text-xml</vt:lpwstr>
  </property>
</Properties>
</file>