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851AE" w:rsidRPr="001F16C6" w14:paraId="68E9A5CC" w14:textId="77777777" w:rsidTr="00C85D0F">
        <w:trPr>
          <w:trHeight w:hRule="exact" w:val="1418"/>
        </w:trPr>
        <w:tc>
          <w:tcPr>
            <w:tcW w:w="6804" w:type="dxa"/>
            <w:shd w:val="clear" w:color="auto" w:fill="auto"/>
            <w:vAlign w:val="center"/>
          </w:tcPr>
          <w:p w14:paraId="43EFDB5A" w14:textId="77777777" w:rsidR="00BE5062" w:rsidRPr="001F16C6" w:rsidRDefault="00C84B22" w:rsidP="00C84B22">
            <w:pPr>
              <w:pStyle w:val="EPName"/>
              <w:widowControl/>
            </w:pPr>
            <w:r w:rsidRPr="001F16C6">
              <w:t>Европейски парламент</w:t>
            </w:r>
          </w:p>
          <w:p w14:paraId="63BEE1DC" w14:textId="77777777" w:rsidR="00BE5062" w:rsidRPr="001F16C6" w:rsidRDefault="00C84B22" w:rsidP="00C84B22">
            <w:pPr>
              <w:pStyle w:val="EPTerm"/>
              <w:widowControl/>
            </w:pPr>
            <w:r w:rsidRPr="001F16C6">
              <w:t>2024-2029</w:t>
            </w:r>
          </w:p>
        </w:tc>
        <w:tc>
          <w:tcPr>
            <w:tcW w:w="2268" w:type="dxa"/>
            <w:shd w:val="clear" w:color="auto" w:fill="auto"/>
          </w:tcPr>
          <w:p w14:paraId="2CEBB0C8" w14:textId="77777777" w:rsidR="00BE5062" w:rsidRPr="001F16C6" w:rsidRDefault="00C84B22" w:rsidP="00C84B22">
            <w:pPr>
              <w:pStyle w:val="EPLogo"/>
              <w:widowControl/>
            </w:pPr>
            <w:r w:rsidRPr="001F16C6">
              <w:rPr>
                <w:noProof/>
              </w:rPr>
              <w:drawing>
                <wp:inline distT="0" distB="0" distL="0" distR="0" wp14:anchorId="2F9230CF" wp14:editId="16674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8A6557" w14:textId="77777777" w:rsidR="000E7234" w:rsidRPr="001F16C6" w:rsidRDefault="000E7234" w:rsidP="00C84B22">
      <w:pPr>
        <w:pStyle w:val="LineTop"/>
        <w:widowControl/>
      </w:pPr>
    </w:p>
    <w:p w14:paraId="665E9976" w14:textId="77777777" w:rsidR="000E7234" w:rsidRPr="001F16C6" w:rsidRDefault="00C84B22" w:rsidP="00C84B22">
      <w:pPr>
        <w:pStyle w:val="EPBody"/>
        <w:widowControl/>
      </w:pPr>
      <w:r w:rsidRPr="001F16C6">
        <w:rPr>
          <w:rStyle w:val="HideTWBExt"/>
        </w:rPr>
        <w:t>&lt;</w:t>
      </w:r>
      <w:r w:rsidRPr="001F16C6">
        <w:rPr>
          <w:rStyle w:val="HideTWBExt"/>
          <w:i w:val="0"/>
        </w:rPr>
        <w:t>Commission</w:t>
      </w:r>
      <w:r w:rsidRPr="001F16C6">
        <w:rPr>
          <w:rStyle w:val="HideTWBExt"/>
        </w:rPr>
        <w:t>&gt;</w:t>
      </w:r>
      <w:r w:rsidRPr="001F16C6">
        <w:rPr>
          <w:rStyle w:val="HideTWBInt"/>
          <w:color w:val="auto"/>
        </w:rPr>
        <w:t>{LIBE}</w:t>
      </w:r>
      <w:r w:rsidRPr="001F16C6">
        <w:t>Комисия по граждански свободи, правосъдие и вътрешни работи</w:t>
      </w:r>
      <w:r w:rsidRPr="001F16C6">
        <w:rPr>
          <w:rStyle w:val="HideTWBExt"/>
        </w:rPr>
        <w:t>&lt;/</w:t>
      </w:r>
      <w:proofErr w:type="spellStart"/>
      <w:r w:rsidRPr="001F16C6">
        <w:rPr>
          <w:rStyle w:val="HideTWBExt"/>
          <w:i w:val="0"/>
        </w:rPr>
        <w:t>Commission</w:t>
      </w:r>
      <w:proofErr w:type="spellEnd"/>
      <w:r w:rsidRPr="001F16C6">
        <w:rPr>
          <w:rStyle w:val="HideTWBExt"/>
        </w:rPr>
        <w:t>&gt;</w:t>
      </w:r>
    </w:p>
    <w:p w14:paraId="5632426C" w14:textId="77777777" w:rsidR="000E7234" w:rsidRPr="001F16C6" w:rsidRDefault="000E7234" w:rsidP="00C84B22">
      <w:pPr>
        <w:pStyle w:val="LineBottom"/>
        <w:widowControl/>
      </w:pPr>
    </w:p>
    <w:p w14:paraId="612AFB0E" w14:textId="77777777" w:rsidR="00B85286" w:rsidRPr="001F16C6" w:rsidRDefault="00C84B22" w:rsidP="00C84B22">
      <w:pPr>
        <w:pStyle w:val="CoverReference"/>
        <w:widowControl/>
      </w:pPr>
      <w:r w:rsidRPr="001F16C6">
        <w:rPr>
          <w:rStyle w:val="HideTWBExt"/>
          <w:b w:val="0"/>
        </w:rPr>
        <w:t>&lt;RefProc&gt;</w:t>
      </w:r>
      <w:r w:rsidRPr="001F16C6">
        <w:t>2025/0541</w:t>
      </w:r>
      <w:r w:rsidRPr="001F16C6">
        <w:rPr>
          <w:rStyle w:val="HideTWBExt"/>
          <w:b w:val="0"/>
        </w:rPr>
        <w:t>&lt;/</w:t>
      </w:r>
      <w:proofErr w:type="spellStart"/>
      <w:r w:rsidRPr="001F16C6">
        <w:rPr>
          <w:rStyle w:val="HideTWBExt"/>
          <w:b w:val="0"/>
        </w:rPr>
        <w:t>RefProc</w:t>
      </w:r>
      <w:proofErr w:type="spellEnd"/>
      <w:r w:rsidRPr="001F16C6">
        <w:rPr>
          <w:rStyle w:val="HideTWBExt"/>
          <w:b w:val="0"/>
        </w:rPr>
        <w:t>&gt;&lt;RefTypeProc&gt;</w:t>
      </w:r>
      <w:r w:rsidRPr="001F16C6">
        <w:t>(COD)</w:t>
      </w:r>
      <w:r w:rsidRPr="001F16C6">
        <w:rPr>
          <w:rStyle w:val="HideTWBExt"/>
          <w:b w:val="0"/>
        </w:rPr>
        <w:t>&lt;/</w:t>
      </w:r>
      <w:proofErr w:type="spellStart"/>
      <w:r w:rsidRPr="001F16C6">
        <w:rPr>
          <w:rStyle w:val="HideTWBExt"/>
          <w:b w:val="0"/>
        </w:rPr>
        <w:t>RefTypeProc</w:t>
      </w:r>
      <w:proofErr w:type="spellEnd"/>
      <w:r w:rsidRPr="001F16C6">
        <w:rPr>
          <w:rStyle w:val="HideTWBExt"/>
          <w:b w:val="0"/>
        </w:rPr>
        <w:t>&gt;</w:t>
      </w:r>
    </w:p>
    <w:p w14:paraId="48EE2F69" w14:textId="77777777" w:rsidR="00B85286" w:rsidRPr="001F16C6" w:rsidRDefault="00C84B22" w:rsidP="00C84B22">
      <w:pPr>
        <w:pStyle w:val="CoverDate"/>
        <w:widowControl/>
      </w:pPr>
      <w:r w:rsidRPr="001F16C6">
        <w:rPr>
          <w:rStyle w:val="HideTWBExt"/>
        </w:rPr>
        <w:t>&lt;Date&gt;</w:t>
      </w:r>
      <w:r w:rsidRPr="001F16C6">
        <w:rPr>
          <w:rStyle w:val="HideTWBInt"/>
          <w:color w:val="auto"/>
        </w:rPr>
        <w:t>{24/06/2026}</w:t>
      </w:r>
      <w:r w:rsidRPr="001F16C6">
        <w:t>24.6.2026</w:t>
      </w:r>
      <w:r w:rsidRPr="001F16C6">
        <w:rPr>
          <w:rStyle w:val="HideTWBExt"/>
        </w:rPr>
        <w:t>&lt;/</w:t>
      </w:r>
      <w:proofErr w:type="spellStart"/>
      <w:r w:rsidRPr="001F16C6">
        <w:rPr>
          <w:rStyle w:val="HideTWBExt"/>
        </w:rPr>
        <w:t>Date</w:t>
      </w:r>
      <w:proofErr w:type="spellEnd"/>
      <w:r w:rsidRPr="001F16C6">
        <w:rPr>
          <w:rStyle w:val="HideTWBExt"/>
        </w:rPr>
        <w:t>&gt;</w:t>
      </w:r>
    </w:p>
    <w:p w14:paraId="749DBB7D" w14:textId="77777777" w:rsidR="009B0305" w:rsidRPr="001F16C6" w:rsidRDefault="00C84B22" w:rsidP="00C84B22">
      <w:pPr>
        <w:pStyle w:val="CoverDocType"/>
        <w:widowControl/>
      </w:pPr>
      <w:r w:rsidRPr="001F16C6">
        <w:rPr>
          <w:rStyle w:val="HideTWBExt"/>
          <w:b w:val="0"/>
        </w:rPr>
        <w:t>&lt;TypeAM&gt;</w:t>
      </w:r>
      <w:r w:rsidRPr="001F16C6">
        <w:t>ИЗМЕНЕНИЕ</w:t>
      </w:r>
      <w:r w:rsidRPr="001F16C6">
        <w:rPr>
          <w:rStyle w:val="HideTWBExt"/>
          <w:b w:val="0"/>
        </w:rPr>
        <w:t>&lt;/</w:t>
      </w:r>
      <w:proofErr w:type="spellStart"/>
      <w:r w:rsidRPr="001F16C6">
        <w:rPr>
          <w:rStyle w:val="HideTWBExt"/>
          <w:b w:val="0"/>
        </w:rPr>
        <w:t>TypeAM</w:t>
      </w:r>
      <w:proofErr w:type="spellEnd"/>
      <w:r w:rsidRPr="001F16C6">
        <w:rPr>
          <w:rStyle w:val="HideTWBExt"/>
          <w:b w:val="0"/>
        </w:rPr>
        <w:t>&gt;</w:t>
      </w:r>
    </w:p>
    <w:p w14:paraId="622E9D46" w14:textId="77777777" w:rsidR="00B85286" w:rsidRPr="001F16C6" w:rsidRDefault="00C84B22" w:rsidP="00C84B22">
      <w:pPr>
        <w:pStyle w:val="CoverDocType24a"/>
        <w:widowControl/>
      </w:pPr>
      <w:r w:rsidRPr="001F16C6">
        <w:rPr>
          <w:rStyle w:val="HideTWBExt"/>
          <w:b w:val="0"/>
        </w:rPr>
        <w:t>&lt;RangeAM&gt;</w:t>
      </w:r>
      <w:r w:rsidRPr="001F16C6">
        <w:t>206</w:t>
      </w:r>
      <w:r w:rsidRPr="001F16C6">
        <w:rPr>
          <w:rStyle w:val="HideTWBExt"/>
          <w:b w:val="0"/>
        </w:rPr>
        <w:t>&lt;/</w:t>
      </w:r>
      <w:proofErr w:type="spellStart"/>
      <w:r w:rsidRPr="001F16C6">
        <w:rPr>
          <w:rStyle w:val="HideTWBExt"/>
          <w:b w:val="0"/>
        </w:rPr>
        <w:t>RangeAM</w:t>
      </w:r>
      <w:proofErr w:type="spellEnd"/>
      <w:r w:rsidRPr="001F16C6">
        <w:rPr>
          <w:rStyle w:val="HideTWBExt"/>
          <w:b w:val="0"/>
        </w:rPr>
        <w:t>&gt;</w:t>
      </w:r>
    </w:p>
    <w:p w14:paraId="315471CE" w14:textId="77777777" w:rsidR="001C2054" w:rsidRPr="001F16C6" w:rsidRDefault="00C84B22" w:rsidP="00C84B22">
      <w:pPr>
        <w:pStyle w:val="CoverBold"/>
        <w:widowControl/>
      </w:pPr>
      <w:r w:rsidRPr="001F16C6">
        <w:rPr>
          <w:rStyle w:val="HideTWBExt"/>
          <w:b w:val="0"/>
        </w:rPr>
        <w:t>&lt;TitreType&gt;</w:t>
      </w:r>
      <w:r w:rsidRPr="001F16C6">
        <w:t>Проект на доклад</w:t>
      </w:r>
      <w:r w:rsidRPr="001F16C6">
        <w:rPr>
          <w:rStyle w:val="HideTWBExt"/>
          <w:b w:val="0"/>
        </w:rPr>
        <w:t>&lt;/</w:t>
      </w:r>
      <w:proofErr w:type="spellStart"/>
      <w:r w:rsidRPr="001F16C6">
        <w:rPr>
          <w:rStyle w:val="HideTWBExt"/>
          <w:b w:val="0"/>
        </w:rPr>
        <w:t>TitreType</w:t>
      </w:r>
      <w:proofErr w:type="spellEnd"/>
      <w:r w:rsidRPr="001F16C6">
        <w:rPr>
          <w:rStyle w:val="HideTWBExt"/>
          <w:b w:val="0"/>
        </w:rPr>
        <w:t>&gt;</w:t>
      </w:r>
    </w:p>
    <w:p w14:paraId="0F9EAA7B" w14:textId="77777777" w:rsidR="00B85286" w:rsidRPr="001F16C6" w:rsidRDefault="00C84B22" w:rsidP="00C84B22">
      <w:pPr>
        <w:pStyle w:val="CoverBold"/>
        <w:widowControl/>
      </w:pPr>
      <w:r w:rsidRPr="001F16C6">
        <w:rPr>
          <w:rStyle w:val="HideTWBExt"/>
          <w:b w:val="0"/>
        </w:rPr>
        <w:t>&lt;Rapporteur&gt;</w:t>
      </w:r>
      <w:r w:rsidRPr="001F16C6">
        <w:t xml:space="preserve">Карло </w:t>
      </w:r>
      <w:proofErr w:type="spellStart"/>
      <w:r w:rsidRPr="001F16C6">
        <w:t>Реслер</w:t>
      </w:r>
      <w:proofErr w:type="spellEnd"/>
      <w:r w:rsidRPr="001F16C6">
        <w:rPr>
          <w:rStyle w:val="HideTWBExt"/>
          <w:b w:val="0"/>
        </w:rPr>
        <w:t>&lt;/Rapporteur&gt;</w:t>
      </w:r>
    </w:p>
    <w:p w14:paraId="54FEDE77" w14:textId="77777777" w:rsidR="00B85286" w:rsidRPr="001F16C6" w:rsidRDefault="00C84B22" w:rsidP="00C84B22">
      <w:pPr>
        <w:pStyle w:val="CoverNormal24a"/>
        <w:widowControl/>
      </w:pPr>
      <w:r w:rsidRPr="001F16C6">
        <w:rPr>
          <w:rStyle w:val="HideTWBExt"/>
        </w:rPr>
        <w:t>&lt;DocRefPE&gt;</w:t>
      </w:r>
      <w:r w:rsidRPr="001F16C6">
        <w:t>(PE788.793v01-00)</w:t>
      </w:r>
      <w:r w:rsidRPr="001F16C6">
        <w:rPr>
          <w:rStyle w:val="HideTWBExt"/>
        </w:rPr>
        <w:t>&lt;/</w:t>
      </w:r>
      <w:proofErr w:type="spellStart"/>
      <w:r w:rsidRPr="001F16C6">
        <w:rPr>
          <w:rStyle w:val="HideTWBExt"/>
        </w:rPr>
        <w:t>DocRefPE</w:t>
      </w:r>
      <w:proofErr w:type="spellEnd"/>
      <w:r w:rsidRPr="001F16C6">
        <w:rPr>
          <w:rStyle w:val="HideTWBExt"/>
        </w:rPr>
        <w:t>&gt;</w:t>
      </w:r>
    </w:p>
    <w:p w14:paraId="50A95465" w14:textId="5F0CADB3" w:rsidR="00B85286" w:rsidRPr="001F16C6" w:rsidRDefault="00C84B22" w:rsidP="00C84B22">
      <w:pPr>
        <w:pStyle w:val="CoverNormal24a"/>
        <w:widowControl/>
      </w:pPr>
      <w:r w:rsidRPr="001F16C6">
        <w:rPr>
          <w:rStyle w:val="HideTWBExt"/>
        </w:rPr>
        <w:t>&lt;Titre&gt;</w:t>
      </w:r>
      <w:r w:rsidRPr="001F16C6">
        <w:t>относно предложението за регламент на Европейския парламент и</w:t>
      </w:r>
      <w:r>
        <w:t> </w:t>
      </w:r>
      <w:r w:rsidRPr="001F16C6">
        <w:t xml:space="preserve">на Съвета за определяне на </w:t>
      </w:r>
      <w:r w:rsidRPr="001F16C6">
        <w:t>подкрепата от Съюза по отношение на</w:t>
      </w:r>
      <w:r>
        <w:t> </w:t>
      </w:r>
      <w:r w:rsidRPr="001F16C6">
        <w:t>Шенгенското пространство, европейското интегрирано управление на</w:t>
      </w:r>
      <w:r>
        <w:t> </w:t>
      </w:r>
      <w:r w:rsidRPr="001F16C6">
        <w:t>границите и общата визова политика за периода 2028—2034 г.</w:t>
      </w:r>
      <w:r w:rsidRPr="001F16C6">
        <w:rPr>
          <w:rStyle w:val="HideTWBExt"/>
        </w:rPr>
        <w:t>&lt;/</w:t>
      </w:r>
      <w:proofErr w:type="spellStart"/>
      <w:r w:rsidRPr="001F16C6">
        <w:rPr>
          <w:rStyle w:val="HideTWBExt"/>
        </w:rPr>
        <w:t>Titre</w:t>
      </w:r>
      <w:proofErr w:type="spellEnd"/>
      <w:r w:rsidRPr="001F16C6">
        <w:rPr>
          <w:rStyle w:val="HideTWBExt"/>
        </w:rPr>
        <w:t>&gt;</w:t>
      </w:r>
    </w:p>
    <w:p w14:paraId="0B178661" w14:textId="77777777" w:rsidR="006337D4" w:rsidRPr="001F16C6" w:rsidRDefault="00C84B22" w:rsidP="00C84B22">
      <w:pPr>
        <w:pStyle w:val="CoverNormal"/>
        <w:widowControl/>
      </w:pPr>
      <w:r w:rsidRPr="001F16C6">
        <w:rPr>
          <w:rStyle w:val="HideTWBExt"/>
        </w:rPr>
        <w:t>&lt;DocAmend&gt;</w:t>
      </w:r>
      <w:r w:rsidRPr="001F16C6">
        <w:t>Предложение за регламент</w:t>
      </w:r>
      <w:r w:rsidRPr="001F16C6">
        <w:rPr>
          <w:rStyle w:val="HideTWBExt"/>
        </w:rPr>
        <w:t>&lt;/</w:t>
      </w:r>
      <w:proofErr w:type="spellStart"/>
      <w:r w:rsidRPr="001F16C6">
        <w:rPr>
          <w:rStyle w:val="HideTWBExt"/>
        </w:rPr>
        <w:t>DocAmend</w:t>
      </w:r>
      <w:proofErr w:type="spellEnd"/>
      <w:r w:rsidRPr="001F16C6">
        <w:rPr>
          <w:rStyle w:val="HideTWBExt"/>
        </w:rPr>
        <w:t>&gt;</w:t>
      </w:r>
    </w:p>
    <w:p w14:paraId="208AE8FE" w14:textId="77777777" w:rsidR="00B85286" w:rsidRPr="001F16C6" w:rsidRDefault="00C84B22" w:rsidP="00C84B22">
      <w:pPr>
        <w:pStyle w:val="CoverNormal24a"/>
        <w:widowControl/>
      </w:pPr>
      <w:r w:rsidRPr="001F16C6">
        <w:rPr>
          <w:rStyle w:val="HideTWBExt"/>
        </w:rPr>
        <w:t>&lt;DocRef&gt;</w:t>
      </w:r>
      <w:r w:rsidRPr="001F16C6">
        <w:t>(COM(2025)0541 – C10</w:t>
      </w:r>
      <w:r w:rsidRPr="001F16C6">
        <w:noBreakHyphen/>
        <w:t>0176/2025 – 2025/0541(COD))</w:t>
      </w:r>
      <w:r w:rsidRPr="001F16C6">
        <w:rPr>
          <w:rStyle w:val="HideTWBExt"/>
        </w:rPr>
        <w:t>&lt;/</w:t>
      </w:r>
      <w:proofErr w:type="spellStart"/>
      <w:r w:rsidRPr="001F16C6">
        <w:rPr>
          <w:rStyle w:val="HideTWBExt"/>
        </w:rPr>
        <w:t>DocRef</w:t>
      </w:r>
      <w:proofErr w:type="spellEnd"/>
      <w:r w:rsidRPr="001F16C6">
        <w:rPr>
          <w:rStyle w:val="HideTWBExt"/>
        </w:rPr>
        <w:t>&gt;</w:t>
      </w:r>
    </w:p>
    <w:p w14:paraId="0C192321" w14:textId="77777777" w:rsidR="00B85286" w:rsidRPr="001F16C6" w:rsidRDefault="00C84B22" w:rsidP="00C84B22">
      <w:pPr>
        <w:widowControl/>
        <w:tabs>
          <w:tab w:val="center" w:pos="4677"/>
        </w:tabs>
      </w:pPr>
      <w:r w:rsidRPr="001F16C6">
        <w:br w:type="page"/>
      </w:r>
      <w:proofErr w:type="spellStart"/>
      <w:r w:rsidRPr="001F16C6">
        <w:lastRenderedPageBreak/>
        <w:t>AM_Com_LegReport</w:t>
      </w:r>
      <w:proofErr w:type="spellEnd"/>
    </w:p>
    <w:p w14:paraId="3B656E13" w14:textId="77777777" w:rsidR="003E43AC" w:rsidRPr="001F16C6" w:rsidRDefault="00C84B22" w:rsidP="00C84B22">
      <w:pPr>
        <w:pStyle w:val="AmNumberTabs"/>
        <w:keepNext/>
        <w:widowControl/>
      </w:pPr>
      <w:r w:rsidRPr="001F16C6">
        <w:br w:type="page"/>
      </w:r>
      <w:bookmarkStart w:id="0" w:name="IntroB"/>
      <w:r w:rsidRPr="001F16C6">
        <w:rPr>
          <w:rStyle w:val="HideTWBExt"/>
          <w:b w:val="0"/>
        </w:rPr>
        <w:lastRenderedPageBreak/>
        <w:t>&lt;RepeatBlock-Amend&gt;</w:t>
      </w:r>
      <w:bookmarkStart w:id="1" w:name="restart"/>
      <w:bookmarkEnd w:id="0"/>
      <w:r w:rsidRPr="001F16C6">
        <w:rPr>
          <w:rStyle w:val="HideTWBExt"/>
          <w:b w:val="0"/>
        </w:rPr>
        <w:t>&lt;Amend&gt;</w:t>
      </w:r>
      <w:r w:rsidRPr="001F16C6">
        <w:t>Изменение</w:t>
      </w:r>
      <w:r w:rsidRPr="001F16C6">
        <w:tab/>
      </w:r>
      <w:r w:rsidRPr="001F16C6">
        <w:tab/>
      </w:r>
      <w:r w:rsidRPr="001F16C6">
        <w:rPr>
          <w:rStyle w:val="HideTWBExt"/>
          <w:b w:val="0"/>
        </w:rPr>
        <w:t>&lt;NumAm&gt;</w:t>
      </w:r>
      <w:r w:rsidRPr="001F16C6">
        <w:t>206</w:t>
      </w:r>
      <w:r w:rsidRPr="001F16C6">
        <w:rPr>
          <w:rStyle w:val="HideTWBExt"/>
          <w:b w:val="0"/>
        </w:rPr>
        <w:t>&lt;/</w:t>
      </w:r>
      <w:proofErr w:type="spellStart"/>
      <w:r w:rsidRPr="001F16C6">
        <w:rPr>
          <w:rStyle w:val="HideTWBExt"/>
          <w:b w:val="0"/>
        </w:rPr>
        <w:t>NumAm</w:t>
      </w:r>
      <w:proofErr w:type="spellEnd"/>
      <w:r w:rsidRPr="001F16C6">
        <w:rPr>
          <w:rStyle w:val="HideTWBExt"/>
          <w:b w:val="0"/>
        </w:rPr>
        <w:t>&gt;</w:t>
      </w:r>
    </w:p>
    <w:p w14:paraId="3D3C9483" w14:textId="77777777" w:rsidR="005B32E3" w:rsidRPr="001F16C6" w:rsidRDefault="00C84B22" w:rsidP="00C84B22">
      <w:pPr>
        <w:pStyle w:val="NormalBold"/>
        <w:widowControl/>
      </w:pPr>
      <w:r w:rsidRPr="001F16C6">
        <w:rPr>
          <w:rStyle w:val="HideTWBExt"/>
          <w:b w:val="0"/>
        </w:rPr>
        <w:t>&lt;RepeatBlock-By&gt;&lt;Members&gt;</w:t>
      </w:r>
      <w:r w:rsidRPr="001F16C6">
        <w:t>Мюриел Лоран</w:t>
      </w:r>
      <w:r w:rsidRPr="001F16C6">
        <w:rPr>
          <w:rStyle w:val="HideTWBExt"/>
          <w:b w:val="0"/>
        </w:rPr>
        <w:t>&lt;/</w:t>
      </w:r>
      <w:proofErr w:type="spellStart"/>
      <w:r w:rsidRPr="001F16C6">
        <w:rPr>
          <w:rStyle w:val="HideTWBExt"/>
          <w:b w:val="0"/>
        </w:rPr>
        <w:t>Members</w:t>
      </w:r>
      <w:proofErr w:type="spellEnd"/>
      <w:r w:rsidRPr="001F16C6">
        <w:rPr>
          <w:rStyle w:val="HideTWBExt"/>
          <w:b w:val="0"/>
        </w:rPr>
        <w:t>&gt;</w:t>
      </w:r>
    </w:p>
    <w:p w14:paraId="581A359D" w14:textId="77777777" w:rsidR="005B32E3" w:rsidRPr="001F16C6" w:rsidRDefault="00C84B22" w:rsidP="00C84B22">
      <w:pPr>
        <w:widowControl/>
      </w:pPr>
      <w:r w:rsidRPr="001F16C6">
        <w:rPr>
          <w:rStyle w:val="HideTWBExt"/>
        </w:rPr>
        <w:t>&lt;/RepeatBlock-By&gt;</w:t>
      </w:r>
    </w:p>
    <w:p w14:paraId="0087A194" w14:textId="77777777" w:rsidR="009B0305" w:rsidRPr="001F16C6" w:rsidRDefault="00C84B22" w:rsidP="00C84B22">
      <w:pPr>
        <w:pStyle w:val="NormalBold"/>
        <w:widowControl/>
      </w:pPr>
      <w:r w:rsidRPr="001F16C6">
        <w:rPr>
          <w:rStyle w:val="HideTWBExt"/>
          <w:b w:val="0"/>
        </w:rPr>
        <w:t>&lt;DocAmend&gt;</w:t>
      </w:r>
      <w:r w:rsidRPr="001F16C6">
        <w:t>Предложение за регламент</w:t>
      </w:r>
      <w:r w:rsidRPr="001F16C6">
        <w:rPr>
          <w:rStyle w:val="HideTWBExt"/>
          <w:b w:val="0"/>
        </w:rPr>
        <w:t>&lt;/</w:t>
      </w:r>
      <w:proofErr w:type="spellStart"/>
      <w:r w:rsidRPr="001F16C6">
        <w:rPr>
          <w:rStyle w:val="HideTWBExt"/>
          <w:b w:val="0"/>
        </w:rPr>
        <w:t>DocAmend</w:t>
      </w:r>
      <w:proofErr w:type="spellEnd"/>
      <w:r w:rsidRPr="001F16C6">
        <w:rPr>
          <w:rStyle w:val="HideTWBExt"/>
          <w:b w:val="0"/>
        </w:rPr>
        <w:t>&gt;</w:t>
      </w:r>
    </w:p>
    <w:p w14:paraId="6E4E6090" w14:textId="77777777" w:rsidR="009B0305" w:rsidRPr="001F16C6" w:rsidRDefault="00C84B22" w:rsidP="00C84B22">
      <w:pPr>
        <w:pStyle w:val="NormalBold"/>
        <w:keepNext/>
        <w:widowControl/>
      </w:pPr>
      <w:r w:rsidRPr="001F16C6">
        <w:rPr>
          <w:rStyle w:val="HideTWBExt"/>
          <w:b w:val="0"/>
        </w:rPr>
        <w:t>&lt;Article&gt;</w:t>
      </w:r>
      <w:r w:rsidRPr="001F16C6">
        <w:t>Приложение (ново)</w:t>
      </w:r>
      <w:r w:rsidRPr="001F16C6">
        <w:rPr>
          <w:rStyle w:val="HideTWBExt"/>
          <w:b w:val="0"/>
        </w:rPr>
        <w:t>&lt;/</w:t>
      </w:r>
      <w:proofErr w:type="spellStart"/>
      <w:r w:rsidRPr="001F16C6">
        <w:rPr>
          <w:rStyle w:val="HideTWBExt"/>
          <w:b w:val="0"/>
        </w:rPr>
        <w:t>Article</w:t>
      </w:r>
      <w:proofErr w:type="spellEnd"/>
      <w:r w:rsidRPr="001F16C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51AE" w:rsidRPr="001F16C6" w14:paraId="2DB92FC8" w14:textId="77777777">
        <w:trPr>
          <w:jc w:val="center"/>
        </w:trPr>
        <w:tc>
          <w:tcPr>
            <w:tcW w:w="9752" w:type="dxa"/>
            <w:gridSpan w:val="2"/>
          </w:tcPr>
          <w:p w14:paraId="4FDB5E30" w14:textId="77777777" w:rsidR="009A65D8" w:rsidRPr="001F16C6" w:rsidRDefault="009A65D8" w:rsidP="00C84B22">
            <w:pPr>
              <w:keepNext/>
              <w:widowControl/>
            </w:pPr>
          </w:p>
        </w:tc>
      </w:tr>
      <w:tr w:rsidR="000851AE" w:rsidRPr="001F16C6" w14:paraId="18D965EF" w14:textId="77777777">
        <w:trPr>
          <w:jc w:val="center"/>
        </w:trPr>
        <w:tc>
          <w:tcPr>
            <w:tcW w:w="4876" w:type="dxa"/>
          </w:tcPr>
          <w:p w14:paraId="346AC50D" w14:textId="77777777" w:rsidR="009A65D8" w:rsidRPr="001F16C6" w:rsidRDefault="00C84B22" w:rsidP="00C84B22">
            <w:pPr>
              <w:pStyle w:val="AmColumnHeading"/>
              <w:keepNext/>
              <w:widowControl/>
            </w:pPr>
            <w:r w:rsidRPr="001F16C6">
              <w:t>Текст, предложен от Комисията</w:t>
            </w:r>
          </w:p>
        </w:tc>
        <w:tc>
          <w:tcPr>
            <w:tcW w:w="4876" w:type="dxa"/>
          </w:tcPr>
          <w:p w14:paraId="7F1662CE" w14:textId="77777777" w:rsidR="009A65D8" w:rsidRPr="001F16C6" w:rsidRDefault="00C84B22" w:rsidP="00C84B22">
            <w:pPr>
              <w:pStyle w:val="AmColumnHeading"/>
              <w:keepNext/>
              <w:widowControl/>
            </w:pPr>
            <w:r w:rsidRPr="001F16C6">
              <w:t>Изменение</w:t>
            </w:r>
          </w:p>
        </w:tc>
      </w:tr>
      <w:tr w:rsidR="000851AE" w:rsidRPr="001F16C6" w14:paraId="2B368517" w14:textId="77777777">
        <w:trPr>
          <w:jc w:val="center"/>
        </w:trPr>
        <w:tc>
          <w:tcPr>
            <w:tcW w:w="4876" w:type="dxa"/>
          </w:tcPr>
          <w:p w14:paraId="67284748" w14:textId="77777777" w:rsidR="00AA1AF8" w:rsidRPr="001F16C6" w:rsidRDefault="00AA1AF8" w:rsidP="00C84B22">
            <w:pPr>
              <w:pStyle w:val="Normal6a"/>
              <w:widowControl/>
            </w:pPr>
          </w:p>
        </w:tc>
        <w:tc>
          <w:tcPr>
            <w:tcW w:w="4876" w:type="dxa"/>
          </w:tcPr>
          <w:p w14:paraId="0F437D9C" w14:textId="77777777" w:rsidR="00AA1AF8" w:rsidRPr="001F16C6" w:rsidRDefault="00C84B22" w:rsidP="00C84B22">
            <w:pPr>
              <w:pStyle w:val="Normal6a"/>
              <w:widowControl/>
              <w:rPr>
                <w:b/>
                <w:bCs/>
                <w:i/>
                <w:iCs/>
              </w:rPr>
            </w:pPr>
            <w:r w:rsidRPr="001F16C6">
              <w:rPr>
                <w:b/>
                <w:i/>
              </w:rPr>
              <w:t>Приложение</w:t>
            </w:r>
          </w:p>
        </w:tc>
      </w:tr>
      <w:tr w:rsidR="000851AE" w:rsidRPr="001F16C6" w14:paraId="0BEE92D7" w14:textId="77777777">
        <w:trPr>
          <w:jc w:val="center"/>
        </w:trPr>
        <w:tc>
          <w:tcPr>
            <w:tcW w:w="4876" w:type="dxa"/>
          </w:tcPr>
          <w:p w14:paraId="659C9EC4" w14:textId="77777777" w:rsidR="009A65D8" w:rsidRPr="001F16C6" w:rsidRDefault="009A65D8" w:rsidP="00C84B22">
            <w:pPr>
              <w:pStyle w:val="Normal6a"/>
              <w:widowControl/>
            </w:pPr>
          </w:p>
        </w:tc>
        <w:tc>
          <w:tcPr>
            <w:tcW w:w="4876" w:type="dxa"/>
          </w:tcPr>
          <w:p w14:paraId="4483B61F" w14:textId="77777777" w:rsidR="009A65D8" w:rsidRPr="001F16C6" w:rsidRDefault="00C84B22" w:rsidP="00C84B22">
            <w:pPr>
              <w:pStyle w:val="Normal6a"/>
              <w:widowControl/>
              <w:rPr>
                <w:b/>
                <w:bCs/>
                <w:i/>
                <w:iCs/>
              </w:rPr>
            </w:pPr>
            <w:r w:rsidRPr="001F16C6">
              <w:rPr>
                <w:b/>
                <w:i/>
              </w:rPr>
              <w:t>Обхват на подкрепата</w:t>
            </w:r>
          </w:p>
        </w:tc>
      </w:tr>
      <w:tr w:rsidR="000851AE" w:rsidRPr="001F16C6" w14:paraId="6D29B154" w14:textId="77777777">
        <w:trPr>
          <w:jc w:val="center"/>
        </w:trPr>
        <w:tc>
          <w:tcPr>
            <w:tcW w:w="4876" w:type="dxa"/>
          </w:tcPr>
          <w:p w14:paraId="5A83F1D5" w14:textId="77777777" w:rsidR="001444E0" w:rsidRPr="001F16C6" w:rsidRDefault="001444E0" w:rsidP="00C84B22">
            <w:pPr>
              <w:pStyle w:val="Normal6a"/>
              <w:widowControl/>
            </w:pPr>
          </w:p>
        </w:tc>
        <w:tc>
          <w:tcPr>
            <w:tcW w:w="4876" w:type="dxa"/>
          </w:tcPr>
          <w:p w14:paraId="12E16D45" w14:textId="77777777" w:rsidR="001444E0" w:rsidRPr="001F16C6" w:rsidRDefault="00C84B22" w:rsidP="00C84B22">
            <w:pPr>
              <w:pStyle w:val="Normal6a"/>
              <w:widowControl/>
              <w:rPr>
                <w:b/>
                <w:bCs/>
                <w:i/>
                <w:iCs/>
              </w:rPr>
            </w:pPr>
            <w:r w:rsidRPr="001F16C6">
              <w:rPr>
                <w:b/>
                <w:i/>
              </w:rPr>
              <w:t>1.</w:t>
            </w:r>
            <w:r w:rsidRPr="001F16C6">
              <w:rPr>
                <w:b/>
                <w:i/>
              </w:rPr>
              <w:tab/>
              <w:t>В рамките на целта, залегнала в член 3, параграф 1, буква а), подкрепата от Съюза се предоставя под следните форми:</w:t>
            </w:r>
          </w:p>
        </w:tc>
      </w:tr>
      <w:tr w:rsidR="000851AE" w:rsidRPr="001F16C6" w14:paraId="2E326A71" w14:textId="77777777">
        <w:trPr>
          <w:jc w:val="center"/>
        </w:trPr>
        <w:tc>
          <w:tcPr>
            <w:tcW w:w="4876" w:type="dxa"/>
          </w:tcPr>
          <w:p w14:paraId="7384C55F" w14:textId="77777777" w:rsidR="001444E0" w:rsidRPr="001F16C6" w:rsidRDefault="001444E0" w:rsidP="00C84B22">
            <w:pPr>
              <w:pStyle w:val="Normal6a"/>
              <w:widowControl/>
            </w:pPr>
          </w:p>
        </w:tc>
        <w:tc>
          <w:tcPr>
            <w:tcW w:w="4876" w:type="dxa"/>
          </w:tcPr>
          <w:p w14:paraId="4794B00B" w14:textId="77777777" w:rsidR="001444E0" w:rsidRPr="001F16C6" w:rsidRDefault="00C84B22" w:rsidP="00C84B22">
            <w:pPr>
              <w:pStyle w:val="Normal6a"/>
              <w:widowControl/>
              <w:rPr>
                <w:b/>
                <w:bCs/>
                <w:i/>
                <w:iCs/>
              </w:rPr>
            </w:pPr>
            <w:r w:rsidRPr="001F16C6">
              <w:rPr>
                <w:b/>
                <w:i/>
              </w:rPr>
              <w:t>а)</w:t>
            </w:r>
            <w:r w:rsidRPr="001F16C6">
              <w:rPr>
                <w:b/>
                <w:i/>
              </w:rPr>
              <w:tab/>
              <w:t xml:space="preserve">обмен на добри практики и обмен на </w:t>
            </w:r>
            <w:r w:rsidRPr="001F16C6">
              <w:rPr>
                <w:b/>
                <w:i/>
              </w:rPr>
              <w:t>експерти, включително командироване на експерти, както и засилване на капацитета на европейските мрежи за оценка, насърчаване, подкрепа и по-нататъшно развитие на Шенгенското пространство без контрол по вътрешните граници;</w:t>
            </w:r>
          </w:p>
        </w:tc>
      </w:tr>
      <w:tr w:rsidR="000851AE" w:rsidRPr="001F16C6" w14:paraId="6C740C2E" w14:textId="77777777">
        <w:trPr>
          <w:jc w:val="center"/>
        </w:trPr>
        <w:tc>
          <w:tcPr>
            <w:tcW w:w="4876" w:type="dxa"/>
          </w:tcPr>
          <w:p w14:paraId="5F2A3FB9" w14:textId="77777777" w:rsidR="001444E0" w:rsidRPr="001F16C6" w:rsidRDefault="001444E0" w:rsidP="00C84B22">
            <w:pPr>
              <w:pStyle w:val="Normal6a"/>
              <w:widowControl/>
            </w:pPr>
          </w:p>
        </w:tc>
        <w:tc>
          <w:tcPr>
            <w:tcW w:w="4876" w:type="dxa"/>
          </w:tcPr>
          <w:p w14:paraId="72DB91C4" w14:textId="77777777" w:rsidR="001444E0" w:rsidRPr="001F16C6" w:rsidRDefault="00C84B22" w:rsidP="00C84B22">
            <w:pPr>
              <w:pStyle w:val="Normal6a"/>
              <w:widowControl/>
              <w:rPr>
                <w:b/>
                <w:bCs/>
                <w:i/>
                <w:iCs/>
                <w:szCs w:val="24"/>
              </w:rPr>
            </w:pPr>
            <w:r w:rsidRPr="001F16C6">
              <w:rPr>
                <w:b/>
                <w:i/>
              </w:rPr>
              <w:t>б)</w:t>
            </w:r>
            <w:r w:rsidRPr="001F16C6">
              <w:rPr>
                <w:b/>
                <w:i/>
              </w:rPr>
              <w:tab/>
              <w:t>проучвания и други съответни действия, като например действия, целящи повишаването на познанията чрез анализи, мониторинг и оценка;</w:t>
            </w:r>
          </w:p>
        </w:tc>
      </w:tr>
      <w:tr w:rsidR="000851AE" w:rsidRPr="001F16C6" w14:paraId="2DF8A8E5" w14:textId="77777777">
        <w:trPr>
          <w:jc w:val="center"/>
        </w:trPr>
        <w:tc>
          <w:tcPr>
            <w:tcW w:w="4876" w:type="dxa"/>
          </w:tcPr>
          <w:p w14:paraId="3B0423D7" w14:textId="77777777" w:rsidR="001444E0" w:rsidRPr="001F16C6" w:rsidRDefault="001444E0" w:rsidP="00C84B22">
            <w:pPr>
              <w:pStyle w:val="Normal6a"/>
              <w:widowControl/>
            </w:pPr>
          </w:p>
        </w:tc>
        <w:tc>
          <w:tcPr>
            <w:tcW w:w="4876" w:type="dxa"/>
          </w:tcPr>
          <w:p w14:paraId="28DFD4EF" w14:textId="77777777" w:rsidR="001444E0" w:rsidRPr="001F16C6" w:rsidRDefault="00C84B22" w:rsidP="00C84B22">
            <w:pPr>
              <w:pStyle w:val="Normal6a"/>
              <w:widowControl/>
              <w:rPr>
                <w:b/>
                <w:bCs/>
                <w:i/>
                <w:iCs/>
                <w:szCs w:val="24"/>
              </w:rPr>
            </w:pPr>
            <w:r w:rsidRPr="001F16C6">
              <w:rPr>
                <w:b/>
                <w:i/>
              </w:rPr>
              <w:t>в)</w:t>
            </w:r>
            <w:r w:rsidRPr="001F16C6">
              <w:rPr>
                <w:b/>
                <w:i/>
              </w:rPr>
              <w:tab/>
              <w:t>подготвителни, мониторингови, административни и технически дейности, включително за укрепване на управлението на Шенгенското пространство чрез разработване и изпълнение на механизма за оценка, създаден с Регламент (ЕС) № 1053/2013 с цел проверка на прилагането на достиженията на правото от Шенген, включително разходите за командироване на експертите на Комисията и на държавите членки, които участват в посещения на място;</w:t>
            </w:r>
          </w:p>
        </w:tc>
      </w:tr>
      <w:tr w:rsidR="000851AE" w:rsidRPr="001F16C6" w14:paraId="74A7554E" w14:textId="77777777">
        <w:trPr>
          <w:jc w:val="center"/>
        </w:trPr>
        <w:tc>
          <w:tcPr>
            <w:tcW w:w="4876" w:type="dxa"/>
          </w:tcPr>
          <w:p w14:paraId="37742B63" w14:textId="77777777" w:rsidR="001444E0" w:rsidRPr="001F16C6" w:rsidRDefault="001444E0" w:rsidP="00C84B22">
            <w:pPr>
              <w:pStyle w:val="Normal6a"/>
              <w:widowControl/>
            </w:pPr>
          </w:p>
        </w:tc>
        <w:tc>
          <w:tcPr>
            <w:tcW w:w="4876" w:type="dxa"/>
          </w:tcPr>
          <w:p w14:paraId="7EB158C4" w14:textId="77777777" w:rsidR="001444E0" w:rsidRPr="001F16C6" w:rsidRDefault="00C84B22" w:rsidP="00C84B22">
            <w:pPr>
              <w:pStyle w:val="Normal6a"/>
              <w:widowControl/>
              <w:rPr>
                <w:b/>
                <w:bCs/>
                <w:i/>
                <w:iCs/>
                <w:szCs w:val="24"/>
              </w:rPr>
            </w:pPr>
            <w:r w:rsidRPr="001F16C6">
              <w:rPr>
                <w:b/>
                <w:i/>
              </w:rPr>
              <w:t>г)</w:t>
            </w:r>
            <w:r w:rsidRPr="001F16C6">
              <w:rPr>
                <w:b/>
                <w:i/>
              </w:rPr>
              <w:tab/>
              <w:t xml:space="preserve">дейности за повишаване осведомеността сред заинтересованите страни и </w:t>
            </w:r>
            <w:r w:rsidRPr="001F16C6">
              <w:rPr>
                <w:b/>
                <w:i/>
              </w:rPr>
              <w:lastRenderedPageBreak/>
              <w:t xml:space="preserve">широката общественост относно Шенгенското пространство без контрол по вътрешните граници, включително институционална комуникация относно </w:t>
            </w:r>
            <w:r w:rsidRPr="001F16C6">
              <w:rPr>
                <w:b/>
                <w:i/>
              </w:rPr>
              <w:t>политическите приоритети на Съюза в тази област;</w:t>
            </w:r>
          </w:p>
        </w:tc>
      </w:tr>
      <w:tr w:rsidR="000851AE" w:rsidRPr="001F16C6" w14:paraId="5663B4B7" w14:textId="77777777">
        <w:trPr>
          <w:jc w:val="center"/>
        </w:trPr>
        <w:tc>
          <w:tcPr>
            <w:tcW w:w="4876" w:type="dxa"/>
          </w:tcPr>
          <w:p w14:paraId="52808626" w14:textId="77777777" w:rsidR="001444E0" w:rsidRPr="001F16C6" w:rsidRDefault="001444E0" w:rsidP="00C84B22">
            <w:pPr>
              <w:pStyle w:val="Normal6a"/>
              <w:widowControl/>
            </w:pPr>
          </w:p>
        </w:tc>
        <w:tc>
          <w:tcPr>
            <w:tcW w:w="4876" w:type="dxa"/>
          </w:tcPr>
          <w:p w14:paraId="27A7408A" w14:textId="77777777" w:rsidR="001444E0" w:rsidRPr="001F16C6" w:rsidRDefault="00C84B22" w:rsidP="00C84B22">
            <w:pPr>
              <w:pStyle w:val="Normal6a"/>
              <w:widowControl/>
              <w:rPr>
                <w:b/>
                <w:bCs/>
                <w:i/>
                <w:iCs/>
                <w:szCs w:val="24"/>
              </w:rPr>
            </w:pPr>
            <w:r w:rsidRPr="001F16C6">
              <w:rPr>
                <w:b/>
                <w:i/>
              </w:rPr>
              <w:t>д)</w:t>
            </w:r>
            <w:r w:rsidRPr="001F16C6">
              <w:rPr>
                <w:b/>
                <w:i/>
              </w:rPr>
              <w:tab/>
              <w:t>разработване на статистически инструменти, методи и показатели, при които се съблюдава принципът на недопускане на дискриминация;</w:t>
            </w:r>
          </w:p>
        </w:tc>
      </w:tr>
      <w:tr w:rsidR="000851AE" w:rsidRPr="001F16C6" w14:paraId="28F9275B" w14:textId="77777777">
        <w:trPr>
          <w:jc w:val="center"/>
        </w:trPr>
        <w:tc>
          <w:tcPr>
            <w:tcW w:w="4876" w:type="dxa"/>
          </w:tcPr>
          <w:p w14:paraId="4A18AE5E" w14:textId="77777777" w:rsidR="001444E0" w:rsidRPr="001F16C6" w:rsidRDefault="001444E0" w:rsidP="00C84B22">
            <w:pPr>
              <w:pStyle w:val="Normal6a"/>
              <w:widowControl/>
            </w:pPr>
          </w:p>
        </w:tc>
        <w:tc>
          <w:tcPr>
            <w:tcW w:w="4876" w:type="dxa"/>
          </w:tcPr>
          <w:p w14:paraId="2FE6167B" w14:textId="77777777" w:rsidR="001444E0" w:rsidRPr="001F16C6" w:rsidRDefault="00C84B22" w:rsidP="00C84B22">
            <w:pPr>
              <w:pStyle w:val="Normal6a"/>
              <w:widowControl/>
              <w:rPr>
                <w:b/>
                <w:bCs/>
                <w:i/>
                <w:iCs/>
                <w:szCs w:val="24"/>
              </w:rPr>
            </w:pPr>
            <w:r w:rsidRPr="001F16C6">
              <w:rPr>
                <w:b/>
                <w:i/>
              </w:rPr>
              <w:t>е)</w:t>
            </w:r>
            <w:r w:rsidRPr="001F16C6">
              <w:rPr>
                <w:b/>
                <w:i/>
              </w:rPr>
              <w:tab/>
              <w:t xml:space="preserve">оперативна подкрепа за изпълнението на мерки за </w:t>
            </w:r>
            <w:r w:rsidRPr="001F16C6">
              <w:rPr>
                <w:b/>
                <w:i/>
              </w:rPr>
              <w:t>гарантиране на прилагането на достиженията на правото от Шенген;</w:t>
            </w:r>
          </w:p>
        </w:tc>
      </w:tr>
      <w:tr w:rsidR="000851AE" w:rsidRPr="001F16C6" w14:paraId="6E93F7F0" w14:textId="77777777">
        <w:trPr>
          <w:jc w:val="center"/>
        </w:trPr>
        <w:tc>
          <w:tcPr>
            <w:tcW w:w="4876" w:type="dxa"/>
          </w:tcPr>
          <w:p w14:paraId="79678A26" w14:textId="77777777" w:rsidR="00231D55" w:rsidRPr="001F16C6" w:rsidRDefault="00231D55" w:rsidP="00C84B22">
            <w:pPr>
              <w:pStyle w:val="Normal6a"/>
              <w:widowControl/>
            </w:pPr>
          </w:p>
        </w:tc>
        <w:tc>
          <w:tcPr>
            <w:tcW w:w="4876" w:type="dxa"/>
          </w:tcPr>
          <w:p w14:paraId="142BC792" w14:textId="77777777" w:rsidR="00231D55" w:rsidRPr="001F16C6" w:rsidRDefault="00C84B22" w:rsidP="00C84B22">
            <w:pPr>
              <w:pStyle w:val="Normal6a"/>
              <w:widowControl/>
              <w:rPr>
                <w:b/>
                <w:bCs/>
                <w:i/>
                <w:iCs/>
              </w:rPr>
            </w:pPr>
            <w:r w:rsidRPr="001F16C6">
              <w:rPr>
                <w:b/>
                <w:i/>
              </w:rPr>
              <w:t>2.</w:t>
            </w:r>
            <w:r w:rsidRPr="001F16C6">
              <w:rPr>
                <w:b/>
                <w:i/>
              </w:rPr>
              <w:tab/>
              <w:t>В рамките на целта, залегнала в член 3, параграф 1, буква б), подкрепата от Съюза се предоставя под следните форми:</w:t>
            </w:r>
          </w:p>
        </w:tc>
      </w:tr>
      <w:tr w:rsidR="000851AE" w:rsidRPr="001F16C6" w14:paraId="22A9DB48" w14:textId="77777777">
        <w:trPr>
          <w:jc w:val="center"/>
        </w:trPr>
        <w:tc>
          <w:tcPr>
            <w:tcW w:w="4876" w:type="dxa"/>
          </w:tcPr>
          <w:p w14:paraId="3D9BB277" w14:textId="77777777" w:rsidR="00231D55" w:rsidRPr="001F16C6" w:rsidRDefault="00231D55" w:rsidP="00C84B22">
            <w:pPr>
              <w:pStyle w:val="Normal6a"/>
              <w:widowControl/>
            </w:pPr>
          </w:p>
        </w:tc>
        <w:tc>
          <w:tcPr>
            <w:tcW w:w="4876" w:type="dxa"/>
          </w:tcPr>
          <w:p w14:paraId="191A57E0" w14:textId="77777777" w:rsidR="00231D55" w:rsidRPr="001F16C6" w:rsidRDefault="00C84B22" w:rsidP="00C84B22">
            <w:pPr>
              <w:pStyle w:val="Normal6a"/>
              <w:widowControl/>
              <w:rPr>
                <w:b/>
                <w:bCs/>
                <w:i/>
                <w:iCs/>
                <w:szCs w:val="24"/>
              </w:rPr>
            </w:pPr>
            <w:r w:rsidRPr="001F16C6">
              <w:rPr>
                <w:b/>
                <w:i/>
              </w:rPr>
              <w:t>а)</w:t>
            </w:r>
            <w:r w:rsidRPr="001F16C6">
              <w:rPr>
                <w:b/>
                <w:i/>
              </w:rPr>
              <w:tab/>
              <w:t>инфраструктура, сгради, системи и услуги, необходими на граничните контролно-пропускателни пунктове и за наблюдение на границите между граничните контролно-пропускателни пунктове;</w:t>
            </w:r>
          </w:p>
        </w:tc>
      </w:tr>
      <w:tr w:rsidR="000851AE" w:rsidRPr="001F16C6" w14:paraId="29DFCE7E" w14:textId="77777777">
        <w:trPr>
          <w:jc w:val="center"/>
        </w:trPr>
        <w:tc>
          <w:tcPr>
            <w:tcW w:w="4876" w:type="dxa"/>
          </w:tcPr>
          <w:p w14:paraId="694E27C1" w14:textId="77777777" w:rsidR="00231D55" w:rsidRPr="001F16C6" w:rsidRDefault="00231D55" w:rsidP="00C84B22">
            <w:pPr>
              <w:pStyle w:val="Normal6a"/>
              <w:widowControl/>
            </w:pPr>
          </w:p>
        </w:tc>
        <w:tc>
          <w:tcPr>
            <w:tcW w:w="4876" w:type="dxa"/>
          </w:tcPr>
          <w:p w14:paraId="765805B4" w14:textId="77777777" w:rsidR="00231D55" w:rsidRPr="001F16C6" w:rsidRDefault="00C84B22" w:rsidP="00C84B22">
            <w:pPr>
              <w:pStyle w:val="Normal6a"/>
              <w:widowControl/>
              <w:rPr>
                <w:b/>
                <w:bCs/>
                <w:i/>
                <w:iCs/>
                <w:szCs w:val="24"/>
              </w:rPr>
            </w:pPr>
            <w:r w:rsidRPr="001F16C6">
              <w:rPr>
                <w:b/>
                <w:i/>
              </w:rPr>
              <w:t>б)</w:t>
            </w:r>
            <w:r w:rsidRPr="001F16C6">
              <w:rPr>
                <w:b/>
                <w:i/>
              </w:rPr>
              <w:tab/>
              <w:t>оперативно оборудване, включително транспортни средства, и ИКТ системи, необходими за ефективен и сигурен граничен контрол на граничните контролно-пропускателни пунктове и за наблюдение на границите, в съответствие със стандартите, разработени от Европейската агенция за гранична и брегова охрана, когато са налице такива стандарти;</w:t>
            </w:r>
          </w:p>
        </w:tc>
      </w:tr>
      <w:tr w:rsidR="000851AE" w:rsidRPr="001F16C6" w14:paraId="32E1A501" w14:textId="77777777">
        <w:trPr>
          <w:jc w:val="center"/>
        </w:trPr>
        <w:tc>
          <w:tcPr>
            <w:tcW w:w="4876" w:type="dxa"/>
          </w:tcPr>
          <w:p w14:paraId="0A01743F" w14:textId="77777777" w:rsidR="00231D55" w:rsidRPr="001F16C6" w:rsidRDefault="00231D55" w:rsidP="00C84B22">
            <w:pPr>
              <w:pStyle w:val="Normal6a"/>
              <w:widowControl/>
            </w:pPr>
          </w:p>
        </w:tc>
        <w:tc>
          <w:tcPr>
            <w:tcW w:w="4876" w:type="dxa"/>
          </w:tcPr>
          <w:p w14:paraId="74D53866" w14:textId="77777777" w:rsidR="00231D55" w:rsidRPr="001F16C6" w:rsidRDefault="00C84B22" w:rsidP="00C84B22">
            <w:pPr>
              <w:pStyle w:val="Normal6a"/>
              <w:widowControl/>
              <w:rPr>
                <w:b/>
                <w:bCs/>
                <w:i/>
                <w:iCs/>
              </w:rPr>
            </w:pPr>
            <w:r w:rsidRPr="001F16C6">
              <w:rPr>
                <w:b/>
                <w:i/>
              </w:rPr>
              <w:t>в)</w:t>
            </w:r>
            <w:r w:rsidRPr="001F16C6">
              <w:rPr>
                <w:b/>
                <w:i/>
              </w:rPr>
              <w:tab/>
              <w:t xml:space="preserve">обучение в областта на европейското интегрирано управление на границите или принос към развитието в същата област, като се вземат предвид оперативните нужди и анализът на риска, включително посочените в препоръките, посочени в </w:t>
            </w:r>
            <w:r w:rsidRPr="001F16C6">
              <w:rPr>
                <w:b/>
                <w:i/>
              </w:rPr>
              <w:lastRenderedPageBreak/>
              <w:t>член 13, параграф 7 предизвикателства и при пълно зачитане на основните права;</w:t>
            </w:r>
          </w:p>
        </w:tc>
      </w:tr>
      <w:tr w:rsidR="000851AE" w:rsidRPr="001F16C6" w14:paraId="2F2505EB" w14:textId="77777777">
        <w:trPr>
          <w:jc w:val="center"/>
        </w:trPr>
        <w:tc>
          <w:tcPr>
            <w:tcW w:w="4876" w:type="dxa"/>
          </w:tcPr>
          <w:p w14:paraId="1583EC43" w14:textId="77777777" w:rsidR="00231D55" w:rsidRPr="001F16C6" w:rsidRDefault="00231D55" w:rsidP="00C84B22">
            <w:pPr>
              <w:pStyle w:val="Normal6a"/>
              <w:widowControl/>
            </w:pPr>
          </w:p>
        </w:tc>
        <w:tc>
          <w:tcPr>
            <w:tcW w:w="4876" w:type="dxa"/>
          </w:tcPr>
          <w:p w14:paraId="010B721A" w14:textId="77777777" w:rsidR="00231D55" w:rsidRPr="001F16C6" w:rsidRDefault="00C84B22" w:rsidP="00C84B22">
            <w:pPr>
              <w:pStyle w:val="Normal6a"/>
              <w:widowControl/>
              <w:rPr>
                <w:b/>
                <w:bCs/>
                <w:i/>
                <w:iCs/>
              </w:rPr>
            </w:pPr>
            <w:r w:rsidRPr="001F16C6">
              <w:rPr>
                <w:b/>
                <w:i/>
              </w:rPr>
              <w:t>г)</w:t>
            </w:r>
            <w:r w:rsidRPr="001F16C6">
              <w:rPr>
                <w:b/>
                <w:i/>
              </w:rPr>
              <w:tab/>
              <w:t>съвместно разполагане на служители за връзка по въпросите на имиграцията в трети държави в съответствие с Регламент (ЕС) 2019/1240 на Европейския парламент и на Съвета;</w:t>
            </w:r>
          </w:p>
        </w:tc>
      </w:tr>
      <w:tr w:rsidR="000851AE" w:rsidRPr="001F16C6" w14:paraId="2A586E82" w14:textId="77777777">
        <w:trPr>
          <w:jc w:val="center"/>
        </w:trPr>
        <w:tc>
          <w:tcPr>
            <w:tcW w:w="4876" w:type="dxa"/>
          </w:tcPr>
          <w:p w14:paraId="3A60E43C" w14:textId="77777777" w:rsidR="00231D55" w:rsidRPr="001F16C6" w:rsidRDefault="00231D55" w:rsidP="00C84B22">
            <w:pPr>
              <w:pStyle w:val="Normal6a"/>
              <w:widowControl/>
            </w:pPr>
          </w:p>
        </w:tc>
        <w:tc>
          <w:tcPr>
            <w:tcW w:w="4876" w:type="dxa"/>
          </w:tcPr>
          <w:p w14:paraId="3220AB4D" w14:textId="77777777" w:rsidR="00231D55" w:rsidRPr="001F16C6" w:rsidRDefault="00C84B22" w:rsidP="00C84B22">
            <w:pPr>
              <w:pStyle w:val="Normal6a"/>
              <w:widowControl/>
              <w:rPr>
                <w:b/>
                <w:bCs/>
                <w:i/>
                <w:iCs/>
                <w:szCs w:val="24"/>
              </w:rPr>
            </w:pPr>
            <w:r w:rsidRPr="001F16C6">
              <w:rPr>
                <w:b/>
                <w:i/>
              </w:rPr>
              <w:t>д)</w:t>
            </w:r>
            <w:r w:rsidRPr="001F16C6">
              <w:rPr>
                <w:b/>
                <w:i/>
              </w:rPr>
              <w:tab/>
              <w:t>обмен на добри практики, експертен опит, проучвания, пилотни проекти и други съответни действия, целящи изпълнението или развитието на европейското интегрирано управление на границите, включително мерки, целящи развитието на европейската гранична и брегова охрана, като например изграждане на общ капацитет, съвместно възлагане на обществени поръчки, установяване на общи стандарти и други мерки за рационализиране на сътрудничеството и координацията между Европейската агенция за гранична и брегова охрана и дъ</w:t>
            </w:r>
            <w:r w:rsidRPr="001F16C6">
              <w:rPr>
                <w:b/>
                <w:i/>
              </w:rPr>
              <w:t>ржавите членки, както и мерки, свързани с насочването на уязвими лица, които се нуждаят от съдействие, както и на лица, които се нуждаят от международна закрила или които желаят да кандидатстват за такава;</w:t>
            </w:r>
          </w:p>
        </w:tc>
      </w:tr>
      <w:tr w:rsidR="000851AE" w:rsidRPr="001F16C6" w14:paraId="63C162B6" w14:textId="77777777">
        <w:trPr>
          <w:jc w:val="center"/>
        </w:trPr>
        <w:tc>
          <w:tcPr>
            <w:tcW w:w="4876" w:type="dxa"/>
          </w:tcPr>
          <w:p w14:paraId="1D943A49" w14:textId="77777777" w:rsidR="00231D55" w:rsidRPr="001F16C6" w:rsidRDefault="00231D55" w:rsidP="00C84B22">
            <w:pPr>
              <w:pStyle w:val="Normal6a"/>
              <w:widowControl/>
            </w:pPr>
          </w:p>
        </w:tc>
        <w:tc>
          <w:tcPr>
            <w:tcW w:w="4876" w:type="dxa"/>
          </w:tcPr>
          <w:p w14:paraId="5A8CB9D1" w14:textId="77777777" w:rsidR="00231D55" w:rsidRPr="001F16C6" w:rsidRDefault="00C84B22" w:rsidP="00C84B22">
            <w:pPr>
              <w:pStyle w:val="Normal6a"/>
              <w:widowControl/>
              <w:rPr>
                <w:b/>
                <w:bCs/>
                <w:i/>
                <w:iCs/>
                <w:szCs w:val="24"/>
              </w:rPr>
            </w:pPr>
            <w:r w:rsidRPr="001F16C6">
              <w:rPr>
                <w:b/>
                <w:i/>
              </w:rPr>
              <w:t>е)</w:t>
            </w:r>
            <w:r w:rsidRPr="001F16C6">
              <w:rPr>
                <w:b/>
                <w:i/>
              </w:rPr>
              <w:tab/>
              <w:t xml:space="preserve">подготвителни, мониторингови, административни и технически дейности, необходими за изпълнението на политиките в областта на външните граници, включително за укрепване на управлението на Шенгенското пространство чрез разработване и изпълнение на механизма за оценка, създаден с Регламент (ЕС) № 1053/2013 с цел проверка на прилагането на достиженията на правото от Шенген и Регламент (ЕС) </w:t>
            </w:r>
            <w:r w:rsidRPr="001F16C6">
              <w:rPr>
                <w:b/>
                <w:i/>
              </w:rPr>
              <w:lastRenderedPageBreak/>
              <w:t>2016/399, включително разходите за командироване на експертите на Комисията и на държавите членки, които участват в посещен</w:t>
            </w:r>
            <w:r w:rsidRPr="001F16C6">
              <w:rPr>
                <w:b/>
                <w:i/>
              </w:rPr>
              <w:t>ия на място, както и мерки, за да се изпълнят препоръките, изготвени след оценки на уязвимостта, извършени от Европейската агенция за гранична и брегова охрана в съответствие с Регламент (ЕС) 2019/1896;</w:t>
            </w:r>
          </w:p>
        </w:tc>
      </w:tr>
      <w:tr w:rsidR="000851AE" w:rsidRPr="001F16C6" w14:paraId="23D964B4" w14:textId="77777777">
        <w:trPr>
          <w:jc w:val="center"/>
        </w:trPr>
        <w:tc>
          <w:tcPr>
            <w:tcW w:w="4876" w:type="dxa"/>
          </w:tcPr>
          <w:p w14:paraId="0CF4CD84" w14:textId="77777777" w:rsidR="00231D55" w:rsidRPr="001F16C6" w:rsidRDefault="00231D55" w:rsidP="00C84B22">
            <w:pPr>
              <w:pStyle w:val="Normal6a"/>
              <w:widowControl/>
            </w:pPr>
          </w:p>
        </w:tc>
        <w:tc>
          <w:tcPr>
            <w:tcW w:w="4876" w:type="dxa"/>
          </w:tcPr>
          <w:p w14:paraId="267CFBEC" w14:textId="77777777" w:rsidR="00231D55" w:rsidRPr="001F16C6" w:rsidRDefault="00C84B22" w:rsidP="00C84B22">
            <w:pPr>
              <w:pStyle w:val="Normal6a"/>
              <w:widowControl/>
              <w:rPr>
                <w:b/>
                <w:bCs/>
                <w:i/>
                <w:iCs/>
              </w:rPr>
            </w:pPr>
            <w:r w:rsidRPr="001F16C6">
              <w:rPr>
                <w:b/>
                <w:i/>
              </w:rPr>
              <w:t>ж)</w:t>
            </w:r>
            <w:r w:rsidRPr="001F16C6">
              <w:rPr>
                <w:b/>
                <w:i/>
              </w:rPr>
              <w:tab/>
              <w:t xml:space="preserve">действия за повишаване на качеството на данните, съхранявани в ИКТ системи, и за подобряване на упражняването на правото на субекта на данните на информация, достъп до, </w:t>
            </w:r>
            <w:r w:rsidRPr="001F16C6">
              <w:rPr>
                <w:b/>
                <w:i/>
              </w:rPr>
              <w:t>поправяне, и изтриване на личните му данни, и ограничаване на обработването им;</w:t>
            </w:r>
          </w:p>
        </w:tc>
      </w:tr>
      <w:tr w:rsidR="000851AE" w:rsidRPr="001F16C6" w14:paraId="7E443F66" w14:textId="77777777">
        <w:trPr>
          <w:jc w:val="center"/>
        </w:trPr>
        <w:tc>
          <w:tcPr>
            <w:tcW w:w="4876" w:type="dxa"/>
          </w:tcPr>
          <w:p w14:paraId="65F90A4E" w14:textId="77777777" w:rsidR="00231D55" w:rsidRPr="001F16C6" w:rsidRDefault="00231D55" w:rsidP="00C84B22">
            <w:pPr>
              <w:pStyle w:val="Normal6a"/>
              <w:widowControl/>
            </w:pPr>
          </w:p>
        </w:tc>
        <w:tc>
          <w:tcPr>
            <w:tcW w:w="4876" w:type="dxa"/>
          </w:tcPr>
          <w:p w14:paraId="1E0D4607" w14:textId="77777777" w:rsidR="00231D55" w:rsidRPr="001F16C6" w:rsidRDefault="00C84B22" w:rsidP="00C84B22">
            <w:pPr>
              <w:pStyle w:val="Normal6a"/>
              <w:widowControl/>
              <w:rPr>
                <w:b/>
                <w:bCs/>
                <w:i/>
                <w:iCs/>
              </w:rPr>
            </w:pPr>
            <w:r w:rsidRPr="001F16C6">
              <w:rPr>
                <w:b/>
                <w:i/>
              </w:rPr>
              <w:t>з)</w:t>
            </w:r>
            <w:r w:rsidRPr="001F16C6">
              <w:rPr>
                <w:b/>
                <w:i/>
              </w:rPr>
              <w:tab/>
              <w:t>установяване на самоличността, снемане на пръстови отпечатъци, регистрация, проверки за сигурност, разпитване, предоставяне на информация, медицински скрининг, проверка на уязвимостта и, при необходимост, медицински грижи, както и насочване на гражданите на трети държави към съответните процедури по външните граници;</w:t>
            </w:r>
          </w:p>
        </w:tc>
      </w:tr>
      <w:tr w:rsidR="000851AE" w:rsidRPr="001F16C6" w14:paraId="38C3787B" w14:textId="77777777">
        <w:trPr>
          <w:jc w:val="center"/>
        </w:trPr>
        <w:tc>
          <w:tcPr>
            <w:tcW w:w="4876" w:type="dxa"/>
          </w:tcPr>
          <w:p w14:paraId="1B41297D" w14:textId="77777777" w:rsidR="00231D55" w:rsidRPr="001F16C6" w:rsidRDefault="00231D55" w:rsidP="00C84B22">
            <w:pPr>
              <w:pStyle w:val="Normal6a"/>
              <w:widowControl/>
            </w:pPr>
          </w:p>
        </w:tc>
        <w:tc>
          <w:tcPr>
            <w:tcW w:w="4876" w:type="dxa"/>
          </w:tcPr>
          <w:p w14:paraId="2DE15696" w14:textId="77777777" w:rsidR="00231D55" w:rsidRPr="001F16C6" w:rsidRDefault="00C84B22" w:rsidP="00C84B22">
            <w:pPr>
              <w:pStyle w:val="Normal6a"/>
              <w:widowControl/>
              <w:rPr>
                <w:b/>
                <w:bCs/>
                <w:i/>
                <w:iCs/>
              </w:rPr>
            </w:pPr>
            <w:r w:rsidRPr="001F16C6">
              <w:rPr>
                <w:b/>
                <w:i/>
              </w:rPr>
              <w:t>и)</w:t>
            </w:r>
            <w:r w:rsidRPr="001F16C6">
              <w:rPr>
                <w:b/>
                <w:i/>
              </w:rPr>
              <w:tab/>
              <w:t>действия за създаване, поддържане или разработване на независими механизми за наблюдение в съответствие с член 10 от Регламент (ЕС) 2024/1356 („Регламент за скрининга“);</w:t>
            </w:r>
          </w:p>
        </w:tc>
      </w:tr>
      <w:tr w:rsidR="000851AE" w:rsidRPr="001F16C6" w14:paraId="6288694E" w14:textId="77777777">
        <w:trPr>
          <w:jc w:val="center"/>
        </w:trPr>
        <w:tc>
          <w:tcPr>
            <w:tcW w:w="4876" w:type="dxa"/>
          </w:tcPr>
          <w:p w14:paraId="3DF1E52B" w14:textId="77777777" w:rsidR="00231D55" w:rsidRPr="001F16C6" w:rsidRDefault="00231D55" w:rsidP="00C84B22">
            <w:pPr>
              <w:pStyle w:val="Normal6a"/>
              <w:widowControl/>
            </w:pPr>
          </w:p>
        </w:tc>
        <w:tc>
          <w:tcPr>
            <w:tcW w:w="4876" w:type="dxa"/>
          </w:tcPr>
          <w:p w14:paraId="03F17E56" w14:textId="77777777" w:rsidR="00231D55" w:rsidRPr="001F16C6" w:rsidRDefault="00C84B22" w:rsidP="00C84B22">
            <w:pPr>
              <w:pStyle w:val="Normal6a"/>
              <w:widowControl/>
              <w:rPr>
                <w:b/>
                <w:bCs/>
                <w:i/>
                <w:iCs/>
                <w:szCs w:val="24"/>
              </w:rPr>
            </w:pPr>
            <w:r w:rsidRPr="001F16C6">
              <w:rPr>
                <w:b/>
                <w:i/>
              </w:rPr>
              <w:t>й)</w:t>
            </w:r>
            <w:r w:rsidRPr="001F16C6">
              <w:rPr>
                <w:b/>
                <w:i/>
              </w:rPr>
              <w:tab/>
              <w:t>действия, целящи повишаване на осведомеността относно политиките в областта на външните граници сред заинтересованите страни и широката общественост, включително институционална комуникация относно политическите приоритети на Съюза;</w:t>
            </w:r>
          </w:p>
        </w:tc>
      </w:tr>
      <w:tr w:rsidR="000851AE" w:rsidRPr="001F16C6" w14:paraId="01036D43" w14:textId="77777777">
        <w:trPr>
          <w:jc w:val="center"/>
        </w:trPr>
        <w:tc>
          <w:tcPr>
            <w:tcW w:w="4876" w:type="dxa"/>
          </w:tcPr>
          <w:p w14:paraId="263CBACA" w14:textId="77777777" w:rsidR="00231D55" w:rsidRPr="001F16C6" w:rsidRDefault="00231D55" w:rsidP="00C84B22">
            <w:pPr>
              <w:pStyle w:val="Normal6a"/>
              <w:widowControl/>
            </w:pPr>
          </w:p>
        </w:tc>
        <w:tc>
          <w:tcPr>
            <w:tcW w:w="4876" w:type="dxa"/>
          </w:tcPr>
          <w:p w14:paraId="02D6AEFA" w14:textId="77777777" w:rsidR="00231D55" w:rsidRPr="001F16C6" w:rsidRDefault="00C84B22" w:rsidP="00C84B22">
            <w:pPr>
              <w:pStyle w:val="Normal6a"/>
              <w:widowControl/>
              <w:rPr>
                <w:b/>
                <w:bCs/>
                <w:i/>
                <w:iCs/>
                <w:szCs w:val="24"/>
              </w:rPr>
            </w:pPr>
            <w:r w:rsidRPr="001F16C6">
              <w:rPr>
                <w:b/>
                <w:i/>
              </w:rPr>
              <w:t>к)</w:t>
            </w:r>
            <w:r w:rsidRPr="001F16C6">
              <w:rPr>
                <w:b/>
                <w:i/>
              </w:rPr>
              <w:tab/>
              <w:t xml:space="preserve">разработване на статистически инструменти, </w:t>
            </w:r>
            <w:r w:rsidRPr="001F16C6">
              <w:rPr>
                <w:b/>
                <w:i/>
              </w:rPr>
              <w:lastRenderedPageBreak/>
              <w:t>методи и показатели, при които се съблюдава принципът на недопускане на дискриминация;</w:t>
            </w:r>
          </w:p>
        </w:tc>
      </w:tr>
      <w:tr w:rsidR="000851AE" w:rsidRPr="001F16C6" w14:paraId="2B21EEFE" w14:textId="77777777">
        <w:trPr>
          <w:jc w:val="center"/>
        </w:trPr>
        <w:tc>
          <w:tcPr>
            <w:tcW w:w="4876" w:type="dxa"/>
          </w:tcPr>
          <w:p w14:paraId="7B835EE8" w14:textId="77777777" w:rsidR="00231D55" w:rsidRPr="001F16C6" w:rsidRDefault="00231D55" w:rsidP="00C84B22">
            <w:pPr>
              <w:pStyle w:val="Normal6a"/>
              <w:widowControl/>
            </w:pPr>
          </w:p>
        </w:tc>
        <w:tc>
          <w:tcPr>
            <w:tcW w:w="4876" w:type="dxa"/>
          </w:tcPr>
          <w:p w14:paraId="79DCEAA0" w14:textId="77777777" w:rsidR="00231D55" w:rsidRPr="001F16C6" w:rsidRDefault="00C84B22" w:rsidP="00C84B22">
            <w:pPr>
              <w:pStyle w:val="Normal6a"/>
              <w:widowControl/>
              <w:rPr>
                <w:b/>
                <w:bCs/>
                <w:i/>
                <w:iCs/>
                <w:szCs w:val="24"/>
              </w:rPr>
            </w:pPr>
            <w:r w:rsidRPr="001F16C6">
              <w:rPr>
                <w:b/>
                <w:i/>
              </w:rPr>
              <w:t>л)</w:t>
            </w:r>
            <w:r w:rsidRPr="001F16C6">
              <w:rPr>
                <w:b/>
                <w:i/>
              </w:rPr>
              <w:tab/>
              <w:t>оперативна помощ за изпълнението на европейското интегрирано управление на границите.</w:t>
            </w:r>
          </w:p>
        </w:tc>
      </w:tr>
      <w:tr w:rsidR="000851AE" w:rsidRPr="001F16C6" w14:paraId="476B6F0A" w14:textId="77777777">
        <w:trPr>
          <w:jc w:val="center"/>
        </w:trPr>
        <w:tc>
          <w:tcPr>
            <w:tcW w:w="4876" w:type="dxa"/>
          </w:tcPr>
          <w:p w14:paraId="4FDA4B48" w14:textId="77777777" w:rsidR="00231D55" w:rsidRPr="001F16C6" w:rsidRDefault="00231D55" w:rsidP="00C84B22">
            <w:pPr>
              <w:pStyle w:val="Normal6a"/>
              <w:widowControl/>
            </w:pPr>
          </w:p>
        </w:tc>
        <w:tc>
          <w:tcPr>
            <w:tcW w:w="4876" w:type="dxa"/>
          </w:tcPr>
          <w:p w14:paraId="0486EE2A" w14:textId="77777777" w:rsidR="00231D55" w:rsidRPr="001F16C6" w:rsidRDefault="00C84B22" w:rsidP="00C84B22">
            <w:pPr>
              <w:pStyle w:val="Normal6a"/>
              <w:widowControl/>
              <w:rPr>
                <w:b/>
                <w:bCs/>
                <w:i/>
                <w:iCs/>
              </w:rPr>
            </w:pPr>
            <w:r w:rsidRPr="001F16C6">
              <w:rPr>
                <w:b/>
                <w:i/>
              </w:rPr>
              <w:t>3.</w:t>
            </w:r>
            <w:r w:rsidRPr="001F16C6">
              <w:rPr>
                <w:b/>
                <w:i/>
              </w:rPr>
              <w:tab/>
              <w:t>В рамките на целта, залегнала в член 3, параграф 1, буква в), подкрепата от Съюза се предоставя под следните форми:</w:t>
            </w:r>
          </w:p>
        </w:tc>
      </w:tr>
      <w:tr w:rsidR="000851AE" w:rsidRPr="001F16C6" w14:paraId="3AC593F0" w14:textId="77777777">
        <w:trPr>
          <w:jc w:val="center"/>
        </w:trPr>
        <w:tc>
          <w:tcPr>
            <w:tcW w:w="4876" w:type="dxa"/>
          </w:tcPr>
          <w:p w14:paraId="7F8FABCB" w14:textId="77777777" w:rsidR="00231D55" w:rsidRPr="001F16C6" w:rsidRDefault="00231D55" w:rsidP="00C84B22">
            <w:pPr>
              <w:pStyle w:val="Normal6a"/>
              <w:widowControl/>
            </w:pPr>
          </w:p>
        </w:tc>
        <w:tc>
          <w:tcPr>
            <w:tcW w:w="4876" w:type="dxa"/>
          </w:tcPr>
          <w:p w14:paraId="45BE90CB" w14:textId="77777777" w:rsidR="00231D55" w:rsidRPr="001F16C6" w:rsidRDefault="00C84B22" w:rsidP="00C84B22">
            <w:pPr>
              <w:pStyle w:val="Normal6a"/>
              <w:widowControl/>
              <w:rPr>
                <w:b/>
                <w:bCs/>
                <w:i/>
                <w:iCs/>
                <w:szCs w:val="24"/>
              </w:rPr>
            </w:pPr>
            <w:r w:rsidRPr="001F16C6">
              <w:rPr>
                <w:b/>
                <w:i/>
              </w:rPr>
              <w:t>а)</w:t>
            </w:r>
            <w:r w:rsidRPr="001F16C6">
              <w:rPr>
                <w:b/>
                <w:i/>
              </w:rPr>
              <w:tab/>
              <w:t>инфраструктура и сгради, необходими за обработването на заявленията за издаване на визи и за консулско сътрудничество, включително мерки за сигурност, както и други действия, целящи подобряване на качеството на обслужване за кандидатите за визи;</w:t>
            </w:r>
          </w:p>
        </w:tc>
      </w:tr>
      <w:tr w:rsidR="000851AE" w:rsidRPr="001F16C6" w14:paraId="62F97311" w14:textId="77777777">
        <w:trPr>
          <w:jc w:val="center"/>
        </w:trPr>
        <w:tc>
          <w:tcPr>
            <w:tcW w:w="4876" w:type="dxa"/>
          </w:tcPr>
          <w:p w14:paraId="48C93002" w14:textId="77777777" w:rsidR="00231D55" w:rsidRPr="001F16C6" w:rsidRDefault="00231D55" w:rsidP="00C84B22">
            <w:pPr>
              <w:pStyle w:val="Normal6a"/>
              <w:widowControl/>
            </w:pPr>
          </w:p>
        </w:tc>
        <w:tc>
          <w:tcPr>
            <w:tcW w:w="4876" w:type="dxa"/>
          </w:tcPr>
          <w:p w14:paraId="6943A40D" w14:textId="77777777" w:rsidR="00231D55" w:rsidRPr="001F16C6" w:rsidRDefault="00C84B22" w:rsidP="00C84B22">
            <w:pPr>
              <w:pStyle w:val="Normal6a"/>
              <w:widowControl/>
              <w:rPr>
                <w:b/>
                <w:bCs/>
                <w:i/>
                <w:iCs/>
                <w:szCs w:val="24"/>
              </w:rPr>
            </w:pPr>
            <w:r w:rsidRPr="001F16C6">
              <w:rPr>
                <w:b/>
                <w:i/>
              </w:rPr>
              <w:t>б)</w:t>
            </w:r>
            <w:r w:rsidRPr="001F16C6">
              <w:rPr>
                <w:b/>
                <w:i/>
              </w:rPr>
              <w:tab/>
              <w:t xml:space="preserve">оперативно оборудване и ИКТ системи, необходими за обработването на заявленията за издаване на визи и за </w:t>
            </w:r>
            <w:r w:rsidRPr="001F16C6">
              <w:rPr>
                <w:b/>
                <w:i/>
              </w:rPr>
              <w:t>консулско сътрудничество;</w:t>
            </w:r>
          </w:p>
        </w:tc>
      </w:tr>
      <w:tr w:rsidR="000851AE" w:rsidRPr="001F16C6" w14:paraId="1DCE0080" w14:textId="77777777">
        <w:trPr>
          <w:jc w:val="center"/>
        </w:trPr>
        <w:tc>
          <w:tcPr>
            <w:tcW w:w="4876" w:type="dxa"/>
          </w:tcPr>
          <w:p w14:paraId="16C0460B" w14:textId="77777777" w:rsidR="00231D55" w:rsidRPr="001F16C6" w:rsidRDefault="00231D55" w:rsidP="00C84B22">
            <w:pPr>
              <w:pStyle w:val="Normal6a"/>
              <w:widowControl/>
            </w:pPr>
          </w:p>
        </w:tc>
        <w:tc>
          <w:tcPr>
            <w:tcW w:w="4876" w:type="dxa"/>
          </w:tcPr>
          <w:p w14:paraId="694BD8EE" w14:textId="77777777" w:rsidR="00231D55" w:rsidRPr="001F16C6" w:rsidRDefault="00C84B22" w:rsidP="00C84B22">
            <w:pPr>
              <w:pStyle w:val="Normal6a"/>
              <w:widowControl/>
              <w:rPr>
                <w:b/>
                <w:bCs/>
                <w:i/>
                <w:iCs/>
                <w:szCs w:val="24"/>
              </w:rPr>
            </w:pPr>
            <w:r w:rsidRPr="001F16C6">
              <w:rPr>
                <w:b/>
                <w:i/>
              </w:rPr>
              <w:t>в)</w:t>
            </w:r>
            <w:r w:rsidRPr="001F16C6">
              <w:rPr>
                <w:b/>
                <w:i/>
              </w:rPr>
              <w:tab/>
              <w:t>обучение на консулски и други служители, които допринасят за общата визова политика и консулското сътрудничество;</w:t>
            </w:r>
          </w:p>
        </w:tc>
      </w:tr>
      <w:tr w:rsidR="000851AE" w:rsidRPr="001F16C6" w14:paraId="2077DC77" w14:textId="77777777">
        <w:trPr>
          <w:jc w:val="center"/>
        </w:trPr>
        <w:tc>
          <w:tcPr>
            <w:tcW w:w="4876" w:type="dxa"/>
          </w:tcPr>
          <w:p w14:paraId="02F5E068" w14:textId="77777777" w:rsidR="00231D55" w:rsidRPr="001F16C6" w:rsidRDefault="00231D55" w:rsidP="00C84B22">
            <w:pPr>
              <w:pStyle w:val="Normal6a"/>
              <w:widowControl/>
            </w:pPr>
          </w:p>
        </w:tc>
        <w:tc>
          <w:tcPr>
            <w:tcW w:w="4876" w:type="dxa"/>
          </w:tcPr>
          <w:p w14:paraId="2DAEA836" w14:textId="77777777" w:rsidR="00231D55" w:rsidRPr="001F16C6" w:rsidRDefault="00C84B22" w:rsidP="00C84B22">
            <w:pPr>
              <w:pStyle w:val="Normal6a"/>
              <w:widowControl/>
              <w:rPr>
                <w:b/>
                <w:bCs/>
                <w:i/>
                <w:iCs/>
                <w:szCs w:val="24"/>
              </w:rPr>
            </w:pPr>
            <w:r w:rsidRPr="001F16C6">
              <w:rPr>
                <w:b/>
                <w:i/>
              </w:rPr>
              <w:t>г)</w:t>
            </w:r>
            <w:r w:rsidRPr="001F16C6">
              <w:rPr>
                <w:b/>
                <w:i/>
              </w:rPr>
              <w:tab/>
              <w:t xml:space="preserve">обмен на добри практики и обмен на експерти, включително командироване на експерти, както и </w:t>
            </w:r>
            <w:r w:rsidRPr="001F16C6">
              <w:rPr>
                <w:b/>
                <w:i/>
              </w:rPr>
              <w:t>засилване на капацитета на европейските мрежи за оценка, насърчаване, подкрепа и по-нататъшно разработване на политиките и целите на Съюза;</w:t>
            </w:r>
          </w:p>
        </w:tc>
      </w:tr>
      <w:tr w:rsidR="000851AE" w:rsidRPr="001F16C6" w14:paraId="0CEB40DA" w14:textId="77777777">
        <w:trPr>
          <w:jc w:val="center"/>
        </w:trPr>
        <w:tc>
          <w:tcPr>
            <w:tcW w:w="4876" w:type="dxa"/>
          </w:tcPr>
          <w:p w14:paraId="3151783B" w14:textId="77777777" w:rsidR="00231D55" w:rsidRPr="001F16C6" w:rsidRDefault="00231D55" w:rsidP="00C84B22">
            <w:pPr>
              <w:pStyle w:val="Normal6a"/>
              <w:widowControl/>
            </w:pPr>
          </w:p>
        </w:tc>
        <w:tc>
          <w:tcPr>
            <w:tcW w:w="4876" w:type="dxa"/>
          </w:tcPr>
          <w:p w14:paraId="1D7E2F5A" w14:textId="77777777" w:rsidR="00231D55" w:rsidRPr="001F16C6" w:rsidRDefault="00C84B22" w:rsidP="00C84B22">
            <w:pPr>
              <w:pStyle w:val="Normal6a"/>
              <w:widowControl/>
              <w:rPr>
                <w:b/>
                <w:bCs/>
                <w:i/>
                <w:iCs/>
              </w:rPr>
            </w:pPr>
            <w:r w:rsidRPr="001F16C6">
              <w:rPr>
                <w:b/>
                <w:i/>
              </w:rPr>
              <w:t>д)</w:t>
            </w:r>
            <w:r w:rsidRPr="001F16C6">
              <w:rPr>
                <w:b/>
                <w:i/>
              </w:rPr>
              <w:tab/>
              <w:t>проучвания и други съответни действия, като например действия, целящи повишаването на познанията чрез анализи, мониторинг и оценка;</w:t>
            </w:r>
          </w:p>
        </w:tc>
      </w:tr>
      <w:tr w:rsidR="000851AE" w:rsidRPr="001F16C6" w14:paraId="6A46352C" w14:textId="77777777">
        <w:trPr>
          <w:jc w:val="center"/>
        </w:trPr>
        <w:tc>
          <w:tcPr>
            <w:tcW w:w="4876" w:type="dxa"/>
          </w:tcPr>
          <w:p w14:paraId="3823A4AB" w14:textId="77777777" w:rsidR="00231D55" w:rsidRPr="001F16C6" w:rsidRDefault="00231D55" w:rsidP="00C84B22">
            <w:pPr>
              <w:pStyle w:val="Normal6a"/>
              <w:widowControl/>
            </w:pPr>
          </w:p>
        </w:tc>
        <w:tc>
          <w:tcPr>
            <w:tcW w:w="4876" w:type="dxa"/>
          </w:tcPr>
          <w:p w14:paraId="4A70F3CF" w14:textId="77777777" w:rsidR="00231D55" w:rsidRPr="001F16C6" w:rsidRDefault="00C84B22" w:rsidP="00C84B22">
            <w:pPr>
              <w:pStyle w:val="Normal6a"/>
              <w:widowControl/>
              <w:rPr>
                <w:b/>
                <w:bCs/>
                <w:i/>
                <w:iCs/>
                <w:szCs w:val="24"/>
              </w:rPr>
            </w:pPr>
            <w:r w:rsidRPr="001F16C6">
              <w:rPr>
                <w:b/>
                <w:i/>
              </w:rPr>
              <w:t>е)</w:t>
            </w:r>
            <w:r w:rsidRPr="001F16C6">
              <w:rPr>
                <w:b/>
                <w:i/>
              </w:rPr>
              <w:tab/>
              <w:t xml:space="preserve">дейности за повишаване осведомеността относно визовите политики сред заинтересованите страни и широката общественост, </w:t>
            </w:r>
            <w:r w:rsidRPr="001F16C6">
              <w:rPr>
                <w:b/>
                <w:i/>
              </w:rPr>
              <w:lastRenderedPageBreak/>
              <w:t>включително институционална комуникация относно политическите приоритети на Съюза;</w:t>
            </w:r>
          </w:p>
        </w:tc>
      </w:tr>
      <w:tr w:rsidR="000851AE" w:rsidRPr="001F16C6" w14:paraId="23B912C2" w14:textId="77777777">
        <w:trPr>
          <w:jc w:val="center"/>
        </w:trPr>
        <w:tc>
          <w:tcPr>
            <w:tcW w:w="4876" w:type="dxa"/>
          </w:tcPr>
          <w:p w14:paraId="2272C52F" w14:textId="77777777" w:rsidR="00231D55" w:rsidRPr="001F16C6" w:rsidRDefault="00231D55" w:rsidP="00C84B22">
            <w:pPr>
              <w:pStyle w:val="Normal6a"/>
              <w:widowControl/>
            </w:pPr>
          </w:p>
        </w:tc>
        <w:tc>
          <w:tcPr>
            <w:tcW w:w="4876" w:type="dxa"/>
          </w:tcPr>
          <w:p w14:paraId="28035AA4" w14:textId="77777777" w:rsidR="00231D55" w:rsidRPr="001F16C6" w:rsidRDefault="00C84B22" w:rsidP="00C84B22">
            <w:pPr>
              <w:pStyle w:val="Normal6a"/>
              <w:widowControl/>
              <w:rPr>
                <w:b/>
                <w:bCs/>
                <w:i/>
                <w:iCs/>
                <w:szCs w:val="24"/>
              </w:rPr>
            </w:pPr>
            <w:r w:rsidRPr="001F16C6">
              <w:rPr>
                <w:b/>
                <w:i/>
              </w:rPr>
              <w:t>ж)</w:t>
            </w:r>
            <w:r w:rsidRPr="001F16C6">
              <w:rPr>
                <w:b/>
                <w:i/>
              </w:rPr>
              <w:tab/>
              <w:t>разработване на статистически инструменти, методи и показатели, при които се съблюдава принципът на недопускане на дискриминация;</w:t>
            </w:r>
          </w:p>
        </w:tc>
      </w:tr>
      <w:tr w:rsidR="000851AE" w:rsidRPr="001F16C6" w14:paraId="65267E6C" w14:textId="77777777">
        <w:trPr>
          <w:jc w:val="center"/>
        </w:trPr>
        <w:tc>
          <w:tcPr>
            <w:tcW w:w="4876" w:type="dxa"/>
          </w:tcPr>
          <w:p w14:paraId="0E115367" w14:textId="77777777" w:rsidR="00231D55" w:rsidRPr="001F16C6" w:rsidRDefault="00231D55" w:rsidP="00C84B22">
            <w:pPr>
              <w:pStyle w:val="Normal6a"/>
              <w:widowControl/>
            </w:pPr>
          </w:p>
        </w:tc>
        <w:tc>
          <w:tcPr>
            <w:tcW w:w="4876" w:type="dxa"/>
          </w:tcPr>
          <w:p w14:paraId="49B94F5D" w14:textId="77777777" w:rsidR="00231D55" w:rsidRPr="001F16C6" w:rsidRDefault="00C84B22" w:rsidP="00C84B22">
            <w:pPr>
              <w:pStyle w:val="Normal6a"/>
              <w:widowControl/>
              <w:rPr>
                <w:b/>
                <w:bCs/>
                <w:i/>
                <w:iCs/>
                <w:szCs w:val="24"/>
              </w:rPr>
            </w:pPr>
            <w:r w:rsidRPr="001F16C6">
              <w:rPr>
                <w:b/>
                <w:i/>
              </w:rPr>
              <w:t>з)</w:t>
            </w:r>
            <w:r w:rsidRPr="001F16C6">
              <w:rPr>
                <w:b/>
                <w:i/>
              </w:rPr>
              <w:tab/>
              <w:t>оперативна подкрепа за изпълнението на общата визова политика;</w:t>
            </w:r>
          </w:p>
        </w:tc>
      </w:tr>
      <w:tr w:rsidR="000851AE" w:rsidRPr="001F16C6" w14:paraId="68522F97" w14:textId="77777777">
        <w:trPr>
          <w:jc w:val="center"/>
        </w:trPr>
        <w:tc>
          <w:tcPr>
            <w:tcW w:w="4876" w:type="dxa"/>
          </w:tcPr>
          <w:p w14:paraId="10CCD4B2" w14:textId="77777777" w:rsidR="00507587" w:rsidRPr="001F16C6" w:rsidRDefault="00507587" w:rsidP="00C84B22">
            <w:pPr>
              <w:pStyle w:val="Normal6a"/>
              <w:widowControl/>
            </w:pPr>
          </w:p>
        </w:tc>
        <w:tc>
          <w:tcPr>
            <w:tcW w:w="4876" w:type="dxa"/>
          </w:tcPr>
          <w:p w14:paraId="1D0873E1" w14:textId="77777777" w:rsidR="00507587" w:rsidRPr="001F16C6" w:rsidRDefault="00C84B22" w:rsidP="00C84B22">
            <w:pPr>
              <w:pStyle w:val="Normal6a"/>
              <w:widowControl/>
              <w:rPr>
                <w:b/>
                <w:bCs/>
                <w:i/>
                <w:iCs/>
                <w:szCs w:val="24"/>
              </w:rPr>
            </w:pPr>
            <w:r w:rsidRPr="001F16C6">
              <w:rPr>
                <w:b/>
                <w:i/>
              </w:rPr>
              <w:t>и)</w:t>
            </w:r>
            <w:r w:rsidRPr="001F16C6">
              <w:rPr>
                <w:b/>
                <w:i/>
              </w:rPr>
              <w:tab/>
              <w:t>подкрепа на държавите членки при издаването на визи, включително визи с ограничена териториална валидност, както е посочено в член 25 от Регламент (ЕО) № 810/2009, издадени по хуманитарни причини, по причини от национален интерес или поради международни задължения.</w:t>
            </w:r>
          </w:p>
        </w:tc>
      </w:tr>
    </w:tbl>
    <w:p w14:paraId="33F89E2E" w14:textId="77777777" w:rsidR="00FA192C" w:rsidRPr="001F16C6" w:rsidRDefault="00C84B22" w:rsidP="00C84B22">
      <w:pPr>
        <w:pStyle w:val="AmOrLang"/>
        <w:widowControl/>
      </w:pPr>
      <w:proofErr w:type="spellStart"/>
      <w:r w:rsidRPr="001F16C6">
        <w:t>Or</w:t>
      </w:r>
      <w:proofErr w:type="spellEnd"/>
      <w:r w:rsidRPr="001F16C6">
        <w:t xml:space="preserve">. </w:t>
      </w:r>
      <w:r w:rsidRPr="001F16C6">
        <w:rPr>
          <w:rStyle w:val="HideTWBExt"/>
          <w:noProof w:val="0"/>
        </w:rPr>
        <w:t>&lt;</w:t>
      </w:r>
      <w:proofErr w:type="spellStart"/>
      <w:r w:rsidRPr="001F16C6">
        <w:rPr>
          <w:rStyle w:val="HideTWBExt"/>
          <w:noProof w:val="0"/>
        </w:rPr>
        <w:t>Original</w:t>
      </w:r>
      <w:proofErr w:type="spellEnd"/>
      <w:r w:rsidRPr="001F16C6">
        <w:rPr>
          <w:rStyle w:val="HideTWBExt"/>
          <w:noProof w:val="0"/>
        </w:rPr>
        <w:t>&gt;</w:t>
      </w:r>
      <w:r w:rsidR="00507587" w:rsidRPr="001F16C6">
        <w:rPr>
          <w:rStyle w:val="HideTWBInt"/>
        </w:rPr>
        <w:t>{EN}</w:t>
      </w:r>
      <w:proofErr w:type="spellStart"/>
      <w:r w:rsidR="00507587" w:rsidRPr="001F16C6">
        <w:t>en</w:t>
      </w:r>
      <w:proofErr w:type="spellEnd"/>
      <w:r w:rsidRPr="001F16C6">
        <w:rPr>
          <w:rStyle w:val="HideTWBExt"/>
          <w:noProof w:val="0"/>
        </w:rPr>
        <w:t>&lt;/</w:t>
      </w:r>
      <w:proofErr w:type="spellStart"/>
      <w:r w:rsidRPr="001F16C6">
        <w:rPr>
          <w:rStyle w:val="HideTWBExt"/>
          <w:noProof w:val="0"/>
        </w:rPr>
        <w:t>Original</w:t>
      </w:r>
      <w:proofErr w:type="spellEnd"/>
      <w:r w:rsidRPr="001F16C6">
        <w:rPr>
          <w:rStyle w:val="HideTWBExt"/>
          <w:noProof w:val="0"/>
        </w:rPr>
        <w:t>&gt;</w:t>
      </w:r>
    </w:p>
    <w:p w14:paraId="63D91AE2" w14:textId="77777777" w:rsidR="00FA192C" w:rsidRPr="001F16C6" w:rsidRDefault="00C84B22" w:rsidP="00C84B22">
      <w:pPr>
        <w:pStyle w:val="AmJustTitle"/>
        <w:widowControl/>
      </w:pPr>
      <w:r w:rsidRPr="001F16C6">
        <w:rPr>
          <w:rStyle w:val="HideTWBExt"/>
          <w:i w:val="0"/>
        </w:rPr>
        <w:t>&lt;TitreJust&gt;</w:t>
      </w:r>
      <w:r w:rsidRPr="001F16C6">
        <w:t>Обосновка</w:t>
      </w:r>
      <w:r w:rsidRPr="001F16C6">
        <w:rPr>
          <w:rStyle w:val="HideTWBExt"/>
          <w:i w:val="0"/>
        </w:rPr>
        <w:t>&lt;/</w:t>
      </w:r>
      <w:proofErr w:type="spellStart"/>
      <w:r w:rsidRPr="001F16C6">
        <w:rPr>
          <w:rStyle w:val="HideTWBExt"/>
          <w:i w:val="0"/>
        </w:rPr>
        <w:t>TitreJust</w:t>
      </w:r>
      <w:proofErr w:type="spellEnd"/>
      <w:r w:rsidRPr="001F16C6">
        <w:rPr>
          <w:rStyle w:val="HideTWBExt"/>
          <w:i w:val="0"/>
        </w:rPr>
        <w:t>&gt;</w:t>
      </w:r>
    </w:p>
    <w:p w14:paraId="1AE93795" w14:textId="77777777" w:rsidR="00507587" w:rsidRPr="001F16C6" w:rsidRDefault="00C84B22" w:rsidP="00C84B22">
      <w:pPr>
        <w:pStyle w:val="Normal12Italic"/>
        <w:widowControl/>
        <w:jc w:val="both"/>
        <w:rPr>
          <w:szCs w:val="24"/>
        </w:rPr>
      </w:pPr>
      <w:r w:rsidRPr="001F16C6">
        <w:t xml:space="preserve"> Действията, които ще бъдат финансирани по този инструмент, следва да бъдат определени в интерес на прозрачността и в интерес на Парламента като съзаконодател. Не следва да се разрешава финансирането на дейности от типа „черна кутия“ от държавите членки.</w:t>
      </w:r>
    </w:p>
    <w:p w14:paraId="0005FCB1" w14:textId="77777777" w:rsidR="00FA192C" w:rsidRPr="001F16C6" w:rsidRDefault="00FA192C" w:rsidP="00C84B22">
      <w:pPr>
        <w:pStyle w:val="AmJustText"/>
        <w:widowControl/>
      </w:pPr>
    </w:p>
    <w:p w14:paraId="00BBB034" w14:textId="77777777" w:rsidR="00166CCB" w:rsidRPr="001F16C6" w:rsidRDefault="00C84B22" w:rsidP="00C84B22">
      <w:pPr>
        <w:widowControl/>
      </w:pPr>
      <w:r w:rsidRPr="001F16C6">
        <w:rPr>
          <w:rStyle w:val="HideTWBExt"/>
        </w:rPr>
        <w:t>&lt;/Amend&gt;</w:t>
      </w:r>
      <w:bookmarkEnd w:id="1"/>
    </w:p>
    <w:p w14:paraId="3B635A36" w14:textId="77777777" w:rsidR="00FA192C" w:rsidRPr="001F16C6" w:rsidRDefault="00C84B22" w:rsidP="00C84B22">
      <w:pPr>
        <w:widowControl/>
      </w:pPr>
      <w:bookmarkStart w:id="2" w:name="EndB"/>
      <w:r w:rsidRPr="001F16C6">
        <w:rPr>
          <w:rStyle w:val="HideTWBExt"/>
        </w:rPr>
        <w:t>&lt;/RepeatBlock-Amend&gt;</w:t>
      </w:r>
      <w:bookmarkEnd w:id="2"/>
    </w:p>
    <w:p w14:paraId="6D88AE43" w14:textId="77777777" w:rsidR="008363E4" w:rsidRPr="001F16C6" w:rsidRDefault="008363E4" w:rsidP="00C84B22">
      <w:pPr>
        <w:widowControl/>
      </w:pPr>
    </w:p>
    <w:sectPr w:rsidR="008363E4" w:rsidRPr="001F16C6" w:rsidSect="001F16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17E5" w14:textId="77777777" w:rsidR="00C84B22" w:rsidRPr="001F16C6" w:rsidRDefault="00C84B22">
      <w:r w:rsidRPr="001F16C6">
        <w:separator/>
      </w:r>
    </w:p>
  </w:endnote>
  <w:endnote w:type="continuationSeparator" w:id="0">
    <w:p w14:paraId="1B643940" w14:textId="77777777" w:rsidR="00C84B22" w:rsidRPr="001F16C6" w:rsidRDefault="00C84B22">
      <w:r w:rsidRPr="001F1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DEBB" w14:textId="77777777" w:rsidR="001F16C6" w:rsidRPr="001F16C6" w:rsidRDefault="001F16C6" w:rsidP="001F16C6">
    <w:pPr>
      <w:pStyle w:val="EPFooter"/>
    </w:pPr>
    <w:r w:rsidRPr="001F16C6">
      <w:t>PE</w:t>
    </w:r>
    <w:r w:rsidRPr="001F16C6">
      <w:rPr>
        <w:rStyle w:val="HideTWBExt"/>
      </w:rPr>
      <w:t>&lt;</w:t>
    </w:r>
    <w:proofErr w:type="spellStart"/>
    <w:r w:rsidRPr="001F16C6">
      <w:rPr>
        <w:rStyle w:val="HideTWBExt"/>
      </w:rPr>
      <w:t>NoPE</w:t>
    </w:r>
    <w:proofErr w:type="spellEnd"/>
    <w:r w:rsidRPr="001F16C6">
      <w:rPr>
        <w:rStyle w:val="HideTWBExt"/>
      </w:rPr>
      <w:t>&gt;</w:t>
    </w:r>
    <w:r w:rsidRPr="001F16C6">
      <w:t>790.136</w:t>
    </w:r>
    <w:r w:rsidRPr="001F16C6">
      <w:rPr>
        <w:rStyle w:val="HideTWBExt"/>
      </w:rPr>
      <w:t>&lt;/</w:t>
    </w:r>
    <w:proofErr w:type="spellStart"/>
    <w:r w:rsidRPr="001F16C6">
      <w:rPr>
        <w:rStyle w:val="HideTWBExt"/>
      </w:rPr>
      <w:t>NoPE</w:t>
    </w:r>
    <w:proofErr w:type="spellEnd"/>
    <w:r w:rsidRPr="001F16C6">
      <w:rPr>
        <w:rStyle w:val="HideTWBExt"/>
      </w:rPr>
      <w:t>&gt;&lt;Version&gt;</w:t>
    </w:r>
    <w:r w:rsidRPr="001F16C6">
      <w:t>v01-00</w:t>
    </w:r>
    <w:r w:rsidRPr="001F16C6">
      <w:rPr>
        <w:rStyle w:val="HideTWBExt"/>
      </w:rPr>
      <w:t>&lt;/</w:t>
    </w:r>
    <w:proofErr w:type="spellStart"/>
    <w:r w:rsidRPr="001F16C6">
      <w:rPr>
        <w:rStyle w:val="HideTWBExt"/>
      </w:rPr>
      <w:t>Version</w:t>
    </w:r>
    <w:proofErr w:type="spellEnd"/>
    <w:r w:rsidRPr="001F16C6">
      <w:rPr>
        <w:rStyle w:val="HideTWBExt"/>
      </w:rPr>
      <w:t>&gt;</w:t>
    </w:r>
    <w:r w:rsidRPr="001F16C6">
      <w:tab/>
    </w:r>
    <w:r w:rsidRPr="001F16C6">
      <w:fldChar w:fldCharType="begin"/>
    </w:r>
    <w:r w:rsidRPr="001F16C6">
      <w:instrText xml:space="preserve"> PAGE  \* MERGEFORMAT </w:instrText>
    </w:r>
    <w:r w:rsidRPr="001F16C6">
      <w:fldChar w:fldCharType="separate"/>
    </w:r>
    <w:r w:rsidRPr="001F16C6">
      <w:rPr>
        <w:noProof/>
      </w:rPr>
      <w:t>2</w:t>
    </w:r>
    <w:r w:rsidRPr="001F16C6">
      <w:fldChar w:fldCharType="end"/>
    </w:r>
    <w:r w:rsidRPr="001F16C6">
      <w:t>/</w:t>
    </w:r>
    <w:fldSimple w:instr=" NUMPAGES  \* MERGEFORMAT ">
      <w:r w:rsidRPr="001F16C6">
        <w:rPr>
          <w:noProof/>
        </w:rPr>
        <w:t>8</w:t>
      </w:r>
    </w:fldSimple>
    <w:r w:rsidRPr="001F16C6">
      <w:tab/>
    </w:r>
    <w:r w:rsidRPr="001F16C6">
      <w:rPr>
        <w:rStyle w:val="HideTWBExt"/>
      </w:rPr>
      <w:t>&lt;PathFdR&gt;</w:t>
    </w:r>
    <w:r w:rsidRPr="001F16C6">
      <w:t>AM\1346405BG.docx</w:t>
    </w:r>
    <w:r w:rsidRPr="001F16C6">
      <w:rPr>
        <w:rStyle w:val="HideTWBExt"/>
      </w:rPr>
      <w:t>&lt;/</w:t>
    </w:r>
    <w:proofErr w:type="spellStart"/>
    <w:r w:rsidRPr="001F16C6">
      <w:rPr>
        <w:rStyle w:val="HideTWBExt"/>
      </w:rPr>
      <w:t>PathFdR</w:t>
    </w:r>
    <w:proofErr w:type="spellEnd"/>
    <w:r w:rsidRPr="001F16C6">
      <w:rPr>
        <w:rStyle w:val="HideTWBExt"/>
      </w:rPr>
      <w:t>&gt;</w:t>
    </w:r>
  </w:p>
  <w:p w14:paraId="1D3F4147" w14:textId="38F3F6C7" w:rsidR="00D82FCC" w:rsidRPr="001F16C6" w:rsidRDefault="001F16C6" w:rsidP="001F16C6">
    <w:pPr>
      <w:pStyle w:val="EPFooter2"/>
    </w:pPr>
    <w:r w:rsidRPr="001F16C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3591" w14:textId="77777777" w:rsidR="001F16C6" w:rsidRPr="001F16C6" w:rsidRDefault="001F16C6" w:rsidP="001F16C6">
    <w:pPr>
      <w:pStyle w:val="EPFooter"/>
    </w:pPr>
    <w:r w:rsidRPr="001F16C6">
      <w:rPr>
        <w:rStyle w:val="HideTWBExt"/>
      </w:rPr>
      <w:t>&lt;PathFdR&gt;</w:t>
    </w:r>
    <w:r w:rsidRPr="001F16C6">
      <w:t>AM\1346405BG.docx</w:t>
    </w:r>
    <w:r w:rsidRPr="001F16C6">
      <w:rPr>
        <w:rStyle w:val="HideTWBExt"/>
      </w:rPr>
      <w:t>&lt;/</w:t>
    </w:r>
    <w:proofErr w:type="spellStart"/>
    <w:r w:rsidRPr="001F16C6">
      <w:rPr>
        <w:rStyle w:val="HideTWBExt"/>
      </w:rPr>
      <w:t>PathFdR</w:t>
    </w:r>
    <w:proofErr w:type="spellEnd"/>
    <w:r w:rsidRPr="001F16C6">
      <w:rPr>
        <w:rStyle w:val="HideTWBExt"/>
      </w:rPr>
      <w:t>&gt;</w:t>
    </w:r>
    <w:r w:rsidRPr="001F16C6">
      <w:tab/>
    </w:r>
    <w:r w:rsidRPr="001F16C6">
      <w:fldChar w:fldCharType="begin"/>
    </w:r>
    <w:r w:rsidRPr="001F16C6">
      <w:instrText xml:space="preserve"> PAGE  \* MERGEFORMAT </w:instrText>
    </w:r>
    <w:r w:rsidRPr="001F16C6">
      <w:fldChar w:fldCharType="separate"/>
    </w:r>
    <w:r w:rsidRPr="001F16C6">
      <w:rPr>
        <w:noProof/>
      </w:rPr>
      <w:t>3</w:t>
    </w:r>
    <w:r w:rsidRPr="001F16C6">
      <w:fldChar w:fldCharType="end"/>
    </w:r>
    <w:r w:rsidRPr="001F16C6">
      <w:t>/</w:t>
    </w:r>
    <w:fldSimple w:instr=" NUMPAGES  \* MERGEFORMAT ">
      <w:r w:rsidRPr="001F16C6">
        <w:rPr>
          <w:noProof/>
        </w:rPr>
        <w:t>8</w:t>
      </w:r>
    </w:fldSimple>
    <w:r w:rsidRPr="001F16C6">
      <w:tab/>
      <w:t>PE</w:t>
    </w:r>
    <w:r w:rsidRPr="001F16C6">
      <w:rPr>
        <w:rStyle w:val="HideTWBExt"/>
      </w:rPr>
      <w:t>&lt;</w:t>
    </w:r>
    <w:proofErr w:type="spellStart"/>
    <w:r w:rsidRPr="001F16C6">
      <w:rPr>
        <w:rStyle w:val="HideTWBExt"/>
      </w:rPr>
      <w:t>NoPE</w:t>
    </w:r>
    <w:proofErr w:type="spellEnd"/>
    <w:r w:rsidRPr="001F16C6">
      <w:rPr>
        <w:rStyle w:val="HideTWBExt"/>
      </w:rPr>
      <w:t>&gt;</w:t>
    </w:r>
    <w:r w:rsidRPr="001F16C6">
      <w:t>790.136</w:t>
    </w:r>
    <w:r w:rsidRPr="001F16C6">
      <w:rPr>
        <w:rStyle w:val="HideTWBExt"/>
      </w:rPr>
      <w:t>&lt;/</w:t>
    </w:r>
    <w:proofErr w:type="spellStart"/>
    <w:r w:rsidRPr="001F16C6">
      <w:rPr>
        <w:rStyle w:val="HideTWBExt"/>
      </w:rPr>
      <w:t>NoPE</w:t>
    </w:r>
    <w:proofErr w:type="spellEnd"/>
    <w:r w:rsidRPr="001F16C6">
      <w:rPr>
        <w:rStyle w:val="HideTWBExt"/>
      </w:rPr>
      <w:t>&gt;&lt;Version&gt;</w:t>
    </w:r>
    <w:r w:rsidRPr="001F16C6">
      <w:t>v01-00</w:t>
    </w:r>
    <w:r w:rsidRPr="001F16C6">
      <w:rPr>
        <w:rStyle w:val="HideTWBExt"/>
      </w:rPr>
      <w:t>&lt;/</w:t>
    </w:r>
    <w:proofErr w:type="spellStart"/>
    <w:r w:rsidRPr="001F16C6">
      <w:rPr>
        <w:rStyle w:val="HideTWBExt"/>
      </w:rPr>
      <w:t>Version</w:t>
    </w:r>
    <w:proofErr w:type="spellEnd"/>
    <w:r w:rsidRPr="001F16C6">
      <w:rPr>
        <w:rStyle w:val="HideTWBExt"/>
      </w:rPr>
      <w:t>&gt;</w:t>
    </w:r>
  </w:p>
  <w:p w14:paraId="055C3D92" w14:textId="348FD772" w:rsidR="00D82FCC" w:rsidRPr="001F16C6" w:rsidRDefault="001F16C6" w:rsidP="001F16C6">
    <w:pPr>
      <w:pStyle w:val="EPFooter2"/>
    </w:pPr>
    <w:r w:rsidRPr="001F16C6">
      <w:tab/>
    </w:r>
    <w:r w:rsidRPr="001F16C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7199C" w14:textId="77777777" w:rsidR="001F16C6" w:rsidRPr="001F16C6" w:rsidRDefault="001F16C6" w:rsidP="001F16C6">
    <w:pPr>
      <w:pStyle w:val="EPFooter"/>
    </w:pPr>
    <w:r w:rsidRPr="001F16C6">
      <w:rPr>
        <w:rStyle w:val="HideTWBExt"/>
      </w:rPr>
      <w:t>&lt;PathFdR&gt;</w:t>
    </w:r>
    <w:r w:rsidRPr="001F16C6">
      <w:t>AM\1346405BG.docx</w:t>
    </w:r>
    <w:r w:rsidRPr="001F16C6">
      <w:rPr>
        <w:rStyle w:val="HideTWBExt"/>
      </w:rPr>
      <w:t>&lt;/</w:t>
    </w:r>
    <w:proofErr w:type="spellStart"/>
    <w:r w:rsidRPr="001F16C6">
      <w:rPr>
        <w:rStyle w:val="HideTWBExt"/>
      </w:rPr>
      <w:t>PathFdR</w:t>
    </w:r>
    <w:proofErr w:type="spellEnd"/>
    <w:r w:rsidRPr="001F16C6">
      <w:rPr>
        <w:rStyle w:val="HideTWBExt"/>
      </w:rPr>
      <w:t>&gt;</w:t>
    </w:r>
    <w:r w:rsidRPr="001F16C6">
      <w:tab/>
    </w:r>
    <w:r w:rsidRPr="001F16C6">
      <w:tab/>
      <w:t>PE</w:t>
    </w:r>
    <w:r w:rsidRPr="001F16C6">
      <w:rPr>
        <w:rStyle w:val="HideTWBExt"/>
      </w:rPr>
      <w:t>&lt;</w:t>
    </w:r>
    <w:proofErr w:type="spellStart"/>
    <w:r w:rsidRPr="001F16C6">
      <w:rPr>
        <w:rStyle w:val="HideTWBExt"/>
      </w:rPr>
      <w:t>NoPE</w:t>
    </w:r>
    <w:proofErr w:type="spellEnd"/>
    <w:r w:rsidRPr="001F16C6">
      <w:rPr>
        <w:rStyle w:val="HideTWBExt"/>
      </w:rPr>
      <w:t>&gt;</w:t>
    </w:r>
    <w:r w:rsidRPr="001F16C6">
      <w:t>790.136</w:t>
    </w:r>
    <w:r w:rsidRPr="001F16C6">
      <w:rPr>
        <w:rStyle w:val="HideTWBExt"/>
      </w:rPr>
      <w:t>&lt;/</w:t>
    </w:r>
    <w:proofErr w:type="spellStart"/>
    <w:r w:rsidRPr="001F16C6">
      <w:rPr>
        <w:rStyle w:val="HideTWBExt"/>
      </w:rPr>
      <w:t>NoPE</w:t>
    </w:r>
    <w:proofErr w:type="spellEnd"/>
    <w:r w:rsidRPr="001F16C6">
      <w:rPr>
        <w:rStyle w:val="HideTWBExt"/>
      </w:rPr>
      <w:t>&gt;&lt;Version&gt;</w:t>
    </w:r>
    <w:r w:rsidRPr="001F16C6">
      <w:t>v01-00</w:t>
    </w:r>
    <w:r w:rsidRPr="001F16C6">
      <w:rPr>
        <w:rStyle w:val="HideTWBExt"/>
      </w:rPr>
      <w:t>&lt;/</w:t>
    </w:r>
    <w:proofErr w:type="spellStart"/>
    <w:r w:rsidRPr="001F16C6">
      <w:rPr>
        <w:rStyle w:val="HideTWBExt"/>
      </w:rPr>
      <w:t>Version</w:t>
    </w:r>
    <w:proofErr w:type="spellEnd"/>
    <w:r w:rsidRPr="001F16C6">
      <w:rPr>
        <w:rStyle w:val="HideTWBExt"/>
      </w:rPr>
      <w:t>&gt;</w:t>
    </w:r>
  </w:p>
  <w:p w14:paraId="586B33E9" w14:textId="618ED020" w:rsidR="00D82FCC" w:rsidRPr="001F16C6" w:rsidRDefault="001F16C6" w:rsidP="001F16C6">
    <w:pPr>
      <w:pStyle w:val="EPFooter2"/>
    </w:pPr>
    <w:r w:rsidRPr="001F16C6">
      <w:t>BG</w:t>
    </w:r>
    <w:r w:rsidRPr="001F16C6">
      <w:tab/>
    </w:r>
    <w:r w:rsidRPr="001F16C6">
      <w:rPr>
        <w:b w:val="0"/>
        <w:i/>
        <w:color w:val="C0C0C0"/>
        <w:sz w:val="22"/>
      </w:rPr>
      <w:t>Единство в многообразието</w:t>
    </w:r>
    <w:r w:rsidRPr="001F16C6">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B59F" w14:textId="77777777" w:rsidR="00C84B22" w:rsidRPr="001F16C6" w:rsidRDefault="00C84B22">
      <w:r w:rsidRPr="001F16C6">
        <w:separator/>
      </w:r>
    </w:p>
  </w:footnote>
  <w:footnote w:type="continuationSeparator" w:id="0">
    <w:p w14:paraId="1B5FBEDB" w14:textId="77777777" w:rsidR="00C84B22" w:rsidRPr="001F16C6" w:rsidRDefault="00C84B22">
      <w:r w:rsidRPr="001F16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25B5" w14:textId="77777777" w:rsidR="00C84B22" w:rsidRDefault="00C84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5417" w14:textId="77777777" w:rsidR="00C84B22" w:rsidRDefault="00C84B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29B9" w14:textId="77777777" w:rsidR="00C84B22" w:rsidRDefault="00C84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874A9704">
      <w:start w:val="1"/>
      <w:numFmt w:val="decimal"/>
      <w:lvlText w:val="%1."/>
      <w:lvlJc w:val="left"/>
      <w:pPr>
        <w:ind w:left="720" w:hanging="360"/>
      </w:pPr>
      <w:rPr>
        <w:rFonts w:hint="default"/>
      </w:rPr>
    </w:lvl>
    <w:lvl w:ilvl="1" w:tplc="202EF53C" w:tentative="1">
      <w:start w:val="1"/>
      <w:numFmt w:val="lowerLetter"/>
      <w:lvlText w:val="%2."/>
      <w:lvlJc w:val="left"/>
      <w:pPr>
        <w:ind w:left="1440" w:hanging="360"/>
      </w:pPr>
    </w:lvl>
    <w:lvl w:ilvl="2" w:tplc="7EC834A6" w:tentative="1">
      <w:start w:val="1"/>
      <w:numFmt w:val="lowerRoman"/>
      <w:lvlText w:val="%3."/>
      <w:lvlJc w:val="right"/>
      <w:pPr>
        <w:ind w:left="2160" w:hanging="180"/>
      </w:pPr>
    </w:lvl>
    <w:lvl w:ilvl="3" w:tplc="1C065516" w:tentative="1">
      <w:start w:val="1"/>
      <w:numFmt w:val="decimal"/>
      <w:lvlText w:val="%4."/>
      <w:lvlJc w:val="left"/>
      <w:pPr>
        <w:ind w:left="2880" w:hanging="360"/>
      </w:pPr>
    </w:lvl>
    <w:lvl w:ilvl="4" w:tplc="88D4B816" w:tentative="1">
      <w:start w:val="1"/>
      <w:numFmt w:val="lowerLetter"/>
      <w:lvlText w:val="%5."/>
      <w:lvlJc w:val="left"/>
      <w:pPr>
        <w:ind w:left="3600" w:hanging="360"/>
      </w:pPr>
    </w:lvl>
    <w:lvl w:ilvl="5" w:tplc="A844B616" w:tentative="1">
      <w:start w:val="1"/>
      <w:numFmt w:val="lowerRoman"/>
      <w:lvlText w:val="%6."/>
      <w:lvlJc w:val="right"/>
      <w:pPr>
        <w:ind w:left="4320" w:hanging="180"/>
      </w:pPr>
    </w:lvl>
    <w:lvl w:ilvl="6" w:tplc="05C220D6" w:tentative="1">
      <w:start w:val="1"/>
      <w:numFmt w:val="decimal"/>
      <w:lvlText w:val="%7."/>
      <w:lvlJc w:val="left"/>
      <w:pPr>
        <w:ind w:left="5040" w:hanging="360"/>
      </w:pPr>
    </w:lvl>
    <w:lvl w:ilvl="7" w:tplc="0A2CB46E" w:tentative="1">
      <w:start w:val="1"/>
      <w:numFmt w:val="lowerLetter"/>
      <w:lvlText w:val="%8."/>
      <w:lvlJc w:val="left"/>
      <w:pPr>
        <w:ind w:left="5760" w:hanging="360"/>
      </w:pPr>
    </w:lvl>
    <w:lvl w:ilvl="8" w:tplc="773E1EF2"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D7AC9AEA">
      <w:start w:val="1"/>
      <w:numFmt w:val="decimal"/>
      <w:lvlText w:val="%1."/>
      <w:lvlJc w:val="left"/>
      <w:pPr>
        <w:ind w:left="720" w:hanging="360"/>
      </w:pPr>
      <w:rPr>
        <w:rFonts w:hint="default"/>
      </w:rPr>
    </w:lvl>
    <w:lvl w:ilvl="1" w:tplc="67A20B3E" w:tentative="1">
      <w:start w:val="1"/>
      <w:numFmt w:val="lowerLetter"/>
      <w:lvlText w:val="%2."/>
      <w:lvlJc w:val="left"/>
      <w:pPr>
        <w:ind w:left="1440" w:hanging="360"/>
      </w:pPr>
    </w:lvl>
    <w:lvl w:ilvl="2" w:tplc="A746AD2A" w:tentative="1">
      <w:start w:val="1"/>
      <w:numFmt w:val="lowerRoman"/>
      <w:lvlText w:val="%3."/>
      <w:lvlJc w:val="right"/>
      <w:pPr>
        <w:ind w:left="2160" w:hanging="180"/>
      </w:pPr>
    </w:lvl>
    <w:lvl w:ilvl="3" w:tplc="B3F073F2" w:tentative="1">
      <w:start w:val="1"/>
      <w:numFmt w:val="decimal"/>
      <w:lvlText w:val="%4."/>
      <w:lvlJc w:val="left"/>
      <w:pPr>
        <w:ind w:left="2880" w:hanging="360"/>
      </w:pPr>
    </w:lvl>
    <w:lvl w:ilvl="4" w:tplc="ADD6645A" w:tentative="1">
      <w:start w:val="1"/>
      <w:numFmt w:val="lowerLetter"/>
      <w:lvlText w:val="%5."/>
      <w:lvlJc w:val="left"/>
      <w:pPr>
        <w:ind w:left="3600" w:hanging="360"/>
      </w:pPr>
    </w:lvl>
    <w:lvl w:ilvl="5" w:tplc="50180636" w:tentative="1">
      <w:start w:val="1"/>
      <w:numFmt w:val="lowerRoman"/>
      <w:lvlText w:val="%6."/>
      <w:lvlJc w:val="right"/>
      <w:pPr>
        <w:ind w:left="4320" w:hanging="180"/>
      </w:pPr>
    </w:lvl>
    <w:lvl w:ilvl="6" w:tplc="9D5EA2EC" w:tentative="1">
      <w:start w:val="1"/>
      <w:numFmt w:val="decimal"/>
      <w:lvlText w:val="%7."/>
      <w:lvlJc w:val="left"/>
      <w:pPr>
        <w:ind w:left="5040" w:hanging="360"/>
      </w:pPr>
    </w:lvl>
    <w:lvl w:ilvl="7" w:tplc="A7A85598" w:tentative="1">
      <w:start w:val="1"/>
      <w:numFmt w:val="lowerLetter"/>
      <w:lvlText w:val="%8."/>
      <w:lvlJc w:val="left"/>
      <w:pPr>
        <w:ind w:left="5760" w:hanging="360"/>
      </w:pPr>
    </w:lvl>
    <w:lvl w:ilvl="8" w:tplc="2E06F040"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F14236F8">
      <w:start w:val="1"/>
      <w:numFmt w:val="lowerLetter"/>
      <w:lvlText w:val="(%1)"/>
      <w:lvlJc w:val="left"/>
      <w:pPr>
        <w:ind w:left="720" w:hanging="360"/>
      </w:pPr>
      <w:rPr>
        <w:rFonts w:hint="default"/>
      </w:rPr>
    </w:lvl>
    <w:lvl w:ilvl="1" w:tplc="4B1E1A6E" w:tentative="1">
      <w:start w:val="1"/>
      <w:numFmt w:val="lowerLetter"/>
      <w:lvlText w:val="%2."/>
      <w:lvlJc w:val="left"/>
      <w:pPr>
        <w:ind w:left="1440" w:hanging="360"/>
      </w:pPr>
    </w:lvl>
    <w:lvl w:ilvl="2" w:tplc="7854981C" w:tentative="1">
      <w:start w:val="1"/>
      <w:numFmt w:val="lowerRoman"/>
      <w:lvlText w:val="%3."/>
      <w:lvlJc w:val="right"/>
      <w:pPr>
        <w:ind w:left="2160" w:hanging="180"/>
      </w:pPr>
    </w:lvl>
    <w:lvl w:ilvl="3" w:tplc="F61C3B04" w:tentative="1">
      <w:start w:val="1"/>
      <w:numFmt w:val="decimal"/>
      <w:lvlText w:val="%4."/>
      <w:lvlJc w:val="left"/>
      <w:pPr>
        <w:ind w:left="2880" w:hanging="360"/>
      </w:pPr>
    </w:lvl>
    <w:lvl w:ilvl="4" w:tplc="63146F04" w:tentative="1">
      <w:start w:val="1"/>
      <w:numFmt w:val="lowerLetter"/>
      <w:lvlText w:val="%5."/>
      <w:lvlJc w:val="left"/>
      <w:pPr>
        <w:ind w:left="3600" w:hanging="360"/>
      </w:pPr>
    </w:lvl>
    <w:lvl w:ilvl="5" w:tplc="4F76F8BE" w:tentative="1">
      <w:start w:val="1"/>
      <w:numFmt w:val="lowerRoman"/>
      <w:lvlText w:val="%6."/>
      <w:lvlJc w:val="right"/>
      <w:pPr>
        <w:ind w:left="4320" w:hanging="180"/>
      </w:pPr>
    </w:lvl>
    <w:lvl w:ilvl="6" w:tplc="46D6EC60" w:tentative="1">
      <w:start w:val="1"/>
      <w:numFmt w:val="decimal"/>
      <w:lvlText w:val="%7."/>
      <w:lvlJc w:val="left"/>
      <w:pPr>
        <w:ind w:left="5040" w:hanging="360"/>
      </w:pPr>
    </w:lvl>
    <w:lvl w:ilvl="7" w:tplc="CB3073BC" w:tentative="1">
      <w:start w:val="1"/>
      <w:numFmt w:val="lowerLetter"/>
      <w:lvlText w:val="%8."/>
      <w:lvlJc w:val="left"/>
      <w:pPr>
        <w:ind w:left="5760" w:hanging="360"/>
      </w:pPr>
    </w:lvl>
    <w:lvl w:ilvl="8" w:tplc="738EAEEE"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157C82BE">
      <w:start w:val="1"/>
      <w:numFmt w:val="lowerLetter"/>
      <w:lvlText w:val="(%1)"/>
      <w:lvlJc w:val="left"/>
      <w:pPr>
        <w:ind w:left="750" w:hanging="390"/>
      </w:pPr>
      <w:rPr>
        <w:rFonts w:hint="default"/>
      </w:rPr>
    </w:lvl>
    <w:lvl w:ilvl="1" w:tplc="1D40A20C" w:tentative="1">
      <w:start w:val="1"/>
      <w:numFmt w:val="lowerLetter"/>
      <w:lvlText w:val="%2."/>
      <w:lvlJc w:val="left"/>
      <w:pPr>
        <w:ind w:left="1440" w:hanging="360"/>
      </w:pPr>
    </w:lvl>
    <w:lvl w:ilvl="2" w:tplc="41AA9CD6" w:tentative="1">
      <w:start w:val="1"/>
      <w:numFmt w:val="lowerRoman"/>
      <w:lvlText w:val="%3."/>
      <w:lvlJc w:val="right"/>
      <w:pPr>
        <w:ind w:left="2160" w:hanging="180"/>
      </w:pPr>
    </w:lvl>
    <w:lvl w:ilvl="3" w:tplc="554CC9D6" w:tentative="1">
      <w:start w:val="1"/>
      <w:numFmt w:val="decimal"/>
      <w:lvlText w:val="%4."/>
      <w:lvlJc w:val="left"/>
      <w:pPr>
        <w:ind w:left="2880" w:hanging="360"/>
      </w:pPr>
    </w:lvl>
    <w:lvl w:ilvl="4" w:tplc="C13CC31E" w:tentative="1">
      <w:start w:val="1"/>
      <w:numFmt w:val="lowerLetter"/>
      <w:lvlText w:val="%5."/>
      <w:lvlJc w:val="left"/>
      <w:pPr>
        <w:ind w:left="3600" w:hanging="360"/>
      </w:pPr>
    </w:lvl>
    <w:lvl w:ilvl="5" w:tplc="0BBEEC76" w:tentative="1">
      <w:start w:val="1"/>
      <w:numFmt w:val="lowerRoman"/>
      <w:lvlText w:val="%6."/>
      <w:lvlJc w:val="right"/>
      <w:pPr>
        <w:ind w:left="4320" w:hanging="180"/>
      </w:pPr>
    </w:lvl>
    <w:lvl w:ilvl="6" w:tplc="243C86AC" w:tentative="1">
      <w:start w:val="1"/>
      <w:numFmt w:val="decimal"/>
      <w:lvlText w:val="%7."/>
      <w:lvlJc w:val="left"/>
      <w:pPr>
        <w:ind w:left="5040" w:hanging="360"/>
      </w:pPr>
    </w:lvl>
    <w:lvl w:ilvl="7" w:tplc="F96A2484" w:tentative="1">
      <w:start w:val="1"/>
      <w:numFmt w:val="lowerLetter"/>
      <w:lvlText w:val="%8."/>
      <w:lvlJc w:val="left"/>
      <w:pPr>
        <w:ind w:left="5760" w:hanging="360"/>
      </w:pPr>
    </w:lvl>
    <w:lvl w:ilvl="8" w:tplc="62A24E90"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82FC5EF4">
      <w:start w:val="1"/>
      <w:numFmt w:val="lowerLetter"/>
      <w:lvlText w:val="(%1)"/>
      <w:lvlJc w:val="left"/>
      <w:pPr>
        <w:ind w:left="720" w:hanging="360"/>
      </w:pPr>
      <w:rPr>
        <w:rFonts w:hint="default"/>
      </w:rPr>
    </w:lvl>
    <w:lvl w:ilvl="1" w:tplc="174AF1E8" w:tentative="1">
      <w:start w:val="1"/>
      <w:numFmt w:val="lowerLetter"/>
      <w:lvlText w:val="%2."/>
      <w:lvlJc w:val="left"/>
      <w:pPr>
        <w:ind w:left="1440" w:hanging="360"/>
      </w:pPr>
    </w:lvl>
    <w:lvl w:ilvl="2" w:tplc="EB7209F6" w:tentative="1">
      <w:start w:val="1"/>
      <w:numFmt w:val="lowerRoman"/>
      <w:lvlText w:val="%3."/>
      <w:lvlJc w:val="right"/>
      <w:pPr>
        <w:ind w:left="2160" w:hanging="180"/>
      </w:pPr>
    </w:lvl>
    <w:lvl w:ilvl="3" w:tplc="95485B96" w:tentative="1">
      <w:start w:val="1"/>
      <w:numFmt w:val="decimal"/>
      <w:lvlText w:val="%4."/>
      <w:lvlJc w:val="left"/>
      <w:pPr>
        <w:ind w:left="2880" w:hanging="360"/>
      </w:pPr>
    </w:lvl>
    <w:lvl w:ilvl="4" w:tplc="F1B2D5C4" w:tentative="1">
      <w:start w:val="1"/>
      <w:numFmt w:val="lowerLetter"/>
      <w:lvlText w:val="%5."/>
      <w:lvlJc w:val="left"/>
      <w:pPr>
        <w:ind w:left="3600" w:hanging="360"/>
      </w:pPr>
    </w:lvl>
    <w:lvl w:ilvl="5" w:tplc="7D5810AE" w:tentative="1">
      <w:start w:val="1"/>
      <w:numFmt w:val="lowerRoman"/>
      <w:lvlText w:val="%6."/>
      <w:lvlJc w:val="right"/>
      <w:pPr>
        <w:ind w:left="4320" w:hanging="180"/>
      </w:pPr>
    </w:lvl>
    <w:lvl w:ilvl="6" w:tplc="30F46A52" w:tentative="1">
      <w:start w:val="1"/>
      <w:numFmt w:val="decimal"/>
      <w:lvlText w:val="%7."/>
      <w:lvlJc w:val="left"/>
      <w:pPr>
        <w:ind w:left="5040" w:hanging="360"/>
      </w:pPr>
    </w:lvl>
    <w:lvl w:ilvl="7" w:tplc="38CC4EBE" w:tentative="1">
      <w:start w:val="1"/>
      <w:numFmt w:val="lowerLetter"/>
      <w:lvlText w:val="%8."/>
      <w:lvlJc w:val="left"/>
      <w:pPr>
        <w:ind w:left="5760" w:hanging="360"/>
      </w:pPr>
    </w:lvl>
    <w:lvl w:ilvl="8" w:tplc="5D0AAD4C"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851A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1F16C6"/>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610D"/>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4B2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43655"/>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1062</Words>
  <Characters>6741</Characters>
  <Application>Microsoft Office Word</Application>
  <DocSecurity>0</DocSecurity>
  <Lines>308</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2026-07-07T13:17:00Z</dcterms:created>
  <dcterms:modified xsi:type="dcterms:W3CDTF">2026-07-07T13:17:00Z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AM\1346405BG.docx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- 2026/07/07 15:16</vt:lpwstr>
  </property>
</Properties>
</file>