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13F29" w:rsidRPr="002B5FC9" w14:paraId="2CF2840A" w14:textId="77777777" w:rsidTr="00C85D0F">
        <w:trPr>
          <w:trHeight w:hRule="exact" w:val="1418"/>
        </w:trPr>
        <w:tc>
          <w:tcPr>
            <w:tcW w:w="6804" w:type="dxa"/>
            <w:shd w:val="clear" w:color="auto" w:fill="auto"/>
            <w:vAlign w:val="center"/>
          </w:tcPr>
          <w:p w14:paraId="5607EA70" w14:textId="77777777" w:rsidR="00BE5062" w:rsidRPr="002B5FC9" w:rsidRDefault="00F403A3" w:rsidP="00C85D0F">
            <w:pPr>
              <w:pStyle w:val="EPName"/>
            </w:pPr>
            <w:r w:rsidRPr="002B5FC9">
              <w:t>Europäisches Parlament</w:t>
            </w:r>
          </w:p>
          <w:p w14:paraId="08B9BE75" w14:textId="77777777" w:rsidR="00BE5062" w:rsidRPr="002B5FC9" w:rsidRDefault="00F403A3" w:rsidP="00C85D0F">
            <w:pPr>
              <w:pStyle w:val="EPTerm"/>
            </w:pPr>
            <w:r w:rsidRPr="002B5FC9">
              <w:t>2024-2029</w:t>
            </w:r>
          </w:p>
        </w:tc>
        <w:tc>
          <w:tcPr>
            <w:tcW w:w="2268" w:type="dxa"/>
            <w:shd w:val="clear" w:color="auto" w:fill="auto"/>
          </w:tcPr>
          <w:p w14:paraId="58CC33F8" w14:textId="77777777" w:rsidR="00BE5062" w:rsidRPr="002B5FC9" w:rsidRDefault="00F403A3" w:rsidP="00C85D0F">
            <w:pPr>
              <w:pStyle w:val="EPLogo"/>
            </w:pPr>
            <w:r w:rsidRPr="002B5FC9">
              <w:rPr>
                <w:noProof/>
              </w:rPr>
              <w:drawing>
                <wp:inline distT="0" distB="0" distL="0" distR="0" wp14:anchorId="66385FCF" wp14:editId="1BC075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EC05064" w14:textId="77777777" w:rsidR="000E7234" w:rsidRPr="002B5FC9" w:rsidRDefault="000E7234" w:rsidP="000E7234">
      <w:pPr>
        <w:pStyle w:val="LineTop"/>
      </w:pPr>
    </w:p>
    <w:p w14:paraId="62D90795" w14:textId="77777777" w:rsidR="000E7234" w:rsidRPr="002B5FC9" w:rsidRDefault="00F403A3" w:rsidP="000E7234">
      <w:pPr>
        <w:pStyle w:val="EPBody"/>
      </w:pPr>
      <w:r w:rsidRPr="002B5FC9">
        <w:rPr>
          <w:rStyle w:val="HideTWBExt"/>
        </w:rPr>
        <w:t>&lt;</w:t>
      </w:r>
      <w:r w:rsidRPr="002B5FC9">
        <w:rPr>
          <w:rStyle w:val="HideTWBExt"/>
          <w:i w:val="0"/>
        </w:rPr>
        <w:t>Commission</w:t>
      </w:r>
      <w:r w:rsidRPr="002B5FC9">
        <w:rPr>
          <w:rStyle w:val="HideTWBExt"/>
        </w:rPr>
        <w:t>&gt;</w:t>
      </w:r>
      <w:r w:rsidRPr="002B5FC9">
        <w:rPr>
          <w:rStyle w:val="HideTWBInt"/>
          <w:color w:val="auto"/>
        </w:rPr>
        <w:t>{LIBE}</w:t>
      </w:r>
      <w:r w:rsidRPr="002B5FC9">
        <w:t>Ausschuss für bürgerliche Freiheiten, Justiz und Inneres</w:t>
      </w:r>
      <w:r w:rsidRPr="002B5FC9">
        <w:rPr>
          <w:rStyle w:val="HideTWBExt"/>
        </w:rPr>
        <w:t>&lt;/</w:t>
      </w:r>
      <w:r w:rsidRPr="002B5FC9">
        <w:rPr>
          <w:rStyle w:val="HideTWBExt"/>
          <w:i w:val="0"/>
        </w:rPr>
        <w:t>Commission</w:t>
      </w:r>
      <w:r w:rsidRPr="002B5FC9">
        <w:rPr>
          <w:rStyle w:val="HideTWBExt"/>
        </w:rPr>
        <w:t>&gt;</w:t>
      </w:r>
    </w:p>
    <w:p w14:paraId="3B04D7B0" w14:textId="77777777" w:rsidR="000E7234" w:rsidRPr="002B5FC9" w:rsidRDefault="000E7234" w:rsidP="000E7234">
      <w:pPr>
        <w:pStyle w:val="LineBottom"/>
      </w:pPr>
    </w:p>
    <w:p w14:paraId="43D35EBE" w14:textId="77777777" w:rsidR="00B85286" w:rsidRPr="002B5FC9" w:rsidRDefault="00F403A3">
      <w:pPr>
        <w:pStyle w:val="CoverReference"/>
      </w:pPr>
      <w:r w:rsidRPr="002B5FC9">
        <w:rPr>
          <w:rStyle w:val="HideTWBExt"/>
          <w:b w:val="0"/>
        </w:rPr>
        <w:t>&lt;RefProc&gt;</w:t>
      </w:r>
      <w:r w:rsidRPr="002B5FC9">
        <w:t>2025/0541</w:t>
      </w:r>
      <w:r w:rsidRPr="002B5FC9">
        <w:rPr>
          <w:rStyle w:val="HideTWBExt"/>
          <w:b w:val="0"/>
        </w:rPr>
        <w:t>&lt;/RefProc&gt;&lt;RefTypeProc&gt;</w:t>
      </w:r>
      <w:r w:rsidRPr="002B5FC9">
        <w:t>(COD)</w:t>
      </w:r>
      <w:r w:rsidRPr="002B5FC9">
        <w:rPr>
          <w:rStyle w:val="HideTWBExt"/>
          <w:b w:val="0"/>
        </w:rPr>
        <w:t>&lt;/RefTypeProc&gt;</w:t>
      </w:r>
    </w:p>
    <w:p w14:paraId="1EE676C4" w14:textId="77777777" w:rsidR="00B85286" w:rsidRPr="002B5FC9" w:rsidRDefault="00F403A3">
      <w:pPr>
        <w:pStyle w:val="CoverDate"/>
      </w:pPr>
      <w:r w:rsidRPr="002B5FC9">
        <w:rPr>
          <w:rStyle w:val="HideTWBExt"/>
        </w:rPr>
        <w:t>&lt;Date&gt;</w:t>
      </w:r>
      <w:r w:rsidRPr="002B5FC9">
        <w:rPr>
          <w:rStyle w:val="HideTWBInt"/>
          <w:color w:val="auto"/>
        </w:rPr>
        <w:t>{24/06/2026}</w:t>
      </w:r>
      <w:r w:rsidRPr="002B5FC9">
        <w:t>24.6.2026</w:t>
      </w:r>
      <w:r w:rsidRPr="002B5FC9">
        <w:rPr>
          <w:rStyle w:val="HideTWBExt"/>
        </w:rPr>
        <w:t>&lt;/Date&gt;</w:t>
      </w:r>
    </w:p>
    <w:p w14:paraId="0A670B95" w14:textId="77777777" w:rsidR="009B0305" w:rsidRPr="002B5FC9" w:rsidRDefault="00F403A3" w:rsidP="009B0305">
      <w:pPr>
        <w:pStyle w:val="CoverDocType"/>
      </w:pPr>
      <w:r w:rsidRPr="002B5FC9">
        <w:rPr>
          <w:rStyle w:val="HideTWBExt"/>
          <w:b w:val="0"/>
        </w:rPr>
        <w:t>&lt;TypeAM&gt;</w:t>
      </w:r>
      <w:r w:rsidRPr="002B5FC9">
        <w:t>ÄNDERUNGSANTRAG</w:t>
      </w:r>
      <w:r w:rsidRPr="002B5FC9">
        <w:rPr>
          <w:rStyle w:val="HideTWBExt"/>
          <w:b w:val="0"/>
        </w:rPr>
        <w:t>&lt;/TypeAM&gt;</w:t>
      </w:r>
    </w:p>
    <w:p w14:paraId="2E340675" w14:textId="77777777" w:rsidR="00B85286" w:rsidRPr="002B5FC9" w:rsidRDefault="00F403A3" w:rsidP="001C2054">
      <w:pPr>
        <w:pStyle w:val="CoverDocType24a"/>
      </w:pPr>
      <w:r w:rsidRPr="002B5FC9">
        <w:rPr>
          <w:rStyle w:val="HideTWBExt"/>
          <w:b w:val="0"/>
        </w:rPr>
        <w:t>&lt;RangeAM&gt;</w:t>
      </w:r>
      <w:r w:rsidRPr="002B5FC9">
        <w:t>206</w:t>
      </w:r>
      <w:r w:rsidRPr="002B5FC9">
        <w:rPr>
          <w:rStyle w:val="HideTWBExt"/>
          <w:b w:val="0"/>
        </w:rPr>
        <w:t>&lt;/RangeAM&gt;</w:t>
      </w:r>
    </w:p>
    <w:p w14:paraId="1CE87A3E" w14:textId="77777777" w:rsidR="001C2054" w:rsidRPr="002B5FC9" w:rsidRDefault="00F403A3" w:rsidP="00A93F8C">
      <w:pPr>
        <w:pStyle w:val="CoverBold"/>
      </w:pPr>
      <w:r w:rsidRPr="002B5FC9">
        <w:rPr>
          <w:rStyle w:val="HideTWBExt"/>
          <w:b w:val="0"/>
        </w:rPr>
        <w:t>&lt;TitreType&gt;</w:t>
      </w:r>
      <w:r w:rsidRPr="002B5FC9">
        <w:t>Entwurf eines Berichts</w:t>
      </w:r>
      <w:r w:rsidRPr="002B5FC9">
        <w:rPr>
          <w:rStyle w:val="HideTWBExt"/>
          <w:b w:val="0"/>
        </w:rPr>
        <w:t>&lt;/TitreType&gt;</w:t>
      </w:r>
    </w:p>
    <w:p w14:paraId="1DA657CB" w14:textId="77777777" w:rsidR="00B85286" w:rsidRPr="00F403A3" w:rsidRDefault="00F403A3" w:rsidP="00A93F8C">
      <w:pPr>
        <w:pStyle w:val="CoverBold"/>
        <w:rPr>
          <w:lang w:val="fr-BE"/>
        </w:rPr>
      </w:pPr>
      <w:r w:rsidRPr="00F403A3">
        <w:rPr>
          <w:rStyle w:val="HideTWBExt"/>
          <w:b w:val="0"/>
          <w:lang w:val="fr-BE"/>
        </w:rPr>
        <w:t>&lt;Rapporteur&gt;</w:t>
      </w:r>
      <w:r w:rsidRPr="00F403A3">
        <w:rPr>
          <w:lang w:val="fr-BE"/>
        </w:rPr>
        <w:t>Karlo Ressler</w:t>
      </w:r>
      <w:r w:rsidRPr="00F403A3">
        <w:rPr>
          <w:rStyle w:val="HideTWBExt"/>
          <w:b w:val="0"/>
          <w:lang w:val="fr-BE"/>
        </w:rPr>
        <w:t>&lt;/Rapporteur&gt;</w:t>
      </w:r>
    </w:p>
    <w:p w14:paraId="1182D43A" w14:textId="77777777" w:rsidR="00B85286" w:rsidRPr="00F403A3" w:rsidRDefault="00F403A3">
      <w:pPr>
        <w:pStyle w:val="CoverNormal24a"/>
        <w:rPr>
          <w:lang w:val="fr-BE"/>
        </w:rPr>
      </w:pPr>
      <w:r w:rsidRPr="00F403A3">
        <w:rPr>
          <w:rStyle w:val="HideTWBExt"/>
          <w:lang w:val="fr-BE"/>
        </w:rPr>
        <w:t>&lt;DocRefPE&gt;</w:t>
      </w:r>
      <w:r w:rsidRPr="00F403A3">
        <w:rPr>
          <w:lang w:val="fr-BE"/>
        </w:rPr>
        <w:t>(PE788.793v01-00)</w:t>
      </w:r>
      <w:r w:rsidRPr="00F403A3">
        <w:rPr>
          <w:rStyle w:val="HideTWBExt"/>
          <w:lang w:val="fr-BE"/>
        </w:rPr>
        <w:t>&lt;/DocRefPE&gt;</w:t>
      </w:r>
    </w:p>
    <w:p w14:paraId="63146180" w14:textId="77777777" w:rsidR="00B85286" w:rsidRPr="002B5FC9" w:rsidRDefault="00F403A3">
      <w:pPr>
        <w:pStyle w:val="CoverNormal24a"/>
      </w:pPr>
      <w:r w:rsidRPr="002B5FC9">
        <w:rPr>
          <w:rStyle w:val="HideTWBExt"/>
        </w:rPr>
        <w:t>&lt;Titre&gt;</w:t>
      </w:r>
      <w:r w:rsidRPr="002B5FC9">
        <w:t xml:space="preserve">über den Vorschlag für eine Verordnung des Europäischen Parlaments und des </w:t>
      </w:r>
      <w:r w:rsidRPr="002B5FC9">
        <w:t>Rates über die Unionsunterstützung für den Schengen-Raum, die integrierte europäische Grenzverwaltung und die gemeinsame Visumpolitik für den Zeitraum 2028 bis 2034</w:t>
      </w:r>
      <w:r w:rsidRPr="002B5FC9">
        <w:rPr>
          <w:rStyle w:val="HideTWBExt"/>
        </w:rPr>
        <w:t>&lt;/Titre&gt;</w:t>
      </w:r>
    </w:p>
    <w:p w14:paraId="1FED60B1" w14:textId="77777777" w:rsidR="006337D4" w:rsidRPr="002B5FC9" w:rsidRDefault="00F403A3" w:rsidP="006337D4">
      <w:pPr>
        <w:pStyle w:val="CoverNormal"/>
      </w:pPr>
      <w:r w:rsidRPr="002B5FC9">
        <w:rPr>
          <w:rStyle w:val="HideTWBExt"/>
        </w:rPr>
        <w:t>&lt;DocAmend&gt;</w:t>
      </w:r>
      <w:r w:rsidRPr="002B5FC9">
        <w:t>Vorschlag für eine Verordnung</w:t>
      </w:r>
      <w:r w:rsidRPr="002B5FC9">
        <w:rPr>
          <w:rStyle w:val="HideTWBExt"/>
        </w:rPr>
        <w:t>&lt;/DocAmend&gt;</w:t>
      </w:r>
    </w:p>
    <w:p w14:paraId="70A31D12" w14:textId="77777777" w:rsidR="00B85286" w:rsidRPr="00F403A3" w:rsidRDefault="00F403A3">
      <w:pPr>
        <w:pStyle w:val="CoverNormal24a"/>
        <w:rPr>
          <w:lang w:val="pt-PT"/>
        </w:rPr>
      </w:pPr>
      <w:r w:rsidRPr="00F403A3">
        <w:rPr>
          <w:rStyle w:val="HideTWBExt"/>
          <w:lang w:val="pt-PT"/>
        </w:rPr>
        <w:t>&lt;DocRef&gt;</w:t>
      </w:r>
      <w:r w:rsidRPr="00F403A3">
        <w:rPr>
          <w:lang w:val="pt-PT"/>
        </w:rPr>
        <w:t>(COM(2025)0541 – C10</w:t>
      </w:r>
      <w:r w:rsidRPr="00F403A3">
        <w:rPr>
          <w:lang w:val="pt-PT"/>
        </w:rPr>
        <w:noBreakHyphen/>
        <w:t>0176/2025 – 2025/0541(COD))</w:t>
      </w:r>
      <w:r w:rsidRPr="00F403A3">
        <w:rPr>
          <w:rStyle w:val="HideTWBExt"/>
          <w:lang w:val="pt-PT"/>
        </w:rPr>
        <w:t>&lt;/DocRef&gt;</w:t>
      </w:r>
    </w:p>
    <w:p w14:paraId="3C9F3346" w14:textId="77777777" w:rsidR="00B85286" w:rsidRPr="002B5FC9" w:rsidRDefault="00F403A3" w:rsidP="00E660E2">
      <w:pPr>
        <w:widowControl/>
        <w:tabs>
          <w:tab w:val="center" w:pos="4677"/>
        </w:tabs>
      </w:pPr>
      <w:r w:rsidRPr="00F403A3">
        <w:br w:type="page"/>
      </w:r>
      <w:r w:rsidRPr="002B5FC9">
        <w:lastRenderedPageBreak/>
        <w:t>AM_Com_LegReport</w:t>
      </w:r>
    </w:p>
    <w:p w14:paraId="427EE876" w14:textId="77777777" w:rsidR="003E43AC" w:rsidRPr="002B5FC9" w:rsidRDefault="00F403A3" w:rsidP="001444E0">
      <w:pPr>
        <w:pStyle w:val="AmNumberTabs"/>
        <w:keepNext/>
      </w:pPr>
      <w:r w:rsidRPr="002B5FC9">
        <w:br w:type="page"/>
      </w:r>
      <w:bookmarkStart w:id="0" w:name="IntroB"/>
      <w:r w:rsidRPr="002B5FC9">
        <w:rPr>
          <w:rStyle w:val="HideTWBExt"/>
          <w:b w:val="0"/>
        </w:rPr>
        <w:lastRenderedPageBreak/>
        <w:t>&lt;RepeatBlock-Amend&gt;</w:t>
      </w:r>
      <w:bookmarkStart w:id="1" w:name="restart"/>
      <w:bookmarkEnd w:id="0"/>
      <w:r w:rsidRPr="002B5FC9">
        <w:rPr>
          <w:rStyle w:val="HideTWBExt"/>
          <w:b w:val="0"/>
        </w:rPr>
        <w:t>&lt;Amend&gt;</w:t>
      </w:r>
      <w:r w:rsidRPr="002B5FC9">
        <w:t>Änderungsantrag</w:t>
      </w:r>
      <w:r w:rsidRPr="002B5FC9">
        <w:tab/>
      </w:r>
      <w:r w:rsidRPr="002B5FC9">
        <w:tab/>
      </w:r>
      <w:r w:rsidRPr="002B5FC9">
        <w:rPr>
          <w:rStyle w:val="HideTWBExt"/>
          <w:b w:val="0"/>
        </w:rPr>
        <w:t>&lt;NumAm&gt;</w:t>
      </w:r>
      <w:r w:rsidRPr="002B5FC9">
        <w:t>206</w:t>
      </w:r>
      <w:r w:rsidRPr="002B5FC9">
        <w:rPr>
          <w:rStyle w:val="HideTWBExt"/>
          <w:b w:val="0"/>
        </w:rPr>
        <w:t>&lt;/NumAm&gt;</w:t>
      </w:r>
    </w:p>
    <w:p w14:paraId="19A8BD27" w14:textId="77777777" w:rsidR="005B32E3" w:rsidRPr="00F403A3" w:rsidRDefault="00F403A3" w:rsidP="005B32E3">
      <w:pPr>
        <w:pStyle w:val="NormalBold"/>
        <w:rPr>
          <w:lang w:val="en-GB"/>
        </w:rPr>
      </w:pPr>
      <w:r w:rsidRPr="00F403A3">
        <w:rPr>
          <w:rStyle w:val="HideTWBExt"/>
          <w:b w:val="0"/>
          <w:lang w:val="en-GB"/>
        </w:rPr>
        <w:t>&lt;RepeatBlock-By&gt;&lt;Members&gt;</w:t>
      </w:r>
      <w:r w:rsidRPr="00F403A3">
        <w:rPr>
          <w:lang w:val="en-GB"/>
        </w:rPr>
        <w:t>Murielle Laurent</w:t>
      </w:r>
      <w:r w:rsidRPr="00F403A3">
        <w:rPr>
          <w:rStyle w:val="HideTWBExt"/>
          <w:b w:val="0"/>
          <w:lang w:val="en-GB"/>
        </w:rPr>
        <w:t>&lt;/Members&gt;</w:t>
      </w:r>
    </w:p>
    <w:p w14:paraId="796D432D" w14:textId="77777777" w:rsidR="005B32E3" w:rsidRPr="002B5FC9" w:rsidRDefault="00F403A3" w:rsidP="005B32E3">
      <w:r w:rsidRPr="002B5FC9">
        <w:rPr>
          <w:rStyle w:val="HideTWBExt"/>
        </w:rPr>
        <w:t>&lt;/RepeatBlock-By&gt;</w:t>
      </w:r>
    </w:p>
    <w:p w14:paraId="6FB71685" w14:textId="77777777" w:rsidR="009B0305" w:rsidRPr="002B5FC9" w:rsidRDefault="00F403A3" w:rsidP="005B32E3">
      <w:pPr>
        <w:pStyle w:val="NormalBold"/>
      </w:pPr>
      <w:r w:rsidRPr="002B5FC9">
        <w:rPr>
          <w:rStyle w:val="HideTWBExt"/>
          <w:b w:val="0"/>
        </w:rPr>
        <w:t>&lt;DocAmend&gt;</w:t>
      </w:r>
      <w:r w:rsidRPr="002B5FC9">
        <w:t>Vorschlag für eine Verordnung</w:t>
      </w:r>
      <w:r w:rsidRPr="002B5FC9">
        <w:rPr>
          <w:rStyle w:val="HideTWBExt"/>
          <w:b w:val="0"/>
        </w:rPr>
        <w:t>&lt;/DocAmend&gt;</w:t>
      </w:r>
    </w:p>
    <w:p w14:paraId="5DE7F236" w14:textId="77777777" w:rsidR="009B0305" w:rsidRPr="002B5FC9" w:rsidRDefault="00F403A3" w:rsidP="00A233E9">
      <w:pPr>
        <w:pStyle w:val="NormalBold"/>
        <w:keepNext/>
      </w:pPr>
      <w:r w:rsidRPr="002B5FC9">
        <w:rPr>
          <w:rStyle w:val="HideTWBExt"/>
          <w:b w:val="0"/>
        </w:rPr>
        <w:t>&lt;Article&gt;</w:t>
      </w:r>
      <w:r w:rsidRPr="002B5FC9">
        <w:t>Anhang (neu)</w:t>
      </w:r>
      <w:r w:rsidRPr="002B5FC9">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3F29" w:rsidRPr="002B5FC9" w14:paraId="17B0C1DD" w14:textId="77777777">
        <w:trPr>
          <w:jc w:val="center"/>
        </w:trPr>
        <w:tc>
          <w:tcPr>
            <w:tcW w:w="9752" w:type="dxa"/>
            <w:gridSpan w:val="2"/>
          </w:tcPr>
          <w:p w14:paraId="2643F23C" w14:textId="77777777" w:rsidR="009A65D8" w:rsidRPr="002B5FC9" w:rsidRDefault="009A65D8" w:rsidP="00A233E9">
            <w:pPr>
              <w:keepNext/>
            </w:pPr>
          </w:p>
        </w:tc>
      </w:tr>
      <w:tr w:rsidR="00C13F29" w:rsidRPr="002B5FC9" w14:paraId="2B264C65" w14:textId="77777777">
        <w:trPr>
          <w:jc w:val="center"/>
        </w:trPr>
        <w:tc>
          <w:tcPr>
            <w:tcW w:w="4876" w:type="dxa"/>
          </w:tcPr>
          <w:p w14:paraId="7309FB7F" w14:textId="77777777" w:rsidR="009A65D8" w:rsidRPr="002B5FC9" w:rsidRDefault="00F403A3" w:rsidP="00A233E9">
            <w:pPr>
              <w:pStyle w:val="AmColumnHeading"/>
              <w:keepNext/>
            </w:pPr>
            <w:r w:rsidRPr="002B5FC9">
              <w:t>Vorschlag der Kommission</w:t>
            </w:r>
          </w:p>
        </w:tc>
        <w:tc>
          <w:tcPr>
            <w:tcW w:w="4876" w:type="dxa"/>
          </w:tcPr>
          <w:p w14:paraId="61022A86" w14:textId="77777777" w:rsidR="009A65D8" w:rsidRPr="002B5FC9" w:rsidRDefault="00F403A3" w:rsidP="00A233E9">
            <w:pPr>
              <w:pStyle w:val="AmColumnHeading"/>
              <w:keepNext/>
            </w:pPr>
            <w:r w:rsidRPr="002B5FC9">
              <w:t>Geänderter Text</w:t>
            </w:r>
          </w:p>
        </w:tc>
      </w:tr>
      <w:tr w:rsidR="00C13F29" w:rsidRPr="002B5FC9" w14:paraId="0857A1B5" w14:textId="77777777">
        <w:trPr>
          <w:jc w:val="center"/>
        </w:trPr>
        <w:tc>
          <w:tcPr>
            <w:tcW w:w="4876" w:type="dxa"/>
          </w:tcPr>
          <w:p w14:paraId="774D7FE0" w14:textId="77777777" w:rsidR="00AA1AF8" w:rsidRPr="002B5FC9" w:rsidRDefault="00AA1AF8" w:rsidP="00E8229D">
            <w:pPr>
              <w:pStyle w:val="Normal6a"/>
            </w:pPr>
          </w:p>
        </w:tc>
        <w:tc>
          <w:tcPr>
            <w:tcW w:w="4876" w:type="dxa"/>
          </w:tcPr>
          <w:p w14:paraId="732FB5A0" w14:textId="77777777" w:rsidR="00AA1AF8" w:rsidRPr="002B5FC9" w:rsidRDefault="00F403A3" w:rsidP="00E8229D">
            <w:pPr>
              <w:pStyle w:val="Normal6a"/>
              <w:rPr>
                <w:b/>
                <w:bCs/>
                <w:i/>
                <w:iCs/>
              </w:rPr>
            </w:pPr>
            <w:r w:rsidRPr="002B5FC9">
              <w:rPr>
                <w:b/>
                <w:i/>
              </w:rPr>
              <w:t>Anhang</w:t>
            </w:r>
          </w:p>
        </w:tc>
      </w:tr>
      <w:tr w:rsidR="00C13F29" w:rsidRPr="002B5FC9" w14:paraId="66CCC8C9" w14:textId="77777777">
        <w:trPr>
          <w:jc w:val="center"/>
        </w:trPr>
        <w:tc>
          <w:tcPr>
            <w:tcW w:w="4876" w:type="dxa"/>
          </w:tcPr>
          <w:p w14:paraId="24E3437E" w14:textId="77777777" w:rsidR="009A65D8" w:rsidRPr="002B5FC9" w:rsidRDefault="009A65D8" w:rsidP="00E8229D">
            <w:pPr>
              <w:pStyle w:val="Normal6a"/>
            </w:pPr>
          </w:p>
        </w:tc>
        <w:tc>
          <w:tcPr>
            <w:tcW w:w="4876" w:type="dxa"/>
          </w:tcPr>
          <w:p w14:paraId="3DA10F17" w14:textId="77777777" w:rsidR="009A65D8" w:rsidRPr="002B5FC9" w:rsidRDefault="00F403A3" w:rsidP="00E8229D">
            <w:pPr>
              <w:pStyle w:val="Normal6a"/>
              <w:rPr>
                <w:b/>
                <w:bCs/>
                <w:i/>
                <w:iCs/>
              </w:rPr>
            </w:pPr>
            <w:r w:rsidRPr="002B5FC9">
              <w:rPr>
                <w:b/>
                <w:i/>
              </w:rPr>
              <w:t>Umfang der Unterstützung</w:t>
            </w:r>
          </w:p>
        </w:tc>
      </w:tr>
      <w:tr w:rsidR="00C13F29" w:rsidRPr="002B5FC9" w14:paraId="61EA2187" w14:textId="77777777">
        <w:trPr>
          <w:jc w:val="center"/>
        </w:trPr>
        <w:tc>
          <w:tcPr>
            <w:tcW w:w="4876" w:type="dxa"/>
          </w:tcPr>
          <w:p w14:paraId="593FA248" w14:textId="77777777" w:rsidR="001444E0" w:rsidRPr="002B5FC9" w:rsidRDefault="001444E0" w:rsidP="00E8229D">
            <w:pPr>
              <w:pStyle w:val="Normal6a"/>
            </w:pPr>
          </w:p>
        </w:tc>
        <w:tc>
          <w:tcPr>
            <w:tcW w:w="4876" w:type="dxa"/>
          </w:tcPr>
          <w:p w14:paraId="79418722" w14:textId="77777777" w:rsidR="001444E0" w:rsidRPr="002B5FC9" w:rsidRDefault="00F403A3" w:rsidP="00E8229D">
            <w:pPr>
              <w:pStyle w:val="Normal6a"/>
              <w:rPr>
                <w:b/>
                <w:bCs/>
                <w:i/>
                <w:iCs/>
              </w:rPr>
            </w:pPr>
            <w:r w:rsidRPr="002B5FC9">
              <w:rPr>
                <w:b/>
                <w:i/>
              </w:rPr>
              <w:t>1.</w:t>
            </w:r>
            <w:r w:rsidRPr="002B5FC9">
              <w:rPr>
                <w:b/>
                <w:i/>
              </w:rPr>
              <w:tab/>
              <w:t>Im Rahmen des in Artikel 3 Absatz 1 Buchstabe a festgelegten Ziels wird für Folgendes Unionsunterstützung gewährt:</w:t>
            </w:r>
          </w:p>
        </w:tc>
      </w:tr>
      <w:tr w:rsidR="00C13F29" w:rsidRPr="002B5FC9" w14:paraId="4884680C" w14:textId="77777777">
        <w:trPr>
          <w:jc w:val="center"/>
        </w:trPr>
        <w:tc>
          <w:tcPr>
            <w:tcW w:w="4876" w:type="dxa"/>
          </w:tcPr>
          <w:p w14:paraId="6E1533BF" w14:textId="77777777" w:rsidR="001444E0" w:rsidRPr="002B5FC9" w:rsidRDefault="001444E0" w:rsidP="00E8229D">
            <w:pPr>
              <w:pStyle w:val="Normal6a"/>
            </w:pPr>
          </w:p>
        </w:tc>
        <w:tc>
          <w:tcPr>
            <w:tcW w:w="4876" w:type="dxa"/>
          </w:tcPr>
          <w:p w14:paraId="3E6F2252" w14:textId="77777777" w:rsidR="001444E0" w:rsidRPr="002B5FC9" w:rsidRDefault="00F403A3" w:rsidP="00E8229D">
            <w:pPr>
              <w:pStyle w:val="Normal6a"/>
              <w:rPr>
                <w:b/>
                <w:bCs/>
                <w:i/>
                <w:iCs/>
              </w:rPr>
            </w:pPr>
            <w:r w:rsidRPr="002B5FC9">
              <w:rPr>
                <w:b/>
                <w:i/>
              </w:rPr>
              <w:t>a)</w:t>
            </w:r>
            <w:r w:rsidRPr="002B5FC9">
              <w:rPr>
                <w:b/>
                <w:i/>
              </w:rPr>
              <w:tab/>
              <w:t xml:space="preserve">Austausch von </w:t>
            </w:r>
            <w:r w:rsidRPr="002B5FC9">
              <w:rPr>
                <w:b/>
                <w:i/>
              </w:rPr>
              <w:t>bewährten Verfahren und Austausch von Sachverständigen, einschließlich der Entsendung von Sachverständigen, sowie Stärkung der Fähigkeit europäischer Netze, den Schengen-Raum ohne Kontrollen an den Binnengrenzen zu bewerten, zu fördern, zu unterstützen und weiterzuentwickeln,</w:t>
            </w:r>
          </w:p>
        </w:tc>
      </w:tr>
      <w:tr w:rsidR="00C13F29" w:rsidRPr="002B5FC9" w14:paraId="24C23D5A" w14:textId="77777777">
        <w:trPr>
          <w:jc w:val="center"/>
        </w:trPr>
        <w:tc>
          <w:tcPr>
            <w:tcW w:w="4876" w:type="dxa"/>
          </w:tcPr>
          <w:p w14:paraId="1A988069" w14:textId="77777777" w:rsidR="001444E0" w:rsidRPr="002B5FC9" w:rsidRDefault="001444E0" w:rsidP="00E8229D">
            <w:pPr>
              <w:pStyle w:val="Normal6a"/>
            </w:pPr>
          </w:p>
        </w:tc>
        <w:tc>
          <w:tcPr>
            <w:tcW w:w="4876" w:type="dxa"/>
          </w:tcPr>
          <w:p w14:paraId="6782ECC5" w14:textId="77777777" w:rsidR="001444E0" w:rsidRPr="002B5FC9" w:rsidRDefault="00F403A3" w:rsidP="00E8229D">
            <w:pPr>
              <w:pStyle w:val="Normal6a"/>
              <w:rPr>
                <w:b/>
                <w:bCs/>
                <w:i/>
                <w:iCs/>
                <w:szCs w:val="24"/>
              </w:rPr>
            </w:pPr>
            <w:r w:rsidRPr="002B5FC9">
              <w:rPr>
                <w:b/>
                <w:i/>
              </w:rPr>
              <w:t>b)</w:t>
            </w:r>
            <w:r w:rsidRPr="002B5FC9">
              <w:rPr>
                <w:b/>
                <w:i/>
              </w:rPr>
              <w:tab/>
              <w:t>Studien und sonstige einschlägige Maßnahmen, beispielsweise Maßnahmen die auf die Verbesserung des Wissensstands durch Analysen, Überwachung und Evaluierung abzielen,</w:t>
            </w:r>
          </w:p>
        </w:tc>
      </w:tr>
      <w:tr w:rsidR="00C13F29" w:rsidRPr="002B5FC9" w14:paraId="0022F07D" w14:textId="77777777">
        <w:trPr>
          <w:jc w:val="center"/>
        </w:trPr>
        <w:tc>
          <w:tcPr>
            <w:tcW w:w="4876" w:type="dxa"/>
          </w:tcPr>
          <w:p w14:paraId="4AB85BDE" w14:textId="77777777" w:rsidR="001444E0" w:rsidRPr="002B5FC9" w:rsidRDefault="001444E0" w:rsidP="00E8229D">
            <w:pPr>
              <w:pStyle w:val="Normal6a"/>
            </w:pPr>
          </w:p>
        </w:tc>
        <w:tc>
          <w:tcPr>
            <w:tcW w:w="4876" w:type="dxa"/>
          </w:tcPr>
          <w:p w14:paraId="1DA93A01" w14:textId="77777777" w:rsidR="001444E0" w:rsidRPr="002B5FC9" w:rsidRDefault="00F403A3" w:rsidP="00E8229D">
            <w:pPr>
              <w:pStyle w:val="Normal6a"/>
              <w:rPr>
                <w:b/>
                <w:bCs/>
                <w:i/>
                <w:iCs/>
                <w:szCs w:val="24"/>
              </w:rPr>
            </w:pPr>
            <w:r w:rsidRPr="002B5FC9">
              <w:rPr>
                <w:b/>
                <w:i/>
              </w:rPr>
              <w:t>c)</w:t>
            </w:r>
            <w:r w:rsidRPr="002B5FC9">
              <w:rPr>
                <w:b/>
                <w:i/>
              </w:rPr>
              <w:tab/>
              <w:t>Vorbereitung, Überwachung sowie administrative und technische Maßnahmen, unter anderem zur Stärkung der Steuerung des Schengen-Raums durch die Entwicklung und Durchführung des mit der Verordnung (EU) Nr. 1053/2013 eingeführten Evaluierungsmechanismus für die Überprüfung der Anwendung des Schengen-Besitzstands, einschließlich Reisekosten für Sachverständige der Kommission und der Mitgliedstaaten, die an Ortsbesichtigungen teilnehmen,</w:t>
            </w:r>
          </w:p>
        </w:tc>
      </w:tr>
      <w:tr w:rsidR="00C13F29" w:rsidRPr="002B5FC9" w14:paraId="61CC49C1" w14:textId="77777777">
        <w:trPr>
          <w:jc w:val="center"/>
        </w:trPr>
        <w:tc>
          <w:tcPr>
            <w:tcW w:w="4876" w:type="dxa"/>
          </w:tcPr>
          <w:p w14:paraId="5770A0C2" w14:textId="77777777" w:rsidR="001444E0" w:rsidRPr="002B5FC9" w:rsidRDefault="001444E0" w:rsidP="00E8229D">
            <w:pPr>
              <w:pStyle w:val="Normal6a"/>
            </w:pPr>
          </w:p>
        </w:tc>
        <w:tc>
          <w:tcPr>
            <w:tcW w:w="4876" w:type="dxa"/>
          </w:tcPr>
          <w:p w14:paraId="16D418E8" w14:textId="77777777" w:rsidR="001444E0" w:rsidRPr="002B5FC9" w:rsidRDefault="00F403A3" w:rsidP="00E8229D">
            <w:pPr>
              <w:pStyle w:val="Normal6a"/>
              <w:rPr>
                <w:b/>
                <w:bCs/>
                <w:i/>
                <w:iCs/>
                <w:szCs w:val="24"/>
              </w:rPr>
            </w:pPr>
            <w:r w:rsidRPr="002B5FC9">
              <w:rPr>
                <w:b/>
                <w:i/>
              </w:rPr>
              <w:t>d)</w:t>
            </w:r>
            <w:r w:rsidRPr="002B5FC9">
              <w:rPr>
                <w:b/>
                <w:i/>
              </w:rPr>
              <w:tab/>
              <w:t xml:space="preserve">Sensibilisierung der Interessenträger und der breiten Öffentlichkeit für den Schengen-Raum ohne Kontrollen an den </w:t>
            </w:r>
            <w:r w:rsidRPr="002B5FC9">
              <w:rPr>
                <w:b/>
                <w:i/>
              </w:rPr>
              <w:t xml:space="preserve">Binnengrenzen, </w:t>
            </w:r>
            <w:r w:rsidRPr="002B5FC9">
              <w:rPr>
                <w:b/>
                <w:i/>
              </w:rPr>
              <w:lastRenderedPageBreak/>
              <w:t>einschließlich institutioneller Kommunikation der politischen Prioritäten der Union in diesem Bereich,</w:t>
            </w:r>
          </w:p>
        </w:tc>
      </w:tr>
      <w:tr w:rsidR="00C13F29" w:rsidRPr="002B5FC9" w14:paraId="31D070C0" w14:textId="77777777">
        <w:trPr>
          <w:jc w:val="center"/>
        </w:trPr>
        <w:tc>
          <w:tcPr>
            <w:tcW w:w="4876" w:type="dxa"/>
          </w:tcPr>
          <w:p w14:paraId="75366A45" w14:textId="77777777" w:rsidR="001444E0" w:rsidRPr="002B5FC9" w:rsidRDefault="001444E0" w:rsidP="00E8229D">
            <w:pPr>
              <w:pStyle w:val="Normal6a"/>
            </w:pPr>
          </w:p>
        </w:tc>
        <w:tc>
          <w:tcPr>
            <w:tcW w:w="4876" w:type="dxa"/>
          </w:tcPr>
          <w:p w14:paraId="4397CE41" w14:textId="77777777" w:rsidR="001444E0" w:rsidRPr="002B5FC9" w:rsidRDefault="00F403A3" w:rsidP="00E8229D">
            <w:pPr>
              <w:pStyle w:val="Normal6a"/>
              <w:rPr>
                <w:b/>
                <w:bCs/>
                <w:i/>
                <w:iCs/>
                <w:szCs w:val="24"/>
              </w:rPr>
            </w:pPr>
            <w:r w:rsidRPr="002B5FC9">
              <w:rPr>
                <w:b/>
                <w:i/>
              </w:rPr>
              <w:t>e)</w:t>
            </w:r>
            <w:r w:rsidRPr="002B5FC9">
              <w:rPr>
                <w:b/>
                <w:i/>
              </w:rPr>
              <w:tab/>
              <w:t>Entwicklung von statistischen Instrumenten, Methoden und Indikatoren unter Beachtung des Grundsatzes der Nichtdiskriminierung,</w:t>
            </w:r>
          </w:p>
        </w:tc>
      </w:tr>
      <w:tr w:rsidR="00C13F29" w:rsidRPr="002B5FC9" w14:paraId="5C7BC7C9" w14:textId="77777777">
        <w:trPr>
          <w:jc w:val="center"/>
        </w:trPr>
        <w:tc>
          <w:tcPr>
            <w:tcW w:w="4876" w:type="dxa"/>
          </w:tcPr>
          <w:p w14:paraId="24824720" w14:textId="77777777" w:rsidR="001444E0" w:rsidRPr="002B5FC9" w:rsidRDefault="001444E0" w:rsidP="00E8229D">
            <w:pPr>
              <w:pStyle w:val="Normal6a"/>
            </w:pPr>
          </w:p>
        </w:tc>
        <w:tc>
          <w:tcPr>
            <w:tcW w:w="4876" w:type="dxa"/>
          </w:tcPr>
          <w:p w14:paraId="34EF5424" w14:textId="77777777" w:rsidR="001444E0" w:rsidRPr="002B5FC9" w:rsidRDefault="00F403A3" w:rsidP="00E8229D">
            <w:pPr>
              <w:pStyle w:val="Normal6a"/>
              <w:rPr>
                <w:b/>
                <w:bCs/>
                <w:i/>
                <w:iCs/>
                <w:szCs w:val="24"/>
              </w:rPr>
            </w:pPr>
            <w:r w:rsidRPr="002B5FC9">
              <w:rPr>
                <w:b/>
                <w:i/>
              </w:rPr>
              <w:t>f)</w:t>
            </w:r>
            <w:r w:rsidRPr="002B5FC9">
              <w:rPr>
                <w:b/>
                <w:i/>
              </w:rPr>
              <w:tab/>
            </w:r>
            <w:r w:rsidRPr="002B5FC9">
              <w:rPr>
                <w:b/>
                <w:i/>
              </w:rPr>
              <w:t>Betriebskostenunterstützung für die Umsetzung von Maßnahmen zur Gewährleistung der Anwendung des Schengen-Besitzstands.</w:t>
            </w:r>
          </w:p>
        </w:tc>
      </w:tr>
      <w:tr w:rsidR="00C13F29" w:rsidRPr="002B5FC9" w14:paraId="56F0FF5E" w14:textId="77777777">
        <w:trPr>
          <w:jc w:val="center"/>
        </w:trPr>
        <w:tc>
          <w:tcPr>
            <w:tcW w:w="4876" w:type="dxa"/>
          </w:tcPr>
          <w:p w14:paraId="13AC5AA4" w14:textId="77777777" w:rsidR="00231D55" w:rsidRPr="002B5FC9" w:rsidRDefault="00231D55" w:rsidP="00E8229D">
            <w:pPr>
              <w:pStyle w:val="Normal6a"/>
            </w:pPr>
          </w:p>
        </w:tc>
        <w:tc>
          <w:tcPr>
            <w:tcW w:w="4876" w:type="dxa"/>
          </w:tcPr>
          <w:p w14:paraId="561DF947" w14:textId="77777777" w:rsidR="00231D55" w:rsidRPr="002B5FC9" w:rsidRDefault="00F403A3" w:rsidP="00E8229D">
            <w:pPr>
              <w:pStyle w:val="Normal6a"/>
              <w:rPr>
                <w:b/>
                <w:bCs/>
                <w:i/>
                <w:iCs/>
              </w:rPr>
            </w:pPr>
            <w:r w:rsidRPr="002B5FC9">
              <w:rPr>
                <w:b/>
                <w:i/>
              </w:rPr>
              <w:t>2.</w:t>
            </w:r>
            <w:r w:rsidRPr="002B5FC9">
              <w:rPr>
                <w:b/>
                <w:i/>
              </w:rPr>
              <w:tab/>
              <w:t>Im Rahmen des in Artikel 3 Absatz 1 Buchstabe b festgelegten Ziels wird für Folgendes Unionsunterstützung gewährt:</w:t>
            </w:r>
          </w:p>
        </w:tc>
      </w:tr>
      <w:tr w:rsidR="00C13F29" w:rsidRPr="002B5FC9" w14:paraId="0AA3CB50" w14:textId="77777777">
        <w:trPr>
          <w:jc w:val="center"/>
        </w:trPr>
        <w:tc>
          <w:tcPr>
            <w:tcW w:w="4876" w:type="dxa"/>
          </w:tcPr>
          <w:p w14:paraId="7681AC89" w14:textId="77777777" w:rsidR="00231D55" w:rsidRPr="002B5FC9" w:rsidRDefault="00231D55" w:rsidP="00E8229D">
            <w:pPr>
              <w:pStyle w:val="Normal6a"/>
            </w:pPr>
          </w:p>
        </w:tc>
        <w:tc>
          <w:tcPr>
            <w:tcW w:w="4876" w:type="dxa"/>
          </w:tcPr>
          <w:p w14:paraId="67C4F97B" w14:textId="77777777" w:rsidR="00231D55" w:rsidRPr="002B5FC9" w:rsidRDefault="00F403A3" w:rsidP="00E8229D">
            <w:pPr>
              <w:pStyle w:val="Normal6a"/>
              <w:rPr>
                <w:b/>
                <w:bCs/>
                <w:i/>
                <w:iCs/>
                <w:szCs w:val="24"/>
              </w:rPr>
            </w:pPr>
            <w:r w:rsidRPr="002B5FC9">
              <w:rPr>
                <w:b/>
                <w:i/>
              </w:rPr>
              <w:t>a)</w:t>
            </w:r>
            <w:r w:rsidRPr="002B5FC9">
              <w:rPr>
                <w:b/>
                <w:i/>
              </w:rPr>
              <w:tab/>
              <w:t>Infrastruktur, Gebäude, Systeme und Dienstleistungen, die an Grenzübergangsstellen und für die Grenzüberwachung zwischen Grenzübergangsstellen benötigt werden,</w:t>
            </w:r>
          </w:p>
        </w:tc>
      </w:tr>
      <w:tr w:rsidR="00C13F29" w:rsidRPr="002B5FC9" w14:paraId="53BC4487" w14:textId="77777777">
        <w:trPr>
          <w:jc w:val="center"/>
        </w:trPr>
        <w:tc>
          <w:tcPr>
            <w:tcW w:w="4876" w:type="dxa"/>
          </w:tcPr>
          <w:p w14:paraId="48BB778E" w14:textId="77777777" w:rsidR="00231D55" w:rsidRPr="002B5FC9" w:rsidRDefault="00231D55" w:rsidP="00E8229D">
            <w:pPr>
              <w:pStyle w:val="Normal6a"/>
            </w:pPr>
          </w:p>
        </w:tc>
        <w:tc>
          <w:tcPr>
            <w:tcW w:w="4876" w:type="dxa"/>
          </w:tcPr>
          <w:p w14:paraId="5AE664F7" w14:textId="77777777" w:rsidR="00231D55" w:rsidRPr="002B5FC9" w:rsidRDefault="00F403A3" w:rsidP="00E8229D">
            <w:pPr>
              <w:pStyle w:val="Normal6a"/>
              <w:rPr>
                <w:b/>
                <w:bCs/>
                <w:i/>
                <w:iCs/>
                <w:szCs w:val="24"/>
              </w:rPr>
            </w:pPr>
            <w:r w:rsidRPr="002B5FC9">
              <w:rPr>
                <w:b/>
                <w:i/>
              </w:rPr>
              <w:t>b)</w:t>
            </w:r>
            <w:r w:rsidRPr="002B5FC9">
              <w:rPr>
                <w:b/>
                <w:i/>
              </w:rPr>
              <w:tab/>
              <w:t>Betriebsausrüstung, einschließlich Transportmitteln und IKT-Systemen, die für wirksame und sichere Grenzkontrollen an Grenzübergangsstellen und für die Grenzüberwachung entsprechend den von der Europäischen Agentur für die Grenz- und Küstenwache entwickelten Standards benötigt werden, sofern solche Standards vorhanden sind,</w:t>
            </w:r>
          </w:p>
        </w:tc>
      </w:tr>
      <w:tr w:rsidR="00C13F29" w:rsidRPr="002B5FC9" w14:paraId="755586E6" w14:textId="77777777">
        <w:trPr>
          <w:jc w:val="center"/>
        </w:trPr>
        <w:tc>
          <w:tcPr>
            <w:tcW w:w="4876" w:type="dxa"/>
          </w:tcPr>
          <w:p w14:paraId="789DBEFD" w14:textId="77777777" w:rsidR="00231D55" w:rsidRPr="002B5FC9" w:rsidRDefault="00231D55" w:rsidP="00E8229D">
            <w:pPr>
              <w:pStyle w:val="Normal6a"/>
            </w:pPr>
          </w:p>
        </w:tc>
        <w:tc>
          <w:tcPr>
            <w:tcW w:w="4876" w:type="dxa"/>
          </w:tcPr>
          <w:p w14:paraId="56B4E8D8" w14:textId="77777777" w:rsidR="00231D55" w:rsidRPr="002B5FC9" w:rsidRDefault="00F403A3" w:rsidP="00E8229D">
            <w:pPr>
              <w:pStyle w:val="Normal6a"/>
              <w:rPr>
                <w:b/>
                <w:bCs/>
                <w:i/>
                <w:iCs/>
              </w:rPr>
            </w:pPr>
            <w:r w:rsidRPr="002B5FC9">
              <w:rPr>
                <w:b/>
                <w:i/>
              </w:rPr>
              <w:t>c)</w:t>
            </w:r>
            <w:r w:rsidRPr="002B5FC9">
              <w:rPr>
                <w:b/>
                <w:i/>
              </w:rPr>
              <w:tab/>
              <w:t>Schulungen, die die integrierte europäische Grenzverwaltung betreffen oder zu ihrer Entwicklung beitragen, unter Berücksichtigung der operativen Erfordernisse und Risikoanalysen – einschließlich der Probleme, die in den in Artikel 13 Absatz 7 aufgeführten Empfehlungen genannt sind – und unter uneingeschränkter Achtung der Grundrechte,</w:t>
            </w:r>
          </w:p>
        </w:tc>
      </w:tr>
      <w:tr w:rsidR="00C13F29" w:rsidRPr="002B5FC9" w14:paraId="0474C6CF" w14:textId="77777777">
        <w:trPr>
          <w:jc w:val="center"/>
        </w:trPr>
        <w:tc>
          <w:tcPr>
            <w:tcW w:w="4876" w:type="dxa"/>
          </w:tcPr>
          <w:p w14:paraId="6D251CFD" w14:textId="77777777" w:rsidR="00231D55" w:rsidRPr="002B5FC9" w:rsidRDefault="00231D55" w:rsidP="00E8229D">
            <w:pPr>
              <w:pStyle w:val="Normal6a"/>
            </w:pPr>
          </w:p>
        </w:tc>
        <w:tc>
          <w:tcPr>
            <w:tcW w:w="4876" w:type="dxa"/>
          </w:tcPr>
          <w:p w14:paraId="43D6046E" w14:textId="77777777" w:rsidR="00231D55" w:rsidRPr="002B5FC9" w:rsidRDefault="00F403A3" w:rsidP="00E8229D">
            <w:pPr>
              <w:pStyle w:val="Normal6a"/>
              <w:rPr>
                <w:b/>
                <w:bCs/>
                <w:i/>
                <w:iCs/>
              </w:rPr>
            </w:pPr>
            <w:r w:rsidRPr="002B5FC9">
              <w:rPr>
                <w:b/>
                <w:i/>
              </w:rPr>
              <w:t>d)</w:t>
            </w:r>
            <w:r w:rsidRPr="002B5FC9">
              <w:rPr>
                <w:b/>
                <w:i/>
              </w:rPr>
              <w:tab/>
              <w:t xml:space="preserve">gemeinsame Entsendung von Verbindungsbeamten für Zuwanderungsfragen in Drittländer gemäß der Verordnung (EU) 2019/1240 des Europäischen Parlaments und des </w:t>
            </w:r>
            <w:r w:rsidRPr="002B5FC9">
              <w:rPr>
                <w:b/>
                <w:i/>
              </w:rPr>
              <w:lastRenderedPageBreak/>
              <w:t>Rates,</w:t>
            </w:r>
          </w:p>
        </w:tc>
      </w:tr>
      <w:tr w:rsidR="00C13F29" w:rsidRPr="002B5FC9" w14:paraId="1627CC7F" w14:textId="77777777">
        <w:trPr>
          <w:jc w:val="center"/>
        </w:trPr>
        <w:tc>
          <w:tcPr>
            <w:tcW w:w="4876" w:type="dxa"/>
          </w:tcPr>
          <w:p w14:paraId="0EFB9452" w14:textId="77777777" w:rsidR="00231D55" w:rsidRPr="002B5FC9" w:rsidRDefault="00231D55" w:rsidP="00E8229D">
            <w:pPr>
              <w:pStyle w:val="Normal6a"/>
            </w:pPr>
          </w:p>
        </w:tc>
        <w:tc>
          <w:tcPr>
            <w:tcW w:w="4876" w:type="dxa"/>
          </w:tcPr>
          <w:p w14:paraId="6475CC34" w14:textId="77777777" w:rsidR="00231D55" w:rsidRPr="002B5FC9" w:rsidRDefault="00F403A3" w:rsidP="00E8229D">
            <w:pPr>
              <w:pStyle w:val="Normal6a"/>
              <w:rPr>
                <w:b/>
                <w:bCs/>
                <w:i/>
                <w:iCs/>
                <w:szCs w:val="24"/>
              </w:rPr>
            </w:pPr>
            <w:r w:rsidRPr="002B5FC9">
              <w:rPr>
                <w:b/>
                <w:i/>
              </w:rPr>
              <w:t>e)</w:t>
            </w:r>
            <w:r w:rsidRPr="002B5FC9">
              <w:rPr>
                <w:b/>
                <w:i/>
              </w:rPr>
              <w:tab/>
              <w:t xml:space="preserve">Austausch von bewährten Verfahren und von Fachwissen, Studien, Pilotprojekte und sonstige einschlägige Maßnahmen zur Umsetzung oder Entwicklung einer integrierten europäischen Grenzverwaltung, darunter Maßnahmen zur Weiterentwicklung der Europäischen Grenz- und Küstenwache wie der Aufbau gemeinsamer Kapazitäten, die gemeinsame Auftragsvergabe, die Festlegung gemeinsamer Normen und sonstige Maßnahmen zur Vereinfachung der Zusammenarbeit und der Koordinierung zwischen der Europäischen Agentur für die Grenz- </w:t>
            </w:r>
            <w:r w:rsidRPr="002B5FC9">
              <w:rPr>
                <w:b/>
                <w:i/>
              </w:rPr>
              <w:t>und Küstenwache und den Mitgliedstaaten sowie Maßnahmen im Zusammenhang mit der Überführung von schutzbedürftigen Personen, die Hilfe benötigen, und von Personen, die internationalen Schutz benötigen oder beantragen wollen,</w:t>
            </w:r>
          </w:p>
        </w:tc>
      </w:tr>
      <w:tr w:rsidR="00C13F29" w:rsidRPr="002B5FC9" w14:paraId="77744715" w14:textId="77777777">
        <w:trPr>
          <w:jc w:val="center"/>
        </w:trPr>
        <w:tc>
          <w:tcPr>
            <w:tcW w:w="4876" w:type="dxa"/>
          </w:tcPr>
          <w:p w14:paraId="0FDCE34E" w14:textId="77777777" w:rsidR="00231D55" w:rsidRPr="002B5FC9" w:rsidRDefault="00231D55" w:rsidP="00E8229D">
            <w:pPr>
              <w:pStyle w:val="Normal6a"/>
            </w:pPr>
          </w:p>
        </w:tc>
        <w:tc>
          <w:tcPr>
            <w:tcW w:w="4876" w:type="dxa"/>
          </w:tcPr>
          <w:p w14:paraId="2808DF89" w14:textId="77777777" w:rsidR="00231D55" w:rsidRPr="002B5FC9" w:rsidRDefault="00F403A3" w:rsidP="00E8229D">
            <w:pPr>
              <w:pStyle w:val="Normal6a"/>
              <w:rPr>
                <w:b/>
                <w:bCs/>
                <w:i/>
                <w:iCs/>
                <w:szCs w:val="24"/>
              </w:rPr>
            </w:pPr>
            <w:r w:rsidRPr="002B5FC9">
              <w:rPr>
                <w:b/>
                <w:i/>
              </w:rPr>
              <w:t>f)</w:t>
            </w:r>
            <w:r w:rsidRPr="002B5FC9">
              <w:rPr>
                <w:b/>
                <w:i/>
              </w:rPr>
              <w:tab/>
              <w:t>Vorbereitung, Überwachung sowie administrative und technische Maßnahmen, die für die Umsetzung der Strategien im Bereich Außengrenzen erforderlich sind, unter anderem zur Stärkung der Steuerung des Schengen-Raums durch die Entwicklung und Durchführung des Evaluierungsmechanismus gemäß der Verordnung (EU) Nr. 1053/2013 für die Überprüfung der Anwendung des Schengen-Besitzstands und der Verordnung (EU) 2016/399, einschließlich Reisekosten für Sachverständige der Kommission und der Mitgliedstaaten, die an Ort</w:t>
            </w:r>
            <w:r w:rsidRPr="002B5FC9">
              <w:rPr>
                <w:b/>
                <w:i/>
              </w:rPr>
              <w:t xml:space="preserve">sbesichtigungen teilnehmen, sowie Maßnahmen zur Umsetzung der Empfehlungen im Anschluss an Schwachstellenbeurteilungen, die von der Europäischen Agentur für die Grenz- und Küstenwache im Einklang mit der Verordnung (EU) 2019/1896 </w:t>
            </w:r>
            <w:r w:rsidRPr="002B5FC9">
              <w:rPr>
                <w:b/>
                <w:i/>
              </w:rPr>
              <w:lastRenderedPageBreak/>
              <w:t>durchgeführt wurden,</w:t>
            </w:r>
          </w:p>
        </w:tc>
      </w:tr>
      <w:tr w:rsidR="00C13F29" w:rsidRPr="002B5FC9" w14:paraId="432DA2C2" w14:textId="77777777">
        <w:trPr>
          <w:jc w:val="center"/>
        </w:trPr>
        <w:tc>
          <w:tcPr>
            <w:tcW w:w="4876" w:type="dxa"/>
          </w:tcPr>
          <w:p w14:paraId="42D7F94C" w14:textId="77777777" w:rsidR="00231D55" w:rsidRPr="002B5FC9" w:rsidRDefault="00231D55" w:rsidP="00E8229D">
            <w:pPr>
              <w:pStyle w:val="Normal6a"/>
            </w:pPr>
          </w:p>
        </w:tc>
        <w:tc>
          <w:tcPr>
            <w:tcW w:w="4876" w:type="dxa"/>
          </w:tcPr>
          <w:p w14:paraId="7283BE6F" w14:textId="77777777" w:rsidR="00231D55" w:rsidRPr="002B5FC9" w:rsidRDefault="00F403A3" w:rsidP="00E8229D">
            <w:pPr>
              <w:pStyle w:val="Normal6a"/>
              <w:rPr>
                <w:b/>
                <w:bCs/>
                <w:i/>
                <w:iCs/>
              </w:rPr>
            </w:pPr>
            <w:r w:rsidRPr="002B5FC9">
              <w:rPr>
                <w:b/>
                <w:i/>
              </w:rPr>
              <w:t>g)</w:t>
            </w:r>
            <w:r w:rsidRPr="002B5FC9">
              <w:rPr>
                <w:b/>
                <w:i/>
              </w:rPr>
              <w:tab/>
              <w:t xml:space="preserve">Maßnahmen zur Verbesserung der Datenqualität der in </w:t>
            </w:r>
            <w:r w:rsidRPr="002B5FC9">
              <w:rPr>
                <w:b/>
                <w:i/>
              </w:rPr>
              <w:t>IKT-Systemen gespeicherten Daten und verbesserte Inanspruchnahme des Rechts betroffener Personen auf Informationen über die Verarbeitung ihrer personenbezogenen Daten und auf Zugang zu ihnen sowie auf die Berichtigung und Löschung dieser Daten und die Einschränkung ihrer Verarbeitung,</w:t>
            </w:r>
          </w:p>
        </w:tc>
      </w:tr>
      <w:tr w:rsidR="00C13F29" w:rsidRPr="002B5FC9" w14:paraId="6B98B267" w14:textId="77777777">
        <w:trPr>
          <w:jc w:val="center"/>
        </w:trPr>
        <w:tc>
          <w:tcPr>
            <w:tcW w:w="4876" w:type="dxa"/>
          </w:tcPr>
          <w:p w14:paraId="48C9BED3" w14:textId="77777777" w:rsidR="00231D55" w:rsidRPr="002B5FC9" w:rsidRDefault="00231D55" w:rsidP="00E8229D">
            <w:pPr>
              <w:pStyle w:val="Normal6a"/>
            </w:pPr>
          </w:p>
        </w:tc>
        <w:tc>
          <w:tcPr>
            <w:tcW w:w="4876" w:type="dxa"/>
          </w:tcPr>
          <w:p w14:paraId="7EAA7007" w14:textId="77777777" w:rsidR="00231D55" w:rsidRPr="002B5FC9" w:rsidRDefault="00F403A3" w:rsidP="00E8229D">
            <w:pPr>
              <w:pStyle w:val="Normal6a"/>
              <w:rPr>
                <w:b/>
                <w:bCs/>
                <w:i/>
                <w:iCs/>
              </w:rPr>
            </w:pPr>
            <w:r w:rsidRPr="002B5FC9">
              <w:rPr>
                <w:b/>
                <w:i/>
              </w:rPr>
              <w:t>h)</w:t>
            </w:r>
            <w:r w:rsidRPr="002B5FC9">
              <w:rPr>
                <w:b/>
                <w:i/>
              </w:rPr>
              <w:tab/>
              <w:t>Identifizierung, Abnahme von Fingerabdrücken, Registrierung, Sicherheitskontrollen, Befragung, Bereitstellung von Informationen, medizinische Untersuchung, Überprüfung der Schutzbedürftigkeit und erforderlichenfalls medizinische Versorgung und Überführung von Drittstaatsangehörigen in das entsprechende Verfahren an den Außengrenzen,</w:t>
            </w:r>
          </w:p>
        </w:tc>
      </w:tr>
      <w:tr w:rsidR="00C13F29" w:rsidRPr="002B5FC9" w14:paraId="7031311C" w14:textId="77777777">
        <w:trPr>
          <w:jc w:val="center"/>
        </w:trPr>
        <w:tc>
          <w:tcPr>
            <w:tcW w:w="4876" w:type="dxa"/>
          </w:tcPr>
          <w:p w14:paraId="5C010EFB" w14:textId="77777777" w:rsidR="00231D55" w:rsidRPr="002B5FC9" w:rsidRDefault="00231D55" w:rsidP="00E8229D">
            <w:pPr>
              <w:pStyle w:val="Normal6a"/>
            </w:pPr>
          </w:p>
        </w:tc>
        <w:tc>
          <w:tcPr>
            <w:tcW w:w="4876" w:type="dxa"/>
          </w:tcPr>
          <w:p w14:paraId="2FA88CE0" w14:textId="77777777" w:rsidR="00231D55" w:rsidRPr="002B5FC9" w:rsidRDefault="00F403A3" w:rsidP="00E8229D">
            <w:pPr>
              <w:pStyle w:val="Normal6a"/>
              <w:rPr>
                <w:b/>
                <w:bCs/>
                <w:i/>
                <w:iCs/>
              </w:rPr>
            </w:pPr>
            <w:r w:rsidRPr="002B5FC9">
              <w:rPr>
                <w:b/>
                <w:i/>
              </w:rPr>
              <w:t>i)</w:t>
            </w:r>
            <w:r w:rsidRPr="002B5FC9">
              <w:rPr>
                <w:b/>
                <w:i/>
              </w:rPr>
              <w:tab/>
              <w:t>Maßnahmen zur Einrichtung, Aufrechterhaltung oder Entwicklung unabhängiger Überwachungsmechanismen gemäß Artikel 10 der Verordnung (EU) 2024/1356 (Screening-Verordnung),</w:t>
            </w:r>
          </w:p>
        </w:tc>
      </w:tr>
      <w:tr w:rsidR="00C13F29" w:rsidRPr="002B5FC9" w14:paraId="002E0BBC" w14:textId="77777777">
        <w:trPr>
          <w:jc w:val="center"/>
        </w:trPr>
        <w:tc>
          <w:tcPr>
            <w:tcW w:w="4876" w:type="dxa"/>
          </w:tcPr>
          <w:p w14:paraId="2A35E0CE" w14:textId="77777777" w:rsidR="00231D55" w:rsidRPr="002B5FC9" w:rsidRDefault="00231D55" w:rsidP="00E8229D">
            <w:pPr>
              <w:pStyle w:val="Normal6a"/>
            </w:pPr>
          </w:p>
        </w:tc>
        <w:tc>
          <w:tcPr>
            <w:tcW w:w="4876" w:type="dxa"/>
          </w:tcPr>
          <w:p w14:paraId="6FFE0C62" w14:textId="77777777" w:rsidR="00231D55" w:rsidRPr="002B5FC9" w:rsidRDefault="00F403A3" w:rsidP="00E8229D">
            <w:pPr>
              <w:pStyle w:val="Normal6a"/>
              <w:rPr>
                <w:b/>
                <w:bCs/>
                <w:i/>
                <w:iCs/>
                <w:szCs w:val="24"/>
              </w:rPr>
            </w:pPr>
            <w:r w:rsidRPr="002B5FC9">
              <w:rPr>
                <w:b/>
                <w:i/>
              </w:rPr>
              <w:t>j)</w:t>
            </w:r>
            <w:r w:rsidRPr="002B5FC9">
              <w:rPr>
                <w:b/>
                <w:i/>
              </w:rPr>
              <w:tab/>
              <w:t>Maßnahmen zur besseren Sensibilisierung der Interessenträger und der breiten Öffentlichkeit für die Strategien im Bereich Außengrenzen, einschließlich institutioneller Kommunikation der politischen Prioritäten der Union,</w:t>
            </w:r>
          </w:p>
        </w:tc>
      </w:tr>
      <w:tr w:rsidR="00C13F29" w:rsidRPr="002B5FC9" w14:paraId="0C56F894" w14:textId="77777777">
        <w:trPr>
          <w:jc w:val="center"/>
        </w:trPr>
        <w:tc>
          <w:tcPr>
            <w:tcW w:w="4876" w:type="dxa"/>
          </w:tcPr>
          <w:p w14:paraId="0184CFCB" w14:textId="77777777" w:rsidR="00231D55" w:rsidRPr="002B5FC9" w:rsidRDefault="00231D55" w:rsidP="00E8229D">
            <w:pPr>
              <w:pStyle w:val="Normal6a"/>
            </w:pPr>
          </w:p>
        </w:tc>
        <w:tc>
          <w:tcPr>
            <w:tcW w:w="4876" w:type="dxa"/>
          </w:tcPr>
          <w:p w14:paraId="5F243D77" w14:textId="77777777" w:rsidR="00231D55" w:rsidRPr="002B5FC9" w:rsidRDefault="00F403A3" w:rsidP="00E8229D">
            <w:pPr>
              <w:pStyle w:val="Normal6a"/>
              <w:rPr>
                <w:b/>
                <w:bCs/>
                <w:i/>
                <w:iCs/>
                <w:szCs w:val="24"/>
              </w:rPr>
            </w:pPr>
            <w:r w:rsidRPr="002B5FC9">
              <w:rPr>
                <w:b/>
                <w:i/>
              </w:rPr>
              <w:t>k)</w:t>
            </w:r>
            <w:r w:rsidRPr="002B5FC9">
              <w:rPr>
                <w:b/>
                <w:i/>
              </w:rPr>
              <w:tab/>
              <w:t>Entwicklung von statistischen Instrumenten, Methoden und Indikatoren unter Beachtung des Grundsatzes der Nichtdiskriminierung,</w:t>
            </w:r>
          </w:p>
        </w:tc>
      </w:tr>
      <w:tr w:rsidR="00C13F29" w:rsidRPr="002B5FC9" w14:paraId="52994496" w14:textId="77777777">
        <w:trPr>
          <w:jc w:val="center"/>
        </w:trPr>
        <w:tc>
          <w:tcPr>
            <w:tcW w:w="4876" w:type="dxa"/>
          </w:tcPr>
          <w:p w14:paraId="7F8B059A" w14:textId="77777777" w:rsidR="00231D55" w:rsidRPr="002B5FC9" w:rsidRDefault="00231D55" w:rsidP="00E8229D">
            <w:pPr>
              <w:pStyle w:val="Normal6a"/>
            </w:pPr>
          </w:p>
        </w:tc>
        <w:tc>
          <w:tcPr>
            <w:tcW w:w="4876" w:type="dxa"/>
          </w:tcPr>
          <w:p w14:paraId="1362DBDC" w14:textId="77777777" w:rsidR="00231D55" w:rsidRPr="002B5FC9" w:rsidRDefault="00F403A3" w:rsidP="00E8229D">
            <w:pPr>
              <w:pStyle w:val="Normal6a"/>
              <w:rPr>
                <w:b/>
                <w:bCs/>
                <w:i/>
                <w:iCs/>
                <w:szCs w:val="24"/>
              </w:rPr>
            </w:pPr>
            <w:r w:rsidRPr="002B5FC9">
              <w:rPr>
                <w:b/>
                <w:i/>
              </w:rPr>
              <w:t>l)</w:t>
            </w:r>
            <w:r w:rsidRPr="002B5FC9">
              <w:rPr>
                <w:b/>
                <w:i/>
              </w:rPr>
              <w:tab/>
              <w:t>Betriebskostenunterstützung für die Umsetzung der integrierten europäischen Grenzverwaltung.</w:t>
            </w:r>
          </w:p>
        </w:tc>
      </w:tr>
      <w:tr w:rsidR="00C13F29" w:rsidRPr="002B5FC9" w14:paraId="5367AB2B" w14:textId="77777777">
        <w:trPr>
          <w:jc w:val="center"/>
        </w:trPr>
        <w:tc>
          <w:tcPr>
            <w:tcW w:w="4876" w:type="dxa"/>
          </w:tcPr>
          <w:p w14:paraId="5CE91B23" w14:textId="77777777" w:rsidR="00231D55" w:rsidRPr="002B5FC9" w:rsidRDefault="00231D55" w:rsidP="00E8229D">
            <w:pPr>
              <w:pStyle w:val="Normal6a"/>
            </w:pPr>
          </w:p>
        </w:tc>
        <w:tc>
          <w:tcPr>
            <w:tcW w:w="4876" w:type="dxa"/>
          </w:tcPr>
          <w:p w14:paraId="75C2F616" w14:textId="77777777" w:rsidR="00231D55" w:rsidRPr="002B5FC9" w:rsidRDefault="00F403A3" w:rsidP="00E8229D">
            <w:pPr>
              <w:pStyle w:val="Normal6a"/>
              <w:rPr>
                <w:b/>
                <w:bCs/>
                <w:i/>
                <w:iCs/>
              </w:rPr>
            </w:pPr>
            <w:r w:rsidRPr="002B5FC9">
              <w:rPr>
                <w:b/>
                <w:i/>
              </w:rPr>
              <w:t>3.</w:t>
            </w:r>
            <w:r w:rsidRPr="002B5FC9">
              <w:rPr>
                <w:b/>
                <w:i/>
              </w:rPr>
              <w:tab/>
              <w:t xml:space="preserve">Im Rahmen des in Artikel 3 Absatz 1 Buchstabe c festgelegten Ziels wird für Folgendes Unionsunterstützung </w:t>
            </w:r>
            <w:r w:rsidRPr="002B5FC9">
              <w:rPr>
                <w:b/>
                <w:i/>
              </w:rPr>
              <w:lastRenderedPageBreak/>
              <w:t>gewährt:</w:t>
            </w:r>
          </w:p>
        </w:tc>
      </w:tr>
      <w:tr w:rsidR="00C13F29" w:rsidRPr="002B5FC9" w14:paraId="3E40B137" w14:textId="77777777">
        <w:trPr>
          <w:jc w:val="center"/>
        </w:trPr>
        <w:tc>
          <w:tcPr>
            <w:tcW w:w="4876" w:type="dxa"/>
          </w:tcPr>
          <w:p w14:paraId="4B1E7028" w14:textId="77777777" w:rsidR="00231D55" w:rsidRPr="002B5FC9" w:rsidRDefault="00231D55" w:rsidP="00E8229D">
            <w:pPr>
              <w:pStyle w:val="Normal6a"/>
            </w:pPr>
          </w:p>
        </w:tc>
        <w:tc>
          <w:tcPr>
            <w:tcW w:w="4876" w:type="dxa"/>
          </w:tcPr>
          <w:p w14:paraId="69C178B5" w14:textId="77777777" w:rsidR="00231D55" w:rsidRPr="002B5FC9" w:rsidRDefault="00F403A3" w:rsidP="00E8229D">
            <w:pPr>
              <w:pStyle w:val="Normal6a"/>
              <w:rPr>
                <w:b/>
                <w:bCs/>
                <w:i/>
                <w:iCs/>
                <w:szCs w:val="24"/>
              </w:rPr>
            </w:pPr>
            <w:r w:rsidRPr="002B5FC9">
              <w:rPr>
                <w:b/>
                <w:i/>
              </w:rPr>
              <w:t>a)</w:t>
            </w:r>
            <w:r w:rsidRPr="002B5FC9">
              <w:rPr>
                <w:b/>
                <w:i/>
              </w:rPr>
              <w:tab/>
              <w:t>Infrastruktur und Gebäude, die für die Bearbeitung von Visumanträgen und die konsularische Zusammenarbeit benötigt werden, einschließlich Sicherheitsmaßnahmen, und sonstige Maßnahmen zur Verbesserung der Qualität der Dienstleistungen für Visumantragsteller,</w:t>
            </w:r>
          </w:p>
        </w:tc>
      </w:tr>
      <w:tr w:rsidR="00C13F29" w:rsidRPr="002B5FC9" w14:paraId="0F430924" w14:textId="77777777">
        <w:trPr>
          <w:jc w:val="center"/>
        </w:trPr>
        <w:tc>
          <w:tcPr>
            <w:tcW w:w="4876" w:type="dxa"/>
          </w:tcPr>
          <w:p w14:paraId="52DB4F50" w14:textId="77777777" w:rsidR="00231D55" w:rsidRPr="002B5FC9" w:rsidRDefault="00231D55" w:rsidP="00E8229D">
            <w:pPr>
              <w:pStyle w:val="Normal6a"/>
            </w:pPr>
          </w:p>
        </w:tc>
        <w:tc>
          <w:tcPr>
            <w:tcW w:w="4876" w:type="dxa"/>
          </w:tcPr>
          <w:p w14:paraId="427EA314" w14:textId="77777777" w:rsidR="00231D55" w:rsidRPr="002B5FC9" w:rsidRDefault="00F403A3" w:rsidP="00E8229D">
            <w:pPr>
              <w:pStyle w:val="Normal6a"/>
              <w:rPr>
                <w:b/>
                <w:bCs/>
                <w:i/>
                <w:iCs/>
                <w:szCs w:val="24"/>
              </w:rPr>
            </w:pPr>
            <w:r w:rsidRPr="002B5FC9">
              <w:rPr>
                <w:b/>
                <w:i/>
              </w:rPr>
              <w:t>b)</w:t>
            </w:r>
            <w:r w:rsidRPr="002B5FC9">
              <w:rPr>
                <w:b/>
                <w:i/>
              </w:rPr>
              <w:tab/>
              <w:t>Betriebsausrüstung und IKT-Systeme, die für die Bearbeitung von Visumanträgen und die konsularische Zusammenarbeit benötigt werden,</w:t>
            </w:r>
          </w:p>
        </w:tc>
      </w:tr>
      <w:tr w:rsidR="00C13F29" w:rsidRPr="002B5FC9" w14:paraId="5E998145" w14:textId="77777777">
        <w:trPr>
          <w:jc w:val="center"/>
        </w:trPr>
        <w:tc>
          <w:tcPr>
            <w:tcW w:w="4876" w:type="dxa"/>
          </w:tcPr>
          <w:p w14:paraId="19C25983" w14:textId="77777777" w:rsidR="00231D55" w:rsidRPr="002B5FC9" w:rsidRDefault="00231D55" w:rsidP="00E8229D">
            <w:pPr>
              <w:pStyle w:val="Normal6a"/>
            </w:pPr>
          </w:p>
        </w:tc>
        <w:tc>
          <w:tcPr>
            <w:tcW w:w="4876" w:type="dxa"/>
          </w:tcPr>
          <w:p w14:paraId="4FF0A93E" w14:textId="77777777" w:rsidR="00231D55" w:rsidRPr="002B5FC9" w:rsidRDefault="00F403A3" w:rsidP="00E8229D">
            <w:pPr>
              <w:pStyle w:val="Normal6a"/>
              <w:rPr>
                <w:b/>
                <w:bCs/>
                <w:i/>
                <w:iCs/>
                <w:szCs w:val="24"/>
              </w:rPr>
            </w:pPr>
            <w:r w:rsidRPr="002B5FC9">
              <w:rPr>
                <w:b/>
                <w:i/>
              </w:rPr>
              <w:t>c)</w:t>
            </w:r>
            <w:r w:rsidRPr="002B5FC9">
              <w:rPr>
                <w:b/>
                <w:i/>
              </w:rPr>
              <w:tab/>
            </w:r>
            <w:r w:rsidRPr="002B5FC9">
              <w:rPr>
                <w:b/>
                <w:i/>
              </w:rPr>
              <w:t>Schulung des konsularischen und sonstigen Personals, das an der gemeinsamen Visumpolitik und der konsularischen Zusammenarbeit beteiligt ist,</w:t>
            </w:r>
          </w:p>
        </w:tc>
      </w:tr>
      <w:tr w:rsidR="00C13F29" w:rsidRPr="002B5FC9" w14:paraId="51F2BC84" w14:textId="77777777">
        <w:trPr>
          <w:jc w:val="center"/>
        </w:trPr>
        <w:tc>
          <w:tcPr>
            <w:tcW w:w="4876" w:type="dxa"/>
          </w:tcPr>
          <w:p w14:paraId="4201146D" w14:textId="77777777" w:rsidR="00231D55" w:rsidRPr="002B5FC9" w:rsidRDefault="00231D55" w:rsidP="00E8229D">
            <w:pPr>
              <w:pStyle w:val="Normal6a"/>
            </w:pPr>
          </w:p>
        </w:tc>
        <w:tc>
          <w:tcPr>
            <w:tcW w:w="4876" w:type="dxa"/>
          </w:tcPr>
          <w:p w14:paraId="3E7963B4" w14:textId="77777777" w:rsidR="00231D55" w:rsidRPr="002B5FC9" w:rsidRDefault="00F403A3" w:rsidP="00E8229D">
            <w:pPr>
              <w:pStyle w:val="Normal6a"/>
              <w:rPr>
                <w:b/>
                <w:bCs/>
                <w:i/>
                <w:iCs/>
                <w:szCs w:val="24"/>
              </w:rPr>
            </w:pPr>
            <w:r w:rsidRPr="002B5FC9">
              <w:rPr>
                <w:b/>
                <w:i/>
              </w:rPr>
              <w:t>d)</w:t>
            </w:r>
            <w:r w:rsidRPr="002B5FC9">
              <w:rPr>
                <w:b/>
                <w:i/>
              </w:rPr>
              <w:tab/>
              <w:t>Austausch von bewährten Verfahren und Austausch von Sachverständigen, einschließlich der Entsendung von Sachverständigen, sowie Stärkung der Fähigkeit europäischer Netze, die Strategien und Ziele der Union zu bewerten, zu fördern, zu unterstützen und weiterzuentwickeln,</w:t>
            </w:r>
          </w:p>
        </w:tc>
      </w:tr>
      <w:tr w:rsidR="00C13F29" w:rsidRPr="002B5FC9" w14:paraId="34FCF1A6" w14:textId="77777777">
        <w:trPr>
          <w:jc w:val="center"/>
        </w:trPr>
        <w:tc>
          <w:tcPr>
            <w:tcW w:w="4876" w:type="dxa"/>
          </w:tcPr>
          <w:p w14:paraId="683702C5" w14:textId="77777777" w:rsidR="00231D55" w:rsidRPr="002B5FC9" w:rsidRDefault="00231D55" w:rsidP="00E8229D">
            <w:pPr>
              <w:pStyle w:val="Normal6a"/>
            </w:pPr>
          </w:p>
        </w:tc>
        <w:tc>
          <w:tcPr>
            <w:tcW w:w="4876" w:type="dxa"/>
          </w:tcPr>
          <w:p w14:paraId="21723235" w14:textId="77777777" w:rsidR="00231D55" w:rsidRPr="002B5FC9" w:rsidRDefault="00F403A3" w:rsidP="00E8229D">
            <w:pPr>
              <w:pStyle w:val="Normal6a"/>
              <w:rPr>
                <w:b/>
                <w:bCs/>
                <w:i/>
                <w:iCs/>
              </w:rPr>
            </w:pPr>
            <w:r w:rsidRPr="002B5FC9">
              <w:rPr>
                <w:b/>
                <w:i/>
              </w:rPr>
              <w:t>e)</w:t>
            </w:r>
            <w:r w:rsidRPr="002B5FC9">
              <w:rPr>
                <w:b/>
                <w:i/>
              </w:rPr>
              <w:tab/>
              <w:t>Studien und sonstige einschlägige Maßnahmen, beispielsweise Maßnahmen die auf die Verbesserung des Wissensstands durch Analysen, Überwachung und Evaluierung abzielen,</w:t>
            </w:r>
          </w:p>
        </w:tc>
      </w:tr>
      <w:tr w:rsidR="00C13F29" w:rsidRPr="002B5FC9" w14:paraId="09AA5BBF" w14:textId="77777777">
        <w:trPr>
          <w:jc w:val="center"/>
        </w:trPr>
        <w:tc>
          <w:tcPr>
            <w:tcW w:w="4876" w:type="dxa"/>
          </w:tcPr>
          <w:p w14:paraId="66CF3156" w14:textId="77777777" w:rsidR="00231D55" w:rsidRPr="002B5FC9" w:rsidRDefault="00231D55" w:rsidP="00E8229D">
            <w:pPr>
              <w:pStyle w:val="Normal6a"/>
            </w:pPr>
          </w:p>
        </w:tc>
        <w:tc>
          <w:tcPr>
            <w:tcW w:w="4876" w:type="dxa"/>
          </w:tcPr>
          <w:p w14:paraId="35A4ADBF" w14:textId="77777777" w:rsidR="00231D55" w:rsidRPr="002B5FC9" w:rsidRDefault="00F403A3" w:rsidP="00E8229D">
            <w:pPr>
              <w:pStyle w:val="Normal6a"/>
              <w:rPr>
                <w:b/>
                <w:bCs/>
                <w:i/>
                <w:iCs/>
                <w:szCs w:val="24"/>
              </w:rPr>
            </w:pPr>
            <w:r w:rsidRPr="002B5FC9">
              <w:rPr>
                <w:b/>
                <w:i/>
              </w:rPr>
              <w:t>f)</w:t>
            </w:r>
            <w:r w:rsidRPr="002B5FC9">
              <w:rPr>
                <w:b/>
                <w:i/>
              </w:rPr>
              <w:tab/>
              <w:t>Sensibilisierung der Interessenträger und der breiten Öffentlichkeit für die Visumpolitik, einschließlich institutioneller Kommunikation der politischen Prioritäten der Union,</w:t>
            </w:r>
          </w:p>
        </w:tc>
      </w:tr>
      <w:tr w:rsidR="00C13F29" w:rsidRPr="002B5FC9" w14:paraId="3767F07C" w14:textId="77777777">
        <w:trPr>
          <w:jc w:val="center"/>
        </w:trPr>
        <w:tc>
          <w:tcPr>
            <w:tcW w:w="4876" w:type="dxa"/>
          </w:tcPr>
          <w:p w14:paraId="678E5C51" w14:textId="77777777" w:rsidR="00231D55" w:rsidRPr="002B5FC9" w:rsidRDefault="00231D55" w:rsidP="00E8229D">
            <w:pPr>
              <w:pStyle w:val="Normal6a"/>
            </w:pPr>
          </w:p>
        </w:tc>
        <w:tc>
          <w:tcPr>
            <w:tcW w:w="4876" w:type="dxa"/>
          </w:tcPr>
          <w:p w14:paraId="5B787687" w14:textId="77777777" w:rsidR="00231D55" w:rsidRPr="002B5FC9" w:rsidRDefault="00F403A3" w:rsidP="00E8229D">
            <w:pPr>
              <w:pStyle w:val="Normal6a"/>
              <w:rPr>
                <w:b/>
                <w:bCs/>
                <w:i/>
                <w:iCs/>
                <w:szCs w:val="24"/>
              </w:rPr>
            </w:pPr>
            <w:r w:rsidRPr="002B5FC9">
              <w:rPr>
                <w:b/>
                <w:i/>
              </w:rPr>
              <w:t>g)</w:t>
            </w:r>
            <w:r w:rsidRPr="002B5FC9">
              <w:rPr>
                <w:b/>
                <w:i/>
              </w:rPr>
              <w:tab/>
              <w:t>Entwicklung von statistischen Instrumenten, Methoden und Indikatoren unter Beachtung des Grundsatzes der Nichtdiskriminierung,</w:t>
            </w:r>
          </w:p>
        </w:tc>
      </w:tr>
      <w:tr w:rsidR="00C13F29" w:rsidRPr="002B5FC9" w14:paraId="7FB18386" w14:textId="77777777">
        <w:trPr>
          <w:jc w:val="center"/>
        </w:trPr>
        <w:tc>
          <w:tcPr>
            <w:tcW w:w="4876" w:type="dxa"/>
          </w:tcPr>
          <w:p w14:paraId="29819DEA" w14:textId="77777777" w:rsidR="00231D55" w:rsidRPr="002B5FC9" w:rsidRDefault="00231D55" w:rsidP="00E8229D">
            <w:pPr>
              <w:pStyle w:val="Normal6a"/>
            </w:pPr>
          </w:p>
        </w:tc>
        <w:tc>
          <w:tcPr>
            <w:tcW w:w="4876" w:type="dxa"/>
          </w:tcPr>
          <w:p w14:paraId="6C93DDD1" w14:textId="77777777" w:rsidR="00231D55" w:rsidRPr="002B5FC9" w:rsidRDefault="00F403A3" w:rsidP="00E8229D">
            <w:pPr>
              <w:pStyle w:val="Normal6a"/>
              <w:rPr>
                <w:b/>
                <w:bCs/>
                <w:i/>
                <w:iCs/>
                <w:szCs w:val="24"/>
              </w:rPr>
            </w:pPr>
            <w:r w:rsidRPr="002B5FC9">
              <w:rPr>
                <w:b/>
                <w:i/>
              </w:rPr>
              <w:t>h)</w:t>
            </w:r>
            <w:r w:rsidRPr="002B5FC9">
              <w:rPr>
                <w:b/>
                <w:i/>
              </w:rPr>
              <w:tab/>
              <w:t>Betriebskostenunterstützung für die Umsetzung der gemeinsamen Visumpolitik,</w:t>
            </w:r>
          </w:p>
        </w:tc>
      </w:tr>
      <w:tr w:rsidR="00C13F29" w:rsidRPr="002B5FC9" w14:paraId="6F263B3E" w14:textId="77777777">
        <w:trPr>
          <w:jc w:val="center"/>
        </w:trPr>
        <w:tc>
          <w:tcPr>
            <w:tcW w:w="4876" w:type="dxa"/>
          </w:tcPr>
          <w:p w14:paraId="580F9B66" w14:textId="77777777" w:rsidR="00507587" w:rsidRPr="002B5FC9" w:rsidRDefault="00507587" w:rsidP="00E8229D">
            <w:pPr>
              <w:pStyle w:val="Normal6a"/>
            </w:pPr>
          </w:p>
        </w:tc>
        <w:tc>
          <w:tcPr>
            <w:tcW w:w="4876" w:type="dxa"/>
          </w:tcPr>
          <w:p w14:paraId="69C96B4C" w14:textId="77777777" w:rsidR="00507587" w:rsidRPr="002B5FC9" w:rsidRDefault="00F403A3" w:rsidP="00E8229D">
            <w:pPr>
              <w:pStyle w:val="Normal6a"/>
              <w:rPr>
                <w:b/>
                <w:bCs/>
                <w:i/>
                <w:iCs/>
                <w:szCs w:val="24"/>
              </w:rPr>
            </w:pPr>
            <w:r w:rsidRPr="002B5FC9">
              <w:rPr>
                <w:b/>
                <w:i/>
              </w:rPr>
              <w:t>i)</w:t>
            </w:r>
            <w:r w:rsidRPr="002B5FC9">
              <w:rPr>
                <w:b/>
                <w:i/>
              </w:rPr>
              <w:tab/>
              <w:t>Unterstützung der Mitgliedstaaten bei der Erteilung von Visa, einschließlich Visa mit räumlich beschränkter Gültigkeit gemäß Artikel 25 der Verordnung (EG) Nr. 810/2009, die aus humanitären Gründen, aus Gründen des nationalen Interesses oder aufgrund internationaler Verpflichtungen ausgestellt wurden.</w:t>
            </w:r>
          </w:p>
        </w:tc>
      </w:tr>
    </w:tbl>
    <w:p w14:paraId="28BBA44C" w14:textId="77777777" w:rsidR="00FA192C" w:rsidRPr="00F403A3" w:rsidRDefault="00F403A3" w:rsidP="00FA192C">
      <w:pPr>
        <w:pStyle w:val="AmOrLang"/>
        <w:rPr>
          <w:lang w:val="en-GB"/>
        </w:rPr>
      </w:pPr>
      <w:r w:rsidRPr="00F403A3">
        <w:rPr>
          <w:lang w:val="en-GB"/>
        </w:rPr>
        <w:t xml:space="preserve">Or. </w:t>
      </w:r>
      <w:r w:rsidRPr="00F403A3">
        <w:rPr>
          <w:rStyle w:val="HideTWBExt"/>
          <w:noProof w:val="0"/>
          <w:lang w:val="en-GB"/>
        </w:rPr>
        <w:t>&lt;Original&gt;</w:t>
      </w:r>
      <w:r w:rsidR="00507587" w:rsidRPr="00F403A3">
        <w:rPr>
          <w:rStyle w:val="HideTWBInt"/>
          <w:lang w:val="en-GB"/>
        </w:rPr>
        <w:t>{EN}</w:t>
      </w:r>
      <w:r w:rsidR="00507587" w:rsidRPr="00F403A3">
        <w:rPr>
          <w:lang w:val="en-GB"/>
        </w:rPr>
        <w:t>en</w:t>
      </w:r>
      <w:r w:rsidRPr="00F403A3">
        <w:rPr>
          <w:rStyle w:val="HideTWBExt"/>
          <w:noProof w:val="0"/>
          <w:lang w:val="en-GB"/>
        </w:rPr>
        <w:t>&lt;/Original&gt;</w:t>
      </w:r>
    </w:p>
    <w:p w14:paraId="419ACB4E" w14:textId="77777777" w:rsidR="00FA192C" w:rsidRPr="00F403A3" w:rsidRDefault="00F403A3" w:rsidP="003923F7">
      <w:pPr>
        <w:pStyle w:val="AmJustTitle"/>
        <w:rPr>
          <w:lang w:val="en-GB"/>
        </w:rPr>
      </w:pPr>
      <w:r w:rsidRPr="00F403A3">
        <w:rPr>
          <w:rStyle w:val="HideTWBExt"/>
          <w:i w:val="0"/>
          <w:lang w:val="en-GB"/>
        </w:rPr>
        <w:t>&lt;TitreJust&gt;</w:t>
      </w:r>
      <w:r w:rsidRPr="00F403A3">
        <w:rPr>
          <w:lang w:val="en-GB"/>
        </w:rPr>
        <w:t>Begründung</w:t>
      </w:r>
      <w:r w:rsidRPr="00F403A3">
        <w:rPr>
          <w:rStyle w:val="HideTWBExt"/>
          <w:i w:val="0"/>
          <w:lang w:val="en-GB"/>
        </w:rPr>
        <w:t>&lt;/TitreJust&gt;</w:t>
      </w:r>
    </w:p>
    <w:p w14:paraId="6A76450D" w14:textId="77777777" w:rsidR="00507587" w:rsidRPr="002B5FC9" w:rsidRDefault="00F403A3" w:rsidP="00507587">
      <w:pPr>
        <w:pStyle w:val="Normal12Italic"/>
        <w:jc w:val="both"/>
        <w:rPr>
          <w:szCs w:val="24"/>
        </w:rPr>
      </w:pPr>
      <w:r w:rsidRPr="00F403A3">
        <w:rPr>
          <w:lang w:val="en-GB"/>
        </w:rPr>
        <w:t xml:space="preserve"> </w:t>
      </w:r>
      <w:r w:rsidRPr="002B5FC9">
        <w:t xml:space="preserve">Die Maßnahmen, die im Rahmen dieses Instruments finanziert werden, sollten im Interesse der Transparenz und des Europäischen Parlaments als gesetzgebendes Organ </w:t>
      </w:r>
      <w:r w:rsidRPr="002B5FC9">
        <w:t>festgelegt werden. Die Finanzierung von „Blackbox“-Aktivitäten durch die Mitgliedstaaten sollte nicht zulässig sein.</w:t>
      </w:r>
    </w:p>
    <w:p w14:paraId="5643FC22" w14:textId="77777777" w:rsidR="00FA192C" w:rsidRPr="002B5FC9" w:rsidRDefault="00FA192C" w:rsidP="00FA192C">
      <w:pPr>
        <w:pStyle w:val="AmJustText"/>
      </w:pPr>
    </w:p>
    <w:p w14:paraId="092C7A39" w14:textId="77777777" w:rsidR="00166CCB" w:rsidRPr="002B5FC9" w:rsidRDefault="00F403A3" w:rsidP="00A5426B">
      <w:r w:rsidRPr="002B5FC9">
        <w:rPr>
          <w:rStyle w:val="HideTWBExt"/>
        </w:rPr>
        <w:t>&lt;/Amend&gt;</w:t>
      </w:r>
      <w:bookmarkEnd w:id="1"/>
    </w:p>
    <w:p w14:paraId="0A599655" w14:textId="77777777" w:rsidR="00FA192C" w:rsidRPr="002B5FC9" w:rsidRDefault="00F403A3" w:rsidP="00FA192C">
      <w:bookmarkStart w:id="2" w:name="EndB"/>
      <w:r w:rsidRPr="002B5FC9">
        <w:rPr>
          <w:rStyle w:val="HideTWBExt"/>
        </w:rPr>
        <w:t>&lt;/RepeatBlock-Amend&gt;</w:t>
      </w:r>
      <w:bookmarkEnd w:id="2"/>
    </w:p>
    <w:p w14:paraId="29E8E225" w14:textId="77777777" w:rsidR="008363E4" w:rsidRPr="002B5FC9" w:rsidRDefault="008363E4" w:rsidP="00FA192C"/>
    <w:sectPr w:rsidR="008363E4" w:rsidRPr="002B5FC9" w:rsidSect="002B5F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229C" w14:textId="77777777" w:rsidR="00F403A3" w:rsidRPr="002B5FC9" w:rsidRDefault="00F403A3">
      <w:r w:rsidRPr="002B5FC9">
        <w:separator/>
      </w:r>
    </w:p>
  </w:endnote>
  <w:endnote w:type="continuationSeparator" w:id="0">
    <w:p w14:paraId="46EBAA54" w14:textId="77777777" w:rsidR="00F403A3" w:rsidRPr="002B5FC9" w:rsidRDefault="00F403A3">
      <w:r w:rsidRPr="002B5F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0E59" w14:textId="77777777" w:rsidR="002B5FC9" w:rsidRPr="002B5FC9" w:rsidRDefault="002B5FC9" w:rsidP="002B5FC9">
    <w:pPr>
      <w:pStyle w:val="EPFooter"/>
    </w:pPr>
    <w:r w:rsidRPr="002B5FC9">
      <w:t>PE</w:t>
    </w:r>
    <w:r w:rsidRPr="002B5FC9">
      <w:rPr>
        <w:rStyle w:val="HideTWBExt"/>
      </w:rPr>
      <w:t>&lt;NoPE&gt;</w:t>
    </w:r>
    <w:r w:rsidRPr="002B5FC9">
      <w:t>790.136</w:t>
    </w:r>
    <w:r w:rsidRPr="002B5FC9">
      <w:rPr>
        <w:rStyle w:val="HideTWBExt"/>
      </w:rPr>
      <w:t>&lt;/NoPE&gt;&lt;Version&gt;</w:t>
    </w:r>
    <w:r w:rsidRPr="002B5FC9">
      <w:t>v01-00</w:t>
    </w:r>
    <w:r w:rsidRPr="002B5FC9">
      <w:rPr>
        <w:rStyle w:val="HideTWBExt"/>
      </w:rPr>
      <w:t>&lt;/Version&gt;</w:t>
    </w:r>
    <w:r w:rsidRPr="002B5FC9">
      <w:tab/>
    </w:r>
    <w:r w:rsidRPr="002B5FC9">
      <w:fldChar w:fldCharType="begin"/>
    </w:r>
    <w:r w:rsidRPr="002B5FC9">
      <w:instrText xml:space="preserve"> PAGE  \* MERGEFORMAT </w:instrText>
    </w:r>
    <w:r w:rsidRPr="002B5FC9">
      <w:fldChar w:fldCharType="separate"/>
    </w:r>
    <w:r w:rsidRPr="002B5FC9">
      <w:rPr>
        <w:noProof/>
      </w:rPr>
      <w:t>2</w:t>
    </w:r>
    <w:r w:rsidRPr="002B5FC9">
      <w:fldChar w:fldCharType="end"/>
    </w:r>
    <w:r w:rsidRPr="002B5FC9">
      <w:t>/</w:t>
    </w:r>
    <w:fldSimple w:instr=" NUMPAGES  \* MERGEFORMAT ">
      <w:r w:rsidRPr="002B5FC9">
        <w:rPr>
          <w:noProof/>
        </w:rPr>
        <w:t>8</w:t>
      </w:r>
    </w:fldSimple>
    <w:r w:rsidRPr="002B5FC9">
      <w:tab/>
    </w:r>
    <w:r w:rsidRPr="002B5FC9">
      <w:rPr>
        <w:rStyle w:val="HideTWBExt"/>
      </w:rPr>
      <w:t>&lt;PathFdR&gt;</w:t>
    </w:r>
    <w:r w:rsidRPr="002B5FC9">
      <w:t>AM\1346405DE.docx</w:t>
    </w:r>
    <w:r w:rsidRPr="002B5FC9">
      <w:rPr>
        <w:rStyle w:val="HideTWBExt"/>
      </w:rPr>
      <w:t>&lt;/PathFdR&gt;</w:t>
    </w:r>
  </w:p>
  <w:p w14:paraId="7EE17697" w14:textId="458F7AA7" w:rsidR="00D82FCC" w:rsidRPr="002B5FC9" w:rsidRDefault="002B5FC9" w:rsidP="002B5FC9">
    <w:pPr>
      <w:pStyle w:val="EPFooter2"/>
    </w:pPr>
    <w:r w:rsidRPr="002B5FC9">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D76D0" w14:textId="77777777" w:rsidR="002B5FC9" w:rsidRPr="002B5FC9" w:rsidRDefault="002B5FC9" w:rsidP="002B5FC9">
    <w:pPr>
      <w:pStyle w:val="EPFooter"/>
    </w:pPr>
    <w:r w:rsidRPr="002B5FC9">
      <w:rPr>
        <w:rStyle w:val="HideTWBExt"/>
      </w:rPr>
      <w:t>&lt;PathFdR&gt;</w:t>
    </w:r>
    <w:r w:rsidRPr="002B5FC9">
      <w:t>AM\1346405DE.docx</w:t>
    </w:r>
    <w:r w:rsidRPr="002B5FC9">
      <w:rPr>
        <w:rStyle w:val="HideTWBExt"/>
      </w:rPr>
      <w:t>&lt;/PathFdR&gt;</w:t>
    </w:r>
    <w:r w:rsidRPr="002B5FC9">
      <w:tab/>
    </w:r>
    <w:r w:rsidRPr="002B5FC9">
      <w:fldChar w:fldCharType="begin"/>
    </w:r>
    <w:r w:rsidRPr="002B5FC9">
      <w:instrText xml:space="preserve"> PAGE  \* MERGEFORMAT </w:instrText>
    </w:r>
    <w:r w:rsidRPr="002B5FC9">
      <w:fldChar w:fldCharType="separate"/>
    </w:r>
    <w:r w:rsidRPr="002B5FC9">
      <w:rPr>
        <w:noProof/>
      </w:rPr>
      <w:t>7</w:t>
    </w:r>
    <w:r w:rsidRPr="002B5FC9">
      <w:fldChar w:fldCharType="end"/>
    </w:r>
    <w:r w:rsidRPr="002B5FC9">
      <w:t>/</w:t>
    </w:r>
    <w:fldSimple w:instr=" NUMPAGES  \* MERGEFORMAT ">
      <w:r w:rsidRPr="002B5FC9">
        <w:rPr>
          <w:noProof/>
        </w:rPr>
        <w:t>8</w:t>
      </w:r>
    </w:fldSimple>
    <w:r w:rsidRPr="002B5FC9">
      <w:tab/>
      <w:t>PE</w:t>
    </w:r>
    <w:r w:rsidRPr="002B5FC9">
      <w:rPr>
        <w:rStyle w:val="HideTWBExt"/>
      </w:rPr>
      <w:t>&lt;NoPE&gt;</w:t>
    </w:r>
    <w:r w:rsidRPr="002B5FC9">
      <w:t>790.136</w:t>
    </w:r>
    <w:r w:rsidRPr="002B5FC9">
      <w:rPr>
        <w:rStyle w:val="HideTWBExt"/>
      </w:rPr>
      <w:t>&lt;/NoPE&gt;&lt;Version&gt;</w:t>
    </w:r>
    <w:r w:rsidRPr="002B5FC9">
      <w:t>v01-00</w:t>
    </w:r>
    <w:r w:rsidRPr="002B5FC9">
      <w:rPr>
        <w:rStyle w:val="HideTWBExt"/>
      </w:rPr>
      <w:t>&lt;/Version&gt;</w:t>
    </w:r>
  </w:p>
  <w:p w14:paraId="2CE7E0C6" w14:textId="56DFF98F" w:rsidR="00D82FCC" w:rsidRPr="002B5FC9" w:rsidRDefault="002B5FC9" w:rsidP="002B5FC9">
    <w:pPr>
      <w:pStyle w:val="EPFooter2"/>
    </w:pPr>
    <w:r w:rsidRPr="002B5FC9">
      <w:tab/>
    </w:r>
    <w:r w:rsidRPr="002B5FC9">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788AC" w14:textId="77777777" w:rsidR="002B5FC9" w:rsidRPr="002B5FC9" w:rsidRDefault="002B5FC9" w:rsidP="002B5FC9">
    <w:pPr>
      <w:pStyle w:val="EPFooter"/>
    </w:pPr>
    <w:r w:rsidRPr="002B5FC9">
      <w:rPr>
        <w:rStyle w:val="HideTWBExt"/>
      </w:rPr>
      <w:t>&lt;PathFdR&gt;</w:t>
    </w:r>
    <w:r w:rsidRPr="002B5FC9">
      <w:t>AM\1346405DE.docx</w:t>
    </w:r>
    <w:r w:rsidRPr="002B5FC9">
      <w:rPr>
        <w:rStyle w:val="HideTWBExt"/>
      </w:rPr>
      <w:t>&lt;/PathFdR&gt;</w:t>
    </w:r>
    <w:r w:rsidRPr="002B5FC9">
      <w:tab/>
    </w:r>
    <w:r w:rsidRPr="002B5FC9">
      <w:tab/>
      <w:t>PE</w:t>
    </w:r>
    <w:r w:rsidRPr="002B5FC9">
      <w:rPr>
        <w:rStyle w:val="HideTWBExt"/>
      </w:rPr>
      <w:t>&lt;NoPE&gt;</w:t>
    </w:r>
    <w:r w:rsidRPr="002B5FC9">
      <w:t>790.136</w:t>
    </w:r>
    <w:r w:rsidRPr="002B5FC9">
      <w:rPr>
        <w:rStyle w:val="HideTWBExt"/>
      </w:rPr>
      <w:t>&lt;/NoPE&gt;&lt;Version&gt;</w:t>
    </w:r>
    <w:r w:rsidRPr="002B5FC9">
      <w:t>v01-00</w:t>
    </w:r>
    <w:r w:rsidRPr="002B5FC9">
      <w:rPr>
        <w:rStyle w:val="HideTWBExt"/>
      </w:rPr>
      <w:t>&lt;/Version&gt;</w:t>
    </w:r>
  </w:p>
  <w:p w14:paraId="3A7AC990" w14:textId="3BB33D08" w:rsidR="00D82FCC" w:rsidRPr="002B5FC9" w:rsidRDefault="002B5FC9" w:rsidP="002B5FC9">
    <w:pPr>
      <w:pStyle w:val="EPFooter2"/>
    </w:pPr>
    <w:r w:rsidRPr="002B5FC9">
      <w:t>DE</w:t>
    </w:r>
    <w:r w:rsidRPr="002B5FC9">
      <w:tab/>
    </w:r>
    <w:r w:rsidRPr="002B5FC9">
      <w:rPr>
        <w:b w:val="0"/>
        <w:i/>
        <w:color w:val="C0C0C0"/>
        <w:sz w:val="22"/>
      </w:rPr>
      <w:t>In Vielfalt geeint</w:t>
    </w:r>
    <w:r w:rsidRPr="002B5FC9">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C62D8" w14:textId="77777777" w:rsidR="00F403A3" w:rsidRPr="002B5FC9" w:rsidRDefault="00F403A3">
      <w:r w:rsidRPr="002B5FC9">
        <w:separator/>
      </w:r>
    </w:p>
  </w:footnote>
  <w:footnote w:type="continuationSeparator" w:id="0">
    <w:p w14:paraId="004CE5F6" w14:textId="77777777" w:rsidR="00F403A3" w:rsidRPr="002B5FC9" w:rsidRDefault="00F403A3">
      <w:r w:rsidRPr="002B5F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754EC" w14:textId="77777777" w:rsidR="00F403A3" w:rsidRDefault="00F40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F4BA3" w14:textId="77777777" w:rsidR="00F403A3" w:rsidRDefault="00F40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95B6" w14:textId="77777777" w:rsidR="00F403A3" w:rsidRDefault="00F40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97E47286">
      <w:start w:val="1"/>
      <w:numFmt w:val="decimal"/>
      <w:lvlText w:val="%1."/>
      <w:lvlJc w:val="left"/>
      <w:pPr>
        <w:ind w:left="720" w:hanging="360"/>
      </w:pPr>
      <w:rPr>
        <w:rFonts w:hint="default"/>
      </w:rPr>
    </w:lvl>
    <w:lvl w:ilvl="1" w:tplc="DB469830" w:tentative="1">
      <w:start w:val="1"/>
      <w:numFmt w:val="lowerLetter"/>
      <w:lvlText w:val="%2."/>
      <w:lvlJc w:val="left"/>
      <w:pPr>
        <w:ind w:left="1440" w:hanging="360"/>
      </w:pPr>
    </w:lvl>
    <w:lvl w:ilvl="2" w:tplc="0F50D8DA" w:tentative="1">
      <w:start w:val="1"/>
      <w:numFmt w:val="lowerRoman"/>
      <w:lvlText w:val="%3."/>
      <w:lvlJc w:val="right"/>
      <w:pPr>
        <w:ind w:left="2160" w:hanging="180"/>
      </w:pPr>
    </w:lvl>
    <w:lvl w:ilvl="3" w:tplc="B218EA8E" w:tentative="1">
      <w:start w:val="1"/>
      <w:numFmt w:val="decimal"/>
      <w:lvlText w:val="%4."/>
      <w:lvlJc w:val="left"/>
      <w:pPr>
        <w:ind w:left="2880" w:hanging="360"/>
      </w:pPr>
    </w:lvl>
    <w:lvl w:ilvl="4" w:tplc="FDA2D83C" w:tentative="1">
      <w:start w:val="1"/>
      <w:numFmt w:val="lowerLetter"/>
      <w:lvlText w:val="%5."/>
      <w:lvlJc w:val="left"/>
      <w:pPr>
        <w:ind w:left="3600" w:hanging="360"/>
      </w:pPr>
    </w:lvl>
    <w:lvl w:ilvl="5" w:tplc="2A36AF56" w:tentative="1">
      <w:start w:val="1"/>
      <w:numFmt w:val="lowerRoman"/>
      <w:lvlText w:val="%6."/>
      <w:lvlJc w:val="right"/>
      <w:pPr>
        <w:ind w:left="4320" w:hanging="180"/>
      </w:pPr>
    </w:lvl>
    <w:lvl w:ilvl="6" w:tplc="F9CA51BA" w:tentative="1">
      <w:start w:val="1"/>
      <w:numFmt w:val="decimal"/>
      <w:lvlText w:val="%7."/>
      <w:lvlJc w:val="left"/>
      <w:pPr>
        <w:ind w:left="5040" w:hanging="360"/>
      </w:pPr>
    </w:lvl>
    <w:lvl w:ilvl="7" w:tplc="BCE0671A" w:tentative="1">
      <w:start w:val="1"/>
      <w:numFmt w:val="lowerLetter"/>
      <w:lvlText w:val="%8."/>
      <w:lvlJc w:val="left"/>
      <w:pPr>
        <w:ind w:left="5760" w:hanging="360"/>
      </w:pPr>
    </w:lvl>
    <w:lvl w:ilvl="8" w:tplc="C52E20CE"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462A2384">
      <w:start w:val="1"/>
      <w:numFmt w:val="decimal"/>
      <w:lvlText w:val="%1."/>
      <w:lvlJc w:val="left"/>
      <w:pPr>
        <w:ind w:left="720" w:hanging="360"/>
      </w:pPr>
      <w:rPr>
        <w:rFonts w:hint="default"/>
      </w:rPr>
    </w:lvl>
    <w:lvl w:ilvl="1" w:tplc="D11004A8" w:tentative="1">
      <w:start w:val="1"/>
      <w:numFmt w:val="lowerLetter"/>
      <w:lvlText w:val="%2."/>
      <w:lvlJc w:val="left"/>
      <w:pPr>
        <w:ind w:left="1440" w:hanging="360"/>
      </w:pPr>
    </w:lvl>
    <w:lvl w:ilvl="2" w:tplc="07EC4CE6" w:tentative="1">
      <w:start w:val="1"/>
      <w:numFmt w:val="lowerRoman"/>
      <w:lvlText w:val="%3."/>
      <w:lvlJc w:val="right"/>
      <w:pPr>
        <w:ind w:left="2160" w:hanging="180"/>
      </w:pPr>
    </w:lvl>
    <w:lvl w:ilvl="3" w:tplc="95488D46" w:tentative="1">
      <w:start w:val="1"/>
      <w:numFmt w:val="decimal"/>
      <w:lvlText w:val="%4."/>
      <w:lvlJc w:val="left"/>
      <w:pPr>
        <w:ind w:left="2880" w:hanging="360"/>
      </w:pPr>
    </w:lvl>
    <w:lvl w:ilvl="4" w:tplc="2AFA04BA" w:tentative="1">
      <w:start w:val="1"/>
      <w:numFmt w:val="lowerLetter"/>
      <w:lvlText w:val="%5."/>
      <w:lvlJc w:val="left"/>
      <w:pPr>
        <w:ind w:left="3600" w:hanging="360"/>
      </w:pPr>
    </w:lvl>
    <w:lvl w:ilvl="5" w:tplc="A5CE50E4" w:tentative="1">
      <w:start w:val="1"/>
      <w:numFmt w:val="lowerRoman"/>
      <w:lvlText w:val="%6."/>
      <w:lvlJc w:val="right"/>
      <w:pPr>
        <w:ind w:left="4320" w:hanging="180"/>
      </w:pPr>
    </w:lvl>
    <w:lvl w:ilvl="6" w:tplc="96B87914" w:tentative="1">
      <w:start w:val="1"/>
      <w:numFmt w:val="decimal"/>
      <w:lvlText w:val="%7."/>
      <w:lvlJc w:val="left"/>
      <w:pPr>
        <w:ind w:left="5040" w:hanging="360"/>
      </w:pPr>
    </w:lvl>
    <w:lvl w:ilvl="7" w:tplc="7E6C6F3A" w:tentative="1">
      <w:start w:val="1"/>
      <w:numFmt w:val="lowerLetter"/>
      <w:lvlText w:val="%8."/>
      <w:lvlJc w:val="left"/>
      <w:pPr>
        <w:ind w:left="5760" w:hanging="360"/>
      </w:pPr>
    </w:lvl>
    <w:lvl w:ilvl="8" w:tplc="8EB433BA"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DF02DA34">
      <w:start w:val="1"/>
      <w:numFmt w:val="lowerLetter"/>
      <w:lvlText w:val="(%1)"/>
      <w:lvlJc w:val="left"/>
      <w:pPr>
        <w:ind w:left="720" w:hanging="360"/>
      </w:pPr>
      <w:rPr>
        <w:rFonts w:hint="default"/>
      </w:rPr>
    </w:lvl>
    <w:lvl w:ilvl="1" w:tplc="B210B960" w:tentative="1">
      <w:start w:val="1"/>
      <w:numFmt w:val="lowerLetter"/>
      <w:lvlText w:val="%2."/>
      <w:lvlJc w:val="left"/>
      <w:pPr>
        <w:ind w:left="1440" w:hanging="360"/>
      </w:pPr>
    </w:lvl>
    <w:lvl w:ilvl="2" w:tplc="508A293E" w:tentative="1">
      <w:start w:val="1"/>
      <w:numFmt w:val="lowerRoman"/>
      <w:lvlText w:val="%3."/>
      <w:lvlJc w:val="right"/>
      <w:pPr>
        <w:ind w:left="2160" w:hanging="180"/>
      </w:pPr>
    </w:lvl>
    <w:lvl w:ilvl="3" w:tplc="9C38807A" w:tentative="1">
      <w:start w:val="1"/>
      <w:numFmt w:val="decimal"/>
      <w:lvlText w:val="%4."/>
      <w:lvlJc w:val="left"/>
      <w:pPr>
        <w:ind w:left="2880" w:hanging="360"/>
      </w:pPr>
    </w:lvl>
    <w:lvl w:ilvl="4" w:tplc="458C5A7A" w:tentative="1">
      <w:start w:val="1"/>
      <w:numFmt w:val="lowerLetter"/>
      <w:lvlText w:val="%5."/>
      <w:lvlJc w:val="left"/>
      <w:pPr>
        <w:ind w:left="3600" w:hanging="360"/>
      </w:pPr>
    </w:lvl>
    <w:lvl w:ilvl="5" w:tplc="8E641AF2" w:tentative="1">
      <w:start w:val="1"/>
      <w:numFmt w:val="lowerRoman"/>
      <w:lvlText w:val="%6."/>
      <w:lvlJc w:val="right"/>
      <w:pPr>
        <w:ind w:left="4320" w:hanging="180"/>
      </w:pPr>
    </w:lvl>
    <w:lvl w:ilvl="6" w:tplc="2DFC85C2" w:tentative="1">
      <w:start w:val="1"/>
      <w:numFmt w:val="decimal"/>
      <w:lvlText w:val="%7."/>
      <w:lvlJc w:val="left"/>
      <w:pPr>
        <w:ind w:left="5040" w:hanging="360"/>
      </w:pPr>
    </w:lvl>
    <w:lvl w:ilvl="7" w:tplc="FC0CE978" w:tentative="1">
      <w:start w:val="1"/>
      <w:numFmt w:val="lowerLetter"/>
      <w:lvlText w:val="%8."/>
      <w:lvlJc w:val="left"/>
      <w:pPr>
        <w:ind w:left="5760" w:hanging="360"/>
      </w:pPr>
    </w:lvl>
    <w:lvl w:ilvl="8" w:tplc="2312DB22"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EA1A6C1E">
      <w:start w:val="1"/>
      <w:numFmt w:val="lowerLetter"/>
      <w:lvlText w:val="(%1)"/>
      <w:lvlJc w:val="left"/>
      <w:pPr>
        <w:ind w:left="750" w:hanging="390"/>
      </w:pPr>
      <w:rPr>
        <w:rFonts w:hint="default"/>
      </w:rPr>
    </w:lvl>
    <w:lvl w:ilvl="1" w:tplc="18746E36" w:tentative="1">
      <w:start w:val="1"/>
      <w:numFmt w:val="lowerLetter"/>
      <w:lvlText w:val="%2."/>
      <w:lvlJc w:val="left"/>
      <w:pPr>
        <w:ind w:left="1440" w:hanging="360"/>
      </w:pPr>
    </w:lvl>
    <w:lvl w:ilvl="2" w:tplc="9CE2FEA4" w:tentative="1">
      <w:start w:val="1"/>
      <w:numFmt w:val="lowerRoman"/>
      <w:lvlText w:val="%3."/>
      <w:lvlJc w:val="right"/>
      <w:pPr>
        <w:ind w:left="2160" w:hanging="180"/>
      </w:pPr>
    </w:lvl>
    <w:lvl w:ilvl="3" w:tplc="9012A77E" w:tentative="1">
      <w:start w:val="1"/>
      <w:numFmt w:val="decimal"/>
      <w:lvlText w:val="%4."/>
      <w:lvlJc w:val="left"/>
      <w:pPr>
        <w:ind w:left="2880" w:hanging="360"/>
      </w:pPr>
    </w:lvl>
    <w:lvl w:ilvl="4" w:tplc="183655EE" w:tentative="1">
      <w:start w:val="1"/>
      <w:numFmt w:val="lowerLetter"/>
      <w:lvlText w:val="%5."/>
      <w:lvlJc w:val="left"/>
      <w:pPr>
        <w:ind w:left="3600" w:hanging="360"/>
      </w:pPr>
    </w:lvl>
    <w:lvl w:ilvl="5" w:tplc="05945E34" w:tentative="1">
      <w:start w:val="1"/>
      <w:numFmt w:val="lowerRoman"/>
      <w:lvlText w:val="%6."/>
      <w:lvlJc w:val="right"/>
      <w:pPr>
        <w:ind w:left="4320" w:hanging="180"/>
      </w:pPr>
    </w:lvl>
    <w:lvl w:ilvl="6" w:tplc="76FC038A" w:tentative="1">
      <w:start w:val="1"/>
      <w:numFmt w:val="decimal"/>
      <w:lvlText w:val="%7."/>
      <w:lvlJc w:val="left"/>
      <w:pPr>
        <w:ind w:left="5040" w:hanging="360"/>
      </w:pPr>
    </w:lvl>
    <w:lvl w:ilvl="7" w:tplc="3E4EACAC" w:tentative="1">
      <w:start w:val="1"/>
      <w:numFmt w:val="lowerLetter"/>
      <w:lvlText w:val="%8."/>
      <w:lvlJc w:val="left"/>
      <w:pPr>
        <w:ind w:left="5760" w:hanging="360"/>
      </w:pPr>
    </w:lvl>
    <w:lvl w:ilvl="8" w:tplc="C526C376"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73307012">
      <w:start w:val="1"/>
      <w:numFmt w:val="lowerLetter"/>
      <w:lvlText w:val="(%1)"/>
      <w:lvlJc w:val="left"/>
      <w:pPr>
        <w:ind w:left="720" w:hanging="360"/>
      </w:pPr>
      <w:rPr>
        <w:rFonts w:hint="default"/>
      </w:rPr>
    </w:lvl>
    <w:lvl w:ilvl="1" w:tplc="DC1CD668" w:tentative="1">
      <w:start w:val="1"/>
      <w:numFmt w:val="lowerLetter"/>
      <w:lvlText w:val="%2."/>
      <w:lvlJc w:val="left"/>
      <w:pPr>
        <w:ind w:left="1440" w:hanging="360"/>
      </w:pPr>
    </w:lvl>
    <w:lvl w:ilvl="2" w:tplc="CC3A6082" w:tentative="1">
      <w:start w:val="1"/>
      <w:numFmt w:val="lowerRoman"/>
      <w:lvlText w:val="%3."/>
      <w:lvlJc w:val="right"/>
      <w:pPr>
        <w:ind w:left="2160" w:hanging="180"/>
      </w:pPr>
    </w:lvl>
    <w:lvl w:ilvl="3" w:tplc="D36458D4" w:tentative="1">
      <w:start w:val="1"/>
      <w:numFmt w:val="decimal"/>
      <w:lvlText w:val="%4."/>
      <w:lvlJc w:val="left"/>
      <w:pPr>
        <w:ind w:left="2880" w:hanging="360"/>
      </w:pPr>
    </w:lvl>
    <w:lvl w:ilvl="4" w:tplc="0E6490D2" w:tentative="1">
      <w:start w:val="1"/>
      <w:numFmt w:val="lowerLetter"/>
      <w:lvlText w:val="%5."/>
      <w:lvlJc w:val="left"/>
      <w:pPr>
        <w:ind w:left="3600" w:hanging="360"/>
      </w:pPr>
    </w:lvl>
    <w:lvl w:ilvl="5" w:tplc="442EF2E2" w:tentative="1">
      <w:start w:val="1"/>
      <w:numFmt w:val="lowerRoman"/>
      <w:lvlText w:val="%6."/>
      <w:lvlJc w:val="right"/>
      <w:pPr>
        <w:ind w:left="4320" w:hanging="180"/>
      </w:pPr>
    </w:lvl>
    <w:lvl w:ilvl="6" w:tplc="79BA63F2" w:tentative="1">
      <w:start w:val="1"/>
      <w:numFmt w:val="decimal"/>
      <w:lvlText w:val="%7."/>
      <w:lvlJc w:val="left"/>
      <w:pPr>
        <w:ind w:left="5040" w:hanging="360"/>
      </w:pPr>
    </w:lvl>
    <w:lvl w:ilvl="7" w:tplc="ABE6336E" w:tentative="1">
      <w:start w:val="1"/>
      <w:numFmt w:val="lowerLetter"/>
      <w:lvlText w:val="%8."/>
      <w:lvlJc w:val="left"/>
      <w:pPr>
        <w:ind w:left="5760" w:hanging="360"/>
      </w:pPr>
    </w:lvl>
    <w:lvl w:ilvl="8" w:tplc="8D626B3C"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N"/>
    <w:docVar w:name="TXTLANGUEMIN" w:val="en"/>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N.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D55"/>
    <w:rsid w:val="00231EA7"/>
    <w:rsid w:val="00234AF6"/>
    <w:rsid w:val="00236619"/>
    <w:rsid w:val="00251FBF"/>
    <w:rsid w:val="002574CB"/>
    <w:rsid w:val="00280EA6"/>
    <w:rsid w:val="002A1C82"/>
    <w:rsid w:val="002B5FC9"/>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10B1"/>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13F29"/>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03A3"/>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2FCB9B"/>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963</Words>
  <Characters>7235</Characters>
  <Application>Microsoft Office Word</Application>
  <DocSecurity>0</DocSecurity>
  <Lines>296</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2026-07-08T12:41:00Z</dcterms:created>
  <dcterms:modified xsi:type="dcterms:W3CDTF">2026-07-08T12:41:00Z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AM\1346405DE.docx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14:41</vt:lpwstr>
  </property>
</Properties>
</file>