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57752" w:rsidRPr="000673EE" w14:paraId="79B37DD5" w14:textId="77777777" w:rsidTr="00C85D0F">
        <w:trPr>
          <w:trHeight w:hRule="exact" w:val="1418"/>
        </w:trPr>
        <w:tc>
          <w:tcPr>
            <w:tcW w:w="6804" w:type="dxa"/>
            <w:shd w:val="clear" w:color="auto" w:fill="auto"/>
            <w:vAlign w:val="center"/>
          </w:tcPr>
          <w:p w14:paraId="3E291F1E" w14:textId="77777777" w:rsidR="00BE5062" w:rsidRPr="000673EE" w:rsidRDefault="000673EE" w:rsidP="00C85D0F">
            <w:pPr>
              <w:pStyle w:val="EPName"/>
            </w:pPr>
            <w:r w:rsidRPr="000673EE">
              <w:t>Parlement européen</w:t>
            </w:r>
          </w:p>
          <w:p w14:paraId="4A9BA0D5" w14:textId="77777777" w:rsidR="00BE5062" w:rsidRPr="000673EE" w:rsidRDefault="000673EE" w:rsidP="00C85D0F">
            <w:pPr>
              <w:pStyle w:val="EPTerm"/>
            </w:pPr>
            <w:r w:rsidRPr="000673EE">
              <w:t>2024-2029</w:t>
            </w:r>
          </w:p>
        </w:tc>
        <w:tc>
          <w:tcPr>
            <w:tcW w:w="2268" w:type="dxa"/>
            <w:shd w:val="clear" w:color="auto" w:fill="auto"/>
          </w:tcPr>
          <w:p w14:paraId="4F75EA8A" w14:textId="77777777" w:rsidR="00BE5062" w:rsidRPr="000673EE" w:rsidRDefault="000673EE" w:rsidP="00C85D0F">
            <w:pPr>
              <w:pStyle w:val="EPLogo"/>
            </w:pPr>
            <w:r w:rsidRPr="000673EE">
              <w:rPr>
                <w:noProof/>
              </w:rPr>
              <w:drawing>
                <wp:inline distT="0" distB="0" distL="0" distR="0" wp14:anchorId="522C44A9" wp14:editId="0752E6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5EF3C14" w14:textId="77777777" w:rsidR="000E7234" w:rsidRPr="000673EE" w:rsidRDefault="000E7234" w:rsidP="000E7234">
      <w:pPr>
        <w:pStyle w:val="LineTop"/>
      </w:pPr>
    </w:p>
    <w:p w14:paraId="75E0B416" w14:textId="77777777" w:rsidR="000E7234" w:rsidRPr="000673EE" w:rsidRDefault="000673EE" w:rsidP="000E7234">
      <w:pPr>
        <w:pStyle w:val="EPBody"/>
      </w:pPr>
      <w:r w:rsidRPr="000673EE">
        <w:rPr>
          <w:rStyle w:val="HideTWBExt"/>
          <w:i w:val="0"/>
          <w:szCs w:val="20"/>
        </w:rPr>
        <w:t>&lt;</w:t>
      </w:r>
      <w:r w:rsidRPr="000673EE">
        <w:rPr>
          <w:rStyle w:val="HideTWBExt"/>
          <w:i w:val="0"/>
          <w:szCs w:val="20"/>
        </w:rPr>
        <w:t>Commission</w:t>
      </w:r>
      <w:r w:rsidRPr="000673EE">
        <w:rPr>
          <w:rStyle w:val="HideTWBExt"/>
          <w:i w:val="0"/>
          <w:szCs w:val="20"/>
        </w:rPr>
        <w:t>&gt;</w:t>
      </w:r>
      <w:r w:rsidRPr="000673EE">
        <w:rPr>
          <w:rStyle w:val="HideTWBInt"/>
          <w:i w:val="0"/>
          <w:szCs w:val="20"/>
        </w:rPr>
        <w:t>{LIBE}</w:t>
      </w:r>
      <w:r w:rsidRPr="000673EE">
        <w:t>Commission des libertés civiles, de la justice et des affaires intérieures</w:t>
      </w:r>
      <w:r w:rsidRPr="000673EE">
        <w:rPr>
          <w:rStyle w:val="HideTWBExt"/>
          <w:i w:val="0"/>
          <w:szCs w:val="20"/>
        </w:rPr>
        <w:t>&lt;/</w:t>
      </w:r>
      <w:r w:rsidRPr="000673EE">
        <w:rPr>
          <w:rStyle w:val="HideTWBExt"/>
          <w:i w:val="0"/>
          <w:szCs w:val="20"/>
        </w:rPr>
        <w:t>Commission</w:t>
      </w:r>
      <w:r w:rsidRPr="000673EE">
        <w:rPr>
          <w:rStyle w:val="HideTWBExt"/>
          <w:i w:val="0"/>
          <w:szCs w:val="20"/>
        </w:rPr>
        <w:t>&gt;</w:t>
      </w:r>
    </w:p>
    <w:p w14:paraId="4869B4B1" w14:textId="77777777" w:rsidR="000E7234" w:rsidRPr="000673EE" w:rsidRDefault="000E7234" w:rsidP="000E7234">
      <w:pPr>
        <w:pStyle w:val="LineBottom"/>
      </w:pPr>
    </w:p>
    <w:p w14:paraId="1A45B827" w14:textId="77777777" w:rsidR="00B85286" w:rsidRPr="000673EE" w:rsidRDefault="000673EE">
      <w:pPr>
        <w:pStyle w:val="CoverReference"/>
      </w:pPr>
      <w:r w:rsidRPr="000673EE">
        <w:rPr>
          <w:rStyle w:val="HideTWBExt"/>
          <w:b w:val="0"/>
        </w:rPr>
        <w:t>&lt;RefProc&gt;</w:t>
      </w:r>
      <w:r w:rsidRPr="000673EE">
        <w:t>2025/0541</w:t>
      </w:r>
      <w:r w:rsidRPr="000673EE">
        <w:rPr>
          <w:rStyle w:val="HideTWBExt"/>
          <w:b w:val="0"/>
        </w:rPr>
        <w:t>&lt;/RefProc&gt;&lt;RefTypeProc&gt;</w:t>
      </w:r>
      <w:r w:rsidRPr="000673EE">
        <w:t>(COD)</w:t>
      </w:r>
      <w:r w:rsidRPr="000673EE">
        <w:rPr>
          <w:rStyle w:val="HideTWBExt"/>
          <w:b w:val="0"/>
        </w:rPr>
        <w:t>&lt;/RefTypeProc&gt;</w:t>
      </w:r>
    </w:p>
    <w:p w14:paraId="7FB67F70" w14:textId="77777777" w:rsidR="00B85286" w:rsidRPr="000673EE" w:rsidRDefault="000673EE">
      <w:pPr>
        <w:pStyle w:val="CoverDate"/>
      </w:pPr>
      <w:r w:rsidRPr="000673EE">
        <w:rPr>
          <w:rStyle w:val="HideTWBExt"/>
        </w:rPr>
        <w:t>&lt;Date&gt;</w:t>
      </w:r>
      <w:r w:rsidRPr="000673EE">
        <w:rPr>
          <w:rStyle w:val="HideTWBInt"/>
        </w:rPr>
        <w:t>{24/06/2026}</w:t>
      </w:r>
      <w:r w:rsidRPr="000673EE">
        <w:t>24.6.2026</w:t>
      </w:r>
      <w:r w:rsidRPr="000673EE">
        <w:rPr>
          <w:rStyle w:val="HideTWBExt"/>
        </w:rPr>
        <w:t>&lt;/Date&gt;</w:t>
      </w:r>
    </w:p>
    <w:p w14:paraId="1743F2A3" w14:textId="77777777" w:rsidR="009B0305" w:rsidRPr="000673EE" w:rsidRDefault="000673EE" w:rsidP="009B0305">
      <w:pPr>
        <w:pStyle w:val="CoverDocType"/>
      </w:pPr>
      <w:r w:rsidRPr="000673EE">
        <w:rPr>
          <w:rStyle w:val="HideTWBExt"/>
          <w:b w:val="0"/>
        </w:rPr>
        <w:t>&lt;TypeAM&gt;</w:t>
      </w:r>
      <w:r w:rsidRPr="000673EE">
        <w:t>AMENDEMENT</w:t>
      </w:r>
      <w:r w:rsidRPr="000673EE">
        <w:rPr>
          <w:rStyle w:val="HideTWBExt"/>
          <w:b w:val="0"/>
        </w:rPr>
        <w:t>&lt;/TypeAM&gt;</w:t>
      </w:r>
    </w:p>
    <w:p w14:paraId="24C00FF0" w14:textId="77777777" w:rsidR="00B85286" w:rsidRPr="000673EE" w:rsidRDefault="000673EE" w:rsidP="001C2054">
      <w:pPr>
        <w:pStyle w:val="CoverDocType24a"/>
      </w:pPr>
      <w:r w:rsidRPr="000673EE">
        <w:rPr>
          <w:rStyle w:val="HideTWBExt"/>
          <w:b w:val="0"/>
        </w:rPr>
        <w:t>&lt;RangeAM&gt;</w:t>
      </w:r>
      <w:r w:rsidRPr="000673EE">
        <w:t>206</w:t>
      </w:r>
      <w:r w:rsidRPr="000673EE">
        <w:rPr>
          <w:rStyle w:val="HideTWBExt"/>
          <w:b w:val="0"/>
        </w:rPr>
        <w:t>&lt;/RangeAM&gt;</w:t>
      </w:r>
    </w:p>
    <w:p w14:paraId="773030EB" w14:textId="77777777" w:rsidR="001C2054" w:rsidRPr="000673EE" w:rsidRDefault="000673EE" w:rsidP="00A93F8C">
      <w:pPr>
        <w:pStyle w:val="CoverBold"/>
      </w:pPr>
      <w:r w:rsidRPr="000673EE">
        <w:rPr>
          <w:rStyle w:val="HideTWBExt"/>
          <w:b w:val="0"/>
        </w:rPr>
        <w:t>&lt;TitreType&gt;</w:t>
      </w:r>
      <w:r w:rsidRPr="000673EE">
        <w:t>Projet de rapport</w:t>
      </w:r>
      <w:r w:rsidRPr="000673EE">
        <w:rPr>
          <w:rStyle w:val="HideTWBExt"/>
          <w:b w:val="0"/>
        </w:rPr>
        <w:t>&lt;/TitreType&gt;</w:t>
      </w:r>
    </w:p>
    <w:p w14:paraId="0ED19332" w14:textId="77777777" w:rsidR="00B85286" w:rsidRPr="000673EE" w:rsidRDefault="000673EE" w:rsidP="00A93F8C">
      <w:pPr>
        <w:pStyle w:val="CoverBold"/>
      </w:pPr>
      <w:r w:rsidRPr="000673EE">
        <w:rPr>
          <w:rStyle w:val="HideTWBExt"/>
          <w:b w:val="0"/>
        </w:rPr>
        <w:t>&lt;Rapporteur&gt;</w:t>
      </w:r>
      <w:r w:rsidRPr="000673EE">
        <w:t>Karlo Ressler</w:t>
      </w:r>
      <w:r w:rsidRPr="000673EE">
        <w:rPr>
          <w:rStyle w:val="HideTWBExt"/>
          <w:b w:val="0"/>
        </w:rPr>
        <w:t>&lt;/Rapporteur&gt;</w:t>
      </w:r>
    </w:p>
    <w:p w14:paraId="1908A754" w14:textId="77777777" w:rsidR="00B85286" w:rsidRPr="000673EE" w:rsidRDefault="000673EE">
      <w:pPr>
        <w:pStyle w:val="CoverNormal24a"/>
      </w:pPr>
      <w:r w:rsidRPr="000673EE">
        <w:rPr>
          <w:rStyle w:val="HideTWBExt"/>
        </w:rPr>
        <w:t>&lt;DocRefPE&gt;</w:t>
      </w:r>
      <w:r w:rsidRPr="000673EE">
        <w:t>(PE788.793v01-00)</w:t>
      </w:r>
      <w:r w:rsidRPr="000673EE">
        <w:rPr>
          <w:rStyle w:val="HideTWBExt"/>
        </w:rPr>
        <w:t>&lt;/DocRefPE&gt;</w:t>
      </w:r>
    </w:p>
    <w:p w14:paraId="7C0803E6" w14:textId="77777777" w:rsidR="00B85286" w:rsidRPr="000673EE" w:rsidRDefault="000673EE">
      <w:pPr>
        <w:pStyle w:val="CoverNormal24a"/>
      </w:pPr>
      <w:r w:rsidRPr="000673EE">
        <w:rPr>
          <w:rStyle w:val="HideTWBExt"/>
        </w:rPr>
        <w:t>&lt;Titre&gt;</w:t>
      </w:r>
      <w:r w:rsidRPr="000673EE">
        <w:t>sur la proposition de règlement du Parlement européen et du Conseil établissant le soutien de l’Union en faveur de l’espace Schengen, de la gestion européenne intégrée des frontières et de la politique commune en matière de visas pour la période 2028-2034</w:t>
      </w:r>
      <w:r w:rsidRPr="000673EE">
        <w:rPr>
          <w:rStyle w:val="HideTWBExt"/>
        </w:rPr>
        <w:t>&lt;/Titre&gt;</w:t>
      </w:r>
    </w:p>
    <w:p w14:paraId="5A8A8C35" w14:textId="77777777" w:rsidR="006337D4" w:rsidRPr="000673EE" w:rsidRDefault="000673EE" w:rsidP="006337D4">
      <w:pPr>
        <w:pStyle w:val="CoverNormal"/>
      </w:pPr>
      <w:r w:rsidRPr="000673EE">
        <w:rPr>
          <w:rStyle w:val="HideTWBExt"/>
        </w:rPr>
        <w:t>&lt;DocAmend&gt;</w:t>
      </w:r>
      <w:r w:rsidRPr="000673EE">
        <w:t>Proposition de règlement</w:t>
      </w:r>
      <w:r w:rsidRPr="000673EE">
        <w:rPr>
          <w:rStyle w:val="HideTWBExt"/>
        </w:rPr>
        <w:t>&lt;/DocAmend&gt;</w:t>
      </w:r>
    </w:p>
    <w:p w14:paraId="1031BEA0" w14:textId="77777777" w:rsidR="00B85286" w:rsidRPr="000673EE" w:rsidRDefault="000673EE">
      <w:pPr>
        <w:pStyle w:val="CoverNormal24a"/>
      </w:pPr>
      <w:r w:rsidRPr="000673EE">
        <w:rPr>
          <w:rStyle w:val="HideTWBExt"/>
        </w:rPr>
        <w:t>&lt;DocRef&gt;</w:t>
      </w:r>
      <w:r w:rsidRPr="000673EE">
        <w:t>(COM(2025)0541 – C10</w:t>
      </w:r>
      <w:r w:rsidRPr="000673EE">
        <w:noBreakHyphen/>
        <w:t>0176/2025 – 2025/0541(COD))</w:t>
      </w:r>
      <w:r w:rsidRPr="000673EE">
        <w:rPr>
          <w:rStyle w:val="HideTWBExt"/>
        </w:rPr>
        <w:t>&lt;/DocRef&gt;</w:t>
      </w:r>
    </w:p>
    <w:p w14:paraId="5F6AACC8" w14:textId="77777777" w:rsidR="00B85286" w:rsidRPr="000673EE" w:rsidRDefault="000673EE" w:rsidP="00E660E2">
      <w:pPr>
        <w:widowControl/>
        <w:tabs>
          <w:tab w:val="center" w:pos="4677"/>
        </w:tabs>
      </w:pPr>
      <w:r w:rsidRPr="000673EE">
        <w:br w:type="page"/>
      </w:r>
      <w:proofErr w:type="spellStart"/>
      <w:r w:rsidRPr="000673EE">
        <w:lastRenderedPageBreak/>
        <w:t>AM_Com_LegReport</w:t>
      </w:r>
      <w:proofErr w:type="spellEnd"/>
    </w:p>
    <w:p w14:paraId="1A735863" w14:textId="77777777" w:rsidR="003E43AC" w:rsidRPr="000673EE" w:rsidRDefault="000673EE" w:rsidP="001444E0">
      <w:pPr>
        <w:pStyle w:val="AmNumberTabs"/>
        <w:keepNext/>
      </w:pPr>
      <w:r w:rsidRPr="000673EE">
        <w:br w:type="page"/>
      </w:r>
      <w:bookmarkStart w:id="0" w:name="IntroB"/>
      <w:r w:rsidRPr="000673EE">
        <w:rPr>
          <w:rStyle w:val="HideTWBExt"/>
          <w:b w:val="0"/>
        </w:rPr>
        <w:lastRenderedPageBreak/>
        <w:t>&lt;RepeatBlock-Amend&gt;</w:t>
      </w:r>
      <w:bookmarkStart w:id="1" w:name="restart"/>
      <w:bookmarkEnd w:id="0"/>
      <w:r w:rsidRPr="000673EE">
        <w:rPr>
          <w:rStyle w:val="HideTWBExt"/>
          <w:b w:val="0"/>
        </w:rPr>
        <w:t>&lt;Amend&gt;</w:t>
      </w:r>
      <w:r w:rsidRPr="000673EE">
        <w:t>Amendement</w:t>
      </w:r>
      <w:r w:rsidRPr="000673EE">
        <w:tab/>
      </w:r>
      <w:r w:rsidRPr="000673EE">
        <w:tab/>
      </w:r>
      <w:r w:rsidRPr="000673EE">
        <w:rPr>
          <w:rStyle w:val="HideTWBExt"/>
          <w:b w:val="0"/>
        </w:rPr>
        <w:t>&lt;NumAm&gt;</w:t>
      </w:r>
      <w:r w:rsidRPr="000673EE">
        <w:t>206</w:t>
      </w:r>
      <w:r w:rsidRPr="000673EE">
        <w:rPr>
          <w:rStyle w:val="HideTWBExt"/>
          <w:b w:val="0"/>
        </w:rPr>
        <w:t>&lt;/NumAm&gt;</w:t>
      </w:r>
    </w:p>
    <w:p w14:paraId="56129EBD" w14:textId="77777777" w:rsidR="005B32E3" w:rsidRPr="000673EE" w:rsidRDefault="000673EE" w:rsidP="005B32E3">
      <w:pPr>
        <w:pStyle w:val="NormalBold"/>
      </w:pPr>
      <w:r w:rsidRPr="000673EE">
        <w:rPr>
          <w:rStyle w:val="HideTWBExt"/>
          <w:b w:val="0"/>
        </w:rPr>
        <w:t>&lt;RepeatBlock-By&gt;&lt;Members&gt;</w:t>
      </w:r>
      <w:r w:rsidRPr="000673EE">
        <w:t>Murielle Laurent</w:t>
      </w:r>
      <w:r w:rsidRPr="000673EE">
        <w:rPr>
          <w:rStyle w:val="HideTWBExt"/>
          <w:b w:val="0"/>
        </w:rPr>
        <w:t>&lt;/Members&gt;</w:t>
      </w:r>
    </w:p>
    <w:p w14:paraId="23608B29" w14:textId="77777777" w:rsidR="005B32E3" w:rsidRPr="000673EE" w:rsidRDefault="000673EE" w:rsidP="005B32E3">
      <w:r w:rsidRPr="000673EE">
        <w:rPr>
          <w:rStyle w:val="HideTWBExt"/>
        </w:rPr>
        <w:t>&lt;/RepeatBlock-By&gt;</w:t>
      </w:r>
    </w:p>
    <w:p w14:paraId="49C756D8" w14:textId="77777777" w:rsidR="009B0305" w:rsidRPr="000673EE" w:rsidRDefault="000673EE" w:rsidP="005B32E3">
      <w:pPr>
        <w:pStyle w:val="NormalBold"/>
      </w:pPr>
      <w:r w:rsidRPr="000673EE">
        <w:rPr>
          <w:rStyle w:val="HideTWBExt"/>
          <w:b w:val="0"/>
        </w:rPr>
        <w:t>&lt;DocAmend&gt;</w:t>
      </w:r>
      <w:r w:rsidRPr="000673EE">
        <w:t>Proposition de règlement</w:t>
      </w:r>
      <w:r w:rsidRPr="000673EE">
        <w:rPr>
          <w:rStyle w:val="HideTWBExt"/>
          <w:b w:val="0"/>
        </w:rPr>
        <w:t>&lt;/DocAmend&gt;</w:t>
      </w:r>
    </w:p>
    <w:p w14:paraId="7F5B8A16" w14:textId="77777777" w:rsidR="009B0305" w:rsidRPr="000673EE" w:rsidRDefault="000673EE" w:rsidP="00A233E9">
      <w:pPr>
        <w:pStyle w:val="NormalBold"/>
        <w:keepNext/>
      </w:pPr>
      <w:r w:rsidRPr="000673EE">
        <w:rPr>
          <w:rStyle w:val="HideTWBExt"/>
          <w:b w:val="0"/>
        </w:rPr>
        <w:t>&lt;Article&gt;</w:t>
      </w:r>
      <w:r w:rsidRPr="000673EE">
        <w:t>Annexe (nouvelle)</w:t>
      </w:r>
      <w:r w:rsidRPr="000673E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7752" w:rsidRPr="000673EE" w14:paraId="638AF72F" w14:textId="77777777">
        <w:trPr>
          <w:jc w:val="center"/>
        </w:trPr>
        <w:tc>
          <w:tcPr>
            <w:tcW w:w="9752" w:type="dxa"/>
            <w:gridSpan w:val="2"/>
          </w:tcPr>
          <w:p w14:paraId="75CD643A" w14:textId="77777777" w:rsidR="009A65D8" w:rsidRPr="000673EE" w:rsidRDefault="009A65D8" w:rsidP="00A233E9">
            <w:pPr>
              <w:keepNext/>
            </w:pPr>
          </w:p>
        </w:tc>
      </w:tr>
      <w:tr w:rsidR="00557752" w:rsidRPr="000673EE" w14:paraId="06F089BE" w14:textId="77777777">
        <w:trPr>
          <w:jc w:val="center"/>
        </w:trPr>
        <w:tc>
          <w:tcPr>
            <w:tcW w:w="4876" w:type="dxa"/>
          </w:tcPr>
          <w:p w14:paraId="6539B87D" w14:textId="77777777" w:rsidR="009A65D8" w:rsidRPr="000673EE" w:rsidRDefault="000673EE" w:rsidP="00A233E9">
            <w:pPr>
              <w:pStyle w:val="AmColumnHeading"/>
              <w:keepNext/>
            </w:pPr>
            <w:r w:rsidRPr="000673EE">
              <w:t>Texte proposé par la Commission</w:t>
            </w:r>
          </w:p>
        </w:tc>
        <w:tc>
          <w:tcPr>
            <w:tcW w:w="4876" w:type="dxa"/>
          </w:tcPr>
          <w:p w14:paraId="72677B42" w14:textId="77777777" w:rsidR="009A65D8" w:rsidRPr="000673EE" w:rsidRDefault="000673EE" w:rsidP="00A233E9">
            <w:pPr>
              <w:pStyle w:val="AmColumnHeading"/>
              <w:keepNext/>
            </w:pPr>
            <w:r w:rsidRPr="000673EE">
              <w:t>Amendement</w:t>
            </w:r>
          </w:p>
        </w:tc>
      </w:tr>
      <w:tr w:rsidR="00557752" w:rsidRPr="000673EE" w14:paraId="317CFBD8" w14:textId="77777777">
        <w:trPr>
          <w:jc w:val="center"/>
        </w:trPr>
        <w:tc>
          <w:tcPr>
            <w:tcW w:w="4876" w:type="dxa"/>
          </w:tcPr>
          <w:p w14:paraId="54E0EDC0" w14:textId="77777777" w:rsidR="00AA1AF8" w:rsidRPr="000673EE" w:rsidRDefault="00AA1AF8" w:rsidP="00E8229D">
            <w:pPr>
              <w:pStyle w:val="Normal6a"/>
            </w:pPr>
          </w:p>
        </w:tc>
        <w:tc>
          <w:tcPr>
            <w:tcW w:w="4876" w:type="dxa"/>
          </w:tcPr>
          <w:p w14:paraId="540DD3A3" w14:textId="77777777" w:rsidR="00AA1AF8" w:rsidRPr="000673EE" w:rsidRDefault="000673EE" w:rsidP="00E8229D">
            <w:pPr>
              <w:pStyle w:val="Normal6a"/>
              <w:rPr>
                <w:b/>
                <w:bCs/>
                <w:i/>
                <w:iCs/>
              </w:rPr>
            </w:pPr>
            <w:r w:rsidRPr="000673EE">
              <w:rPr>
                <w:b/>
                <w:i/>
              </w:rPr>
              <w:t>Annexe</w:t>
            </w:r>
          </w:p>
        </w:tc>
      </w:tr>
      <w:tr w:rsidR="00557752" w:rsidRPr="000673EE" w14:paraId="23FC772F" w14:textId="77777777">
        <w:trPr>
          <w:jc w:val="center"/>
        </w:trPr>
        <w:tc>
          <w:tcPr>
            <w:tcW w:w="4876" w:type="dxa"/>
          </w:tcPr>
          <w:p w14:paraId="22D648F7" w14:textId="77777777" w:rsidR="009A65D8" w:rsidRPr="000673EE" w:rsidRDefault="009A65D8" w:rsidP="00E8229D">
            <w:pPr>
              <w:pStyle w:val="Normal6a"/>
            </w:pPr>
          </w:p>
        </w:tc>
        <w:tc>
          <w:tcPr>
            <w:tcW w:w="4876" w:type="dxa"/>
          </w:tcPr>
          <w:p w14:paraId="11B9E7C0" w14:textId="77777777" w:rsidR="009A65D8" w:rsidRPr="000673EE" w:rsidRDefault="000673EE" w:rsidP="00E8229D">
            <w:pPr>
              <w:pStyle w:val="Normal6a"/>
              <w:rPr>
                <w:b/>
                <w:bCs/>
                <w:i/>
                <w:iCs/>
              </w:rPr>
            </w:pPr>
            <w:r w:rsidRPr="000673EE">
              <w:rPr>
                <w:b/>
                <w:i/>
              </w:rPr>
              <w:t>Champ d’intervention</w:t>
            </w:r>
          </w:p>
        </w:tc>
      </w:tr>
      <w:tr w:rsidR="00557752" w:rsidRPr="000673EE" w14:paraId="4EA1C408" w14:textId="77777777">
        <w:trPr>
          <w:jc w:val="center"/>
        </w:trPr>
        <w:tc>
          <w:tcPr>
            <w:tcW w:w="4876" w:type="dxa"/>
          </w:tcPr>
          <w:p w14:paraId="27751606" w14:textId="77777777" w:rsidR="001444E0" w:rsidRPr="000673EE" w:rsidRDefault="001444E0" w:rsidP="00E8229D">
            <w:pPr>
              <w:pStyle w:val="Normal6a"/>
            </w:pPr>
          </w:p>
        </w:tc>
        <w:tc>
          <w:tcPr>
            <w:tcW w:w="4876" w:type="dxa"/>
          </w:tcPr>
          <w:p w14:paraId="51DAB6C0" w14:textId="77777777" w:rsidR="001444E0" w:rsidRPr="000673EE" w:rsidRDefault="000673EE" w:rsidP="00E8229D">
            <w:pPr>
              <w:pStyle w:val="Normal6a"/>
              <w:rPr>
                <w:b/>
                <w:bCs/>
                <w:i/>
                <w:iCs/>
              </w:rPr>
            </w:pPr>
            <w:r w:rsidRPr="000673EE">
              <w:rPr>
                <w:b/>
                <w:i/>
              </w:rPr>
              <w:t>1.</w:t>
            </w:r>
            <w:r w:rsidRPr="000673EE">
              <w:rPr>
                <w:b/>
                <w:i/>
              </w:rPr>
              <w:tab/>
            </w:r>
            <w:r w:rsidRPr="000673EE">
              <w:rPr>
                <w:b/>
                <w:i/>
              </w:rPr>
              <w:t>Dans le cadre de l’objectif énoncé à l’article 3, paragraphe 1, point a), l’Union apporte un soutien:</w:t>
            </w:r>
          </w:p>
        </w:tc>
      </w:tr>
      <w:tr w:rsidR="00557752" w:rsidRPr="000673EE" w14:paraId="2E8BD8FD" w14:textId="77777777">
        <w:trPr>
          <w:jc w:val="center"/>
        </w:trPr>
        <w:tc>
          <w:tcPr>
            <w:tcW w:w="4876" w:type="dxa"/>
          </w:tcPr>
          <w:p w14:paraId="2EEA5068" w14:textId="77777777" w:rsidR="001444E0" w:rsidRPr="000673EE" w:rsidRDefault="001444E0" w:rsidP="00E8229D">
            <w:pPr>
              <w:pStyle w:val="Normal6a"/>
            </w:pPr>
          </w:p>
        </w:tc>
        <w:tc>
          <w:tcPr>
            <w:tcW w:w="4876" w:type="dxa"/>
          </w:tcPr>
          <w:p w14:paraId="6E1B7607" w14:textId="77777777" w:rsidR="001444E0" w:rsidRPr="000673EE" w:rsidRDefault="000673EE" w:rsidP="00E8229D">
            <w:pPr>
              <w:pStyle w:val="Normal6a"/>
              <w:rPr>
                <w:b/>
                <w:bCs/>
                <w:i/>
                <w:iCs/>
              </w:rPr>
            </w:pPr>
            <w:r w:rsidRPr="000673EE">
              <w:rPr>
                <w:b/>
                <w:i/>
              </w:rPr>
              <w:t>a)</w:t>
            </w:r>
            <w:r w:rsidRPr="000673EE">
              <w:rPr>
                <w:b/>
                <w:i/>
              </w:rPr>
              <w:tab/>
              <w:t>à l’échange de bonnes pratiques et à l’échange d’experts, y compris le détachement d’experts, ainsi qu’au renforcement de la capacité des réseaux européens à évaluer, promouvoir, soutenir et développer davantage l’espace Schengen sans contrôle aux frontières intérieures;</w:t>
            </w:r>
          </w:p>
        </w:tc>
      </w:tr>
      <w:tr w:rsidR="00557752" w:rsidRPr="000673EE" w14:paraId="4CA19D0E" w14:textId="77777777">
        <w:trPr>
          <w:jc w:val="center"/>
        </w:trPr>
        <w:tc>
          <w:tcPr>
            <w:tcW w:w="4876" w:type="dxa"/>
          </w:tcPr>
          <w:p w14:paraId="461031DC" w14:textId="77777777" w:rsidR="001444E0" w:rsidRPr="000673EE" w:rsidRDefault="001444E0" w:rsidP="00E8229D">
            <w:pPr>
              <w:pStyle w:val="Normal6a"/>
            </w:pPr>
          </w:p>
        </w:tc>
        <w:tc>
          <w:tcPr>
            <w:tcW w:w="4876" w:type="dxa"/>
          </w:tcPr>
          <w:p w14:paraId="7655977D" w14:textId="77777777" w:rsidR="001444E0" w:rsidRPr="000673EE" w:rsidRDefault="000673EE" w:rsidP="00E8229D">
            <w:pPr>
              <w:pStyle w:val="Normal6a"/>
              <w:rPr>
                <w:b/>
                <w:bCs/>
                <w:i/>
                <w:iCs/>
                <w:szCs w:val="24"/>
              </w:rPr>
            </w:pPr>
            <w:r w:rsidRPr="000673EE">
              <w:rPr>
                <w:b/>
                <w:i/>
              </w:rPr>
              <w:t>b)</w:t>
            </w:r>
            <w:r w:rsidRPr="000673EE">
              <w:rPr>
                <w:b/>
                <w:i/>
              </w:rPr>
              <w:tab/>
              <w:t>aux études et autres actions pertinentes, telles que des actions visant à améliorer les connaissances grâce aux analyses, au suivi et à l’évaluation;</w:t>
            </w:r>
          </w:p>
        </w:tc>
      </w:tr>
      <w:tr w:rsidR="00557752" w:rsidRPr="000673EE" w14:paraId="1C502FFF" w14:textId="77777777">
        <w:trPr>
          <w:jc w:val="center"/>
        </w:trPr>
        <w:tc>
          <w:tcPr>
            <w:tcW w:w="4876" w:type="dxa"/>
          </w:tcPr>
          <w:p w14:paraId="6F130BA8" w14:textId="77777777" w:rsidR="001444E0" w:rsidRPr="000673EE" w:rsidRDefault="001444E0" w:rsidP="00E8229D">
            <w:pPr>
              <w:pStyle w:val="Normal6a"/>
            </w:pPr>
          </w:p>
        </w:tc>
        <w:tc>
          <w:tcPr>
            <w:tcW w:w="4876" w:type="dxa"/>
          </w:tcPr>
          <w:p w14:paraId="48B3299C" w14:textId="77777777" w:rsidR="001444E0" w:rsidRPr="000673EE" w:rsidRDefault="000673EE" w:rsidP="00E8229D">
            <w:pPr>
              <w:pStyle w:val="Normal6a"/>
              <w:rPr>
                <w:b/>
                <w:bCs/>
                <w:i/>
                <w:iCs/>
                <w:szCs w:val="24"/>
              </w:rPr>
            </w:pPr>
            <w:r w:rsidRPr="000673EE">
              <w:rPr>
                <w:b/>
                <w:i/>
              </w:rPr>
              <w:t>c)</w:t>
            </w:r>
            <w:r w:rsidRPr="000673EE">
              <w:rPr>
                <w:b/>
                <w:i/>
              </w:rPr>
              <w:tab/>
              <w:t>aux activités préparatoires, de suivi, administratives et techniques, notamment pour renforcer la gouvernance de l’espace Schengen en développant et en mettant en œuvre le mécanisme d’évaluation établi par le règlement (UE) nº 1053/2013 destiné à vérifier l’application de l’acquis de Schengen, y compris les frais de mission des experts de la Commission et des États membres participant aux visites sur place;</w:t>
            </w:r>
          </w:p>
        </w:tc>
      </w:tr>
      <w:tr w:rsidR="00557752" w:rsidRPr="000673EE" w14:paraId="6EEA1DC4" w14:textId="77777777">
        <w:trPr>
          <w:jc w:val="center"/>
        </w:trPr>
        <w:tc>
          <w:tcPr>
            <w:tcW w:w="4876" w:type="dxa"/>
          </w:tcPr>
          <w:p w14:paraId="4B4E19CF" w14:textId="77777777" w:rsidR="001444E0" w:rsidRPr="000673EE" w:rsidRDefault="001444E0" w:rsidP="00E8229D">
            <w:pPr>
              <w:pStyle w:val="Normal6a"/>
            </w:pPr>
          </w:p>
        </w:tc>
        <w:tc>
          <w:tcPr>
            <w:tcW w:w="4876" w:type="dxa"/>
          </w:tcPr>
          <w:p w14:paraId="0E4101AE" w14:textId="77777777" w:rsidR="001444E0" w:rsidRPr="000673EE" w:rsidRDefault="000673EE" w:rsidP="00E8229D">
            <w:pPr>
              <w:pStyle w:val="Normal6a"/>
              <w:rPr>
                <w:b/>
                <w:bCs/>
                <w:i/>
                <w:iCs/>
                <w:szCs w:val="24"/>
              </w:rPr>
            </w:pPr>
            <w:r w:rsidRPr="000673EE">
              <w:rPr>
                <w:b/>
                <w:i/>
              </w:rPr>
              <w:t>d)</w:t>
            </w:r>
            <w:r w:rsidRPr="000673EE">
              <w:rPr>
                <w:b/>
                <w:i/>
              </w:rPr>
              <w:tab/>
              <w:t>aux activités visant à renforcer la connaissance de l’espace Schengen sans contrôle aux frontières intérieures parmi les parties prenantes et le grand public, y compris la communication institutionnelle des priorités politiques de l’Union dans ce domaine;</w:t>
            </w:r>
          </w:p>
        </w:tc>
      </w:tr>
      <w:tr w:rsidR="00557752" w:rsidRPr="000673EE" w14:paraId="12278DE5" w14:textId="77777777">
        <w:trPr>
          <w:jc w:val="center"/>
        </w:trPr>
        <w:tc>
          <w:tcPr>
            <w:tcW w:w="4876" w:type="dxa"/>
          </w:tcPr>
          <w:p w14:paraId="2684D2D4" w14:textId="77777777" w:rsidR="001444E0" w:rsidRPr="000673EE" w:rsidRDefault="001444E0" w:rsidP="00E8229D">
            <w:pPr>
              <w:pStyle w:val="Normal6a"/>
            </w:pPr>
          </w:p>
        </w:tc>
        <w:tc>
          <w:tcPr>
            <w:tcW w:w="4876" w:type="dxa"/>
          </w:tcPr>
          <w:p w14:paraId="5098D4C6" w14:textId="77777777" w:rsidR="001444E0" w:rsidRPr="000673EE" w:rsidRDefault="000673EE" w:rsidP="00E8229D">
            <w:pPr>
              <w:pStyle w:val="Normal6a"/>
              <w:rPr>
                <w:b/>
                <w:bCs/>
                <w:i/>
                <w:iCs/>
                <w:szCs w:val="24"/>
              </w:rPr>
            </w:pPr>
            <w:r w:rsidRPr="000673EE">
              <w:rPr>
                <w:b/>
                <w:i/>
              </w:rPr>
              <w:t>e)</w:t>
            </w:r>
            <w:r w:rsidRPr="000673EE">
              <w:rPr>
                <w:b/>
                <w:i/>
              </w:rPr>
              <w:tab/>
            </w:r>
            <w:r w:rsidRPr="000673EE">
              <w:rPr>
                <w:b/>
                <w:i/>
              </w:rPr>
              <w:t xml:space="preserve">à la mise au point d’outils, de méthodes et d’indicateurs statistiques, </w:t>
            </w:r>
            <w:r w:rsidRPr="000673EE">
              <w:rPr>
                <w:b/>
                <w:i/>
              </w:rPr>
              <w:lastRenderedPageBreak/>
              <w:t>dans le respect du principe de non-discrimination;</w:t>
            </w:r>
          </w:p>
        </w:tc>
      </w:tr>
      <w:tr w:rsidR="00557752" w:rsidRPr="000673EE" w14:paraId="13590F9A" w14:textId="77777777">
        <w:trPr>
          <w:jc w:val="center"/>
        </w:trPr>
        <w:tc>
          <w:tcPr>
            <w:tcW w:w="4876" w:type="dxa"/>
          </w:tcPr>
          <w:p w14:paraId="127B3521" w14:textId="77777777" w:rsidR="001444E0" w:rsidRPr="000673EE" w:rsidRDefault="001444E0" w:rsidP="00E8229D">
            <w:pPr>
              <w:pStyle w:val="Normal6a"/>
            </w:pPr>
          </w:p>
        </w:tc>
        <w:tc>
          <w:tcPr>
            <w:tcW w:w="4876" w:type="dxa"/>
          </w:tcPr>
          <w:p w14:paraId="1BB1E98A" w14:textId="77777777" w:rsidR="001444E0" w:rsidRPr="000673EE" w:rsidRDefault="000673EE" w:rsidP="00E8229D">
            <w:pPr>
              <w:pStyle w:val="Normal6a"/>
              <w:rPr>
                <w:b/>
                <w:bCs/>
                <w:i/>
                <w:iCs/>
                <w:szCs w:val="24"/>
              </w:rPr>
            </w:pPr>
            <w:r w:rsidRPr="000673EE">
              <w:rPr>
                <w:b/>
                <w:i/>
              </w:rPr>
              <w:t>f)</w:t>
            </w:r>
            <w:r w:rsidRPr="000673EE">
              <w:rPr>
                <w:b/>
                <w:i/>
              </w:rPr>
              <w:tab/>
            </w:r>
            <w:r w:rsidRPr="000673EE">
              <w:rPr>
                <w:b/>
                <w:i/>
              </w:rPr>
              <w:t>au soutien au fonctionnement pour la mise en œuvre de mesures visant à garantir l’application de l’acquis de Schengen.</w:t>
            </w:r>
          </w:p>
        </w:tc>
      </w:tr>
      <w:tr w:rsidR="00557752" w:rsidRPr="000673EE" w14:paraId="126DD4FB" w14:textId="77777777">
        <w:trPr>
          <w:jc w:val="center"/>
        </w:trPr>
        <w:tc>
          <w:tcPr>
            <w:tcW w:w="4876" w:type="dxa"/>
          </w:tcPr>
          <w:p w14:paraId="5AB850D3" w14:textId="77777777" w:rsidR="00231D55" w:rsidRPr="000673EE" w:rsidRDefault="00231D55" w:rsidP="00E8229D">
            <w:pPr>
              <w:pStyle w:val="Normal6a"/>
            </w:pPr>
          </w:p>
        </w:tc>
        <w:tc>
          <w:tcPr>
            <w:tcW w:w="4876" w:type="dxa"/>
          </w:tcPr>
          <w:p w14:paraId="6C018C3C" w14:textId="77777777" w:rsidR="00231D55" w:rsidRPr="000673EE" w:rsidRDefault="000673EE" w:rsidP="00E8229D">
            <w:pPr>
              <w:pStyle w:val="Normal6a"/>
              <w:rPr>
                <w:b/>
                <w:bCs/>
                <w:i/>
                <w:iCs/>
              </w:rPr>
            </w:pPr>
            <w:r w:rsidRPr="000673EE">
              <w:rPr>
                <w:b/>
                <w:i/>
              </w:rPr>
              <w:t>2.</w:t>
            </w:r>
            <w:r w:rsidRPr="000673EE">
              <w:rPr>
                <w:b/>
                <w:i/>
              </w:rPr>
              <w:tab/>
              <w:t>Dans le cadre de l’objectif énoncé à l’article 3, paragraphe 1, point b), l’Union apporte un soutien:</w:t>
            </w:r>
          </w:p>
        </w:tc>
      </w:tr>
      <w:tr w:rsidR="00557752" w:rsidRPr="000673EE" w14:paraId="55A98004" w14:textId="77777777">
        <w:trPr>
          <w:jc w:val="center"/>
        </w:trPr>
        <w:tc>
          <w:tcPr>
            <w:tcW w:w="4876" w:type="dxa"/>
          </w:tcPr>
          <w:p w14:paraId="1A906C57" w14:textId="77777777" w:rsidR="00231D55" w:rsidRPr="000673EE" w:rsidRDefault="00231D55" w:rsidP="00E8229D">
            <w:pPr>
              <w:pStyle w:val="Normal6a"/>
            </w:pPr>
          </w:p>
        </w:tc>
        <w:tc>
          <w:tcPr>
            <w:tcW w:w="4876" w:type="dxa"/>
          </w:tcPr>
          <w:p w14:paraId="31990033" w14:textId="77777777" w:rsidR="00231D55" w:rsidRPr="000673EE" w:rsidRDefault="000673EE" w:rsidP="00E8229D">
            <w:pPr>
              <w:pStyle w:val="Normal6a"/>
              <w:rPr>
                <w:b/>
                <w:bCs/>
                <w:i/>
                <w:iCs/>
                <w:szCs w:val="24"/>
              </w:rPr>
            </w:pPr>
            <w:r w:rsidRPr="000673EE">
              <w:rPr>
                <w:b/>
                <w:i/>
              </w:rPr>
              <w:t>a)</w:t>
            </w:r>
            <w:r w:rsidRPr="000673EE">
              <w:rPr>
                <w:b/>
                <w:i/>
              </w:rPr>
              <w:tab/>
              <w:t>aux infrastructures, bâtiments, systèmes et services nécessaires aux points de passage frontaliers et pour la surveillance des frontières entre les points de passage frontaliers;</w:t>
            </w:r>
          </w:p>
        </w:tc>
      </w:tr>
      <w:tr w:rsidR="00557752" w:rsidRPr="000673EE" w14:paraId="453F07E6" w14:textId="77777777">
        <w:trPr>
          <w:jc w:val="center"/>
        </w:trPr>
        <w:tc>
          <w:tcPr>
            <w:tcW w:w="4876" w:type="dxa"/>
          </w:tcPr>
          <w:p w14:paraId="62A0EAF9" w14:textId="77777777" w:rsidR="00231D55" w:rsidRPr="000673EE" w:rsidRDefault="00231D55" w:rsidP="00E8229D">
            <w:pPr>
              <w:pStyle w:val="Normal6a"/>
            </w:pPr>
          </w:p>
        </w:tc>
        <w:tc>
          <w:tcPr>
            <w:tcW w:w="4876" w:type="dxa"/>
          </w:tcPr>
          <w:p w14:paraId="52634446" w14:textId="77777777" w:rsidR="00231D55" w:rsidRPr="000673EE" w:rsidRDefault="000673EE" w:rsidP="00E8229D">
            <w:pPr>
              <w:pStyle w:val="Normal6a"/>
              <w:rPr>
                <w:b/>
                <w:bCs/>
                <w:i/>
                <w:iCs/>
                <w:szCs w:val="24"/>
              </w:rPr>
            </w:pPr>
            <w:r w:rsidRPr="000673EE">
              <w:rPr>
                <w:b/>
                <w:i/>
              </w:rPr>
              <w:t>b)</w:t>
            </w:r>
            <w:r w:rsidRPr="000673EE">
              <w:rPr>
                <w:b/>
                <w:i/>
              </w:rPr>
              <w:tab/>
              <w:t>aux équipements d’exploitation, y compris les moyens de transport et les systèmes d’information et de communication, nécessaires à un contrôle aux frontières efficace et sûr aux points de passage frontaliers et pour la surveillance des frontières, conformément aux normes élaborées par l’Agence européenne de garde-frontières et de garde-côtes, lorsque de telles normes existent;</w:t>
            </w:r>
          </w:p>
        </w:tc>
      </w:tr>
      <w:tr w:rsidR="00557752" w:rsidRPr="000673EE" w14:paraId="62AB42D2" w14:textId="77777777">
        <w:trPr>
          <w:jc w:val="center"/>
        </w:trPr>
        <w:tc>
          <w:tcPr>
            <w:tcW w:w="4876" w:type="dxa"/>
          </w:tcPr>
          <w:p w14:paraId="1E1ECD8F" w14:textId="77777777" w:rsidR="00231D55" w:rsidRPr="000673EE" w:rsidRDefault="00231D55" w:rsidP="00E8229D">
            <w:pPr>
              <w:pStyle w:val="Normal6a"/>
            </w:pPr>
          </w:p>
        </w:tc>
        <w:tc>
          <w:tcPr>
            <w:tcW w:w="4876" w:type="dxa"/>
          </w:tcPr>
          <w:p w14:paraId="1EC0B9F9" w14:textId="77777777" w:rsidR="00231D55" w:rsidRPr="000673EE" w:rsidRDefault="000673EE" w:rsidP="00E8229D">
            <w:pPr>
              <w:pStyle w:val="Normal6a"/>
              <w:rPr>
                <w:b/>
                <w:bCs/>
                <w:i/>
                <w:iCs/>
              </w:rPr>
            </w:pPr>
            <w:r w:rsidRPr="000673EE">
              <w:rPr>
                <w:b/>
                <w:i/>
              </w:rPr>
              <w:t>c)</w:t>
            </w:r>
            <w:r w:rsidRPr="000673EE">
              <w:rPr>
                <w:b/>
                <w:i/>
              </w:rPr>
              <w:tab/>
              <w:t>à la formation sur le terrain en matière de gestion européenne intégrée des frontières ou à la contribution au développement de cette gestion, en prenant en compte les besoins opérationnels et l’analyse des risques, notamment les problèmes répertoriés dans les recommandations visées à l’article 13, paragraphe 7, ainsi que le plein respect des droits fondamentaux;</w:t>
            </w:r>
          </w:p>
        </w:tc>
      </w:tr>
      <w:tr w:rsidR="00557752" w:rsidRPr="000673EE" w14:paraId="5C566B08" w14:textId="77777777">
        <w:trPr>
          <w:jc w:val="center"/>
        </w:trPr>
        <w:tc>
          <w:tcPr>
            <w:tcW w:w="4876" w:type="dxa"/>
          </w:tcPr>
          <w:p w14:paraId="5F2F696C" w14:textId="77777777" w:rsidR="00231D55" w:rsidRPr="000673EE" w:rsidRDefault="00231D55" w:rsidP="00E8229D">
            <w:pPr>
              <w:pStyle w:val="Normal6a"/>
            </w:pPr>
          </w:p>
        </w:tc>
        <w:tc>
          <w:tcPr>
            <w:tcW w:w="4876" w:type="dxa"/>
          </w:tcPr>
          <w:p w14:paraId="38EC4D18" w14:textId="77777777" w:rsidR="00231D55" w:rsidRPr="000673EE" w:rsidRDefault="000673EE" w:rsidP="00E8229D">
            <w:pPr>
              <w:pStyle w:val="Normal6a"/>
              <w:rPr>
                <w:b/>
                <w:bCs/>
                <w:i/>
                <w:iCs/>
              </w:rPr>
            </w:pPr>
            <w:r w:rsidRPr="000673EE">
              <w:rPr>
                <w:b/>
                <w:i/>
              </w:rPr>
              <w:t>d)</w:t>
            </w:r>
            <w:r w:rsidRPr="000673EE">
              <w:rPr>
                <w:b/>
                <w:i/>
              </w:rPr>
              <w:tab/>
              <w:t>au déploiement conjoint d’officiers de liaison «Immigration» dans des pays tiers conformément au règlement (UE) 2019/1240 du Parlement européen et du Conseil;</w:t>
            </w:r>
          </w:p>
        </w:tc>
      </w:tr>
      <w:tr w:rsidR="00557752" w:rsidRPr="000673EE" w14:paraId="6BABDC1F" w14:textId="77777777">
        <w:trPr>
          <w:jc w:val="center"/>
        </w:trPr>
        <w:tc>
          <w:tcPr>
            <w:tcW w:w="4876" w:type="dxa"/>
          </w:tcPr>
          <w:p w14:paraId="7A54FF86" w14:textId="77777777" w:rsidR="00231D55" w:rsidRPr="000673EE" w:rsidRDefault="00231D55" w:rsidP="00E8229D">
            <w:pPr>
              <w:pStyle w:val="Normal6a"/>
            </w:pPr>
          </w:p>
        </w:tc>
        <w:tc>
          <w:tcPr>
            <w:tcW w:w="4876" w:type="dxa"/>
          </w:tcPr>
          <w:p w14:paraId="29DBADEB" w14:textId="77777777" w:rsidR="00231D55" w:rsidRPr="000673EE" w:rsidRDefault="000673EE" w:rsidP="00E8229D">
            <w:pPr>
              <w:pStyle w:val="Normal6a"/>
              <w:rPr>
                <w:b/>
                <w:bCs/>
                <w:i/>
                <w:iCs/>
                <w:szCs w:val="24"/>
              </w:rPr>
            </w:pPr>
            <w:r w:rsidRPr="000673EE">
              <w:rPr>
                <w:b/>
                <w:i/>
              </w:rPr>
              <w:t>e)</w:t>
            </w:r>
            <w:r w:rsidRPr="000673EE">
              <w:rPr>
                <w:b/>
                <w:i/>
              </w:rPr>
              <w:tab/>
              <w:t>à l’échange de bonnes pratiques et d’expertise, aux études, projets pilotes et autres actions pertinentes visant à mettre en œuvre ou à développer la gestion européenne intégrée des frontières, y compris les mesures visant à développer le corps européen de garde-frontières et de garde-côtes, comme le renforcement des capacités communes, la passation conjointe de marchés, l’établissement de normes communes et toute autre mesure rationalisant la coopération et la coordination entre l’Agence européenne de gar</w:t>
            </w:r>
            <w:r w:rsidRPr="000673EE">
              <w:rPr>
                <w:b/>
                <w:i/>
              </w:rPr>
              <w:t>de-frontières et de garde-côtes et les États membres, ainsi qu’aux mesures liées à l’orientation des personnes vulnérables ayant besoin d’une assistance et des personnes qui ont besoin d’une protection internationale ou qui souhaitent présenter une demande en ce sens;</w:t>
            </w:r>
          </w:p>
        </w:tc>
      </w:tr>
      <w:tr w:rsidR="00557752" w:rsidRPr="000673EE" w14:paraId="65FFD846" w14:textId="77777777">
        <w:trPr>
          <w:jc w:val="center"/>
        </w:trPr>
        <w:tc>
          <w:tcPr>
            <w:tcW w:w="4876" w:type="dxa"/>
          </w:tcPr>
          <w:p w14:paraId="3B28839A" w14:textId="77777777" w:rsidR="00231D55" w:rsidRPr="000673EE" w:rsidRDefault="00231D55" w:rsidP="00E8229D">
            <w:pPr>
              <w:pStyle w:val="Normal6a"/>
            </w:pPr>
          </w:p>
        </w:tc>
        <w:tc>
          <w:tcPr>
            <w:tcW w:w="4876" w:type="dxa"/>
          </w:tcPr>
          <w:p w14:paraId="1C4D8BFB" w14:textId="77777777" w:rsidR="00231D55" w:rsidRPr="000673EE" w:rsidRDefault="000673EE" w:rsidP="00E8229D">
            <w:pPr>
              <w:pStyle w:val="Normal6a"/>
              <w:rPr>
                <w:b/>
                <w:bCs/>
                <w:i/>
                <w:iCs/>
                <w:szCs w:val="24"/>
              </w:rPr>
            </w:pPr>
            <w:r w:rsidRPr="000673EE">
              <w:rPr>
                <w:b/>
                <w:i/>
              </w:rPr>
              <w:t>f)</w:t>
            </w:r>
            <w:r w:rsidRPr="000673EE">
              <w:rPr>
                <w:b/>
                <w:i/>
              </w:rPr>
              <w:tab/>
              <w:t>aux activités préparatoires, de suivi, administratives et techniques, nécessaires pour mettre en œuvre les mesures en matière de frontières extérieures, notamment pour renforcer la gouvernance de l’espace Schengen en développant et en mettant en œuvre le mécanisme d’évaluation établi par le règlement (UE) nº 1053/2013 destiné à vérifier l’application de l’acquis de Schengen et le règlement (UE) 2016/399, y compris les frais de mission des experts de la Commission et des États membres participant aux visite</w:t>
            </w:r>
            <w:r w:rsidRPr="000673EE">
              <w:rPr>
                <w:b/>
                <w:i/>
              </w:rPr>
              <w:t>s sur place, et aux mesures visant à mettre en œuvre les recommandations publiées à la suite d’évaluations de la vulnérabilité effectuées par l’Agence européenne de garde-frontières et de garde-côtes conformément au règlement (UE) 2019/1896;</w:t>
            </w:r>
          </w:p>
        </w:tc>
      </w:tr>
      <w:tr w:rsidR="00557752" w:rsidRPr="000673EE" w14:paraId="3DFB5938" w14:textId="77777777">
        <w:trPr>
          <w:jc w:val="center"/>
        </w:trPr>
        <w:tc>
          <w:tcPr>
            <w:tcW w:w="4876" w:type="dxa"/>
          </w:tcPr>
          <w:p w14:paraId="2318E932" w14:textId="77777777" w:rsidR="00231D55" w:rsidRPr="000673EE" w:rsidRDefault="00231D55" w:rsidP="00E8229D">
            <w:pPr>
              <w:pStyle w:val="Normal6a"/>
            </w:pPr>
          </w:p>
        </w:tc>
        <w:tc>
          <w:tcPr>
            <w:tcW w:w="4876" w:type="dxa"/>
          </w:tcPr>
          <w:p w14:paraId="0DB6EEFF" w14:textId="77777777" w:rsidR="00231D55" w:rsidRPr="000673EE" w:rsidRDefault="000673EE" w:rsidP="00E8229D">
            <w:pPr>
              <w:pStyle w:val="Normal6a"/>
              <w:rPr>
                <w:b/>
                <w:bCs/>
                <w:i/>
                <w:iCs/>
              </w:rPr>
            </w:pPr>
            <w:r w:rsidRPr="000673EE">
              <w:rPr>
                <w:b/>
                <w:i/>
              </w:rPr>
              <w:t>g)</w:t>
            </w:r>
            <w:r w:rsidRPr="000673EE">
              <w:rPr>
                <w:b/>
                <w:i/>
              </w:rPr>
              <w:tab/>
            </w:r>
            <w:r w:rsidRPr="000673EE">
              <w:rPr>
                <w:b/>
                <w:i/>
              </w:rPr>
              <w:t>aux actions visant à renforcer la qualité des données stockées dans les systèmes d’information et de communication et à améliorer l’exercice, par la personne concernée, de ses droits à l’information, à l’accès à ses données à caractère personnel, à leur rectification et à leur effacement, ainsi qu’à la limitation du traitement de ces données;</w:t>
            </w:r>
          </w:p>
        </w:tc>
      </w:tr>
      <w:tr w:rsidR="00557752" w:rsidRPr="000673EE" w14:paraId="53A6F196" w14:textId="77777777">
        <w:trPr>
          <w:jc w:val="center"/>
        </w:trPr>
        <w:tc>
          <w:tcPr>
            <w:tcW w:w="4876" w:type="dxa"/>
          </w:tcPr>
          <w:p w14:paraId="6E9A961A" w14:textId="77777777" w:rsidR="00231D55" w:rsidRPr="000673EE" w:rsidRDefault="00231D55" w:rsidP="00E8229D">
            <w:pPr>
              <w:pStyle w:val="Normal6a"/>
            </w:pPr>
          </w:p>
        </w:tc>
        <w:tc>
          <w:tcPr>
            <w:tcW w:w="4876" w:type="dxa"/>
          </w:tcPr>
          <w:p w14:paraId="3B7D5EB4" w14:textId="77777777" w:rsidR="00231D55" w:rsidRPr="000673EE" w:rsidRDefault="000673EE" w:rsidP="00E8229D">
            <w:pPr>
              <w:pStyle w:val="Normal6a"/>
              <w:rPr>
                <w:b/>
                <w:bCs/>
                <w:i/>
                <w:iCs/>
              </w:rPr>
            </w:pPr>
            <w:r w:rsidRPr="000673EE">
              <w:rPr>
                <w:b/>
                <w:i/>
              </w:rPr>
              <w:t>h)</w:t>
            </w:r>
            <w:r w:rsidRPr="000673EE">
              <w:rPr>
                <w:b/>
                <w:i/>
              </w:rPr>
              <w:tab/>
              <w:t>à l’identification, à la prise d’empreintes digitales, à l’enregistrement, aux contrôles de sécurité, aux comptes rendus, à la fourniture d’informations, aux examens médicaux et de vulnérabilité et, s’il y a lieu, aux soins médicaux et à l’orientation des ressortissants de pays tiers vers la procédure appropriée aux frontières extérieures;</w:t>
            </w:r>
          </w:p>
        </w:tc>
      </w:tr>
      <w:tr w:rsidR="00557752" w:rsidRPr="000673EE" w14:paraId="4A5F3D12" w14:textId="77777777">
        <w:trPr>
          <w:jc w:val="center"/>
        </w:trPr>
        <w:tc>
          <w:tcPr>
            <w:tcW w:w="4876" w:type="dxa"/>
          </w:tcPr>
          <w:p w14:paraId="468EEB4C" w14:textId="77777777" w:rsidR="00231D55" w:rsidRPr="000673EE" w:rsidRDefault="00231D55" w:rsidP="00E8229D">
            <w:pPr>
              <w:pStyle w:val="Normal6a"/>
            </w:pPr>
          </w:p>
        </w:tc>
        <w:tc>
          <w:tcPr>
            <w:tcW w:w="4876" w:type="dxa"/>
          </w:tcPr>
          <w:p w14:paraId="73E59A59" w14:textId="77777777" w:rsidR="00231D55" w:rsidRPr="000673EE" w:rsidRDefault="000673EE" w:rsidP="00E8229D">
            <w:pPr>
              <w:pStyle w:val="Normal6a"/>
              <w:rPr>
                <w:b/>
                <w:bCs/>
                <w:i/>
                <w:iCs/>
              </w:rPr>
            </w:pPr>
            <w:r w:rsidRPr="000673EE">
              <w:rPr>
                <w:b/>
                <w:i/>
              </w:rPr>
              <w:t>i)</w:t>
            </w:r>
            <w:r w:rsidRPr="000673EE">
              <w:rPr>
                <w:b/>
                <w:i/>
              </w:rPr>
              <w:tab/>
              <w:t>aux actions visant à établir, maintenir ou développer des mécanismes de contrôle indépendants conformément à l’article 10 du règlement (UE) 2024/1356 (règlement sur le filtrage);</w:t>
            </w:r>
          </w:p>
        </w:tc>
      </w:tr>
      <w:tr w:rsidR="00557752" w:rsidRPr="000673EE" w14:paraId="53909308" w14:textId="77777777">
        <w:trPr>
          <w:jc w:val="center"/>
        </w:trPr>
        <w:tc>
          <w:tcPr>
            <w:tcW w:w="4876" w:type="dxa"/>
          </w:tcPr>
          <w:p w14:paraId="42B6B561" w14:textId="77777777" w:rsidR="00231D55" w:rsidRPr="000673EE" w:rsidRDefault="00231D55" w:rsidP="00E8229D">
            <w:pPr>
              <w:pStyle w:val="Normal6a"/>
            </w:pPr>
          </w:p>
        </w:tc>
        <w:tc>
          <w:tcPr>
            <w:tcW w:w="4876" w:type="dxa"/>
          </w:tcPr>
          <w:p w14:paraId="76591BE8" w14:textId="77777777" w:rsidR="00231D55" w:rsidRPr="000673EE" w:rsidRDefault="000673EE" w:rsidP="00E8229D">
            <w:pPr>
              <w:pStyle w:val="Normal6a"/>
              <w:rPr>
                <w:b/>
                <w:bCs/>
                <w:i/>
                <w:iCs/>
                <w:szCs w:val="24"/>
              </w:rPr>
            </w:pPr>
            <w:r w:rsidRPr="000673EE">
              <w:rPr>
                <w:b/>
                <w:i/>
              </w:rPr>
              <w:t>j)</w:t>
            </w:r>
            <w:r w:rsidRPr="000673EE">
              <w:rPr>
                <w:b/>
                <w:i/>
              </w:rPr>
              <w:tab/>
              <w:t>aux actions visant à renforcer la connaissance des mesures relatives aux frontières extérieures parmi les parties prenantes et le grand public, y compris la communication institutionnelle sur les priorités politiques de l’Union;</w:t>
            </w:r>
          </w:p>
        </w:tc>
      </w:tr>
      <w:tr w:rsidR="00557752" w:rsidRPr="000673EE" w14:paraId="24E985B3" w14:textId="77777777">
        <w:trPr>
          <w:jc w:val="center"/>
        </w:trPr>
        <w:tc>
          <w:tcPr>
            <w:tcW w:w="4876" w:type="dxa"/>
          </w:tcPr>
          <w:p w14:paraId="6C658E91" w14:textId="77777777" w:rsidR="00231D55" w:rsidRPr="000673EE" w:rsidRDefault="00231D55" w:rsidP="00E8229D">
            <w:pPr>
              <w:pStyle w:val="Normal6a"/>
            </w:pPr>
          </w:p>
        </w:tc>
        <w:tc>
          <w:tcPr>
            <w:tcW w:w="4876" w:type="dxa"/>
          </w:tcPr>
          <w:p w14:paraId="0F1B49C3" w14:textId="77777777" w:rsidR="00231D55" w:rsidRPr="000673EE" w:rsidRDefault="000673EE" w:rsidP="00E8229D">
            <w:pPr>
              <w:pStyle w:val="Normal6a"/>
              <w:rPr>
                <w:b/>
                <w:bCs/>
                <w:i/>
                <w:iCs/>
                <w:szCs w:val="24"/>
              </w:rPr>
            </w:pPr>
            <w:r w:rsidRPr="000673EE">
              <w:rPr>
                <w:b/>
                <w:i/>
              </w:rPr>
              <w:t>k)</w:t>
            </w:r>
            <w:r w:rsidRPr="000673EE">
              <w:rPr>
                <w:b/>
                <w:i/>
              </w:rPr>
              <w:tab/>
              <w:t>à la mise au point d’outils, de méthodes et d’indicateurs statistiques, dans le respect du principe de non-discrimination;</w:t>
            </w:r>
          </w:p>
        </w:tc>
      </w:tr>
      <w:tr w:rsidR="00557752" w:rsidRPr="000673EE" w14:paraId="221BF156" w14:textId="77777777">
        <w:trPr>
          <w:jc w:val="center"/>
        </w:trPr>
        <w:tc>
          <w:tcPr>
            <w:tcW w:w="4876" w:type="dxa"/>
          </w:tcPr>
          <w:p w14:paraId="2DBADEEC" w14:textId="77777777" w:rsidR="00231D55" w:rsidRPr="000673EE" w:rsidRDefault="00231D55" w:rsidP="00E8229D">
            <w:pPr>
              <w:pStyle w:val="Normal6a"/>
            </w:pPr>
          </w:p>
        </w:tc>
        <w:tc>
          <w:tcPr>
            <w:tcW w:w="4876" w:type="dxa"/>
          </w:tcPr>
          <w:p w14:paraId="7506D4BB" w14:textId="77777777" w:rsidR="00231D55" w:rsidRPr="000673EE" w:rsidRDefault="000673EE" w:rsidP="00E8229D">
            <w:pPr>
              <w:pStyle w:val="Normal6a"/>
              <w:rPr>
                <w:b/>
                <w:bCs/>
                <w:i/>
                <w:iCs/>
                <w:szCs w:val="24"/>
              </w:rPr>
            </w:pPr>
            <w:r w:rsidRPr="000673EE">
              <w:rPr>
                <w:b/>
                <w:i/>
              </w:rPr>
              <w:t>l)</w:t>
            </w:r>
            <w:r w:rsidRPr="000673EE">
              <w:rPr>
                <w:b/>
                <w:i/>
              </w:rPr>
              <w:tab/>
              <w:t>au soutien au fonctionnement pour la mise en œuvre de la gestion européenne intégrée des frontières.</w:t>
            </w:r>
          </w:p>
        </w:tc>
      </w:tr>
      <w:tr w:rsidR="00557752" w:rsidRPr="000673EE" w14:paraId="23D2132C" w14:textId="77777777">
        <w:trPr>
          <w:jc w:val="center"/>
        </w:trPr>
        <w:tc>
          <w:tcPr>
            <w:tcW w:w="4876" w:type="dxa"/>
          </w:tcPr>
          <w:p w14:paraId="25063D32" w14:textId="77777777" w:rsidR="00231D55" w:rsidRPr="000673EE" w:rsidRDefault="00231D55" w:rsidP="00E8229D">
            <w:pPr>
              <w:pStyle w:val="Normal6a"/>
            </w:pPr>
          </w:p>
        </w:tc>
        <w:tc>
          <w:tcPr>
            <w:tcW w:w="4876" w:type="dxa"/>
          </w:tcPr>
          <w:p w14:paraId="7B666F8B" w14:textId="77777777" w:rsidR="00231D55" w:rsidRPr="000673EE" w:rsidRDefault="000673EE" w:rsidP="00E8229D">
            <w:pPr>
              <w:pStyle w:val="Normal6a"/>
              <w:rPr>
                <w:b/>
                <w:bCs/>
                <w:i/>
                <w:iCs/>
              </w:rPr>
            </w:pPr>
            <w:r w:rsidRPr="000673EE">
              <w:rPr>
                <w:b/>
                <w:i/>
              </w:rPr>
              <w:t>3.</w:t>
            </w:r>
            <w:r w:rsidRPr="000673EE">
              <w:rPr>
                <w:b/>
                <w:i/>
              </w:rPr>
              <w:tab/>
              <w:t>Dans le cadre de l’objectif énoncé à l’article 3, paragraphe 1, point c), l’Union apporte un soutien:</w:t>
            </w:r>
          </w:p>
        </w:tc>
      </w:tr>
      <w:tr w:rsidR="00557752" w:rsidRPr="000673EE" w14:paraId="3B6D6C6E" w14:textId="77777777">
        <w:trPr>
          <w:jc w:val="center"/>
        </w:trPr>
        <w:tc>
          <w:tcPr>
            <w:tcW w:w="4876" w:type="dxa"/>
          </w:tcPr>
          <w:p w14:paraId="4D363335" w14:textId="77777777" w:rsidR="00231D55" w:rsidRPr="000673EE" w:rsidRDefault="00231D55" w:rsidP="00E8229D">
            <w:pPr>
              <w:pStyle w:val="Normal6a"/>
            </w:pPr>
          </w:p>
        </w:tc>
        <w:tc>
          <w:tcPr>
            <w:tcW w:w="4876" w:type="dxa"/>
          </w:tcPr>
          <w:p w14:paraId="3357693F" w14:textId="77777777" w:rsidR="00231D55" w:rsidRPr="000673EE" w:rsidRDefault="000673EE" w:rsidP="00E8229D">
            <w:pPr>
              <w:pStyle w:val="Normal6a"/>
              <w:rPr>
                <w:b/>
                <w:bCs/>
                <w:i/>
                <w:iCs/>
                <w:szCs w:val="24"/>
              </w:rPr>
            </w:pPr>
            <w:r w:rsidRPr="000673EE">
              <w:rPr>
                <w:b/>
                <w:i/>
              </w:rPr>
              <w:t>a)</w:t>
            </w:r>
            <w:r w:rsidRPr="000673EE">
              <w:rPr>
                <w:b/>
                <w:i/>
              </w:rPr>
              <w:tab/>
              <w:t>aux infrastructures et bâtiments nécessaires au traitement des demandes de visa et à la coopération consulaire, y compris les mesures de sécurité, et à d’autres actions visant à améliorer la qualité du service offert aux demandeurs de visa;</w:t>
            </w:r>
          </w:p>
        </w:tc>
      </w:tr>
      <w:tr w:rsidR="00557752" w:rsidRPr="000673EE" w14:paraId="3BC9F163" w14:textId="77777777">
        <w:trPr>
          <w:jc w:val="center"/>
        </w:trPr>
        <w:tc>
          <w:tcPr>
            <w:tcW w:w="4876" w:type="dxa"/>
          </w:tcPr>
          <w:p w14:paraId="6FE589EE" w14:textId="77777777" w:rsidR="00231D55" w:rsidRPr="000673EE" w:rsidRDefault="00231D55" w:rsidP="00E8229D">
            <w:pPr>
              <w:pStyle w:val="Normal6a"/>
            </w:pPr>
          </w:p>
        </w:tc>
        <w:tc>
          <w:tcPr>
            <w:tcW w:w="4876" w:type="dxa"/>
          </w:tcPr>
          <w:p w14:paraId="53E964B9" w14:textId="77777777" w:rsidR="00231D55" w:rsidRPr="000673EE" w:rsidRDefault="000673EE" w:rsidP="00E8229D">
            <w:pPr>
              <w:pStyle w:val="Normal6a"/>
              <w:rPr>
                <w:b/>
                <w:bCs/>
                <w:i/>
                <w:iCs/>
                <w:szCs w:val="24"/>
              </w:rPr>
            </w:pPr>
            <w:r w:rsidRPr="000673EE">
              <w:rPr>
                <w:b/>
                <w:i/>
              </w:rPr>
              <w:t>b)</w:t>
            </w:r>
            <w:r w:rsidRPr="000673EE">
              <w:rPr>
                <w:b/>
                <w:i/>
              </w:rPr>
              <w:tab/>
            </w:r>
            <w:r w:rsidRPr="000673EE">
              <w:rPr>
                <w:b/>
                <w:i/>
              </w:rPr>
              <w:t>aux équipements d’exploitation et aux systèmes d’information et de communication requis pour le traitement des demandes de visa et la coopération consulaire;</w:t>
            </w:r>
          </w:p>
        </w:tc>
      </w:tr>
      <w:tr w:rsidR="00557752" w:rsidRPr="000673EE" w14:paraId="03A75AD2" w14:textId="77777777">
        <w:trPr>
          <w:jc w:val="center"/>
        </w:trPr>
        <w:tc>
          <w:tcPr>
            <w:tcW w:w="4876" w:type="dxa"/>
          </w:tcPr>
          <w:p w14:paraId="4D3E372F" w14:textId="77777777" w:rsidR="00231D55" w:rsidRPr="000673EE" w:rsidRDefault="00231D55" w:rsidP="00E8229D">
            <w:pPr>
              <w:pStyle w:val="Normal6a"/>
            </w:pPr>
          </w:p>
        </w:tc>
        <w:tc>
          <w:tcPr>
            <w:tcW w:w="4876" w:type="dxa"/>
          </w:tcPr>
          <w:p w14:paraId="66D7E635" w14:textId="77777777" w:rsidR="00231D55" w:rsidRPr="000673EE" w:rsidRDefault="000673EE" w:rsidP="00E8229D">
            <w:pPr>
              <w:pStyle w:val="Normal6a"/>
              <w:rPr>
                <w:b/>
                <w:bCs/>
                <w:i/>
                <w:iCs/>
                <w:szCs w:val="24"/>
              </w:rPr>
            </w:pPr>
            <w:r w:rsidRPr="000673EE">
              <w:rPr>
                <w:b/>
                <w:i/>
              </w:rPr>
              <w:t>c)</w:t>
            </w:r>
            <w:r w:rsidRPr="000673EE">
              <w:rPr>
                <w:b/>
                <w:i/>
              </w:rPr>
              <w:tab/>
            </w:r>
            <w:r w:rsidRPr="000673EE">
              <w:rPr>
                <w:b/>
                <w:i/>
              </w:rPr>
              <w:t>à la formation des agents consulaires et autre personnel contribuant à la politique commune des visas et à la coopération consulaire;</w:t>
            </w:r>
          </w:p>
        </w:tc>
      </w:tr>
      <w:tr w:rsidR="00557752" w:rsidRPr="000673EE" w14:paraId="00AFEDBD" w14:textId="77777777">
        <w:trPr>
          <w:jc w:val="center"/>
        </w:trPr>
        <w:tc>
          <w:tcPr>
            <w:tcW w:w="4876" w:type="dxa"/>
          </w:tcPr>
          <w:p w14:paraId="4653DC6B" w14:textId="77777777" w:rsidR="00231D55" w:rsidRPr="000673EE" w:rsidRDefault="00231D55" w:rsidP="00E8229D">
            <w:pPr>
              <w:pStyle w:val="Normal6a"/>
            </w:pPr>
          </w:p>
        </w:tc>
        <w:tc>
          <w:tcPr>
            <w:tcW w:w="4876" w:type="dxa"/>
          </w:tcPr>
          <w:p w14:paraId="1A3BBC35" w14:textId="77777777" w:rsidR="00231D55" w:rsidRPr="000673EE" w:rsidRDefault="000673EE" w:rsidP="00E8229D">
            <w:pPr>
              <w:pStyle w:val="Normal6a"/>
              <w:rPr>
                <w:b/>
                <w:bCs/>
                <w:i/>
                <w:iCs/>
                <w:szCs w:val="24"/>
              </w:rPr>
            </w:pPr>
            <w:r w:rsidRPr="000673EE">
              <w:rPr>
                <w:b/>
                <w:i/>
              </w:rPr>
              <w:t>d)</w:t>
            </w:r>
            <w:r w:rsidRPr="000673EE">
              <w:rPr>
                <w:b/>
                <w:i/>
              </w:rPr>
              <w:tab/>
              <w:t>à l’échange de bonnes pratiques et à l’échange d’experts, y compris le détachement d’experts, ainsi qu’au renforcement de la capacité des réseaux européens à évaluer, promouvoir, soutenir et développer davantage les politiques et les objectifs de l’Union;</w:t>
            </w:r>
          </w:p>
        </w:tc>
      </w:tr>
      <w:tr w:rsidR="00557752" w:rsidRPr="000673EE" w14:paraId="77E38AC1" w14:textId="77777777">
        <w:trPr>
          <w:jc w:val="center"/>
        </w:trPr>
        <w:tc>
          <w:tcPr>
            <w:tcW w:w="4876" w:type="dxa"/>
          </w:tcPr>
          <w:p w14:paraId="78400CC6" w14:textId="77777777" w:rsidR="00231D55" w:rsidRPr="000673EE" w:rsidRDefault="00231D55" w:rsidP="00E8229D">
            <w:pPr>
              <w:pStyle w:val="Normal6a"/>
            </w:pPr>
          </w:p>
        </w:tc>
        <w:tc>
          <w:tcPr>
            <w:tcW w:w="4876" w:type="dxa"/>
          </w:tcPr>
          <w:p w14:paraId="4C371313" w14:textId="77777777" w:rsidR="00231D55" w:rsidRPr="000673EE" w:rsidRDefault="000673EE" w:rsidP="00E8229D">
            <w:pPr>
              <w:pStyle w:val="Normal6a"/>
              <w:rPr>
                <w:b/>
                <w:bCs/>
                <w:i/>
                <w:iCs/>
              </w:rPr>
            </w:pPr>
            <w:r w:rsidRPr="000673EE">
              <w:rPr>
                <w:b/>
                <w:i/>
              </w:rPr>
              <w:t>e)</w:t>
            </w:r>
            <w:r w:rsidRPr="000673EE">
              <w:rPr>
                <w:b/>
                <w:i/>
              </w:rPr>
              <w:tab/>
              <w:t>aux études et autres actions pertinentes, telles que des actions visant à améliorer les connaissances grâce aux analyses, au suivi et à l’évaluation;</w:t>
            </w:r>
          </w:p>
        </w:tc>
      </w:tr>
      <w:tr w:rsidR="00557752" w:rsidRPr="000673EE" w14:paraId="09BCC394" w14:textId="77777777">
        <w:trPr>
          <w:jc w:val="center"/>
        </w:trPr>
        <w:tc>
          <w:tcPr>
            <w:tcW w:w="4876" w:type="dxa"/>
          </w:tcPr>
          <w:p w14:paraId="6F4EF98F" w14:textId="77777777" w:rsidR="00231D55" w:rsidRPr="000673EE" w:rsidRDefault="00231D55" w:rsidP="00E8229D">
            <w:pPr>
              <w:pStyle w:val="Normal6a"/>
            </w:pPr>
          </w:p>
        </w:tc>
        <w:tc>
          <w:tcPr>
            <w:tcW w:w="4876" w:type="dxa"/>
          </w:tcPr>
          <w:p w14:paraId="43C8CF12" w14:textId="77777777" w:rsidR="00231D55" w:rsidRPr="000673EE" w:rsidRDefault="000673EE" w:rsidP="00E8229D">
            <w:pPr>
              <w:pStyle w:val="Normal6a"/>
              <w:rPr>
                <w:b/>
                <w:bCs/>
                <w:i/>
                <w:iCs/>
                <w:szCs w:val="24"/>
              </w:rPr>
            </w:pPr>
            <w:r w:rsidRPr="000673EE">
              <w:rPr>
                <w:b/>
                <w:i/>
              </w:rPr>
              <w:t>f)</w:t>
            </w:r>
            <w:r w:rsidRPr="000673EE">
              <w:rPr>
                <w:b/>
                <w:i/>
              </w:rPr>
              <w:tab/>
              <w:t>aux activités visant à renforcer la connaissance des mesures relatives aux visas parmi les parties prenantes et le grand public, y compris la communication institutionnelle des priorités politiques de l’Union;</w:t>
            </w:r>
          </w:p>
        </w:tc>
      </w:tr>
      <w:tr w:rsidR="00557752" w:rsidRPr="000673EE" w14:paraId="7E054BD9" w14:textId="77777777">
        <w:trPr>
          <w:jc w:val="center"/>
        </w:trPr>
        <w:tc>
          <w:tcPr>
            <w:tcW w:w="4876" w:type="dxa"/>
          </w:tcPr>
          <w:p w14:paraId="29A7B6AB" w14:textId="77777777" w:rsidR="00231D55" w:rsidRPr="000673EE" w:rsidRDefault="00231D55" w:rsidP="00E8229D">
            <w:pPr>
              <w:pStyle w:val="Normal6a"/>
            </w:pPr>
          </w:p>
        </w:tc>
        <w:tc>
          <w:tcPr>
            <w:tcW w:w="4876" w:type="dxa"/>
          </w:tcPr>
          <w:p w14:paraId="221796EA" w14:textId="77777777" w:rsidR="00231D55" w:rsidRPr="000673EE" w:rsidRDefault="000673EE" w:rsidP="00E8229D">
            <w:pPr>
              <w:pStyle w:val="Normal6a"/>
              <w:rPr>
                <w:b/>
                <w:bCs/>
                <w:i/>
                <w:iCs/>
                <w:szCs w:val="24"/>
              </w:rPr>
            </w:pPr>
            <w:r w:rsidRPr="000673EE">
              <w:rPr>
                <w:b/>
                <w:i/>
              </w:rPr>
              <w:t>g)</w:t>
            </w:r>
            <w:r w:rsidRPr="000673EE">
              <w:rPr>
                <w:b/>
                <w:i/>
              </w:rPr>
              <w:tab/>
              <w:t>à la mise au point d’outils, de méthodes et d’indicateurs statistiques, dans le respect du principe de non-discrimination;</w:t>
            </w:r>
          </w:p>
        </w:tc>
      </w:tr>
      <w:tr w:rsidR="00557752" w:rsidRPr="000673EE" w14:paraId="20B2713E" w14:textId="77777777">
        <w:trPr>
          <w:jc w:val="center"/>
        </w:trPr>
        <w:tc>
          <w:tcPr>
            <w:tcW w:w="4876" w:type="dxa"/>
          </w:tcPr>
          <w:p w14:paraId="2C3BB08E" w14:textId="77777777" w:rsidR="00231D55" w:rsidRPr="000673EE" w:rsidRDefault="00231D55" w:rsidP="00E8229D">
            <w:pPr>
              <w:pStyle w:val="Normal6a"/>
            </w:pPr>
          </w:p>
        </w:tc>
        <w:tc>
          <w:tcPr>
            <w:tcW w:w="4876" w:type="dxa"/>
          </w:tcPr>
          <w:p w14:paraId="08F100A5" w14:textId="77777777" w:rsidR="00231D55" w:rsidRPr="000673EE" w:rsidRDefault="000673EE" w:rsidP="00E8229D">
            <w:pPr>
              <w:pStyle w:val="Normal6a"/>
              <w:rPr>
                <w:b/>
                <w:bCs/>
                <w:i/>
                <w:iCs/>
                <w:szCs w:val="24"/>
              </w:rPr>
            </w:pPr>
            <w:r w:rsidRPr="000673EE">
              <w:rPr>
                <w:b/>
                <w:i/>
              </w:rPr>
              <w:t>h)</w:t>
            </w:r>
            <w:r w:rsidRPr="000673EE">
              <w:rPr>
                <w:b/>
                <w:i/>
              </w:rPr>
              <w:tab/>
              <w:t>au soutien au fonctionnement pour la mise en œuvre de la politique commune des visas;</w:t>
            </w:r>
          </w:p>
        </w:tc>
      </w:tr>
      <w:tr w:rsidR="00557752" w:rsidRPr="000673EE" w14:paraId="3A89F108" w14:textId="77777777">
        <w:trPr>
          <w:jc w:val="center"/>
        </w:trPr>
        <w:tc>
          <w:tcPr>
            <w:tcW w:w="4876" w:type="dxa"/>
          </w:tcPr>
          <w:p w14:paraId="78AF0CF2" w14:textId="77777777" w:rsidR="00507587" w:rsidRPr="000673EE" w:rsidRDefault="00507587" w:rsidP="00E8229D">
            <w:pPr>
              <w:pStyle w:val="Normal6a"/>
            </w:pPr>
          </w:p>
        </w:tc>
        <w:tc>
          <w:tcPr>
            <w:tcW w:w="4876" w:type="dxa"/>
          </w:tcPr>
          <w:p w14:paraId="6E908D4F" w14:textId="77777777" w:rsidR="00507587" w:rsidRPr="000673EE" w:rsidRDefault="000673EE" w:rsidP="00E8229D">
            <w:pPr>
              <w:pStyle w:val="Normal6a"/>
              <w:rPr>
                <w:b/>
                <w:bCs/>
                <w:i/>
                <w:iCs/>
                <w:szCs w:val="24"/>
              </w:rPr>
            </w:pPr>
            <w:r w:rsidRPr="000673EE">
              <w:rPr>
                <w:b/>
                <w:i/>
              </w:rPr>
              <w:t>i)</w:t>
            </w:r>
            <w:r w:rsidRPr="000673EE">
              <w:rPr>
                <w:b/>
                <w:i/>
              </w:rPr>
              <w:tab/>
              <w:t>aux États membres dans le cadre de la délivrance de visas, y compris les visas à validité territoriale limitée visés à l’article 25 du règlement (CE) nº 810/2009, délivrés pour des motifs humanitaires, pour des raisons d’intérêt national ou en raison d’obligations internationales.</w:t>
            </w:r>
          </w:p>
        </w:tc>
      </w:tr>
    </w:tbl>
    <w:p w14:paraId="58F097F2" w14:textId="77777777" w:rsidR="00FA192C" w:rsidRPr="000673EE" w:rsidRDefault="000673EE" w:rsidP="00FA192C">
      <w:pPr>
        <w:pStyle w:val="AmOrLang"/>
      </w:pPr>
      <w:r w:rsidRPr="000673EE">
        <w:t xml:space="preserve">Or. </w:t>
      </w:r>
      <w:r w:rsidRPr="000673EE">
        <w:rPr>
          <w:rStyle w:val="HideTWBExt"/>
        </w:rPr>
        <w:t>&lt;Original&gt;</w:t>
      </w:r>
      <w:r w:rsidR="00507587" w:rsidRPr="000673EE">
        <w:rPr>
          <w:rStyle w:val="HideTWBInt"/>
        </w:rPr>
        <w:t>{EN}</w:t>
      </w:r>
      <w:r w:rsidR="00507587" w:rsidRPr="000673EE">
        <w:t>en</w:t>
      </w:r>
      <w:r w:rsidRPr="000673EE">
        <w:rPr>
          <w:rStyle w:val="HideTWBExt"/>
        </w:rPr>
        <w:t>&lt;/Original&gt;</w:t>
      </w:r>
    </w:p>
    <w:p w14:paraId="2102092A" w14:textId="77777777" w:rsidR="00FA192C" w:rsidRPr="000673EE" w:rsidRDefault="000673EE" w:rsidP="003923F7">
      <w:pPr>
        <w:pStyle w:val="AmJustTitle"/>
      </w:pPr>
      <w:r w:rsidRPr="000673EE">
        <w:rPr>
          <w:rStyle w:val="HideTWBExt"/>
          <w:i w:val="0"/>
        </w:rPr>
        <w:t>&lt;TitreJust&gt;</w:t>
      </w:r>
      <w:r w:rsidRPr="000673EE">
        <w:t>Justification</w:t>
      </w:r>
      <w:r w:rsidRPr="000673EE">
        <w:rPr>
          <w:rStyle w:val="HideTWBExt"/>
          <w:i w:val="0"/>
        </w:rPr>
        <w:t>&lt;/TitreJust&gt;</w:t>
      </w:r>
    </w:p>
    <w:p w14:paraId="66265976" w14:textId="77777777" w:rsidR="00507587" w:rsidRPr="000673EE" w:rsidRDefault="000673EE" w:rsidP="00507587">
      <w:pPr>
        <w:pStyle w:val="Normal12Italic"/>
        <w:jc w:val="both"/>
        <w:rPr>
          <w:szCs w:val="24"/>
        </w:rPr>
      </w:pPr>
      <w:r w:rsidRPr="000673EE">
        <w:t xml:space="preserve"> Les actions qui seront financées au titre de cet instrument devraient être définies dans un souci de transparence et dans l’intérêt du Parlement, en qualité de colégislateur. Le financement par les États membres d’activités relevant d’une «boîte noire» ne devrait pas être autorisé.</w:t>
      </w:r>
    </w:p>
    <w:p w14:paraId="6842EF76" w14:textId="77777777" w:rsidR="00FA192C" w:rsidRPr="000673EE" w:rsidRDefault="00FA192C" w:rsidP="00FA192C">
      <w:pPr>
        <w:pStyle w:val="AmJustText"/>
      </w:pPr>
    </w:p>
    <w:p w14:paraId="6AE97BC6" w14:textId="77777777" w:rsidR="00166CCB" w:rsidRPr="000673EE" w:rsidRDefault="000673EE" w:rsidP="00A5426B">
      <w:r w:rsidRPr="000673EE">
        <w:rPr>
          <w:rStyle w:val="HideTWBExt"/>
        </w:rPr>
        <w:t>&lt;/Amend&gt;</w:t>
      </w:r>
      <w:bookmarkEnd w:id="1"/>
    </w:p>
    <w:p w14:paraId="1A3E4914" w14:textId="77777777" w:rsidR="00FA192C" w:rsidRPr="000673EE" w:rsidRDefault="000673EE" w:rsidP="00FA192C">
      <w:bookmarkStart w:id="2" w:name="EndB"/>
      <w:r w:rsidRPr="000673EE">
        <w:rPr>
          <w:rStyle w:val="HideTWBExt"/>
        </w:rPr>
        <w:t>&lt;/RepeatBlock-Amend&gt;</w:t>
      </w:r>
      <w:bookmarkEnd w:id="2"/>
    </w:p>
    <w:p w14:paraId="62863857" w14:textId="77777777" w:rsidR="008363E4" w:rsidRPr="000673EE" w:rsidRDefault="008363E4" w:rsidP="00FA192C"/>
    <w:sectPr w:rsidR="008363E4" w:rsidRPr="000673EE" w:rsidSect="00133E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2515" w14:textId="77777777" w:rsidR="000673EE" w:rsidRDefault="000673EE">
      <w:r>
        <w:separator/>
      </w:r>
    </w:p>
  </w:endnote>
  <w:endnote w:type="continuationSeparator" w:id="0">
    <w:p w14:paraId="5E48D86C" w14:textId="77777777" w:rsidR="000673EE" w:rsidRDefault="00067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9567" w14:textId="77777777" w:rsidR="00133E1B" w:rsidRPr="000673EE" w:rsidRDefault="000673EE" w:rsidP="00133E1B">
    <w:pPr>
      <w:pStyle w:val="EPFooter"/>
      <w:rPr>
        <w:lang w:val="de-DE"/>
      </w:rPr>
    </w:pPr>
    <w:r w:rsidRPr="000673EE">
      <w:rPr>
        <w:lang w:val="de-DE"/>
      </w:rPr>
      <w:t>PE</w:t>
    </w:r>
    <w:r w:rsidRPr="000673EE">
      <w:rPr>
        <w:rStyle w:val="HideTWBExt"/>
        <w:lang w:val="de-DE"/>
      </w:rPr>
      <w:t>&lt;NoPE&gt;</w:t>
    </w:r>
    <w:r w:rsidRPr="000673EE">
      <w:rPr>
        <w:lang w:val="de-DE"/>
      </w:rPr>
      <w:t>790.136</w:t>
    </w:r>
    <w:r w:rsidRPr="000673EE">
      <w:rPr>
        <w:rStyle w:val="HideTWBExt"/>
        <w:lang w:val="de-DE"/>
      </w:rPr>
      <w:t>&lt;/NoPE&gt;&lt;Version&gt;</w:t>
    </w:r>
    <w:r w:rsidRPr="000673EE">
      <w:rPr>
        <w:lang w:val="de-DE"/>
      </w:rPr>
      <w:t>v01-00</w:t>
    </w:r>
    <w:r w:rsidRPr="000673EE">
      <w:rPr>
        <w:rStyle w:val="HideTWBExt"/>
        <w:lang w:val="de-DE"/>
      </w:rPr>
      <w:t>&lt;/Version&gt;</w:t>
    </w:r>
    <w:r w:rsidRPr="000673EE">
      <w:rPr>
        <w:lang w:val="de-DE"/>
      </w:rPr>
      <w:tab/>
    </w:r>
    <w:r w:rsidRPr="00FB18D6">
      <w:fldChar w:fldCharType="begin"/>
    </w:r>
    <w:r w:rsidRPr="000673EE">
      <w:rPr>
        <w:lang w:val="de-DE"/>
      </w:rPr>
      <w:instrText xml:space="preserve"> PAGE  \* MERGEFORMAT </w:instrText>
    </w:r>
    <w:r w:rsidRPr="00FB18D6">
      <w:fldChar w:fldCharType="separate"/>
    </w:r>
    <w:r w:rsidRPr="000673EE">
      <w:rPr>
        <w:noProof/>
        <w:lang w:val="de-DE"/>
      </w:rPr>
      <w:t>2</w:t>
    </w:r>
    <w:r w:rsidRPr="00FB18D6">
      <w:fldChar w:fldCharType="end"/>
    </w:r>
    <w:r w:rsidRPr="000673EE">
      <w:rPr>
        <w:lang w:val="de-DE"/>
      </w:rPr>
      <w:t>/</w:t>
    </w:r>
    <w:r w:rsidRPr="00FB18D6">
      <w:fldChar w:fldCharType="begin"/>
    </w:r>
    <w:r w:rsidRPr="000673EE">
      <w:rPr>
        <w:lang w:val="de-DE"/>
      </w:rPr>
      <w:instrText xml:space="preserve"> NUMPAGES  \* MERGEFORMAT </w:instrText>
    </w:r>
    <w:r w:rsidRPr="00FB18D6">
      <w:fldChar w:fldCharType="separate"/>
    </w:r>
    <w:r w:rsidRPr="000673EE">
      <w:rPr>
        <w:noProof/>
        <w:lang w:val="de-DE"/>
      </w:rPr>
      <w:t>7</w:t>
    </w:r>
    <w:r w:rsidRPr="00FB18D6">
      <w:rPr>
        <w:noProof/>
      </w:rPr>
      <w:fldChar w:fldCharType="end"/>
    </w:r>
    <w:r w:rsidRPr="000673EE">
      <w:rPr>
        <w:lang w:val="de-DE"/>
      </w:rPr>
      <w:tab/>
    </w:r>
    <w:r w:rsidRPr="000673EE">
      <w:rPr>
        <w:rStyle w:val="HideTWBExt"/>
        <w:lang w:val="de-DE"/>
      </w:rPr>
      <w:t>&lt;PathFdR&gt;</w:t>
    </w:r>
    <w:r w:rsidRPr="000673EE">
      <w:rPr>
        <w:lang w:val="de-DE"/>
      </w:rPr>
      <w:t>AM\1346405FR.docx</w:t>
    </w:r>
    <w:r w:rsidRPr="000673EE">
      <w:rPr>
        <w:rStyle w:val="HideTWBExt"/>
        <w:lang w:val="de-DE"/>
      </w:rPr>
      <w:t>&lt;/PathFdR&gt;</w:t>
    </w:r>
  </w:p>
  <w:p w14:paraId="193B3E5A" w14:textId="77777777" w:rsidR="00D82FCC" w:rsidRPr="00FB18D6" w:rsidRDefault="000673EE" w:rsidP="00133E1B">
    <w:pPr>
      <w:pStyle w:val="EPFooter2"/>
    </w:pPr>
    <w:r w:rsidRPr="00FB18D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D50C4" w14:textId="77777777" w:rsidR="00133E1B" w:rsidRPr="000673EE" w:rsidRDefault="000673EE" w:rsidP="00133E1B">
    <w:pPr>
      <w:pStyle w:val="EPFooter"/>
      <w:rPr>
        <w:lang w:val="de-DE"/>
      </w:rPr>
    </w:pPr>
    <w:r w:rsidRPr="000673EE">
      <w:rPr>
        <w:rStyle w:val="HideTWBExt"/>
        <w:lang w:val="de-DE"/>
      </w:rPr>
      <w:t>&lt;PathFdR&gt;</w:t>
    </w:r>
    <w:r w:rsidRPr="000673EE">
      <w:rPr>
        <w:lang w:val="de-DE"/>
      </w:rPr>
      <w:t>AM\1346405FR.docx</w:t>
    </w:r>
    <w:r w:rsidRPr="000673EE">
      <w:rPr>
        <w:rStyle w:val="HideTWBExt"/>
        <w:lang w:val="de-DE"/>
      </w:rPr>
      <w:t>&lt;/PathFdR&gt;</w:t>
    </w:r>
    <w:r w:rsidRPr="000673EE">
      <w:rPr>
        <w:lang w:val="de-DE"/>
      </w:rPr>
      <w:tab/>
    </w:r>
    <w:r w:rsidRPr="00FB18D6">
      <w:fldChar w:fldCharType="begin"/>
    </w:r>
    <w:r w:rsidRPr="000673EE">
      <w:rPr>
        <w:lang w:val="de-DE"/>
      </w:rPr>
      <w:instrText xml:space="preserve"> PAGE  \* MERGEFORMAT </w:instrText>
    </w:r>
    <w:r w:rsidRPr="00FB18D6">
      <w:fldChar w:fldCharType="separate"/>
    </w:r>
    <w:r w:rsidRPr="000673EE">
      <w:rPr>
        <w:noProof/>
        <w:lang w:val="de-DE"/>
      </w:rPr>
      <w:t>7</w:t>
    </w:r>
    <w:r w:rsidRPr="00FB18D6">
      <w:fldChar w:fldCharType="end"/>
    </w:r>
    <w:r w:rsidRPr="000673EE">
      <w:rPr>
        <w:lang w:val="de-DE"/>
      </w:rPr>
      <w:t>/</w:t>
    </w:r>
    <w:r w:rsidRPr="00FB18D6">
      <w:fldChar w:fldCharType="begin"/>
    </w:r>
    <w:r w:rsidRPr="000673EE">
      <w:rPr>
        <w:lang w:val="de-DE"/>
      </w:rPr>
      <w:instrText xml:space="preserve"> NUMPAGES  \* MERGEFORMAT </w:instrText>
    </w:r>
    <w:r w:rsidRPr="00FB18D6">
      <w:fldChar w:fldCharType="separate"/>
    </w:r>
    <w:r w:rsidRPr="000673EE">
      <w:rPr>
        <w:noProof/>
        <w:lang w:val="de-DE"/>
      </w:rPr>
      <w:t>7</w:t>
    </w:r>
    <w:r w:rsidRPr="00FB18D6">
      <w:rPr>
        <w:noProof/>
      </w:rPr>
      <w:fldChar w:fldCharType="end"/>
    </w:r>
    <w:r w:rsidRPr="000673EE">
      <w:rPr>
        <w:lang w:val="de-DE"/>
      </w:rPr>
      <w:tab/>
      <w:t>PE</w:t>
    </w:r>
    <w:r w:rsidRPr="000673EE">
      <w:rPr>
        <w:rStyle w:val="HideTWBExt"/>
        <w:lang w:val="de-DE"/>
      </w:rPr>
      <w:t>&lt;NoPE&gt;</w:t>
    </w:r>
    <w:r w:rsidRPr="000673EE">
      <w:rPr>
        <w:lang w:val="de-DE"/>
      </w:rPr>
      <w:t>790.136</w:t>
    </w:r>
    <w:r w:rsidRPr="000673EE">
      <w:rPr>
        <w:rStyle w:val="HideTWBExt"/>
        <w:lang w:val="de-DE"/>
      </w:rPr>
      <w:t>&lt;/NoPE&gt;&lt;Version&gt;</w:t>
    </w:r>
    <w:r w:rsidRPr="000673EE">
      <w:rPr>
        <w:lang w:val="de-DE"/>
      </w:rPr>
      <w:t>v01-00</w:t>
    </w:r>
    <w:r w:rsidRPr="000673EE">
      <w:rPr>
        <w:rStyle w:val="HideTWBExt"/>
        <w:lang w:val="de-DE"/>
      </w:rPr>
      <w:t>&lt;/Version&gt;</w:t>
    </w:r>
  </w:p>
  <w:p w14:paraId="5F104811" w14:textId="77777777" w:rsidR="00D82FCC" w:rsidRPr="00FB18D6" w:rsidRDefault="000673EE" w:rsidP="00133E1B">
    <w:pPr>
      <w:pStyle w:val="EPFooter2"/>
    </w:pPr>
    <w:r w:rsidRPr="000673EE">
      <w:rPr>
        <w:lang w:val="de-DE"/>
      </w:rPr>
      <w:tab/>
    </w:r>
    <w:r w:rsidRPr="000673EE">
      <w:rPr>
        <w:lang w:val="de-DE"/>
      </w:rPr>
      <w:tab/>
    </w:r>
    <w:r w:rsidRPr="00FB18D6">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6DE2" w14:textId="77777777" w:rsidR="00133E1B" w:rsidRPr="000673EE" w:rsidRDefault="000673EE" w:rsidP="00133E1B">
    <w:pPr>
      <w:pStyle w:val="EPFooter"/>
      <w:rPr>
        <w:lang w:val="de-DE"/>
      </w:rPr>
    </w:pPr>
    <w:r w:rsidRPr="000673EE">
      <w:rPr>
        <w:rStyle w:val="HideTWBExt"/>
        <w:lang w:val="de-DE"/>
      </w:rPr>
      <w:t>&lt;PathFdR&gt;</w:t>
    </w:r>
    <w:r w:rsidRPr="000673EE">
      <w:rPr>
        <w:lang w:val="de-DE"/>
      </w:rPr>
      <w:t>AM\1346405FR.docx</w:t>
    </w:r>
    <w:r w:rsidRPr="000673EE">
      <w:rPr>
        <w:rStyle w:val="HideTWBExt"/>
        <w:lang w:val="de-DE"/>
      </w:rPr>
      <w:t>&lt;/PathFdR&gt;</w:t>
    </w:r>
    <w:r w:rsidRPr="000673EE">
      <w:rPr>
        <w:lang w:val="de-DE"/>
      </w:rPr>
      <w:tab/>
    </w:r>
    <w:r w:rsidRPr="000673EE">
      <w:rPr>
        <w:lang w:val="de-DE"/>
      </w:rPr>
      <w:tab/>
      <w:t>PE</w:t>
    </w:r>
    <w:r w:rsidRPr="000673EE">
      <w:rPr>
        <w:rStyle w:val="HideTWBExt"/>
        <w:lang w:val="de-DE"/>
      </w:rPr>
      <w:t>&lt;NoPE&gt;</w:t>
    </w:r>
    <w:r w:rsidRPr="000673EE">
      <w:rPr>
        <w:lang w:val="de-DE"/>
      </w:rPr>
      <w:t>790.136</w:t>
    </w:r>
    <w:r w:rsidRPr="000673EE">
      <w:rPr>
        <w:rStyle w:val="HideTWBExt"/>
        <w:lang w:val="de-DE"/>
      </w:rPr>
      <w:t>&lt;/NoPE&gt;&lt;Version&gt;</w:t>
    </w:r>
    <w:r w:rsidRPr="000673EE">
      <w:rPr>
        <w:lang w:val="de-DE"/>
      </w:rPr>
      <w:t>v01-00</w:t>
    </w:r>
    <w:r w:rsidRPr="000673EE">
      <w:rPr>
        <w:rStyle w:val="HideTWBExt"/>
        <w:lang w:val="de-DE"/>
      </w:rPr>
      <w:t>&lt;/Version&gt;</w:t>
    </w:r>
  </w:p>
  <w:p w14:paraId="185C428F" w14:textId="77777777" w:rsidR="00D82FCC" w:rsidRPr="00FB18D6" w:rsidRDefault="000673EE" w:rsidP="00133E1B">
    <w:pPr>
      <w:pStyle w:val="EPFooter2"/>
    </w:pPr>
    <w:r w:rsidRPr="00FB18D6">
      <w:t>FR</w:t>
    </w:r>
    <w:r w:rsidRPr="00FB18D6">
      <w:tab/>
    </w:r>
    <w:r w:rsidRPr="00FB18D6">
      <w:rPr>
        <w:b w:val="0"/>
        <w:i/>
        <w:color w:val="C0C0C0"/>
        <w:sz w:val="22"/>
      </w:rPr>
      <w:t>Unie dans la diversité</w:t>
    </w:r>
    <w:r w:rsidRPr="00FB18D6">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BFDC4" w14:textId="77777777" w:rsidR="000673EE" w:rsidRDefault="000673EE">
      <w:r>
        <w:separator/>
      </w:r>
    </w:p>
  </w:footnote>
  <w:footnote w:type="continuationSeparator" w:id="0">
    <w:p w14:paraId="0E94DB30" w14:textId="77777777" w:rsidR="000673EE" w:rsidRDefault="00067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635D" w14:textId="77777777" w:rsidR="00825224" w:rsidRDefault="008252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651BF" w14:textId="77777777" w:rsidR="00825224" w:rsidRDefault="008252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A4EF" w14:textId="77777777" w:rsidR="00825224" w:rsidRDefault="008252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57C49740">
      <w:start w:val="1"/>
      <w:numFmt w:val="decimal"/>
      <w:lvlText w:val="%1."/>
      <w:lvlJc w:val="left"/>
      <w:pPr>
        <w:ind w:left="720" w:hanging="360"/>
      </w:pPr>
      <w:rPr>
        <w:rFonts w:hint="default"/>
      </w:rPr>
    </w:lvl>
    <w:lvl w:ilvl="1" w:tplc="0512DD10" w:tentative="1">
      <w:start w:val="1"/>
      <w:numFmt w:val="lowerLetter"/>
      <w:lvlText w:val="%2."/>
      <w:lvlJc w:val="left"/>
      <w:pPr>
        <w:ind w:left="1440" w:hanging="360"/>
      </w:pPr>
    </w:lvl>
    <w:lvl w:ilvl="2" w:tplc="413E6A32" w:tentative="1">
      <w:start w:val="1"/>
      <w:numFmt w:val="lowerRoman"/>
      <w:lvlText w:val="%3."/>
      <w:lvlJc w:val="right"/>
      <w:pPr>
        <w:ind w:left="2160" w:hanging="180"/>
      </w:pPr>
    </w:lvl>
    <w:lvl w:ilvl="3" w:tplc="564C1DB0" w:tentative="1">
      <w:start w:val="1"/>
      <w:numFmt w:val="decimal"/>
      <w:lvlText w:val="%4."/>
      <w:lvlJc w:val="left"/>
      <w:pPr>
        <w:ind w:left="2880" w:hanging="360"/>
      </w:pPr>
    </w:lvl>
    <w:lvl w:ilvl="4" w:tplc="4BC0908A" w:tentative="1">
      <w:start w:val="1"/>
      <w:numFmt w:val="lowerLetter"/>
      <w:lvlText w:val="%5."/>
      <w:lvlJc w:val="left"/>
      <w:pPr>
        <w:ind w:left="3600" w:hanging="360"/>
      </w:pPr>
    </w:lvl>
    <w:lvl w:ilvl="5" w:tplc="69182A10" w:tentative="1">
      <w:start w:val="1"/>
      <w:numFmt w:val="lowerRoman"/>
      <w:lvlText w:val="%6."/>
      <w:lvlJc w:val="right"/>
      <w:pPr>
        <w:ind w:left="4320" w:hanging="180"/>
      </w:pPr>
    </w:lvl>
    <w:lvl w:ilvl="6" w:tplc="25847BD6" w:tentative="1">
      <w:start w:val="1"/>
      <w:numFmt w:val="decimal"/>
      <w:lvlText w:val="%7."/>
      <w:lvlJc w:val="left"/>
      <w:pPr>
        <w:ind w:left="5040" w:hanging="360"/>
      </w:pPr>
    </w:lvl>
    <w:lvl w:ilvl="7" w:tplc="3FF87BEC" w:tentative="1">
      <w:start w:val="1"/>
      <w:numFmt w:val="lowerLetter"/>
      <w:lvlText w:val="%8."/>
      <w:lvlJc w:val="left"/>
      <w:pPr>
        <w:ind w:left="5760" w:hanging="360"/>
      </w:pPr>
    </w:lvl>
    <w:lvl w:ilvl="8" w:tplc="9AB6DC3A"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016E222E">
      <w:start w:val="1"/>
      <w:numFmt w:val="decimal"/>
      <w:lvlText w:val="%1."/>
      <w:lvlJc w:val="left"/>
      <w:pPr>
        <w:ind w:left="720" w:hanging="360"/>
      </w:pPr>
      <w:rPr>
        <w:rFonts w:hint="default"/>
      </w:rPr>
    </w:lvl>
    <w:lvl w:ilvl="1" w:tplc="A5FAEA58" w:tentative="1">
      <w:start w:val="1"/>
      <w:numFmt w:val="lowerLetter"/>
      <w:lvlText w:val="%2."/>
      <w:lvlJc w:val="left"/>
      <w:pPr>
        <w:ind w:left="1440" w:hanging="360"/>
      </w:pPr>
    </w:lvl>
    <w:lvl w:ilvl="2" w:tplc="F7E83BE8" w:tentative="1">
      <w:start w:val="1"/>
      <w:numFmt w:val="lowerRoman"/>
      <w:lvlText w:val="%3."/>
      <w:lvlJc w:val="right"/>
      <w:pPr>
        <w:ind w:left="2160" w:hanging="180"/>
      </w:pPr>
    </w:lvl>
    <w:lvl w:ilvl="3" w:tplc="C282AD58" w:tentative="1">
      <w:start w:val="1"/>
      <w:numFmt w:val="decimal"/>
      <w:lvlText w:val="%4."/>
      <w:lvlJc w:val="left"/>
      <w:pPr>
        <w:ind w:left="2880" w:hanging="360"/>
      </w:pPr>
    </w:lvl>
    <w:lvl w:ilvl="4" w:tplc="8E5A90EE" w:tentative="1">
      <w:start w:val="1"/>
      <w:numFmt w:val="lowerLetter"/>
      <w:lvlText w:val="%5."/>
      <w:lvlJc w:val="left"/>
      <w:pPr>
        <w:ind w:left="3600" w:hanging="360"/>
      </w:pPr>
    </w:lvl>
    <w:lvl w:ilvl="5" w:tplc="70FAA3CE" w:tentative="1">
      <w:start w:val="1"/>
      <w:numFmt w:val="lowerRoman"/>
      <w:lvlText w:val="%6."/>
      <w:lvlJc w:val="right"/>
      <w:pPr>
        <w:ind w:left="4320" w:hanging="180"/>
      </w:pPr>
    </w:lvl>
    <w:lvl w:ilvl="6" w:tplc="A6FCA652" w:tentative="1">
      <w:start w:val="1"/>
      <w:numFmt w:val="decimal"/>
      <w:lvlText w:val="%7."/>
      <w:lvlJc w:val="left"/>
      <w:pPr>
        <w:ind w:left="5040" w:hanging="360"/>
      </w:pPr>
    </w:lvl>
    <w:lvl w:ilvl="7" w:tplc="3FB69DD4" w:tentative="1">
      <w:start w:val="1"/>
      <w:numFmt w:val="lowerLetter"/>
      <w:lvlText w:val="%8."/>
      <w:lvlJc w:val="left"/>
      <w:pPr>
        <w:ind w:left="5760" w:hanging="360"/>
      </w:pPr>
    </w:lvl>
    <w:lvl w:ilvl="8" w:tplc="382E9494"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E64E03FE">
      <w:start w:val="1"/>
      <w:numFmt w:val="lowerLetter"/>
      <w:lvlText w:val="(%1)"/>
      <w:lvlJc w:val="left"/>
      <w:pPr>
        <w:ind w:left="720" w:hanging="360"/>
      </w:pPr>
      <w:rPr>
        <w:rFonts w:hint="default"/>
      </w:rPr>
    </w:lvl>
    <w:lvl w:ilvl="1" w:tplc="8D34ACF2" w:tentative="1">
      <w:start w:val="1"/>
      <w:numFmt w:val="lowerLetter"/>
      <w:lvlText w:val="%2."/>
      <w:lvlJc w:val="left"/>
      <w:pPr>
        <w:ind w:left="1440" w:hanging="360"/>
      </w:pPr>
    </w:lvl>
    <w:lvl w:ilvl="2" w:tplc="67D48A5A" w:tentative="1">
      <w:start w:val="1"/>
      <w:numFmt w:val="lowerRoman"/>
      <w:lvlText w:val="%3."/>
      <w:lvlJc w:val="right"/>
      <w:pPr>
        <w:ind w:left="2160" w:hanging="180"/>
      </w:pPr>
    </w:lvl>
    <w:lvl w:ilvl="3" w:tplc="17C41210" w:tentative="1">
      <w:start w:val="1"/>
      <w:numFmt w:val="decimal"/>
      <w:lvlText w:val="%4."/>
      <w:lvlJc w:val="left"/>
      <w:pPr>
        <w:ind w:left="2880" w:hanging="360"/>
      </w:pPr>
    </w:lvl>
    <w:lvl w:ilvl="4" w:tplc="5F3014A2" w:tentative="1">
      <w:start w:val="1"/>
      <w:numFmt w:val="lowerLetter"/>
      <w:lvlText w:val="%5."/>
      <w:lvlJc w:val="left"/>
      <w:pPr>
        <w:ind w:left="3600" w:hanging="360"/>
      </w:pPr>
    </w:lvl>
    <w:lvl w:ilvl="5" w:tplc="D59A1D02" w:tentative="1">
      <w:start w:val="1"/>
      <w:numFmt w:val="lowerRoman"/>
      <w:lvlText w:val="%6."/>
      <w:lvlJc w:val="right"/>
      <w:pPr>
        <w:ind w:left="4320" w:hanging="180"/>
      </w:pPr>
    </w:lvl>
    <w:lvl w:ilvl="6" w:tplc="4E767614" w:tentative="1">
      <w:start w:val="1"/>
      <w:numFmt w:val="decimal"/>
      <w:lvlText w:val="%7."/>
      <w:lvlJc w:val="left"/>
      <w:pPr>
        <w:ind w:left="5040" w:hanging="360"/>
      </w:pPr>
    </w:lvl>
    <w:lvl w:ilvl="7" w:tplc="3B300D1E" w:tentative="1">
      <w:start w:val="1"/>
      <w:numFmt w:val="lowerLetter"/>
      <w:lvlText w:val="%8."/>
      <w:lvlJc w:val="left"/>
      <w:pPr>
        <w:ind w:left="5760" w:hanging="360"/>
      </w:pPr>
    </w:lvl>
    <w:lvl w:ilvl="8" w:tplc="B9B6E952"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8D22B882">
      <w:start w:val="1"/>
      <w:numFmt w:val="lowerLetter"/>
      <w:lvlText w:val="(%1)"/>
      <w:lvlJc w:val="left"/>
      <w:pPr>
        <w:ind w:left="750" w:hanging="390"/>
      </w:pPr>
      <w:rPr>
        <w:rFonts w:hint="default"/>
      </w:rPr>
    </w:lvl>
    <w:lvl w:ilvl="1" w:tplc="CA78E9D4" w:tentative="1">
      <w:start w:val="1"/>
      <w:numFmt w:val="lowerLetter"/>
      <w:lvlText w:val="%2."/>
      <w:lvlJc w:val="left"/>
      <w:pPr>
        <w:ind w:left="1440" w:hanging="360"/>
      </w:pPr>
    </w:lvl>
    <w:lvl w:ilvl="2" w:tplc="0F741F2E" w:tentative="1">
      <w:start w:val="1"/>
      <w:numFmt w:val="lowerRoman"/>
      <w:lvlText w:val="%3."/>
      <w:lvlJc w:val="right"/>
      <w:pPr>
        <w:ind w:left="2160" w:hanging="180"/>
      </w:pPr>
    </w:lvl>
    <w:lvl w:ilvl="3" w:tplc="A15264C6" w:tentative="1">
      <w:start w:val="1"/>
      <w:numFmt w:val="decimal"/>
      <w:lvlText w:val="%4."/>
      <w:lvlJc w:val="left"/>
      <w:pPr>
        <w:ind w:left="2880" w:hanging="360"/>
      </w:pPr>
    </w:lvl>
    <w:lvl w:ilvl="4" w:tplc="622CA63C" w:tentative="1">
      <w:start w:val="1"/>
      <w:numFmt w:val="lowerLetter"/>
      <w:lvlText w:val="%5."/>
      <w:lvlJc w:val="left"/>
      <w:pPr>
        <w:ind w:left="3600" w:hanging="360"/>
      </w:pPr>
    </w:lvl>
    <w:lvl w:ilvl="5" w:tplc="B8D69960" w:tentative="1">
      <w:start w:val="1"/>
      <w:numFmt w:val="lowerRoman"/>
      <w:lvlText w:val="%6."/>
      <w:lvlJc w:val="right"/>
      <w:pPr>
        <w:ind w:left="4320" w:hanging="180"/>
      </w:pPr>
    </w:lvl>
    <w:lvl w:ilvl="6" w:tplc="6BB8EC46" w:tentative="1">
      <w:start w:val="1"/>
      <w:numFmt w:val="decimal"/>
      <w:lvlText w:val="%7."/>
      <w:lvlJc w:val="left"/>
      <w:pPr>
        <w:ind w:left="5040" w:hanging="360"/>
      </w:pPr>
    </w:lvl>
    <w:lvl w:ilvl="7" w:tplc="DBAC0842" w:tentative="1">
      <w:start w:val="1"/>
      <w:numFmt w:val="lowerLetter"/>
      <w:lvlText w:val="%8."/>
      <w:lvlJc w:val="left"/>
      <w:pPr>
        <w:ind w:left="5760" w:hanging="360"/>
      </w:pPr>
    </w:lvl>
    <w:lvl w:ilvl="8" w:tplc="11F07312"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EAFC6D46">
      <w:start w:val="1"/>
      <w:numFmt w:val="lowerLetter"/>
      <w:lvlText w:val="(%1)"/>
      <w:lvlJc w:val="left"/>
      <w:pPr>
        <w:ind w:left="720" w:hanging="360"/>
      </w:pPr>
      <w:rPr>
        <w:rFonts w:hint="default"/>
      </w:rPr>
    </w:lvl>
    <w:lvl w:ilvl="1" w:tplc="B5A62D86" w:tentative="1">
      <w:start w:val="1"/>
      <w:numFmt w:val="lowerLetter"/>
      <w:lvlText w:val="%2."/>
      <w:lvlJc w:val="left"/>
      <w:pPr>
        <w:ind w:left="1440" w:hanging="360"/>
      </w:pPr>
    </w:lvl>
    <w:lvl w:ilvl="2" w:tplc="D64CDA82" w:tentative="1">
      <w:start w:val="1"/>
      <w:numFmt w:val="lowerRoman"/>
      <w:lvlText w:val="%3."/>
      <w:lvlJc w:val="right"/>
      <w:pPr>
        <w:ind w:left="2160" w:hanging="180"/>
      </w:pPr>
    </w:lvl>
    <w:lvl w:ilvl="3" w:tplc="4D8ED570" w:tentative="1">
      <w:start w:val="1"/>
      <w:numFmt w:val="decimal"/>
      <w:lvlText w:val="%4."/>
      <w:lvlJc w:val="left"/>
      <w:pPr>
        <w:ind w:left="2880" w:hanging="360"/>
      </w:pPr>
    </w:lvl>
    <w:lvl w:ilvl="4" w:tplc="DC52B404" w:tentative="1">
      <w:start w:val="1"/>
      <w:numFmt w:val="lowerLetter"/>
      <w:lvlText w:val="%5."/>
      <w:lvlJc w:val="left"/>
      <w:pPr>
        <w:ind w:left="3600" w:hanging="360"/>
      </w:pPr>
    </w:lvl>
    <w:lvl w:ilvl="5" w:tplc="9372F134" w:tentative="1">
      <w:start w:val="1"/>
      <w:numFmt w:val="lowerRoman"/>
      <w:lvlText w:val="%6."/>
      <w:lvlJc w:val="right"/>
      <w:pPr>
        <w:ind w:left="4320" w:hanging="180"/>
      </w:pPr>
    </w:lvl>
    <w:lvl w:ilvl="6" w:tplc="07ACA384" w:tentative="1">
      <w:start w:val="1"/>
      <w:numFmt w:val="decimal"/>
      <w:lvlText w:val="%7."/>
      <w:lvlJc w:val="left"/>
      <w:pPr>
        <w:ind w:left="5040" w:hanging="360"/>
      </w:pPr>
    </w:lvl>
    <w:lvl w:ilvl="7" w:tplc="B06467DC" w:tentative="1">
      <w:start w:val="1"/>
      <w:numFmt w:val="lowerLetter"/>
      <w:lvlText w:val="%8."/>
      <w:lvlJc w:val="left"/>
      <w:pPr>
        <w:ind w:left="5760" w:hanging="360"/>
      </w:pPr>
    </w:lvl>
    <w:lvl w:ilvl="8" w:tplc="DD2203A4"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FR"/>
    <w:docVar w:name="TXTLANGUEMIN" w:val="fr"/>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FR.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673EE"/>
    <w:rsid w:val="00073830"/>
    <w:rsid w:val="0007423F"/>
    <w:rsid w:val="00075DBE"/>
    <w:rsid w:val="000B0781"/>
    <w:rsid w:val="000D446F"/>
    <w:rsid w:val="000E7234"/>
    <w:rsid w:val="000F2A80"/>
    <w:rsid w:val="000F7815"/>
    <w:rsid w:val="00126BC4"/>
    <w:rsid w:val="00133E1B"/>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57752"/>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4345"/>
    <w:rsid w:val="00736FBA"/>
    <w:rsid w:val="0074160E"/>
    <w:rsid w:val="007659AC"/>
    <w:rsid w:val="0079060C"/>
    <w:rsid w:val="007A42AB"/>
    <w:rsid w:val="007B5AB3"/>
    <w:rsid w:val="007C71DE"/>
    <w:rsid w:val="00822C94"/>
    <w:rsid w:val="0082522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3CA"/>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B18D6"/>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1D39B"/>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1228</Words>
  <Characters>7064</Characters>
  <Application>Microsoft Office Word</Application>
  <DocSecurity>0</DocSecurity>
  <Lines>276</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ROUXEL Maud</cp:lastModifiedBy>
  <cp:revision>2</cp:revision>
  <cp:lastPrinted>2007-06-22T14:02:00Z</cp:lastPrinted>
  <dcterms:created xsi:type="dcterms:W3CDTF">2026-07-06T15:14:00Z</dcterms:created>
  <dcterms:modified xsi:type="dcterms:W3CDTF">2026-07-06T15:14:00Z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- 2026/07/06 17:13</vt:lpwstr>
  </property>
  <property fmtid="{D5CDD505-2E9C-101B-9397-08002B2CF9AE}" pid="9" name="Created with">
    <vt:lpwstr>10.3.0 Build [20260401]</vt:lpwstr>
  </property>
  <property fmtid="{D5CDD505-2E9C-101B-9397-08002B2CF9AE}" pid="10" name="FooterPath">
    <vt:lpwstr>AM\1346405FR.docx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790.136</vt:lpwstr>
  </property>
  <property fmtid="{D5CDD505-2E9C-101B-9397-08002B2CF9AE}" pid="14" name="RegistreCheck">
    <vt:lpwstr>OK</vt:lpwstr>
  </property>
  <property fmtid="{D5CDD505-2E9C-101B-9397-08002B2CF9AE}" pid="15" name="SendToEpades">
    <vt:lpwstr>OK - 2026/06/24 17:59</vt:lpwstr>
  </property>
  <property fmtid="{D5CDD505-2E9C-101B-9397-08002B2CF9AE}" pid="16" name="SDLStudio">
    <vt:lpwstr/>
  </property>
</Properties>
</file>