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00244" w14:paraId="567D980F" w14:textId="77777777" w:rsidTr="00C85D0F">
        <w:trPr>
          <w:trHeight w:hRule="exact" w:val="1418"/>
        </w:trPr>
        <w:tc>
          <w:tcPr>
            <w:tcW w:w="6804" w:type="dxa"/>
            <w:shd w:val="clear" w:color="auto" w:fill="auto"/>
            <w:vAlign w:val="center"/>
          </w:tcPr>
          <w:p w14:paraId="11E81AF3" w14:textId="77777777" w:rsidR="00BE5062" w:rsidRPr="00592F8D" w:rsidRDefault="00DE141B" w:rsidP="00C85D0F">
            <w:pPr>
              <w:pStyle w:val="EPName"/>
            </w:pPr>
            <w:r>
              <w:t>Európai Parlament</w:t>
            </w:r>
          </w:p>
          <w:p w14:paraId="105EA1D0" w14:textId="77777777" w:rsidR="00BE5062" w:rsidRPr="00592F8D" w:rsidRDefault="00DE141B" w:rsidP="00C85D0F">
            <w:pPr>
              <w:pStyle w:val="EPTerm"/>
            </w:pPr>
            <w:r>
              <w:t>2024-2029</w:t>
            </w:r>
          </w:p>
        </w:tc>
        <w:tc>
          <w:tcPr>
            <w:tcW w:w="2268" w:type="dxa"/>
            <w:shd w:val="clear" w:color="auto" w:fill="auto"/>
          </w:tcPr>
          <w:p w14:paraId="1972719F" w14:textId="77777777" w:rsidR="00BE5062" w:rsidRPr="00592F8D" w:rsidRDefault="00DE141B" w:rsidP="00C85D0F">
            <w:pPr>
              <w:pStyle w:val="EPLogo"/>
            </w:pPr>
            <w:r w:rsidRPr="00592F8D">
              <w:rPr>
                <w:noProof/>
              </w:rPr>
              <w:drawing>
                <wp:inline distT="0" distB="0" distL="0" distR="0" wp14:anchorId="3286E783" wp14:editId="7C6C5C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3F533D" w14:textId="77777777" w:rsidR="000E7234" w:rsidRPr="00592F8D" w:rsidRDefault="000E7234" w:rsidP="000E7234">
      <w:pPr>
        <w:pStyle w:val="LineTop"/>
      </w:pPr>
    </w:p>
    <w:p w14:paraId="37691231" w14:textId="77777777" w:rsidR="000E7234" w:rsidRPr="00592F8D" w:rsidRDefault="00DE141B" w:rsidP="000E7234">
      <w:pPr>
        <w:pStyle w:val="EPBody"/>
      </w:pPr>
      <w:r>
        <w:rPr>
          <w:rStyle w:val="HideTWBExt"/>
        </w:rPr>
        <w:t>&lt;</w:t>
      </w:r>
      <w:r>
        <w:rPr>
          <w:rStyle w:val="HideTWBExt"/>
          <w:i w:val="0"/>
        </w:rPr>
        <w:t>Commission</w:t>
      </w:r>
      <w:r>
        <w:rPr>
          <w:rStyle w:val="HideTWBExt"/>
        </w:rPr>
        <w:t>&gt;</w:t>
      </w:r>
      <w:r>
        <w:rPr>
          <w:rStyle w:val="HideTWBInt"/>
          <w:color w:val="auto"/>
        </w:rPr>
        <w:t>{LIBE}</w:t>
      </w:r>
      <w:r>
        <w:t>Állampolgári Jogi, Bel- és Igazságügyi Bizottság</w:t>
      </w:r>
      <w:r>
        <w:rPr>
          <w:rStyle w:val="HideTWBExt"/>
        </w:rPr>
        <w:t>&lt;/</w:t>
      </w:r>
      <w:r>
        <w:rPr>
          <w:rStyle w:val="HideTWBExt"/>
          <w:i w:val="0"/>
        </w:rPr>
        <w:t>Commission</w:t>
      </w:r>
      <w:r>
        <w:rPr>
          <w:rStyle w:val="HideTWBExt"/>
        </w:rPr>
        <w:t>&gt;</w:t>
      </w:r>
    </w:p>
    <w:p w14:paraId="54EBC322" w14:textId="77777777" w:rsidR="000E7234" w:rsidRPr="00592F8D" w:rsidRDefault="000E7234" w:rsidP="000E7234">
      <w:pPr>
        <w:pStyle w:val="LineBottom"/>
      </w:pPr>
    </w:p>
    <w:p w14:paraId="73A9C751" w14:textId="77777777" w:rsidR="00B85286" w:rsidRPr="00592F8D" w:rsidRDefault="00DE141B">
      <w:pPr>
        <w:pStyle w:val="CoverReference"/>
      </w:pPr>
      <w:r>
        <w:rPr>
          <w:rStyle w:val="HideTWBExt"/>
          <w:b w:val="0"/>
        </w:rPr>
        <w:t>&lt;RefProc&gt;</w:t>
      </w:r>
      <w:r>
        <w:t>2025/0541</w:t>
      </w:r>
      <w:r>
        <w:rPr>
          <w:rStyle w:val="HideTWBExt"/>
          <w:b w:val="0"/>
        </w:rPr>
        <w:t>&lt;/RefProc&gt;&lt;RefTypeProc&gt;</w:t>
      </w:r>
      <w:r>
        <w:t>(COD)</w:t>
      </w:r>
      <w:r>
        <w:rPr>
          <w:rStyle w:val="HideTWBExt"/>
          <w:b w:val="0"/>
        </w:rPr>
        <w:t>&lt;/RefTypeProc&gt;</w:t>
      </w:r>
    </w:p>
    <w:p w14:paraId="535051B4" w14:textId="77777777" w:rsidR="00B85286" w:rsidRPr="00592F8D" w:rsidRDefault="00DE141B">
      <w:pPr>
        <w:pStyle w:val="CoverDate"/>
      </w:pPr>
      <w:r>
        <w:rPr>
          <w:rStyle w:val="HideTWBExt"/>
        </w:rPr>
        <w:t>&lt;Date&gt;</w:t>
      </w:r>
      <w:r>
        <w:rPr>
          <w:rStyle w:val="HideTWBInt"/>
          <w:color w:val="auto"/>
        </w:rPr>
        <w:t>{24/06/2026}</w:t>
      </w:r>
      <w:r>
        <w:t>24.6.2026</w:t>
      </w:r>
      <w:r>
        <w:rPr>
          <w:rStyle w:val="HideTWBExt"/>
        </w:rPr>
        <w:t>&lt;/Date&gt;</w:t>
      </w:r>
    </w:p>
    <w:p w14:paraId="4B5B5A28" w14:textId="360491B9" w:rsidR="009B0305" w:rsidRPr="00592F8D" w:rsidRDefault="00DE141B" w:rsidP="009B0305">
      <w:pPr>
        <w:pStyle w:val="CoverDocType"/>
      </w:pPr>
      <w:r>
        <w:t>MÓDOSÍTÁS:</w:t>
      </w:r>
    </w:p>
    <w:p w14:paraId="0A9E7C5D" w14:textId="77777777" w:rsidR="00B85286" w:rsidRPr="00592F8D" w:rsidRDefault="00DE141B" w:rsidP="001C2054">
      <w:pPr>
        <w:pStyle w:val="CoverDocType24a"/>
      </w:pPr>
      <w:r>
        <w:rPr>
          <w:rStyle w:val="HideTWBExt"/>
          <w:b w:val="0"/>
        </w:rPr>
        <w:t>&lt;RangeAM&gt;</w:t>
      </w:r>
      <w:r>
        <w:t>206</w:t>
      </w:r>
      <w:r>
        <w:rPr>
          <w:rStyle w:val="HideTWBExt"/>
          <w:b w:val="0"/>
        </w:rPr>
        <w:t>&lt;/RangeAM&gt;</w:t>
      </w:r>
    </w:p>
    <w:p w14:paraId="7D15A85D" w14:textId="77777777" w:rsidR="001C2054" w:rsidRPr="00592F8D" w:rsidRDefault="00DE141B" w:rsidP="00A93F8C">
      <w:pPr>
        <w:pStyle w:val="CoverBold"/>
      </w:pPr>
      <w:r>
        <w:rPr>
          <w:rStyle w:val="HideTWBExt"/>
          <w:b w:val="0"/>
        </w:rPr>
        <w:t>&lt;TitreType&gt;</w:t>
      </w:r>
      <w:r>
        <w:t>Jelentéstervezet</w:t>
      </w:r>
      <w:r>
        <w:rPr>
          <w:rStyle w:val="HideTWBExt"/>
          <w:b w:val="0"/>
        </w:rPr>
        <w:t>&lt;/TitreType&gt;</w:t>
      </w:r>
    </w:p>
    <w:p w14:paraId="42E8FAE9" w14:textId="77777777" w:rsidR="00B85286" w:rsidRPr="00592F8D" w:rsidRDefault="00DE141B" w:rsidP="00A93F8C">
      <w:pPr>
        <w:pStyle w:val="CoverBold"/>
      </w:pPr>
      <w:r>
        <w:rPr>
          <w:rStyle w:val="HideTWBExt"/>
          <w:b w:val="0"/>
        </w:rPr>
        <w:t>&lt;Rapporteur&gt;</w:t>
      </w:r>
      <w:r>
        <w:t>Karlo Ressler</w:t>
      </w:r>
      <w:r>
        <w:rPr>
          <w:rStyle w:val="HideTWBExt"/>
          <w:b w:val="0"/>
        </w:rPr>
        <w:t>&lt;/Rapporteur&gt;</w:t>
      </w:r>
    </w:p>
    <w:p w14:paraId="7EEE91AF" w14:textId="77777777" w:rsidR="00B85286" w:rsidRPr="00592F8D" w:rsidRDefault="00DE141B">
      <w:pPr>
        <w:pStyle w:val="CoverNormal24a"/>
      </w:pPr>
      <w:r>
        <w:rPr>
          <w:rStyle w:val="HideTWBExt"/>
        </w:rPr>
        <w:t>&lt;DocRefPE&gt;</w:t>
      </w:r>
      <w:r>
        <w:t>(PE788.793v01-</w:t>
      </w:r>
      <w:proofErr w:type="gramStart"/>
      <w:r>
        <w:t>00)</w:t>
      </w:r>
      <w:r>
        <w:rPr>
          <w:rStyle w:val="HideTWBExt"/>
        </w:rPr>
        <w:t>&lt;</w:t>
      </w:r>
      <w:proofErr w:type="gramEnd"/>
      <w:r>
        <w:rPr>
          <w:rStyle w:val="HideTWBExt"/>
        </w:rPr>
        <w:t>/DocRefPE&gt;</w:t>
      </w:r>
    </w:p>
    <w:p w14:paraId="2157ECFF" w14:textId="77777777" w:rsidR="00B85286" w:rsidRPr="00592F8D" w:rsidRDefault="00DE141B">
      <w:pPr>
        <w:pStyle w:val="CoverNormal24a"/>
      </w:pPr>
      <w:r>
        <w:rPr>
          <w:rStyle w:val="HideTWBExt"/>
        </w:rPr>
        <w:t>&lt;Titre&gt;</w:t>
      </w:r>
      <w:r>
        <w:t xml:space="preserve">a schengeni térség, az európai integrált határigazgatás és a közös vízumpolitika uniós támogatásának a </w:t>
      </w:r>
      <w:r>
        <w:t>2028–2034-es időszakra történő létrehozásáról szóló európai parlamenti és tanácsi rendeletre irányuló javaslatról</w:t>
      </w:r>
      <w:r>
        <w:rPr>
          <w:rStyle w:val="HideTWBExt"/>
        </w:rPr>
        <w:t>&lt;/Titre&gt;</w:t>
      </w:r>
    </w:p>
    <w:p w14:paraId="452BC761" w14:textId="77777777" w:rsidR="006337D4" w:rsidRPr="00592F8D" w:rsidRDefault="00DE141B" w:rsidP="006337D4">
      <w:pPr>
        <w:pStyle w:val="CoverNormal"/>
      </w:pPr>
      <w:r>
        <w:rPr>
          <w:rStyle w:val="HideTWBExt"/>
        </w:rPr>
        <w:t>&lt;DocAmend&gt;</w:t>
      </w:r>
      <w:r>
        <w:t>Rendeletre irányuló javaslat</w:t>
      </w:r>
      <w:r>
        <w:rPr>
          <w:rStyle w:val="HideTWBExt"/>
        </w:rPr>
        <w:t>&lt;/DocAmend&gt;</w:t>
      </w:r>
    </w:p>
    <w:p w14:paraId="3B8CBEC9" w14:textId="77777777" w:rsidR="00B85286" w:rsidRPr="00592F8D" w:rsidRDefault="00DE141B">
      <w:pPr>
        <w:pStyle w:val="CoverNormal24a"/>
      </w:pPr>
      <w:r>
        <w:rPr>
          <w:rStyle w:val="HideTWBExt"/>
        </w:rPr>
        <w:t>&lt;DocRef&gt;</w:t>
      </w:r>
      <w:r>
        <w:t>(</w:t>
      </w:r>
      <w:proofErr w:type="gramStart"/>
      <w:r>
        <w:t>COM(</w:t>
      </w:r>
      <w:proofErr w:type="gramEnd"/>
      <w:r>
        <w:t>2025)0541 – C10</w:t>
      </w:r>
      <w:r>
        <w:noBreakHyphen/>
        <w:t>0176/2025 – 2025/0541(COD))</w:t>
      </w:r>
      <w:r>
        <w:rPr>
          <w:rStyle w:val="HideTWBExt"/>
        </w:rPr>
        <w:t>&lt;/DocRef&gt;</w:t>
      </w:r>
    </w:p>
    <w:p w14:paraId="21800A1A" w14:textId="77777777" w:rsidR="00B85286" w:rsidRPr="00592F8D" w:rsidRDefault="00DE141B" w:rsidP="00E660E2">
      <w:pPr>
        <w:widowControl/>
        <w:tabs>
          <w:tab w:val="center" w:pos="4677"/>
        </w:tabs>
      </w:pPr>
      <w:r>
        <w:br w:type="page"/>
      </w:r>
      <w:r>
        <w:lastRenderedPageBreak/>
        <w:t>AM_Com_LegReport</w:t>
      </w:r>
    </w:p>
    <w:p w14:paraId="48103C32" w14:textId="77777777" w:rsidR="003E43AC" w:rsidRPr="00592F8D" w:rsidRDefault="00DE141B" w:rsidP="001444E0">
      <w:pPr>
        <w:pStyle w:val="AmNumberTabs"/>
        <w:keepNext/>
      </w:pPr>
      <w:r>
        <w:br w:type="page"/>
      </w:r>
      <w:bookmarkStart w:id="0" w:name="IntroB"/>
      <w:r>
        <w:rPr>
          <w:rStyle w:val="HideTWBExt"/>
          <w:b w:val="0"/>
        </w:rPr>
        <w:t>&lt;RepeatBlock-Amend&gt;</w:t>
      </w:r>
      <w:bookmarkStart w:id="1" w:name="restart"/>
      <w:bookmarkEnd w:id="0"/>
      <w:r>
        <w:rPr>
          <w:rStyle w:val="HideTWBExt"/>
          <w:b w:val="0"/>
        </w:rPr>
        <w:t>&lt;Amend&gt;</w:t>
      </w:r>
      <w:r>
        <w:t>Módosítás</w:t>
      </w:r>
      <w:r>
        <w:tab/>
      </w:r>
      <w:r>
        <w:tab/>
      </w:r>
      <w:r>
        <w:rPr>
          <w:rStyle w:val="HideTWBExt"/>
          <w:b w:val="0"/>
        </w:rPr>
        <w:t>&lt;NumAm&gt;</w:t>
      </w:r>
      <w:r>
        <w:t>206</w:t>
      </w:r>
      <w:r>
        <w:rPr>
          <w:rStyle w:val="HideTWBExt"/>
          <w:b w:val="0"/>
        </w:rPr>
        <w:t>&lt;/NumAm&gt;</w:t>
      </w:r>
    </w:p>
    <w:p w14:paraId="31E21F35" w14:textId="77777777" w:rsidR="005B32E3" w:rsidRPr="00592F8D" w:rsidRDefault="00DE141B" w:rsidP="005B32E3">
      <w:pPr>
        <w:pStyle w:val="NormalBold"/>
      </w:pPr>
      <w:r>
        <w:rPr>
          <w:rStyle w:val="HideTWBExt"/>
          <w:b w:val="0"/>
        </w:rPr>
        <w:t>&lt;RepeatBlock-By&gt;&lt;Members&gt;</w:t>
      </w:r>
      <w:r>
        <w:t>Murielle Laurent</w:t>
      </w:r>
      <w:r>
        <w:rPr>
          <w:rStyle w:val="HideTWBExt"/>
          <w:b w:val="0"/>
        </w:rPr>
        <w:t>&lt;/Members&gt;</w:t>
      </w:r>
    </w:p>
    <w:p w14:paraId="4AD41450" w14:textId="77777777" w:rsidR="005B32E3" w:rsidRPr="00592F8D" w:rsidRDefault="00DE141B" w:rsidP="005B32E3">
      <w:r>
        <w:rPr>
          <w:rStyle w:val="HideTWBExt"/>
        </w:rPr>
        <w:t>&lt;/RepeatBlock-By&gt;</w:t>
      </w:r>
    </w:p>
    <w:p w14:paraId="451C15A8" w14:textId="77777777" w:rsidR="009B0305" w:rsidRPr="00592F8D" w:rsidRDefault="00DE141B" w:rsidP="005B32E3">
      <w:pPr>
        <w:pStyle w:val="NormalBold"/>
      </w:pPr>
      <w:r>
        <w:rPr>
          <w:rStyle w:val="HideTWBExt"/>
          <w:b w:val="0"/>
        </w:rPr>
        <w:t>&lt;DocAmend&gt;</w:t>
      </w:r>
      <w:r>
        <w:t>Rendeletre irányuló javaslat</w:t>
      </w:r>
      <w:r>
        <w:rPr>
          <w:rStyle w:val="HideTWBExt"/>
          <w:b w:val="0"/>
        </w:rPr>
        <w:t>&lt;/DocAmend&gt;</w:t>
      </w:r>
    </w:p>
    <w:p w14:paraId="6177AAA4" w14:textId="77777777" w:rsidR="009B0305" w:rsidRPr="00592F8D" w:rsidRDefault="00DE141B" w:rsidP="00A233E9">
      <w:pPr>
        <w:pStyle w:val="NormalBold"/>
        <w:keepNext/>
      </w:pPr>
      <w:r>
        <w:rPr>
          <w:rStyle w:val="HideTWBExt"/>
          <w:b w:val="0"/>
        </w:rPr>
        <w:t>&lt;Article&gt;</w:t>
      </w:r>
      <w:r>
        <w:t>Melléklet (új)</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0244" w14:paraId="3E454BEB" w14:textId="77777777">
        <w:trPr>
          <w:jc w:val="center"/>
        </w:trPr>
        <w:tc>
          <w:tcPr>
            <w:tcW w:w="9752" w:type="dxa"/>
            <w:gridSpan w:val="2"/>
          </w:tcPr>
          <w:p w14:paraId="46DA42E6" w14:textId="77777777" w:rsidR="009A65D8" w:rsidRPr="00592F8D" w:rsidRDefault="009A65D8" w:rsidP="00A233E9">
            <w:pPr>
              <w:keepNext/>
            </w:pPr>
          </w:p>
        </w:tc>
      </w:tr>
      <w:tr w:rsidR="00000244" w14:paraId="27C3CDFE" w14:textId="77777777">
        <w:trPr>
          <w:jc w:val="center"/>
        </w:trPr>
        <w:tc>
          <w:tcPr>
            <w:tcW w:w="4876" w:type="dxa"/>
          </w:tcPr>
          <w:p w14:paraId="037E5276" w14:textId="77777777" w:rsidR="009A65D8" w:rsidRPr="00592F8D" w:rsidRDefault="00DE141B" w:rsidP="00A233E9">
            <w:pPr>
              <w:pStyle w:val="AmColumnHeading"/>
              <w:keepNext/>
            </w:pPr>
            <w:r>
              <w:t>A Bizottság által javasolt szöveg</w:t>
            </w:r>
          </w:p>
        </w:tc>
        <w:tc>
          <w:tcPr>
            <w:tcW w:w="4876" w:type="dxa"/>
          </w:tcPr>
          <w:p w14:paraId="202E3569" w14:textId="77777777" w:rsidR="009A65D8" w:rsidRPr="00592F8D" w:rsidRDefault="00DE141B" w:rsidP="00A233E9">
            <w:pPr>
              <w:pStyle w:val="AmColumnHeading"/>
              <w:keepNext/>
            </w:pPr>
            <w:r>
              <w:t>Módosítás</w:t>
            </w:r>
          </w:p>
        </w:tc>
      </w:tr>
      <w:tr w:rsidR="00000244" w14:paraId="12E3B631" w14:textId="77777777">
        <w:trPr>
          <w:jc w:val="center"/>
        </w:trPr>
        <w:tc>
          <w:tcPr>
            <w:tcW w:w="4876" w:type="dxa"/>
          </w:tcPr>
          <w:p w14:paraId="1DC262BD" w14:textId="77777777" w:rsidR="00AA1AF8" w:rsidRPr="00592F8D" w:rsidRDefault="00AA1AF8" w:rsidP="00E8229D">
            <w:pPr>
              <w:pStyle w:val="Normal6a"/>
            </w:pPr>
          </w:p>
        </w:tc>
        <w:tc>
          <w:tcPr>
            <w:tcW w:w="4876" w:type="dxa"/>
          </w:tcPr>
          <w:p w14:paraId="4552C1DB" w14:textId="77777777" w:rsidR="00AA1AF8" w:rsidRPr="00592F8D" w:rsidRDefault="00DE141B" w:rsidP="00E8229D">
            <w:pPr>
              <w:pStyle w:val="Normal6a"/>
              <w:rPr>
                <w:b/>
                <w:bCs/>
                <w:i/>
                <w:iCs/>
              </w:rPr>
            </w:pPr>
            <w:r>
              <w:rPr>
                <w:b/>
                <w:i/>
              </w:rPr>
              <w:t>Melléklet</w:t>
            </w:r>
          </w:p>
        </w:tc>
      </w:tr>
      <w:tr w:rsidR="00000244" w14:paraId="7BD1B451" w14:textId="77777777">
        <w:trPr>
          <w:jc w:val="center"/>
        </w:trPr>
        <w:tc>
          <w:tcPr>
            <w:tcW w:w="4876" w:type="dxa"/>
          </w:tcPr>
          <w:p w14:paraId="44D14227" w14:textId="77777777" w:rsidR="009A65D8" w:rsidRPr="00592F8D" w:rsidRDefault="009A65D8" w:rsidP="00E8229D">
            <w:pPr>
              <w:pStyle w:val="Normal6a"/>
            </w:pPr>
          </w:p>
        </w:tc>
        <w:tc>
          <w:tcPr>
            <w:tcW w:w="4876" w:type="dxa"/>
          </w:tcPr>
          <w:p w14:paraId="2AE3AF88" w14:textId="77777777" w:rsidR="009A65D8" w:rsidRPr="00592F8D" w:rsidRDefault="00DE141B" w:rsidP="00E8229D">
            <w:pPr>
              <w:pStyle w:val="Normal6a"/>
              <w:rPr>
                <w:b/>
                <w:bCs/>
                <w:i/>
                <w:iCs/>
              </w:rPr>
            </w:pPr>
            <w:r>
              <w:rPr>
                <w:b/>
                <w:i/>
              </w:rPr>
              <w:t>A támogatás köre</w:t>
            </w:r>
          </w:p>
        </w:tc>
      </w:tr>
      <w:tr w:rsidR="00000244" w14:paraId="273014AD" w14:textId="77777777">
        <w:trPr>
          <w:jc w:val="center"/>
        </w:trPr>
        <w:tc>
          <w:tcPr>
            <w:tcW w:w="4876" w:type="dxa"/>
          </w:tcPr>
          <w:p w14:paraId="36FF854E" w14:textId="77777777" w:rsidR="001444E0" w:rsidRPr="00592F8D" w:rsidRDefault="001444E0" w:rsidP="00E8229D">
            <w:pPr>
              <w:pStyle w:val="Normal6a"/>
            </w:pPr>
          </w:p>
        </w:tc>
        <w:tc>
          <w:tcPr>
            <w:tcW w:w="4876" w:type="dxa"/>
          </w:tcPr>
          <w:p w14:paraId="03A9E12C" w14:textId="77777777" w:rsidR="001444E0" w:rsidRPr="00592F8D" w:rsidRDefault="00DE141B" w:rsidP="00E8229D">
            <w:pPr>
              <w:pStyle w:val="Normal6a"/>
              <w:rPr>
                <w:b/>
                <w:bCs/>
                <w:i/>
                <w:iCs/>
              </w:rPr>
            </w:pPr>
            <w:r>
              <w:rPr>
                <w:b/>
                <w:i/>
              </w:rPr>
              <w:t>(1)</w:t>
            </w:r>
            <w:r>
              <w:rPr>
                <w:b/>
                <w:i/>
              </w:rPr>
              <w:tab/>
              <w:t>A 3. cikk (1) bekezdésének b) pontjában említett célkitűzés keretei között az uniós támogatást a következőkhöz kell nyújtani:</w:t>
            </w:r>
          </w:p>
        </w:tc>
      </w:tr>
      <w:tr w:rsidR="00000244" w14:paraId="3B92A6F5" w14:textId="77777777">
        <w:trPr>
          <w:jc w:val="center"/>
        </w:trPr>
        <w:tc>
          <w:tcPr>
            <w:tcW w:w="4876" w:type="dxa"/>
          </w:tcPr>
          <w:p w14:paraId="7A95F375" w14:textId="77777777" w:rsidR="001444E0" w:rsidRPr="00592F8D" w:rsidRDefault="001444E0" w:rsidP="00E8229D">
            <w:pPr>
              <w:pStyle w:val="Normal6a"/>
            </w:pPr>
          </w:p>
        </w:tc>
        <w:tc>
          <w:tcPr>
            <w:tcW w:w="4876" w:type="dxa"/>
          </w:tcPr>
          <w:p w14:paraId="65A9BBB3" w14:textId="77777777" w:rsidR="001444E0" w:rsidRPr="00592F8D" w:rsidRDefault="00DE141B" w:rsidP="00E8229D">
            <w:pPr>
              <w:pStyle w:val="Normal6a"/>
              <w:rPr>
                <w:b/>
                <w:bCs/>
                <w:i/>
                <w:iCs/>
              </w:rPr>
            </w:pPr>
            <w:r>
              <w:rPr>
                <w:b/>
                <w:i/>
              </w:rPr>
              <w:t>a)</w:t>
            </w:r>
            <w:r>
              <w:rPr>
                <w:b/>
                <w:i/>
              </w:rPr>
              <w:tab/>
              <w:t xml:space="preserve">a legjobb gyakorlatok és a szakértők cseréje, beleértve a szakértők </w:t>
            </w:r>
            <w:r>
              <w:rPr>
                <w:b/>
                <w:i/>
              </w:rPr>
              <w:t>kiküldését, valamint az európai hálózatok kapacitásának fellendítése a belső határellenőrzés nélküli schengeni térség értékelése, előmozdítása, támogatása és továbbfejlesztése érdekében;</w:t>
            </w:r>
          </w:p>
        </w:tc>
      </w:tr>
      <w:tr w:rsidR="00000244" w14:paraId="51E814F2" w14:textId="77777777">
        <w:trPr>
          <w:jc w:val="center"/>
        </w:trPr>
        <w:tc>
          <w:tcPr>
            <w:tcW w:w="4876" w:type="dxa"/>
          </w:tcPr>
          <w:p w14:paraId="041BD22F" w14:textId="77777777" w:rsidR="001444E0" w:rsidRPr="00592F8D" w:rsidRDefault="001444E0" w:rsidP="00E8229D">
            <w:pPr>
              <w:pStyle w:val="Normal6a"/>
            </w:pPr>
          </w:p>
        </w:tc>
        <w:tc>
          <w:tcPr>
            <w:tcW w:w="4876" w:type="dxa"/>
          </w:tcPr>
          <w:p w14:paraId="3A5B0BFF" w14:textId="77777777" w:rsidR="001444E0" w:rsidRPr="00592F8D" w:rsidRDefault="00DE141B" w:rsidP="00E8229D">
            <w:pPr>
              <w:pStyle w:val="Normal6a"/>
              <w:rPr>
                <w:b/>
                <w:bCs/>
                <w:i/>
                <w:iCs/>
                <w:szCs w:val="24"/>
              </w:rPr>
            </w:pPr>
            <w:r>
              <w:rPr>
                <w:b/>
                <w:i/>
              </w:rPr>
              <w:t>b)</w:t>
            </w:r>
            <w:r>
              <w:rPr>
                <w:b/>
                <w:i/>
              </w:rPr>
              <w:tab/>
              <w:t>tanulmányok és egyéb releváns intézkedések, mint például elemzések, monitoring és értékelés révén az ismeretek javítására irányuló intézkedések;</w:t>
            </w:r>
          </w:p>
        </w:tc>
      </w:tr>
      <w:tr w:rsidR="00000244" w14:paraId="261DB7C9" w14:textId="77777777">
        <w:trPr>
          <w:jc w:val="center"/>
        </w:trPr>
        <w:tc>
          <w:tcPr>
            <w:tcW w:w="4876" w:type="dxa"/>
          </w:tcPr>
          <w:p w14:paraId="4F78638D" w14:textId="77777777" w:rsidR="001444E0" w:rsidRPr="00592F8D" w:rsidRDefault="001444E0" w:rsidP="00E8229D">
            <w:pPr>
              <w:pStyle w:val="Normal6a"/>
            </w:pPr>
          </w:p>
        </w:tc>
        <w:tc>
          <w:tcPr>
            <w:tcW w:w="4876" w:type="dxa"/>
          </w:tcPr>
          <w:p w14:paraId="588FF7AE" w14:textId="77777777" w:rsidR="001444E0" w:rsidRPr="00592F8D" w:rsidRDefault="00DE141B" w:rsidP="00E8229D">
            <w:pPr>
              <w:pStyle w:val="Normal6a"/>
              <w:rPr>
                <w:b/>
                <w:bCs/>
                <w:i/>
                <w:iCs/>
                <w:szCs w:val="24"/>
              </w:rPr>
            </w:pPr>
            <w:r>
              <w:rPr>
                <w:b/>
                <w:i/>
              </w:rPr>
              <w:t>c)</w:t>
            </w:r>
            <w:r>
              <w:rPr>
                <w:b/>
                <w:i/>
              </w:rPr>
              <w:tab/>
              <w:t>előkészítő, monitoring, igazgatási és technikai tevékenységek, beleértve a schengeni térség irányításának megerősítését a schengeni vívmányok alkalmazásának ellenőrzése érdekében az 1053/2013/EU rendelettel létrehozott értékelési mechanizmus fejlesztése és végrehajtása révén, beleértve a Bizottság és a tagállamok helyszíni látogatáson részt vevő szakértőinek kiküldetési költségeit;</w:t>
            </w:r>
          </w:p>
        </w:tc>
      </w:tr>
      <w:tr w:rsidR="00000244" w14:paraId="135C7670" w14:textId="77777777">
        <w:trPr>
          <w:jc w:val="center"/>
        </w:trPr>
        <w:tc>
          <w:tcPr>
            <w:tcW w:w="4876" w:type="dxa"/>
          </w:tcPr>
          <w:p w14:paraId="5D20713C" w14:textId="77777777" w:rsidR="001444E0" w:rsidRPr="00592F8D" w:rsidRDefault="001444E0" w:rsidP="00E8229D">
            <w:pPr>
              <w:pStyle w:val="Normal6a"/>
            </w:pPr>
          </w:p>
        </w:tc>
        <w:tc>
          <w:tcPr>
            <w:tcW w:w="4876" w:type="dxa"/>
          </w:tcPr>
          <w:p w14:paraId="40A4F51F" w14:textId="77777777" w:rsidR="001444E0" w:rsidRPr="00592F8D" w:rsidRDefault="00DE141B" w:rsidP="00E8229D">
            <w:pPr>
              <w:pStyle w:val="Normal6a"/>
              <w:rPr>
                <w:b/>
                <w:bCs/>
                <w:i/>
                <w:iCs/>
                <w:szCs w:val="24"/>
              </w:rPr>
            </w:pPr>
            <w:r>
              <w:rPr>
                <w:b/>
                <w:i/>
              </w:rPr>
              <w:t>d)</w:t>
            </w:r>
            <w:r>
              <w:rPr>
                <w:b/>
                <w:i/>
              </w:rPr>
              <w:tab/>
              <w:t>a belső határellenőrzés nélküli schengeni térségre vonatkozó ismeretterjesztő tevékenységek az érdekeltek és a közvélemény körében, beleértve az Unió e területre vonatkozó politikai prioritásainak intézményi kommunikációját is;</w:t>
            </w:r>
          </w:p>
        </w:tc>
      </w:tr>
      <w:tr w:rsidR="00000244" w14:paraId="1F09A1F4" w14:textId="77777777">
        <w:trPr>
          <w:jc w:val="center"/>
        </w:trPr>
        <w:tc>
          <w:tcPr>
            <w:tcW w:w="4876" w:type="dxa"/>
          </w:tcPr>
          <w:p w14:paraId="5D3867CC" w14:textId="77777777" w:rsidR="001444E0" w:rsidRPr="00592F8D" w:rsidRDefault="001444E0" w:rsidP="00E8229D">
            <w:pPr>
              <w:pStyle w:val="Normal6a"/>
            </w:pPr>
          </w:p>
        </w:tc>
        <w:tc>
          <w:tcPr>
            <w:tcW w:w="4876" w:type="dxa"/>
          </w:tcPr>
          <w:p w14:paraId="57F2F764" w14:textId="77777777" w:rsidR="001444E0" w:rsidRPr="00592F8D" w:rsidRDefault="00DE141B" w:rsidP="00E8229D">
            <w:pPr>
              <w:pStyle w:val="Normal6a"/>
              <w:rPr>
                <w:b/>
                <w:bCs/>
                <w:i/>
                <w:iCs/>
                <w:szCs w:val="24"/>
              </w:rPr>
            </w:pPr>
            <w:r>
              <w:rPr>
                <w:b/>
                <w:i/>
              </w:rPr>
              <w:t>e)</w:t>
            </w:r>
            <w:r>
              <w:rPr>
                <w:b/>
                <w:i/>
              </w:rPr>
              <w:tab/>
              <w:t>olyan statisztikai eszközök, módszerek és mutatók kidolgozása, amelyek tiszteletben tartják a megkülönböztetés tilalmának elvét;</w:t>
            </w:r>
          </w:p>
        </w:tc>
      </w:tr>
      <w:tr w:rsidR="00000244" w14:paraId="77FDD6DB" w14:textId="77777777">
        <w:trPr>
          <w:jc w:val="center"/>
        </w:trPr>
        <w:tc>
          <w:tcPr>
            <w:tcW w:w="4876" w:type="dxa"/>
          </w:tcPr>
          <w:p w14:paraId="4F96D353" w14:textId="77777777" w:rsidR="001444E0" w:rsidRPr="00592F8D" w:rsidRDefault="001444E0" w:rsidP="00E8229D">
            <w:pPr>
              <w:pStyle w:val="Normal6a"/>
            </w:pPr>
          </w:p>
        </w:tc>
        <w:tc>
          <w:tcPr>
            <w:tcW w:w="4876" w:type="dxa"/>
          </w:tcPr>
          <w:p w14:paraId="6835EE24" w14:textId="77777777" w:rsidR="001444E0" w:rsidRPr="00592F8D" w:rsidRDefault="00DE141B" w:rsidP="00E8229D">
            <w:pPr>
              <w:pStyle w:val="Normal6a"/>
              <w:rPr>
                <w:b/>
                <w:bCs/>
                <w:i/>
                <w:iCs/>
                <w:szCs w:val="24"/>
              </w:rPr>
            </w:pPr>
            <w:r>
              <w:rPr>
                <w:b/>
                <w:i/>
              </w:rPr>
              <w:t>f)</w:t>
            </w:r>
            <w:r>
              <w:rPr>
                <w:b/>
                <w:i/>
              </w:rPr>
              <w:tab/>
              <w:t>működési támogatás a schengeni vívmányok alkalmazását biztosító intézkedések végrehajtásához;</w:t>
            </w:r>
          </w:p>
        </w:tc>
      </w:tr>
      <w:tr w:rsidR="00000244" w14:paraId="5B3727EA" w14:textId="77777777">
        <w:trPr>
          <w:jc w:val="center"/>
        </w:trPr>
        <w:tc>
          <w:tcPr>
            <w:tcW w:w="4876" w:type="dxa"/>
          </w:tcPr>
          <w:p w14:paraId="60289275" w14:textId="77777777" w:rsidR="00231D55" w:rsidRPr="00592F8D" w:rsidRDefault="00231D55" w:rsidP="00E8229D">
            <w:pPr>
              <w:pStyle w:val="Normal6a"/>
            </w:pPr>
          </w:p>
        </w:tc>
        <w:tc>
          <w:tcPr>
            <w:tcW w:w="4876" w:type="dxa"/>
          </w:tcPr>
          <w:p w14:paraId="0F8778EF" w14:textId="77777777" w:rsidR="00231D55" w:rsidRPr="00592F8D" w:rsidRDefault="00DE141B" w:rsidP="00E8229D">
            <w:pPr>
              <w:pStyle w:val="Normal6a"/>
              <w:rPr>
                <w:b/>
                <w:bCs/>
                <w:i/>
                <w:iCs/>
              </w:rPr>
            </w:pPr>
            <w:r>
              <w:rPr>
                <w:b/>
                <w:i/>
              </w:rPr>
              <w:t>(2)</w:t>
            </w:r>
            <w:r>
              <w:rPr>
                <w:b/>
                <w:i/>
              </w:rPr>
              <w:tab/>
              <w:t xml:space="preserve">A 3. cikk (1) bekezdésének b) pontjában említett célkitűzés keretei között az </w:t>
            </w:r>
            <w:r>
              <w:rPr>
                <w:b/>
                <w:i/>
              </w:rPr>
              <w:t>uniós támogatást a következőkhöz kell nyújtani:</w:t>
            </w:r>
          </w:p>
        </w:tc>
      </w:tr>
      <w:tr w:rsidR="00000244" w14:paraId="1B088089" w14:textId="77777777">
        <w:trPr>
          <w:jc w:val="center"/>
        </w:trPr>
        <w:tc>
          <w:tcPr>
            <w:tcW w:w="4876" w:type="dxa"/>
          </w:tcPr>
          <w:p w14:paraId="6E031399" w14:textId="77777777" w:rsidR="00231D55" w:rsidRPr="00592F8D" w:rsidRDefault="00231D55" w:rsidP="00E8229D">
            <w:pPr>
              <w:pStyle w:val="Normal6a"/>
            </w:pPr>
          </w:p>
        </w:tc>
        <w:tc>
          <w:tcPr>
            <w:tcW w:w="4876" w:type="dxa"/>
          </w:tcPr>
          <w:p w14:paraId="0713BB63" w14:textId="77777777" w:rsidR="00231D55" w:rsidRPr="00592F8D" w:rsidRDefault="00DE141B" w:rsidP="00E8229D">
            <w:pPr>
              <w:pStyle w:val="Normal6a"/>
              <w:rPr>
                <w:b/>
                <w:bCs/>
                <w:i/>
                <w:iCs/>
                <w:szCs w:val="24"/>
              </w:rPr>
            </w:pPr>
            <w:r>
              <w:rPr>
                <w:b/>
                <w:i/>
              </w:rPr>
              <w:t>a)</w:t>
            </w:r>
            <w:r>
              <w:rPr>
                <w:b/>
                <w:i/>
              </w:rPr>
              <w:tab/>
              <w:t>olyan infrastruktúra, épületek, rendszerek és szolgáltatások, amelyekre a határátkelőhelyeken és a határátkelőhelyek közötti határőrizet érdekében van szükség;</w:t>
            </w:r>
          </w:p>
        </w:tc>
      </w:tr>
      <w:tr w:rsidR="00000244" w14:paraId="70C4B3B4" w14:textId="77777777">
        <w:trPr>
          <w:jc w:val="center"/>
        </w:trPr>
        <w:tc>
          <w:tcPr>
            <w:tcW w:w="4876" w:type="dxa"/>
          </w:tcPr>
          <w:p w14:paraId="3037CAC2" w14:textId="77777777" w:rsidR="00231D55" w:rsidRPr="00592F8D" w:rsidRDefault="00231D55" w:rsidP="00E8229D">
            <w:pPr>
              <w:pStyle w:val="Normal6a"/>
            </w:pPr>
          </w:p>
        </w:tc>
        <w:tc>
          <w:tcPr>
            <w:tcW w:w="4876" w:type="dxa"/>
          </w:tcPr>
          <w:p w14:paraId="676A36C9" w14:textId="77777777" w:rsidR="00231D55" w:rsidRPr="00592F8D" w:rsidRDefault="00DE141B" w:rsidP="00E8229D">
            <w:pPr>
              <w:pStyle w:val="Normal6a"/>
              <w:rPr>
                <w:b/>
                <w:bCs/>
                <w:i/>
                <w:iCs/>
                <w:szCs w:val="24"/>
              </w:rPr>
            </w:pPr>
            <w:r>
              <w:rPr>
                <w:b/>
                <w:i/>
              </w:rPr>
              <w:t>b)</w:t>
            </w:r>
            <w:r>
              <w:rPr>
                <w:b/>
                <w:i/>
              </w:rPr>
              <w:tab/>
              <w:t>működéshez szükséges berendezések, köztük szállítóeszközök és IKT-rendszerek, amelyek a határátkelőhelyeken folytatott eredményes és biztonságos határellenőrzéshez szükségesek, valamint a határőrizethez az Európai Határ- és Partvédelmi Ügynökség által kidolgozott előírásokkal összhangban, amennyiben léteznek ilyen előírások;</w:t>
            </w:r>
          </w:p>
        </w:tc>
      </w:tr>
      <w:tr w:rsidR="00000244" w14:paraId="3CFB8BD5" w14:textId="77777777">
        <w:trPr>
          <w:jc w:val="center"/>
        </w:trPr>
        <w:tc>
          <w:tcPr>
            <w:tcW w:w="4876" w:type="dxa"/>
          </w:tcPr>
          <w:p w14:paraId="452EF5CE" w14:textId="77777777" w:rsidR="00231D55" w:rsidRPr="00592F8D" w:rsidRDefault="00231D55" w:rsidP="00E8229D">
            <w:pPr>
              <w:pStyle w:val="Normal6a"/>
            </w:pPr>
          </w:p>
        </w:tc>
        <w:tc>
          <w:tcPr>
            <w:tcW w:w="4876" w:type="dxa"/>
          </w:tcPr>
          <w:p w14:paraId="3598AB97" w14:textId="77777777" w:rsidR="00231D55" w:rsidRPr="00592F8D" w:rsidRDefault="00DE141B" w:rsidP="00E8229D">
            <w:pPr>
              <w:pStyle w:val="Normal6a"/>
              <w:rPr>
                <w:b/>
                <w:bCs/>
                <w:i/>
                <w:iCs/>
              </w:rPr>
            </w:pPr>
            <w:r>
              <w:rPr>
                <w:b/>
                <w:i/>
              </w:rPr>
              <w:t>c)</w:t>
            </w:r>
            <w:r>
              <w:rPr>
                <w:b/>
                <w:i/>
              </w:rPr>
              <w:tab/>
              <w:t>képzés az európai integrált határigazgatás fejlesztése vagy annak elősegítése terén, figyelembe véve az operatív szükségleteket és a kockázatelemzéseket – beleértve a 13. cikk (7) bekezdésében említett ajánlásokban azonosított kihívásokat is –, továbbá az alapvető jogoknak maradéktalanul megfelelve;</w:t>
            </w:r>
          </w:p>
        </w:tc>
      </w:tr>
      <w:tr w:rsidR="00000244" w14:paraId="3ABA5691" w14:textId="77777777">
        <w:trPr>
          <w:jc w:val="center"/>
        </w:trPr>
        <w:tc>
          <w:tcPr>
            <w:tcW w:w="4876" w:type="dxa"/>
          </w:tcPr>
          <w:p w14:paraId="19304B44" w14:textId="77777777" w:rsidR="00231D55" w:rsidRPr="00592F8D" w:rsidRDefault="00231D55" w:rsidP="00E8229D">
            <w:pPr>
              <w:pStyle w:val="Normal6a"/>
            </w:pPr>
          </w:p>
        </w:tc>
        <w:tc>
          <w:tcPr>
            <w:tcW w:w="4876" w:type="dxa"/>
          </w:tcPr>
          <w:p w14:paraId="6CC41DDB" w14:textId="77777777" w:rsidR="00231D55" w:rsidRPr="00592F8D" w:rsidRDefault="00DE141B" w:rsidP="00E8229D">
            <w:pPr>
              <w:pStyle w:val="Normal6a"/>
              <w:rPr>
                <w:b/>
                <w:bCs/>
                <w:i/>
                <w:iCs/>
              </w:rPr>
            </w:pPr>
            <w:r>
              <w:rPr>
                <w:b/>
                <w:i/>
              </w:rPr>
              <w:t>d)</w:t>
            </w:r>
            <w:r>
              <w:rPr>
                <w:b/>
                <w:i/>
              </w:rPr>
              <w:tab/>
              <w:t>bevándorlási összekötő tisztviselők közös kiküldése harmadik országokba az (EU) 2019/1240 európai parlamenti és tanácsi rendelettel összhangban;</w:t>
            </w:r>
          </w:p>
        </w:tc>
      </w:tr>
      <w:tr w:rsidR="00000244" w14:paraId="3B0737F2" w14:textId="77777777">
        <w:trPr>
          <w:jc w:val="center"/>
        </w:trPr>
        <w:tc>
          <w:tcPr>
            <w:tcW w:w="4876" w:type="dxa"/>
          </w:tcPr>
          <w:p w14:paraId="1997C3D5" w14:textId="77777777" w:rsidR="00231D55" w:rsidRPr="00592F8D" w:rsidRDefault="00231D55" w:rsidP="00E8229D">
            <w:pPr>
              <w:pStyle w:val="Normal6a"/>
            </w:pPr>
          </w:p>
        </w:tc>
        <w:tc>
          <w:tcPr>
            <w:tcW w:w="4876" w:type="dxa"/>
          </w:tcPr>
          <w:p w14:paraId="6E407CF8" w14:textId="77777777" w:rsidR="00231D55" w:rsidRPr="00592F8D" w:rsidRDefault="00DE141B" w:rsidP="00E8229D">
            <w:pPr>
              <w:pStyle w:val="Normal6a"/>
              <w:rPr>
                <w:b/>
                <w:bCs/>
                <w:i/>
                <w:iCs/>
                <w:szCs w:val="24"/>
              </w:rPr>
            </w:pPr>
            <w:r>
              <w:rPr>
                <w:b/>
                <w:i/>
              </w:rPr>
              <w:t>e)</w:t>
            </w:r>
            <w:r>
              <w:rPr>
                <w:b/>
                <w:i/>
              </w:rPr>
              <w:tab/>
              <w:t>a bevált módszerek és szakértelem cseréje, valamint olyan tanulmányok, kísérleti projektek és más releváns intézkedések, amelyek az európai integrált határigazgatás végrehajtására vagy fejlesztésére irányulnak, beleértve az Európai Határ- és Parti Őrség fejlesztését célzó intézkedéseket, így a közös kapacitásépítést, a közös közbeszerzést, a közös előírások és a tagállamok és az Európai Határ- és Partvédelmi Ügynökség közötti együttműködést és koordinációt korszerűsítő egyéb intézkedések megállapítását, va</w:t>
            </w:r>
            <w:r>
              <w:rPr>
                <w:b/>
                <w:i/>
              </w:rPr>
              <w:t>lamint a segítségre szoruló, kiszolgáltatott személyek és a nemzetközi védelemre szoruló vagy azt kérelmezni szándékozó személyek átirányításával kapcsolatos intézkedéseket;</w:t>
            </w:r>
          </w:p>
        </w:tc>
      </w:tr>
      <w:tr w:rsidR="00000244" w14:paraId="2735F970" w14:textId="77777777">
        <w:trPr>
          <w:jc w:val="center"/>
        </w:trPr>
        <w:tc>
          <w:tcPr>
            <w:tcW w:w="4876" w:type="dxa"/>
          </w:tcPr>
          <w:p w14:paraId="1EFA1083" w14:textId="77777777" w:rsidR="00231D55" w:rsidRPr="00592F8D" w:rsidRDefault="00231D55" w:rsidP="00E8229D">
            <w:pPr>
              <w:pStyle w:val="Normal6a"/>
            </w:pPr>
          </w:p>
        </w:tc>
        <w:tc>
          <w:tcPr>
            <w:tcW w:w="4876" w:type="dxa"/>
          </w:tcPr>
          <w:p w14:paraId="7A584402" w14:textId="77777777" w:rsidR="00231D55" w:rsidRPr="00592F8D" w:rsidRDefault="00DE141B" w:rsidP="00E8229D">
            <w:pPr>
              <w:pStyle w:val="Normal6a"/>
              <w:rPr>
                <w:b/>
                <w:bCs/>
                <w:i/>
                <w:iCs/>
                <w:szCs w:val="24"/>
              </w:rPr>
            </w:pPr>
            <w:r>
              <w:rPr>
                <w:b/>
                <w:i/>
              </w:rPr>
              <w:t>f)</w:t>
            </w:r>
            <w:r>
              <w:rPr>
                <w:b/>
                <w:i/>
              </w:rPr>
              <w:tab/>
              <w:t>a külső határokra vonatkozó szakpolitikák végrehajtásához szükséges előkészítő, monitoring, igazgatási és technikai tevékenységek, ideértve a schengeni térség irányításának megerősítését a schengeni vívmányok és az (EU) 2016/399 rendelet alkalmazásának ellenőrzése érdekében az 1053/2013/EU rendelettel létrehozott értékelési mechanizmus fejlesztése és végrehajtása révén, ideértve a Bizottság és a tagállamok helyszíni látogatáson részt vevő szakértőinek kiküldetési költségeit, valamint az Európai Határ- és P</w:t>
            </w:r>
            <w:r>
              <w:rPr>
                <w:b/>
                <w:i/>
              </w:rPr>
              <w:t>artvédelmi Ügynökség által az (EU) 2019/1896 rendelettel összhangban végzett sebezhetőségi értékeléseket követően kibocsátott ajánlások végrehajtására irányuló intézkedéseket;</w:t>
            </w:r>
          </w:p>
        </w:tc>
      </w:tr>
      <w:tr w:rsidR="00000244" w14:paraId="5B9645DC" w14:textId="77777777">
        <w:trPr>
          <w:jc w:val="center"/>
        </w:trPr>
        <w:tc>
          <w:tcPr>
            <w:tcW w:w="4876" w:type="dxa"/>
          </w:tcPr>
          <w:p w14:paraId="5CAF0924" w14:textId="77777777" w:rsidR="00231D55" w:rsidRPr="00592F8D" w:rsidRDefault="00231D55" w:rsidP="00E8229D">
            <w:pPr>
              <w:pStyle w:val="Normal6a"/>
            </w:pPr>
          </w:p>
        </w:tc>
        <w:tc>
          <w:tcPr>
            <w:tcW w:w="4876" w:type="dxa"/>
          </w:tcPr>
          <w:p w14:paraId="41FE808C" w14:textId="77777777" w:rsidR="00231D55" w:rsidRPr="00592F8D" w:rsidRDefault="00DE141B" w:rsidP="00E8229D">
            <w:pPr>
              <w:pStyle w:val="Normal6a"/>
              <w:rPr>
                <w:b/>
                <w:bCs/>
                <w:i/>
                <w:iCs/>
              </w:rPr>
            </w:pPr>
            <w:r>
              <w:rPr>
                <w:b/>
                <w:i/>
              </w:rPr>
              <w:t>g)</w:t>
            </w:r>
            <w:r>
              <w:rPr>
                <w:b/>
                <w:i/>
              </w:rPr>
              <w:tab/>
              <w:t xml:space="preserve">az IKT-rendszerekben tárolt adatok minőségének fokozását, valamint az érintettnek a személyes adatai tekintetében fennálló tájékoztatáshoz, hozzáféréshez és </w:t>
            </w:r>
            <w:r>
              <w:rPr>
                <w:b/>
                <w:i/>
              </w:rPr>
              <w:t>kiigazításhoz és törléshez, valamint az adatkezelés korlátozásához való jogai gyakorlásának javítását célzó intézkedések;</w:t>
            </w:r>
          </w:p>
        </w:tc>
      </w:tr>
      <w:tr w:rsidR="00000244" w14:paraId="38CBB2F3" w14:textId="77777777">
        <w:trPr>
          <w:jc w:val="center"/>
        </w:trPr>
        <w:tc>
          <w:tcPr>
            <w:tcW w:w="4876" w:type="dxa"/>
          </w:tcPr>
          <w:p w14:paraId="2F03024F" w14:textId="77777777" w:rsidR="00231D55" w:rsidRPr="00592F8D" w:rsidRDefault="00231D55" w:rsidP="00E8229D">
            <w:pPr>
              <w:pStyle w:val="Normal6a"/>
            </w:pPr>
          </w:p>
        </w:tc>
        <w:tc>
          <w:tcPr>
            <w:tcW w:w="4876" w:type="dxa"/>
          </w:tcPr>
          <w:p w14:paraId="217C4E11" w14:textId="77777777" w:rsidR="00231D55" w:rsidRPr="00592F8D" w:rsidRDefault="00DE141B" w:rsidP="00E8229D">
            <w:pPr>
              <w:pStyle w:val="Normal6a"/>
              <w:rPr>
                <w:b/>
                <w:bCs/>
                <w:i/>
                <w:iCs/>
              </w:rPr>
            </w:pPr>
            <w:r>
              <w:rPr>
                <w:b/>
                <w:i/>
              </w:rPr>
              <w:t>h)</w:t>
            </w:r>
            <w:r>
              <w:rPr>
                <w:b/>
                <w:i/>
              </w:rPr>
              <w:tab/>
              <w:t>személyazonosság megállapítása, ujjnyomatvétel, nyilvántartásba vétel, biztonsági ellenőrzések, személyes meghallgatás, tájékoztatás nyújtása, orvosi és sebezhetőségi átvilágítás, szükség esetén orvosi ellátás, valamint a harmadik országbeli állampolgárok megfelelő eljárás felé történő átirányítása a külső határokon;</w:t>
            </w:r>
          </w:p>
        </w:tc>
      </w:tr>
      <w:tr w:rsidR="00000244" w14:paraId="35451F25" w14:textId="77777777">
        <w:trPr>
          <w:jc w:val="center"/>
        </w:trPr>
        <w:tc>
          <w:tcPr>
            <w:tcW w:w="4876" w:type="dxa"/>
          </w:tcPr>
          <w:p w14:paraId="799CE6C5" w14:textId="77777777" w:rsidR="00231D55" w:rsidRPr="00592F8D" w:rsidRDefault="00231D55" w:rsidP="00E8229D">
            <w:pPr>
              <w:pStyle w:val="Normal6a"/>
            </w:pPr>
          </w:p>
        </w:tc>
        <w:tc>
          <w:tcPr>
            <w:tcW w:w="4876" w:type="dxa"/>
          </w:tcPr>
          <w:p w14:paraId="134E133F" w14:textId="77777777" w:rsidR="00231D55" w:rsidRPr="00592F8D" w:rsidRDefault="00DE141B" w:rsidP="00E8229D">
            <w:pPr>
              <w:pStyle w:val="Normal6a"/>
              <w:rPr>
                <w:b/>
                <w:bCs/>
                <w:i/>
                <w:iCs/>
              </w:rPr>
            </w:pPr>
            <w:r>
              <w:rPr>
                <w:b/>
                <w:i/>
              </w:rPr>
              <w:t>i)</w:t>
            </w:r>
            <w:r>
              <w:rPr>
                <w:b/>
                <w:i/>
              </w:rPr>
              <w:tab/>
              <w:t>az (EU) 2024/1356 rendelet (az előszűrésről szóló rendelet) 10. cikkével összhangban független nyomonkövetési mechanizmusok létrehozására, fenntartására vagy fejlesztésére irányuló intézkedések;</w:t>
            </w:r>
          </w:p>
        </w:tc>
      </w:tr>
      <w:tr w:rsidR="00000244" w14:paraId="71C0D1F2" w14:textId="77777777">
        <w:trPr>
          <w:jc w:val="center"/>
        </w:trPr>
        <w:tc>
          <w:tcPr>
            <w:tcW w:w="4876" w:type="dxa"/>
          </w:tcPr>
          <w:p w14:paraId="37C89E51" w14:textId="77777777" w:rsidR="00231D55" w:rsidRPr="00592F8D" w:rsidRDefault="00231D55" w:rsidP="00E8229D">
            <w:pPr>
              <w:pStyle w:val="Normal6a"/>
            </w:pPr>
          </w:p>
        </w:tc>
        <w:tc>
          <w:tcPr>
            <w:tcW w:w="4876" w:type="dxa"/>
          </w:tcPr>
          <w:p w14:paraId="266E5508" w14:textId="77777777" w:rsidR="00231D55" w:rsidRPr="00592F8D" w:rsidRDefault="00DE141B" w:rsidP="00E8229D">
            <w:pPr>
              <w:pStyle w:val="Normal6a"/>
              <w:rPr>
                <w:b/>
                <w:bCs/>
                <w:i/>
                <w:iCs/>
                <w:szCs w:val="24"/>
              </w:rPr>
            </w:pPr>
            <w:r>
              <w:rPr>
                <w:b/>
                <w:i/>
              </w:rPr>
              <w:t>j)</w:t>
            </w:r>
            <w:r>
              <w:rPr>
                <w:b/>
                <w:i/>
              </w:rPr>
              <w:tab/>
              <w:t>a külső határokra vonatkozó szakpolitikákkal kapcsolatos ismeretek fokozását célzó intézkedések az érdekeltek és a közvélemény körében, beleértve az Unió politikai prioritásainak intézményi kommunikációját is;</w:t>
            </w:r>
          </w:p>
        </w:tc>
      </w:tr>
      <w:tr w:rsidR="00000244" w14:paraId="6986BCF9" w14:textId="77777777">
        <w:trPr>
          <w:jc w:val="center"/>
        </w:trPr>
        <w:tc>
          <w:tcPr>
            <w:tcW w:w="4876" w:type="dxa"/>
          </w:tcPr>
          <w:p w14:paraId="0D431A0B" w14:textId="77777777" w:rsidR="00231D55" w:rsidRPr="00592F8D" w:rsidRDefault="00231D55" w:rsidP="00E8229D">
            <w:pPr>
              <w:pStyle w:val="Normal6a"/>
            </w:pPr>
          </w:p>
        </w:tc>
        <w:tc>
          <w:tcPr>
            <w:tcW w:w="4876" w:type="dxa"/>
          </w:tcPr>
          <w:p w14:paraId="624AC57A" w14:textId="77777777" w:rsidR="00231D55" w:rsidRPr="00592F8D" w:rsidRDefault="00DE141B" w:rsidP="00E8229D">
            <w:pPr>
              <w:pStyle w:val="Normal6a"/>
              <w:rPr>
                <w:b/>
                <w:bCs/>
                <w:i/>
                <w:iCs/>
                <w:szCs w:val="24"/>
              </w:rPr>
            </w:pPr>
            <w:r>
              <w:rPr>
                <w:b/>
                <w:i/>
              </w:rPr>
              <w:t>k)</w:t>
            </w:r>
            <w:r>
              <w:rPr>
                <w:b/>
                <w:i/>
              </w:rPr>
              <w:tab/>
              <w:t>olyan statisztikai eszközök, módszerek és mutatók kidolgozása, amelyek tiszteletben tartják a megkülönböztetés tilalmának elvét;</w:t>
            </w:r>
          </w:p>
        </w:tc>
      </w:tr>
      <w:tr w:rsidR="00000244" w14:paraId="689ECDF6" w14:textId="77777777">
        <w:trPr>
          <w:jc w:val="center"/>
        </w:trPr>
        <w:tc>
          <w:tcPr>
            <w:tcW w:w="4876" w:type="dxa"/>
          </w:tcPr>
          <w:p w14:paraId="710C8C9F" w14:textId="77777777" w:rsidR="00231D55" w:rsidRPr="00592F8D" w:rsidRDefault="00231D55" w:rsidP="00E8229D">
            <w:pPr>
              <w:pStyle w:val="Normal6a"/>
            </w:pPr>
          </w:p>
        </w:tc>
        <w:tc>
          <w:tcPr>
            <w:tcW w:w="4876" w:type="dxa"/>
          </w:tcPr>
          <w:p w14:paraId="097BACBF" w14:textId="77777777" w:rsidR="00231D55" w:rsidRPr="00592F8D" w:rsidRDefault="00DE141B" w:rsidP="00E8229D">
            <w:pPr>
              <w:pStyle w:val="Normal6a"/>
              <w:rPr>
                <w:b/>
                <w:bCs/>
                <w:i/>
                <w:iCs/>
                <w:szCs w:val="24"/>
              </w:rPr>
            </w:pPr>
            <w:r>
              <w:rPr>
                <w:b/>
                <w:i/>
              </w:rPr>
              <w:t>l)</w:t>
            </w:r>
            <w:r>
              <w:rPr>
                <w:b/>
                <w:i/>
              </w:rPr>
              <w:tab/>
              <w:t>az európai integrált határigazgatás végrehajtására irányuló működési támogatás.</w:t>
            </w:r>
          </w:p>
        </w:tc>
      </w:tr>
      <w:tr w:rsidR="00000244" w14:paraId="27772B7C" w14:textId="77777777">
        <w:trPr>
          <w:jc w:val="center"/>
        </w:trPr>
        <w:tc>
          <w:tcPr>
            <w:tcW w:w="4876" w:type="dxa"/>
          </w:tcPr>
          <w:p w14:paraId="2F504783" w14:textId="77777777" w:rsidR="00231D55" w:rsidRPr="00592F8D" w:rsidRDefault="00231D55" w:rsidP="00E8229D">
            <w:pPr>
              <w:pStyle w:val="Normal6a"/>
            </w:pPr>
          </w:p>
        </w:tc>
        <w:tc>
          <w:tcPr>
            <w:tcW w:w="4876" w:type="dxa"/>
          </w:tcPr>
          <w:p w14:paraId="35D42AB5" w14:textId="77777777" w:rsidR="00231D55" w:rsidRPr="00592F8D" w:rsidRDefault="00DE141B" w:rsidP="00E8229D">
            <w:pPr>
              <w:pStyle w:val="Normal6a"/>
              <w:rPr>
                <w:b/>
                <w:bCs/>
                <w:i/>
                <w:iCs/>
              </w:rPr>
            </w:pPr>
            <w:r>
              <w:rPr>
                <w:b/>
                <w:i/>
              </w:rPr>
              <w:t>(3)</w:t>
            </w:r>
            <w:r>
              <w:rPr>
                <w:b/>
                <w:i/>
              </w:rPr>
              <w:tab/>
              <w:t>A 3. cikk (1) bekezdésének c) pontjában említett célkitűzés keretei között az uniós támogatást a következőkhöz kell nyújtani:</w:t>
            </w:r>
          </w:p>
        </w:tc>
      </w:tr>
      <w:tr w:rsidR="00000244" w14:paraId="3B40C9FA" w14:textId="77777777">
        <w:trPr>
          <w:jc w:val="center"/>
        </w:trPr>
        <w:tc>
          <w:tcPr>
            <w:tcW w:w="4876" w:type="dxa"/>
          </w:tcPr>
          <w:p w14:paraId="21CC03B3" w14:textId="77777777" w:rsidR="00231D55" w:rsidRPr="00592F8D" w:rsidRDefault="00231D55" w:rsidP="00E8229D">
            <w:pPr>
              <w:pStyle w:val="Normal6a"/>
            </w:pPr>
          </w:p>
        </w:tc>
        <w:tc>
          <w:tcPr>
            <w:tcW w:w="4876" w:type="dxa"/>
          </w:tcPr>
          <w:p w14:paraId="2AB6A0BA" w14:textId="77777777" w:rsidR="00231D55" w:rsidRPr="00592F8D" w:rsidRDefault="00DE141B" w:rsidP="00E8229D">
            <w:pPr>
              <w:pStyle w:val="Normal6a"/>
              <w:rPr>
                <w:b/>
                <w:bCs/>
                <w:i/>
                <w:iCs/>
                <w:szCs w:val="24"/>
              </w:rPr>
            </w:pPr>
            <w:r>
              <w:rPr>
                <w:b/>
                <w:i/>
              </w:rPr>
              <w:t>a)</w:t>
            </w:r>
            <w:r>
              <w:rPr>
                <w:b/>
                <w:i/>
              </w:rPr>
              <w:tab/>
              <w:t>a vízumkérelmek feldolgozásához és a konzuli együttműködéshez szükséges infrastruktúra és épületek, beleértve a biztonsági intézkedéseket és a vízumkérelmezők számára nyújtott szolgáltatás minőségének javítását célzó egyéb intézkedéseket is;</w:t>
            </w:r>
          </w:p>
        </w:tc>
      </w:tr>
      <w:tr w:rsidR="00000244" w14:paraId="1E6DF8E2" w14:textId="77777777">
        <w:trPr>
          <w:jc w:val="center"/>
        </w:trPr>
        <w:tc>
          <w:tcPr>
            <w:tcW w:w="4876" w:type="dxa"/>
          </w:tcPr>
          <w:p w14:paraId="3F913D75" w14:textId="77777777" w:rsidR="00231D55" w:rsidRPr="00592F8D" w:rsidRDefault="00231D55" w:rsidP="00E8229D">
            <w:pPr>
              <w:pStyle w:val="Normal6a"/>
            </w:pPr>
          </w:p>
        </w:tc>
        <w:tc>
          <w:tcPr>
            <w:tcW w:w="4876" w:type="dxa"/>
          </w:tcPr>
          <w:p w14:paraId="41EF8FD7" w14:textId="77777777" w:rsidR="00231D55" w:rsidRPr="00592F8D" w:rsidRDefault="00DE141B" w:rsidP="00E8229D">
            <w:pPr>
              <w:pStyle w:val="Normal6a"/>
              <w:rPr>
                <w:b/>
                <w:bCs/>
                <w:i/>
                <w:iCs/>
                <w:szCs w:val="24"/>
              </w:rPr>
            </w:pPr>
            <w:r>
              <w:rPr>
                <w:b/>
                <w:i/>
              </w:rPr>
              <w:t>b)</w:t>
            </w:r>
            <w:r>
              <w:rPr>
                <w:b/>
                <w:i/>
              </w:rPr>
              <w:tab/>
              <w:t xml:space="preserve">a vízumkérelmek feldolgozásához és a konzuli </w:t>
            </w:r>
            <w:r>
              <w:rPr>
                <w:b/>
                <w:i/>
              </w:rPr>
              <w:t>együttműködéshez szükséges berendezések és IKT-rendszerek;</w:t>
            </w:r>
          </w:p>
        </w:tc>
      </w:tr>
      <w:tr w:rsidR="00000244" w14:paraId="3AA7F3AF" w14:textId="77777777">
        <w:trPr>
          <w:jc w:val="center"/>
        </w:trPr>
        <w:tc>
          <w:tcPr>
            <w:tcW w:w="4876" w:type="dxa"/>
          </w:tcPr>
          <w:p w14:paraId="7BF1BE67" w14:textId="77777777" w:rsidR="00231D55" w:rsidRPr="00592F8D" w:rsidRDefault="00231D55" w:rsidP="00E8229D">
            <w:pPr>
              <w:pStyle w:val="Normal6a"/>
            </w:pPr>
          </w:p>
        </w:tc>
        <w:tc>
          <w:tcPr>
            <w:tcW w:w="4876" w:type="dxa"/>
          </w:tcPr>
          <w:p w14:paraId="0422807D" w14:textId="77777777" w:rsidR="00231D55" w:rsidRPr="00592F8D" w:rsidRDefault="00DE141B" w:rsidP="00E8229D">
            <w:pPr>
              <w:pStyle w:val="Normal6a"/>
              <w:rPr>
                <w:b/>
                <w:bCs/>
                <w:i/>
                <w:iCs/>
                <w:szCs w:val="24"/>
              </w:rPr>
            </w:pPr>
            <w:r>
              <w:rPr>
                <w:b/>
                <w:i/>
              </w:rPr>
              <w:t>c)</w:t>
            </w:r>
            <w:r>
              <w:rPr>
                <w:b/>
                <w:i/>
              </w:rPr>
              <w:tab/>
              <w:t>a közös vízumpolitikához és a konzuli együttműködéshez hozzájáruló konzuli és egyéb személyzet képzése;</w:t>
            </w:r>
          </w:p>
        </w:tc>
      </w:tr>
      <w:tr w:rsidR="00000244" w14:paraId="0A434B04" w14:textId="77777777">
        <w:trPr>
          <w:jc w:val="center"/>
        </w:trPr>
        <w:tc>
          <w:tcPr>
            <w:tcW w:w="4876" w:type="dxa"/>
          </w:tcPr>
          <w:p w14:paraId="583C43DC" w14:textId="77777777" w:rsidR="00231D55" w:rsidRPr="00592F8D" w:rsidRDefault="00231D55" w:rsidP="00E8229D">
            <w:pPr>
              <w:pStyle w:val="Normal6a"/>
            </w:pPr>
          </w:p>
        </w:tc>
        <w:tc>
          <w:tcPr>
            <w:tcW w:w="4876" w:type="dxa"/>
          </w:tcPr>
          <w:p w14:paraId="1B042D1C" w14:textId="77777777" w:rsidR="00231D55" w:rsidRPr="00592F8D" w:rsidRDefault="00DE141B" w:rsidP="00E8229D">
            <w:pPr>
              <w:pStyle w:val="Normal6a"/>
              <w:rPr>
                <w:b/>
                <w:bCs/>
                <w:i/>
                <w:iCs/>
                <w:szCs w:val="24"/>
              </w:rPr>
            </w:pPr>
            <w:r>
              <w:rPr>
                <w:b/>
                <w:i/>
              </w:rPr>
              <w:t>d)</w:t>
            </w:r>
            <w:r>
              <w:rPr>
                <w:b/>
                <w:i/>
              </w:rPr>
              <w:tab/>
              <w:t xml:space="preserve">a bevált gyakorlatok és a szakértők cseréje, beleértve a szakértők </w:t>
            </w:r>
            <w:r>
              <w:rPr>
                <w:b/>
                <w:i/>
              </w:rPr>
              <w:t>kirendelését, valamint az európai hálózatok kapacitásának fellendítése az uniós szakpolitikák és célkitűzések értékelése, előmozdítása, támogatása és fejlesztése érdekében;</w:t>
            </w:r>
          </w:p>
        </w:tc>
      </w:tr>
      <w:tr w:rsidR="00000244" w14:paraId="1D70D64D" w14:textId="77777777">
        <w:trPr>
          <w:jc w:val="center"/>
        </w:trPr>
        <w:tc>
          <w:tcPr>
            <w:tcW w:w="4876" w:type="dxa"/>
          </w:tcPr>
          <w:p w14:paraId="52A182A3" w14:textId="77777777" w:rsidR="00231D55" w:rsidRPr="00592F8D" w:rsidRDefault="00231D55" w:rsidP="00E8229D">
            <w:pPr>
              <w:pStyle w:val="Normal6a"/>
            </w:pPr>
          </w:p>
        </w:tc>
        <w:tc>
          <w:tcPr>
            <w:tcW w:w="4876" w:type="dxa"/>
          </w:tcPr>
          <w:p w14:paraId="191D8B2C" w14:textId="77777777" w:rsidR="00231D55" w:rsidRPr="00592F8D" w:rsidRDefault="00DE141B" w:rsidP="00E8229D">
            <w:pPr>
              <w:pStyle w:val="Normal6a"/>
              <w:rPr>
                <w:b/>
                <w:bCs/>
                <w:i/>
                <w:iCs/>
              </w:rPr>
            </w:pPr>
            <w:r>
              <w:rPr>
                <w:b/>
                <w:i/>
              </w:rPr>
              <w:t>e)</w:t>
            </w:r>
            <w:r>
              <w:rPr>
                <w:b/>
                <w:i/>
              </w:rPr>
              <w:tab/>
              <w:t>tanulmányok és egyéb releváns intézkedések, mint például elemzések, monitoring és értékelés révén az ismeretek javítására irányuló intézkedések;</w:t>
            </w:r>
          </w:p>
        </w:tc>
      </w:tr>
      <w:tr w:rsidR="00000244" w14:paraId="77E8DFF0" w14:textId="77777777">
        <w:trPr>
          <w:jc w:val="center"/>
        </w:trPr>
        <w:tc>
          <w:tcPr>
            <w:tcW w:w="4876" w:type="dxa"/>
          </w:tcPr>
          <w:p w14:paraId="0CDA0E1C" w14:textId="77777777" w:rsidR="00231D55" w:rsidRPr="00592F8D" w:rsidRDefault="00231D55" w:rsidP="00E8229D">
            <w:pPr>
              <w:pStyle w:val="Normal6a"/>
            </w:pPr>
          </w:p>
        </w:tc>
        <w:tc>
          <w:tcPr>
            <w:tcW w:w="4876" w:type="dxa"/>
          </w:tcPr>
          <w:p w14:paraId="245BFC40" w14:textId="77777777" w:rsidR="00231D55" w:rsidRPr="00592F8D" w:rsidRDefault="00DE141B" w:rsidP="00E8229D">
            <w:pPr>
              <w:pStyle w:val="Normal6a"/>
              <w:rPr>
                <w:b/>
                <w:bCs/>
                <w:i/>
                <w:iCs/>
                <w:szCs w:val="24"/>
              </w:rPr>
            </w:pPr>
            <w:r>
              <w:rPr>
                <w:b/>
                <w:i/>
              </w:rPr>
              <w:t>f)</w:t>
            </w:r>
            <w:r>
              <w:rPr>
                <w:b/>
                <w:i/>
              </w:rPr>
              <w:tab/>
              <w:t>a vízumpolitikákra vonatkozó ismeretterjesztő tevékenységek az érdekeltek és a közvélemény körében, beleértve az Unió politikai prioritásainak intézményi kommunikációját is;</w:t>
            </w:r>
          </w:p>
        </w:tc>
      </w:tr>
      <w:tr w:rsidR="00000244" w14:paraId="5E76260B" w14:textId="77777777">
        <w:trPr>
          <w:jc w:val="center"/>
        </w:trPr>
        <w:tc>
          <w:tcPr>
            <w:tcW w:w="4876" w:type="dxa"/>
          </w:tcPr>
          <w:p w14:paraId="3BE3FF56" w14:textId="77777777" w:rsidR="00231D55" w:rsidRPr="00592F8D" w:rsidRDefault="00231D55" w:rsidP="00E8229D">
            <w:pPr>
              <w:pStyle w:val="Normal6a"/>
            </w:pPr>
          </w:p>
        </w:tc>
        <w:tc>
          <w:tcPr>
            <w:tcW w:w="4876" w:type="dxa"/>
          </w:tcPr>
          <w:p w14:paraId="34C7578A" w14:textId="77777777" w:rsidR="00231D55" w:rsidRPr="00592F8D" w:rsidRDefault="00DE141B" w:rsidP="00E8229D">
            <w:pPr>
              <w:pStyle w:val="Normal6a"/>
              <w:rPr>
                <w:b/>
                <w:bCs/>
                <w:i/>
                <w:iCs/>
                <w:szCs w:val="24"/>
              </w:rPr>
            </w:pPr>
            <w:r>
              <w:rPr>
                <w:b/>
                <w:i/>
              </w:rPr>
              <w:t>g)</w:t>
            </w:r>
            <w:r>
              <w:rPr>
                <w:b/>
                <w:i/>
              </w:rPr>
              <w:tab/>
              <w:t>olyan statisztikai eszközök, módszerek és mutatók kidolgozása, amelyek tiszteletben tartják a megkülönböztetés tilalmának elvét;</w:t>
            </w:r>
          </w:p>
        </w:tc>
      </w:tr>
      <w:tr w:rsidR="00000244" w14:paraId="00424AEE" w14:textId="77777777">
        <w:trPr>
          <w:jc w:val="center"/>
        </w:trPr>
        <w:tc>
          <w:tcPr>
            <w:tcW w:w="4876" w:type="dxa"/>
          </w:tcPr>
          <w:p w14:paraId="759E56D3" w14:textId="77777777" w:rsidR="00231D55" w:rsidRPr="00592F8D" w:rsidRDefault="00231D55" w:rsidP="00E8229D">
            <w:pPr>
              <w:pStyle w:val="Normal6a"/>
            </w:pPr>
          </w:p>
        </w:tc>
        <w:tc>
          <w:tcPr>
            <w:tcW w:w="4876" w:type="dxa"/>
          </w:tcPr>
          <w:p w14:paraId="5675CCE5" w14:textId="77777777" w:rsidR="00231D55" w:rsidRPr="00592F8D" w:rsidRDefault="00DE141B" w:rsidP="00E8229D">
            <w:pPr>
              <w:pStyle w:val="Normal6a"/>
              <w:rPr>
                <w:b/>
                <w:bCs/>
                <w:i/>
                <w:iCs/>
                <w:szCs w:val="24"/>
              </w:rPr>
            </w:pPr>
            <w:r>
              <w:rPr>
                <w:b/>
                <w:i/>
              </w:rPr>
              <w:t>h)</w:t>
            </w:r>
            <w:r>
              <w:rPr>
                <w:b/>
                <w:i/>
              </w:rPr>
              <w:tab/>
              <w:t>a közös vízumpolitika végrehajtására irányuló működési támogatás;</w:t>
            </w:r>
          </w:p>
        </w:tc>
      </w:tr>
      <w:tr w:rsidR="00000244" w14:paraId="360F37AE" w14:textId="77777777">
        <w:trPr>
          <w:jc w:val="center"/>
        </w:trPr>
        <w:tc>
          <w:tcPr>
            <w:tcW w:w="4876" w:type="dxa"/>
          </w:tcPr>
          <w:p w14:paraId="0A4148DB" w14:textId="77777777" w:rsidR="00507587" w:rsidRPr="00592F8D" w:rsidRDefault="00507587" w:rsidP="00E8229D">
            <w:pPr>
              <w:pStyle w:val="Normal6a"/>
            </w:pPr>
          </w:p>
        </w:tc>
        <w:tc>
          <w:tcPr>
            <w:tcW w:w="4876" w:type="dxa"/>
          </w:tcPr>
          <w:p w14:paraId="0594BC7A" w14:textId="77777777" w:rsidR="00507587" w:rsidRPr="00592F8D" w:rsidRDefault="00DE141B" w:rsidP="00E8229D">
            <w:pPr>
              <w:pStyle w:val="Normal6a"/>
              <w:rPr>
                <w:b/>
                <w:bCs/>
                <w:i/>
                <w:iCs/>
                <w:szCs w:val="24"/>
              </w:rPr>
            </w:pPr>
            <w:r>
              <w:rPr>
                <w:b/>
                <w:i/>
              </w:rPr>
              <w:t>i)</w:t>
            </w:r>
            <w:r>
              <w:rPr>
                <w:b/>
                <w:i/>
              </w:rPr>
              <w:tab/>
              <w:t>a tagállamoknak a vízumkibocsátás terén nyújtott támogatás, beleértve a humanitárius okokból, nemzeti érdekből vagy nemzetközi kötelezettségek miatt kibocsátott, a 810/2009/EK rendelet 25. cikkében említett korlátozott területi érvényességű vízumokat is.</w:t>
            </w:r>
          </w:p>
        </w:tc>
      </w:tr>
    </w:tbl>
    <w:p w14:paraId="00D7CE9B" w14:textId="77777777" w:rsidR="00FA192C" w:rsidRPr="00592F8D" w:rsidRDefault="00DE141B" w:rsidP="00FA192C">
      <w:pPr>
        <w:pStyle w:val="AmOrLang"/>
      </w:pPr>
      <w:r w:rsidRPr="00592F8D">
        <w:t xml:space="preserve">Or. </w:t>
      </w:r>
      <w:r w:rsidRPr="00592F8D">
        <w:rPr>
          <w:rStyle w:val="HideTWBExt"/>
          <w:noProof w:val="0"/>
        </w:rPr>
        <w:t>&lt;Original&gt;</w:t>
      </w:r>
      <w:r w:rsidR="00507587" w:rsidRPr="00592F8D">
        <w:rPr>
          <w:rStyle w:val="HideTWBInt"/>
        </w:rPr>
        <w:t>{EN}</w:t>
      </w:r>
      <w:r w:rsidR="00507587" w:rsidRPr="00592F8D">
        <w:t>en</w:t>
      </w:r>
      <w:r w:rsidRPr="00592F8D">
        <w:rPr>
          <w:rStyle w:val="HideTWBExt"/>
          <w:noProof w:val="0"/>
        </w:rPr>
        <w:t>&lt;/Original&gt;</w:t>
      </w:r>
    </w:p>
    <w:p w14:paraId="721DCC53" w14:textId="77777777" w:rsidR="00FA192C" w:rsidRPr="00592F8D" w:rsidRDefault="00DE141B" w:rsidP="003923F7">
      <w:pPr>
        <w:pStyle w:val="AmJustTitle"/>
      </w:pPr>
      <w:r>
        <w:rPr>
          <w:rStyle w:val="HideTWBExt"/>
          <w:i w:val="0"/>
        </w:rPr>
        <w:t>&lt;TitreJust&gt;</w:t>
      </w:r>
      <w:r>
        <w:t>Indokolás</w:t>
      </w:r>
      <w:r>
        <w:rPr>
          <w:rStyle w:val="HideTWBExt"/>
          <w:i w:val="0"/>
        </w:rPr>
        <w:t>&lt;/TitreJust&gt;</w:t>
      </w:r>
    </w:p>
    <w:p w14:paraId="7C3478F2" w14:textId="77777777" w:rsidR="00507587" w:rsidRPr="00592F8D" w:rsidRDefault="00DE141B" w:rsidP="00507587">
      <w:pPr>
        <w:pStyle w:val="Normal12Italic"/>
        <w:jc w:val="both"/>
        <w:rPr>
          <w:szCs w:val="24"/>
        </w:rPr>
      </w:pPr>
      <w:r>
        <w:t xml:space="preserve"> Az ezen eszköz keretében finanszírozandó intézkedéseket az átláthatóság és a Parlament mint társjogalkotó érdekében kell meghatározni. A „fekete doboz” jellegű tevékenységek tagállamok általi finanszírozása nem engedélyezhető.</w:t>
      </w:r>
    </w:p>
    <w:p w14:paraId="0410DDC5" w14:textId="77777777" w:rsidR="00FA192C" w:rsidRPr="00592F8D" w:rsidRDefault="00FA192C" w:rsidP="00FA192C">
      <w:pPr>
        <w:pStyle w:val="AmJustText"/>
      </w:pPr>
    </w:p>
    <w:p w14:paraId="161879CE" w14:textId="77777777" w:rsidR="00166CCB" w:rsidRPr="00592F8D" w:rsidRDefault="00DE141B" w:rsidP="00A5426B">
      <w:r>
        <w:rPr>
          <w:rStyle w:val="HideTWBExt"/>
        </w:rPr>
        <w:t>&lt;/Amend&gt;</w:t>
      </w:r>
      <w:bookmarkEnd w:id="1"/>
    </w:p>
    <w:p w14:paraId="44057FE5" w14:textId="77777777" w:rsidR="00FA192C" w:rsidRPr="00592F8D" w:rsidRDefault="00DE141B" w:rsidP="00FA192C">
      <w:bookmarkStart w:id="2" w:name="EndB"/>
      <w:r>
        <w:rPr>
          <w:rStyle w:val="HideTWBExt"/>
        </w:rPr>
        <w:t>&lt;/RepeatBlock-Amend&gt;</w:t>
      </w:r>
      <w:bookmarkEnd w:id="2"/>
    </w:p>
    <w:p w14:paraId="2208468A" w14:textId="77777777" w:rsidR="008363E4" w:rsidRPr="00592F8D" w:rsidRDefault="008363E4" w:rsidP="00FA192C"/>
    <w:sectPr w:rsidR="008363E4" w:rsidRPr="00592F8D" w:rsidSect="002F38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4F0A" w14:textId="77777777" w:rsidR="00DE141B" w:rsidRDefault="00DE141B">
      <w:r>
        <w:separator/>
      </w:r>
    </w:p>
  </w:endnote>
  <w:endnote w:type="continuationSeparator" w:id="0">
    <w:p w14:paraId="2EA12E86" w14:textId="77777777" w:rsidR="00DE141B" w:rsidRDefault="00DE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9CDD" w14:textId="77777777" w:rsidR="002F385C" w:rsidRPr="00592F8D" w:rsidRDefault="00DE141B" w:rsidP="002F385C">
    <w:pPr>
      <w:pStyle w:val="EPFooter"/>
    </w:pPr>
    <w:r w:rsidRPr="00592F8D">
      <w:t>PE</w:t>
    </w:r>
    <w:r w:rsidRPr="00592F8D">
      <w:rPr>
        <w:rStyle w:val="HideTWBExt"/>
      </w:rPr>
      <w:t>&lt;NoPE&gt;</w:t>
    </w:r>
    <w:r w:rsidRPr="00592F8D">
      <w:t>790.136</w:t>
    </w:r>
    <w:r w:rsidRPr="00592F8D">
      <w:rPr>
        <w:rStyle w:val="HideTWBExt"/>
      </w:rPr>
      <w:t>&lt;/NoPE&gt;&lt;Version&gt;</w:t>
    </w:r>
    <w:r w:rsidRPr="00592F8D">
      <w:t>v01-00</w:t>
    </w:r>
    <w:r w:rsidRPr="00592F8D">
      <w:rPr>
        <w:rStyle w:val="HideTWBExt"/>
      </w:rPr>
      <w:t>&lt;/Version&gt;</w:t>
    </w:r>
    <w:r w:rsidRPr="00592F8D">
      <w:tab/>
    </w:r>
    <w:r w:rsidRPr="00592F8D">
      <w:fldChar w:fldCharType="begin"/>
    </w:r>
    <w:r w:rsidRPr="00592F8D">
      <w:instrText xml:space="preserve"> PAGE  \* MERGEFORMAT </w:instrText>
    </w:r>
    <w:r w:rsidRPr="00592F8D">
      <w:fldChar w:fldCharType="separate"/>
    </w:r>
    <w:r w:rsidRPr="00592F8D">
      <w:rPr>
        <w:noProof/>
      </w:rPr>
      <w:t>2</w:t>
    </w:r>
    <w:r w:rsidRPr="00592F8D">
      <w:fldChar w:fldCharType="end"/>
    </w:r>
    <w:r w:rsidRPr="00592F8D">
      <w:t>/</w:t>
    </w:r>
    <w:r w:rsidRPr="00592F8D">
      <w:fldChar w:fldCharType="begin"/>
    </w:r>
    <w:r>
      <w:instrText xml:space="preserve"> NUMPAGES  \* MERGEFORMAT </w:instrText>
    </w:r>
    <w:r w:rsidRPr="00592F8D">
      <w:fldChar w:fldCharType="separate"/>
    </w:r>
    <w:r w:rsidRPr="00592F8D">
      <w:rPr>
        <w:noProof/>
      </w:rPr>
      <w:t>7</w:t>
    </w:r>
    <w:r w:rsidRPr="00592F8D">
      <w:rPr>
        <w:noProof/>
      </w:rPr>
      <w:fldChar w:fldCharType="end"/>
    </w:r>
    <w:r w:rsidRPr="00592F8D">
      <w:tab/>
    </w:r>
    <w:r w:rsidRPr="00592F8D">
      <w:rPr>
        <w:rStyle w:val="HideTWBExt"/>
      </w:rPr>
      <w:t>&lt;PathFdR&gt;</w:t>
    </w:r>
    <w:r w:rsidRPr="00592F8D">
      <w:t>AM\1346405HU.docx</w:t>
    </w:r>
    <w:r w:rsidRPr="00592F8D">
      <w:rPr>
        <w:rStyle w:val="HideTWBExt"/>
      </w:rPr>
      <w:t>&lt;/PathFdR&gt;</w:t>
    </w:r>
  </w:p>
  <w:p w14:paraId="1788AFD1" w14:textId="77777777" w:rsidR="00D82FCC" w:rsidRPr="00592F8D" w:rsidRDefault="00DE141B" w:rsidP="002F385C">
    <w:pPr>
      <w:pStyle w:val="EPFooter2"/>
    </w:pPr>
    <w:r w:rsidRPr="00592F8D">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70CF" w14:textId="77777777" w:rsidR="002F385C" w:rsidRPr="00592F8D" w:rsidRDefault="00DE141B" w:rsidP="002F385C">
    <w:pPr>
      <w:pStyle w:val="EPFooter"/>
    </w:pPr>
    <w:r w:rsidRPr="00592F8D">
      <w:rPr>
        <w:rStyle w:val="HideTWBExt"/>
      </w:rPr>
      <w:t>&lt;PathFdR&gt;</w:t>
    </w:r>
    <w:r w:rsidRPr="00592F8D">
      <w:t>AM\1346405HU.docx</w:t>
    </w:r>
    <w:r w:rsidRPr="00592F8D">
      <w:rPr>
        <w:rStyle w:val="HideTWBExt"/>
      </w:rPr>
      <w:t>&lt;/PathFdR&gt;</w:t>
    </w:r>
    <w:r w:rsidRPr="00592F8D">
      <w:tab/>
    </w:r>
    <w:r w:rsidRPr="00592F8D">
      <w:fldChar w:fldCharType="begin"/>
    </w:r>
    <w:r w:rsidRPr="00592F8D">
      <w:instrText xml:space="preserve"> PAGE  \* MERGEFORMAT </w:instrText>
    </w:r>
    <w:r w:rsidRPr="00592F8D">
      <w:fldChar w:fldCharType="separate"/>
    </w:r>
    <w:r w:rsidRPr="00592F8D">
      <w:rPr>
        <w:noProof/>
      </w:rPr>
      <w:t>3</w:t>
    </w:r>
    <w:r w:rsidRPr="00592F8D">
      <w:fldChar w:fldCharType="end"/>
    </w:r>
    <w:r w:rsidRPr="00592F8D">
      <w:t>/</w:t>
    </w:r>
    <w:r w:rsidRPr="00592F8D">
      <w:fldChar w:fldCharType="begin"/>
    </w:r>
    <w:r>
      <w:instrText xml:space="preserve"> NUMPAGES  \* MERGEFORMAT </w:instrText>
    </w:r>
    <w:r w:rsidRPr="00592F8D">
      <w:fldChar w:fldCharType="separate"/>
    </w:r>
    <w:r w:rsidRPr="00592F8D">
      <w:rPr>
        <w:noProof/>
      </w:rPr>
      <w:t>7</w:t>
    </w:r>
    <w:r w:rsidRPr="00592F8D">
      <w:rPr>
        <w:noProof/>
      </w:rPr>
      <w:fldChar w:fldCharType="end"/>
    </w:r>
    <w:r w:rsidRPr="00592F8D">
      <w:tab/>
      <w:t>PE</w:t>
    </w:r>
    <w:r w:rsidRPr="00592F8D">
      <w:rPr>
        <w:rStyle w:val="HideTWBExt"/>
      </w:rPr>
      <w:t>&lt;NoPE&gt;</w:t>
    </w:r>
    <w:r w:rsidRPr="00592F8D">
      <w:t>790.136</w:t>
    </w:r>
    <w:r w:rsidRPr="00592F8D">
      <w:rPr>
        <w:rStyle w:val="HideTWBExt"/>
      </w:rPr>
      <w:t>&lt;/NoPE&gt;&lt;Version&gt;</w:t>
    </w:r>
    <w:r w:rsidRPr="00592F8D">
      <w:t>v01-00</w:t>
    </w:r>
    <w:r w:rsidRPr="00592F8D">
      <w:rPr>
        <w:rStyle w:val="HideTWBExt"/>
      </w:rPr>
      <w:t>&lt;/Version&gt;</w:t>
    </w:r>
  </w:p>
  <w:p w14:paraId="4338B9E6" w14:textId="77777777" w:rsidR="00D82FCC" w:rsidRPr="00592F8D" w:rsidRDefault="00DE141B" w:rsidP="002F385C">
    <w:pPr>
      <w:pStyle w:val="EPFooter2"/>
    </w:pPr>
    <w:r w:rsidRPr="00592F8D">
      <w:tab/>
    </w:r>
    <w:r w:rsidRPr="00592F8D">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62DF" w14:textId="77777777" w:rsidR="002F385C" w:rsidRPr="00592F8D" w:rsidRDefault="00DE141B" w:rsidP="002F385C">
    <w:pPr>
      <w:pStyle w:val="EPFooter"/>
    </w:pPr>
    <w:r w:rsidRPr="00592F8D">
      <w:rPr>
        <w:rStyle w:val="HideTWBExt"/>
      </w:rPr>
      <w:t>&lt;PathFdR&gt;</w:t>
    </w:r>
    <w:r w:rsidRPr="00592F8D">
      <w:t>AM\1346405HU.docx</w:t>
    </w:r>
    <w:r w:rsidRPr="00592F8D">
      <w:rPr>
        <w:rStyle w:val="HideTWBExt"/>
      </w:rPr>
      <w:t>&lt;/PathFdR&gt;</w:t>
    </w:r>
    <w:r w:rsidRPr="00592F8D">
      <w:tab/>
    </w:r>
    <w:r w:rsidRPr="00592F8D">
      <w:tab/>
      <w:t>PE</w:t>
    </w:r>
    <w:r w:rsidRPr="00592F8D">
      <w:rPr>
        <w:rStyle w:val="HideTWBExt"/>
      </w:rPr>
      <w:t>&lt;NoPE&gt;</w:t>
    </w:r>
    <w:r w:rsidRPr="00592F8D">
      <w:t>790.136</w:t>
    </w:r>
    <w:r w:rsidRPr="00592F8D">
      <w:rPr>
        <w:rStyle w:val="HideTWBExt"/>
      </w:rPr>
      <w:t>&lt;/NoPE&gt;&lt;Version&gt;</w:t>
    </w:r>
    <w:r w:rsidRPr="00592F8D">
      <w:t>v01-00</w:t>
    </w:r>
    <w:r w:rsidRPr="00592F8D">
      <w:rPr>
        <w:rStyle w:val="HideTWBExt"/>
      </w:rPr>
      <w:t>&lt;/Version&gt;</w:t>
    </w:r>
  </w:p>
  <w:p w14:paraId="0C3AE2E7" w14:textId="77777777" w:rsidR="00D82FCC" w:rsidRPr="00592F8D" w:rsidRDefault="00DE141B" w:rsidP="002F385C">
    <w:pPr>
      <w:pStyle w:val="EPFooter2"/>
    </w:pPr>
    <w:r w:rsidRPr="00592F8D">
      <w:t>HU</w:t>
    </w:r>
    <w:r w:rsidRPr="00592F8D">
      <w:tab/>
    </w:r>
    <w:r w:rsidRPr="00592F8D">
      <w:rPr>
        <w:b w:val="0"/>
        <w:i/>
        <w:color w:val="C0C0C0"/>
        <w:sz w:val="22"/>
      </w:rPr>
      <w:t>Egyesülve a sokféleségben</w:t>
    </w:r>
    <w:r w:rsidRPr="00592F8D">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7EFC4" w14:textId="77777777" w:rsidR="00DE141B" w:rsidRDefault="00DE141B">
      <w:r>
        <w:separator/>
      </w:r>
    </w:p>
  </w:footnote>
  <w:footnote w:type="continuationSeparator" w:id="0">
    <w:p w14:paraId="2E937FC1" w14:textId="77777777" w:rsidR="00DE141B" w:rsidRDefault="00DE1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F59D" w14:textId="77777777" w:rsidR="006019A1" w:rsidRDefault="00601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A538" w14:textId="77777777" w:rsidR="006019A1" w:rsidRDefault="00601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B70F" w14:textId="77777777" w:rsidR="006019A1" w:rsidRDefault="00601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2E32C1AA">
      <w:start w:val="1"/>
      <w:numFmt w:val="decimal"/>
      <w:lvlText w:val="%1."/>
      <w:lvlJc w:val="left"/>
      <w:pPr>
        <w:ind w:left="720" w:hanging="360"/>
      </w:pPr>
      <w:rPr>
        <w:rFonts w:hint="default"/>
      </w:rPr>
    </w:lvl>
    <w:lvl w:ilvl="1" w:tplc="373ED2B2" w:tentative="1">
      <w:start w:val="1"/>
      <w:numFmt w:val="lowerLetter"/>
      <w:lvlText w:val="%2."/>
      <w:lvlJc w:val="left"/>
      <w:pPr>
        <w:ind w:left="1440" w:hanging="360"/>
      </w:pPr>
    </w:lvl>
    <w:lvl w:ilvl="2" w:tplc="A1D2829A" w:tentative="1">
      <w:start w:val="1"/>
      <w:numFmt w:val="lowerRoman"/>
      <w:lvlText w:val="%3."/>
      <w:lvlJc w:val="right"/>
      <w:pPr>
        <w:ind w:left="2160" w:hanging="180"/>
      </w:pPr>
    </w:lvl>
    <w:lvl w:ilvl="3" w:tplc="AF3E8530" w:tentative="1">
      <w:start w:val="1"/>
      <w:numFmt w:val="decimal"/>
      <w:lvlText w:val="%4."/>
      <w:lvlJc w:val="left"/>
      <w:pPr>
        <w:ind w:left="2880" w:hanging="360"/>
      </w:pPr>
    </w:lvl>
    <w:lvl w:ilvl="4" w:tplc="1ABE314C" w:tentative="1">
      <w:start w:val="1"/>
      <w:numFmt w:val="lowerLetter"/>
      <w:lvlText w:val="%5."/>
      <w:lvlJc w:val="left"/>
      <w:pPr>
        <w:ind w:left="3600" w:hanging="360"/>
      </w:pPr>
    </w:lvl>
    <w:lvl w:ilvl="5" w:tplc="8C24A418" w:tentative="1">
      <w:start w:val="1"/>
      <w:numFmt w:val="lowerRoman"/>
      <w:lvlText w:val="%6."/>
      <w:lvlJc w:val="right"/>
      <w:pPr>
        <w:ind w:left="4320" w:hanging="180"/>
      </w:pPr>
    </w:lvl>
    <w:lvl w:ilvl="6" w:tplc="B7E2F504" w:tentative="1">
      <w:start w:val="1"/>
      <w:numFmt w:val="decimal"/>
      <w:lvlText w:val="%7."/>
      <w:lvlJc w:val="left"/>
      <w:pPr>
        <w:ind w:left="5040" w:hanging="360"/>
      </w:pPr>
    </w:lvl>
    <w:lvl w:ilvl="7" w:tplc="2B802B92" w:tentative="1">
      <w:start w:val="1"/>
      <w:numFmt w:val="lowerLetter"/>
      <w:lvlText w:val="%8."/>
      <w:lvlJc w:val="left"/>
      <w:pPr>
        <w:ind w:left="5760" w:hanging="360"/>
      </w:pPr>
    </w:lvl>
    <w:lvl w:ilvl="8" w:tplc="E8324C6A"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FD2C0DD4">
      <w:start w:val="1"/>
      <w:numFmt w:val="decimal"/>
      <w:lvlText w:val="%1."/>
      <w:lvlJc w:val="left"/>
      <w:pPr>
        <w:ind w:left="720" w:hanging="360"/>
      </w:pPr>
      <w:rPr>
        <w:rFonts w:hint="default"/>
      </w:rPr>
    </w:lvl>
    <w:lvl w:ilvl="1" w:tplc="01406F8C" w:tentative="1">
      <w:start w:val="1"/>
      <w:numFmt w:val="lowerLetter"/>
      <w:lvlText w:val="%2."/>
      <w:lvlJc w:val="left"/>
      <w:pPr>
        <w:ind w:left="1440" w:hanging="360"/>
      </w:pPr>
    </w:lvl>
    <w:lvl w:ilvl="2" w:tplc="AE7EB88C" w:tentative="1">
      <w:start w:val="1"/>
      <w:numFmt w:val="lowerRoman"/>
      <w:lvlText w:val="%3."/>
      <w:lvlJc w:val="right"/>
      <w:pPr>
        <w:ind w:left="2160" w:hanging="180"/>
      </w:pPr>
    </w:lvl>
    <w:lvl w:ilvl="3" w:tplc="51080FAA" w:tentative="1">
      <w:start w:val="1"/>
      <w:numFmt w:val="decimal"/>
      <w:lvlText w:val="%4."/>
      <w:lvlJc w:val="left"/>
      <w:pPr>
        <w:ind w:left="2880" w:hanging="360"/>
      </w:pPr>
    </w:lvl>
    <w:lvl w:ilvl="4" w:tplc="2D24307C" w:tentative="1">
      <w:start w:val="1"/>
      <w:numFmt w:val="lowerLetter"/>
      <w:lvlText w:val="%5."/>
      <w:lvlJc w:val="left"/>
      <w:pPr>
        <w:ind w:left="3600" w:hanging="360"/>
      </w:pPr>
    </w:lvl>
    <w:lvl w:ilvl="5" w:tplc="727CA152" w:tentative="1">
      <w:start w:val="1"/>
      <w:numFmt w:val="lowerRoman"/>
      <w:lvlText w:val="%6."/>
      <w:lvlJc w:val="right"/>
      <w:pPr>
        <w:ind w:left="4320" w:hanging="180"/>
      </w:pPr>
    </w:lvl>
    <w:lvl w:ilvl="6" w:tplc="7612ED6E" w:tentative="1">
      <w:start w:val="1"/>
      <w:numFmt w:val="decimal"/>
      <w:lvlText w:val="%7."/>
      <w:lvlJc w:val="left"/>
      <w:pPr>
        <w:ind w:left="5040" w:hanging="360"/>
      </w:pPr>
    </w:lvl>
    <w:lvl w:ilvl="7" w:tplc="2744B602" w:tentative="1">
      <w:start w:val="1"/>
      <w:numFmt w:val="lowerLetter"/>
      <w:lvlText w:val="%8."/>
      <w:lvlJc w:val="left"/>
      <w:pPr>
        <w:ind w:left="5760" w:hanging="360"/>
      </w:pPr>
    </w:lvl>
    <w:lvl w:ilvl="8" w:tplc="D89EAF8A"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429018E2">
      <w:start w:val="1"/>
      <w:numFmt w:val="lowerLetter"/>
      <w:lvlText w:val="(%1)"/>
      <w:lvlJc w:val="left"/>
      <w:pPr>
        <w:ind w:left="720" w:hanging="360"/>
      </w:pPr>
      <w:rPr>
        <w:rFonts w:hint="default"/>
      </w:rPr>
    </w:lvl>
    <w:lvl w:ilvl="1" w:tplc="E8BADB14" w:tentative="1">
      <w:start w:val="1"/>
      <w:numFmt w:val="lowerLetter"/>
      <w:lvlText w:val="%2."/>
      <w:lvlJc w:val="left"/>
      <w:pPr>
        <w:ind w:left="1440" w:hanging="360"/>
      </w:pPr>
    </w:lvl>
    <w:lvl w:ilvl="2" w:tplc="324A90EE" w:tentative="1">
      <w:start w:val="1"/>
      <w:numFmt w:val="lowerRoman"/>
      <w:lvlText w:val="%3."/>
      <w:lvlJc w:val="right"/>
      <w:pPr>
        <w:ind w:left="2160" w:hanging="180"/>
      </w:pPr>
    </w:lvl>
    <w:lvl w:ilvl="3" w:tplc="9266CCC6" w:tentative="1">
      <w:start w:val="1"/>
      <w:numFmt w:val="decimal"/>
      <w:lvlText w:val="%4."/>
      <w:lvlJc w:val="left"/>
      <w:pPr>
        <w:ind w:left="2880" w:hanging="360"/>
      </w:pPr>
    </w:lvl>
    <w:lvl w:ilvl="4" w:tplc="770A22B2" w:tentative="1">
      <w:start w:val="1"/>
      <w:numFmt w:val="lowerLetter"/>
      <w:lvlText w:val="%5."/>
      <w:lvlJc w:val="left"/>
      <w:pPr>
        <w:ind w:left="3600" w:hanging="360"/>
      </w:pPr>
    </w:lvl>
    <w:lvl w:ilvl="5" w:tplc="5D2CEED2" w:tentative="1">
      <w:start w:val="1"/>
      <w:numFmt w:val="lowerRoman"/>
      <w:lvlText w:val="%6."/>
      <w:lvlJc w:val="right"/>
      <w:pPr>
        <w:ind w:left="4320" w:hanging="180"/>
      </w:pPr>
    </w:lvl>
    <w:lvl w:ilvl="6" w:tplc="B134AF3E" w:tentative="1">
      <w:start w:val="1"/>
      <w:numFmt w:val="decimal"/>
      <w:lvlText w:val="%7."/>
      <w:lvlJc w:val="left"/>
      <w:pPr>
        <w:ind w:left="5040" w:hanging="360"/>
      </w:pPr>
    </w:lvl>
    <w:lvl w:ilvl="7" w:tplc="83AAB278" w:tentative="1">
      <w:start w:val="1"/>
      <w:numFmt w:val="lowerLetter"/>
      <w:lvlText w:val="%8."/>
      <w:lvlJc w:val="left"/>
      <w:pPr>
        <w:ind w:left="5760" w:hanging="360"/>
      </w:pPr>
    </w:lvl>
    <w:lvl w:ilvl="8" w:tplc="1A78D10C"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B1942C72">
      <w:start w:val="1"/>
      <w:numFmt w:val="lowerLetter"/>
      <w:lvlText w:val="(%1)"/>
      <w:lvlJc w:val="left"/>
      <w:pPr>
        <w:ind w:left="750" w:hanging="390"/>
      </w:pPr>
      <w:rPr>
        <w:rFonts w:hint="default"/>
      </w:rPr>
    </w:lvl>
    <w:lvl w:ilvl="1" w:tplc="890C0844" w:tentative="1">
      <w:start w:val="1"/>
      <w:numFmt w:val="lowerLetter"/>
      <w:lvlText w:val="%2."/>
      <w:lvlJc w:val="left"/>
      <w:pPr>
        <w:ind w:left="1440" w:hanging="360"/>
      </w:pPr>
    </w:lvl>
    <w:lvl w:ilvl="2" w:tplc="7F3C882A" w:tentative="1">
      <w:start w:val="1"/>
      <w:numFmt w:val="lowerRoman"/>
      <w:lvlText w:val="%3."/>
      <w:lvlJc w:val="right"/>
      <w:pPr>
        <w:ind w:left="2160" w:hanging="180"/>
      </w:pPr>
    </w:lvl>
    <w:lvl w:ilvl="3" w:tplc="310E5F32" w:tentative="1">
      <w:start w:val="1"/>
      <w:numFmt w:val="decimal"/>
      <w:lvlText w:val="%4."/>
      <w:lvlJc w:val="left"/>
      <w:pPr>
        <w:ind w:left="2880" w:hanging="360"/>
      </w:pPr>
    </w:lvl>
    <w:lvl w:ilvl="4" w:tplc="98CC647A" w:tentative="1">
      <w:start w:val="1"/>
      <w:numFmt w:val="lowerLetter"/>
      <w:lvlText w:val="%5."/>
      <w:lvlJc w:val="left"/>
      <w:pPr>
        <w:ind w:left="3600" w:hanging="360"/>
      </w:pPr>
    </w:lvl>
    <w:lvl w:ilvl="5" w:tplc="F1A008F2" w:tentative="1">
      <w:start w:val="1"/>
      <w:numFmt w:val="lowerRoman"/>
      <w:lvlText w:val="%6."/>
      <w:lvlJc w:val="right"/>
      <w:pPr>
        <w:ind w:left="4320" w:hanging="180"/>
      </w:pPr>
    </w:lvl>
    <w:lvl w:ilvl="6" w:tplc="8168E70C" w:tentative="1">
      <w:start w:val="1"/>
      <w:numFmt w:val="decimal"/>
      <w:lvlText w:val="%7."/>
      <w:lvlJc w:val="left"/>
      <w:pPr>
        <w:ind w:left="5040" w:hanging="360"/>
      </w:pPr>
    </w:lvl>
    <w:lvl w:ilvl="7" w:tplc="33ACB67E" w:tentative="1">
      <w:start w:val="1"/>
      <w:numFmt w:val="lowerLetter"/>
      <w:lvlText w:val="%8."/>
      <w:lvlJc w:val="left"/>
      <w:pPr>
        <w:ind w:left="5760" w:hanging="360"/>
      </w:pPr>
    </w:lvl>
    <w:lvl w:ilvl="8" w:tplc="A4F4D000"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3D5A0F68">
      <w:start w:val="1"/>
      <w:numFmt w:val="lowerLetter"/>
      <w:lvlText w:val="(%1)"/>
      <w:lvlJc w:val="left"/>
      <w:pPr>
        <w:ind w:left="720" w:hanging="360"/>
      </w:pPr>
      <w:rPr>
        <w:rFonts w:hint="default"/>
      </w:rPr>
    </w:lvl>
    <w:lvl w:ilvl="1" w:tplc="4FDE91EA" w:tentative="1">
      <w:start w:val="1"/>
      <w:numFmt w:val="lowerLetter"/>
      <w:lvlText w:val="%2."/>
      <w:lvlJc w:val="left"/>
      <w:pPr>
        <w:ind w:left="1440" w:hanging="360"/>
      </w:pPr>
    </w:lvl>
    <w:lvl w:ilvl="2" w:tplc="279252F6" w:tentative="1">
      <w:start w:val="1"/>
      <w:numFmt w:val="lowerRoman"/>
      <w:lvlText w:val="%3."/>
      <w:lvlJc w:val="right"/>
      <w:pPr>
        <w:ind w:left="2160" w:hanging="180"/>
      </w:pPr>
    </w:lvl>
    <w:lvl w:ilvl="3" w:tplc="022A4C32" w:tentative="1">
      <w:start w:val="1"/>
      <w:numFmt w:val="decimal"/>
      <w:lvlText w:val="%4."/>
      <w:lvlJc w:val="left"/>
      <w:pPr>
        <w:ind w:left="2880" w:hanging="360"/>
      </w:pPr>
    </w:lvl>
    <w:lvl w:ilvl="4" w:tplc="6BD07824" w:tentative="1">
      <w:start w:val="1"/>
      <w:numFmt w:val="lowerLetter"/>
      <w:lvlText w:val="%5."/>
      <w:lvlJc w:val="left"/>
      <w:pPr>
        <w:ind w:left="3600" w:hanging="360"/>
      </w:pPr>
    </w:lvl>
    <w:lvl w:ilvl="5" w:tplc="A084780C" w:tentative="1">
      <w:start w:val="1"/>
      <w:numFmt w:val="lowerRoman"/>
      <w:lvlText w:val="%6."/>
      <w:lvlJc w:val="right"/>
      <w:pPr>
        <w:ind w:left="4320" w:hanging="180"/>
      </w:pPr>
    </w:lvl>
    <w:lvl w:ilvl="6" w:tplc="068C93FE" w:tentative="1">
      <w:start w:val="1"/>
      <w:numFmt w:val="decimal"/>
      <w:lvlText w:val="%7."/>
      <w:lvlJc w:val="left"/>
      <w:pPr>
        <w:ind w:left="5040" w:hanging="360"/>
      </w:pPr>
    </w:lvl>
    <w:lvl w:ilvl="7" w:tplc="05921412" w:tentative="1">
      <w:start w:val="1"/>
      <w:numFmt w:val="lowerLetter"/>
      <w:lvlText w:val="%8."/>
      <w:lvlJc w:val="left"/>
      <w:pPr>
        <w:ind w:left="5760" w:hanging="360"/>
      </w:pPr>
    </w:lvl>
    <w:lvl w:ilvl="8" w:tplc="59020EEA"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HU"/>
    <w:docVar w:name="TXTLANGUEMIN" w:val="hu"/>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HU.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00244"/>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4F05"/>
    <w:rsid w:val="002C5761"/>
    <w:rsid w:val="002E3F68"/>
    <w:rsid w:val="002E4311"/>
    <w:rsid w:val="002F385C"/>
    <w:rsid w:val="003003A7"/>
    <w:rsid w:val="00315664"/>
    <w:rsid w:val="00322475"/>
    <w:rsid w:val="00363AD3"/>
    <w:rsid w:val="003743DE"/>
    <w:rsid w:val="0037660F"/>
    <w:rsid w:val="00384E84"/>
    <w:rsid w:val="0038706C"/>
    <w:rsid w:val="003923F7"/>
    <w:rsid w:val="003A5102"/>
    <w:rsid w:val="003A6FC0"/>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92F8D"/>
    <w:rsid w:val="005A7205"/>
    <w:rsid w:val="005A7EB4"/>
    <w:rsid w:val="005B32E3"/>
    <w:rsid w:val="005E50C2"/>
    <w:rsid w:val="006019A1"/>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141B"/>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C6E4D"/>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870</Words>
  <Characters>6679</Characters>
  <Application>Microsoft Office Word</Application>
  <DocSecurity>0</DocSecurity>
  <Lines>263</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2026-07-08T08:07:00Z</dcterms:created>
  <dcterms:modified xsi:type="dcterms:W3CDTF">2026-07-08T08:07:00Z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- 2026/07/08 10:07</vt:lpwstr>
  </property>
  <property fmtid="{D5CDD505-2E9C-101B-9397-08002B2CF9AE}" pid="9" name="Created with">
    <vt:lpwstr>10.3.0 Build [20260401]</vt:lpwstr>
  </property>
  <property fmtid="{D5CDD505-2E9C-101B-9397-08002B2CF9AE}" pid="10" name="FooterPath">
    <vt:lpwstr>AM\1346405HU.docx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790.136</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- 2026/06/24 17:59</vt:lpwstr>
  </property>
</Properties>
</file>