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A3198A" w14:paraId="478E2157" w14:textId="77777777" w:rsidTr="00C85D0F">
        <w:trPr>
          <w:trHeight w:hRule="exact" w:val="1418"/>
        </w:trPr>
        <w:tc>
          <w:tcPr>
            <w:tcW w:w="6804" w:type="dxa"/>
            <w:shd w:val="clear" w:color="auto" w:fill="auto"/>
            <w:vAlign w:val="center"/>
          </w:tcPr>
          <w:p w14:paraId="255D286A" w14:textId="77777777" w:rsidR="00BE5062" w:rsidRPr="005F50E0" w:rsidRDefault="002651D4" w:rsidP="00C85D0F">
            <w:pPr>
              <w:pStyle w:val="EPName"/>
            </w:pPr>
            <w:r>
              <w:t>Parlamento europeo</w:t>
            </w:r>
          </w:p>
          <w:p w14:paraId="01E432D1" w14:textId="77777777" w:rsidR="00BE5062" w:rsidRPr="005F50E0" w:rsidRDefault="002651D4" w:rsidP="00C85D0F">
            <w:pPr>
              <w:pStyle w:val="EPTerm"/>
            </w:pPr>
            <w:r>
              <w:t>2024-2029</w:t>
            </w:r>
          </w:p>
        </w:tc>
        <w:tc>
          <w:tcPr>
            <w:tcW w:w="2268" w:type="dxa"/>
            <w:shd w:val="clear" w:color="auto" w:fill="auto"/>
          </w:tcPr>
          <w:p w14:paraId="2A7E3A45" w14:textId="77777777" w:rsidR="00BE5062" w:rsidRPr="005F50E0" w:rsidRDefault="002651D4" w:rsidP="00C85D0F">
            <w:pPr>
              <w:pStyle w:val="EPLogo"/>
            </w:pPr>
            <w:r w:rsidRPr="005F50E0">
              <w:rPr>
                <w:noProof/>
              </w:rPr>
              <w:drawing>
                <wp:inline distT="0" distB="0" distL="0" distR="0" wp14:anchorId="5104D8D5" wp14:editId="41FF40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A1E0E5" w14:textId="77777777" w:rsidR="000E7234" w:rsidRPr="005F50E0" w:rsidRDefault="000E7234" w:rsidP="000E7234">
      <w:pPr>
        <w:pStyle w:val="LineTop"/>
      </w:pPr>
    </w:p>
    <w:p w14:paraId="073D8650" w14:textId="77777777" w:rsidR="000E7234" w:rsidRPr="005F50E0" w:rsidRDefault="002651D4" w:rsidP="000E7234">
      <w:pPr>
        <w:pStyle w:val="EPBody"/>
      </w:pPr>
      <w:r>
        <w:rPr>
          <w:rStyle w:val="HideTWBExt"/>
          <w:i w:val="0"/>
        </w:rPr>
        <w:t>&lt;Commission&gt;</w:t>
      </w:r>
      <w:r>
        <w:rPr>
          <w:rStyle w:val="HideTWBInt"/>
          <w:i w:val="0"/>
          <w:color w:val="auto"/>
        </w:rPr>
        <w:t>{LIBE}</w:t>
      </w:r>
      <w:r>
        <w:t>Commissione per le libertà civili, la giustizia e gli affari interni</w:t>
      </w:r>
      <w:r>
        <w:rPr>
          <w:rStyle w:val="HideTWBExt"/>
          <w:i w:val="0"/>
        </w:rPr>
        <w:t>&lt;/Commission&gt;</w:t>
      </w:r>
    </w:p>
    <w:p w14:paraId="5E566BB9" w14:textId="77777777" w:rsidR="000E7234" w:rsidRPr="005F50E0" w:rsidRDefault="000E7234" w:rsidP="000E7234">
      <w:pPr>
        <w:pStyle w:val="LineBottom"/>
      </w:pPr>
    </w:p>
    <w:p w14:paraId="346F8F0B" w14:textId="77777777" w:rsidR="00B85286" w:rsidRPr="005F50E0" w:rsidRDefault="002651D4">
      <w:pPr>
        <w:pStyle w:val="CoverReference"/>
      </w:pPr>
      <w:r>
        <w:rPr>
          <w:rStyle w:val="HideTWBExt"/>
          <w:b w:val="0"/>
        </w:rPr>
        <w:t>&lt;RefProc&gt;</w:t>
      </w:r>
      <w:r>
        <w:t>2025/0541</w:t>
      </w:r>
      <w:r>
        <w:rPr>
          <w:rStyle w:val="HideTWBExt"/>
          <w:b w:val="0"/>
        </w:rPr>
        <w:t>&lt;/RefProc&gt;&lt;RefTypeProc&gt;</w:t>
      </w:r>
      <w:r>
        <w:t>(COD)</w:t>
      </w:r>
      <w:r>
        <w:rPr>
          <w:rStyle w:val="HideTWBExt"/>
          <w:b w:val="0"/>
        </w:rPr>
        <w:t>&lt;/RefTypeProc&gt;</w:t>
      </w:r>
    </w:p>
    <w:p w14:paraId="36CF75FC" w14:textId="77777777" w:rsidR="00B85286" w:rsidRPr="005F50E0" w:rsidRDefault="002651D4">
      <w:pPr>
        <w:pStyle w:val="CoverDate"/>
      </w:pPr>
      <w:r>
        <w:rPr>
          <w:rStyle w:val="HideTWBExt"/>
        </w:rPr>
        <w:t>&lt;Date&gt;</w:t>
      </w:r>
      <w:r>
        <w:rPr>
          <w:rStyle w:val="HideTWBInt"/>
          <w:color w:val="auto"/>
        </w:rPr>
        <w:t>{24/06/2026}</w:t>
      </w:r>
      <w:r>
        <w:t>24.6.2026</w:t>
      </w:r>
      <w:r>
        <w:rPr>
          <w:rStyle w:val="HideTWBExt"/>
        </w:rPr>
        <w:t>&lt;/Date&gt;</w:t>
      </w:r>
    </w:p>
    <w:p w14:paraId="4FEE07FB" w14:textId="77777777" w:rsidR="009B0305" w:rsidRPr="005F50E0" w:rsidRDefault="002651D4" w:rsidP="009B0305">
      <w:pPr>
        <w:pStyle w:val="CoverDocType"/>
      </w:pPr>
      <w:r>
        <w:rPr>
          <w:rStyle w:val="HideTWBExt"/>
          <w:b w:val="0"/>
        </w:rPr>
        <w:t>&lt;TypeAM&gt;</w:t>
      </w:r>
      <w:r>
        <w:t>EMENDAMENTO</w:t>
      </w:r>
      <w:r>
        <w:rPr>
          <w:rStyle w:val="HideTWBExt"/>
          <w:b w:val="0"/>
        </w:rPr>
        <w:t>&lt;/TypeAM&gt;</w:t>
      </w:r>
    </w:p>
    <w:p w14:paraId="79B5144D" w14:textId="77777777" w:rsidR="00B85286" w:rsidRPr="005F50E0" w:rsidRDefault="002651D4" w:rsidP="001C2054">
      <w:pPr>
        <w:pStyle w:val="CoverDocType24a"/>
      </w:pPr>
      <w:r>
        <w:rPr>
          <w:rStyle w:val="HideTWBExt"/>
          <w:b w:val="0"/>
        </w:rPr>
        <w:t>&lt;RangeAM&gt;</w:t>
      </w:r>
      <w:r>
        <w:t>206</w:t>
      </w:r>
      <w:r>
        <w:rPr>
          <w:rStyle w:val="HideTWBExt"/>
          <w:b w:val="0"/>
        </w:rPr>
        <w:t>&lt;/RangeAM&gt;</w:t>
      </w:r>
    </w:p>
    <w:p w14:paraId="32D8D24C" w14:textId="77777777" w:rsidR="001C2054" w:rsidRPr="005F50E0" w:rsidRDefault="002651D4" w:rsidP="00A93F8C">
      <w:pPr>
        <w:pStyle w:val="CoverBold"/>
      </w:pPr>
      <w:r>
        <w:rPr>
          <w:rStyle w:val="HideTWBExt"/>
          <w:b w:val="0"/>
        </w:rPr>
        <w:t>&lt;TitreType&gt;</w:t>
      </w:r>
      <w:r>
        <w:t>Progetto di relazione</w:t>
      </w:r>
      <w:r>
        <w:rPr>
          <w:rStyle w:val="HideTWBExt"/>
          <w:b w:val="0"/>
        </w:rPr>
        <w:t>&lt;/TitreType&gt;</w:t>
      </w:r>
    </w:p>
    <w:p w14:paraId="43087F0E" w14:textId="77777777" w:rsidR="00B85286" w:rsidRPr="005F50E0" w:rsidRDefault="002651D4" w:rsidP="00A93F8C">
      <w:pPr>
        <w:pStyle w:val="CoverBold"/>
      </w:pPr>
      <w:r>
        <w:rPr>
          <w:rStyle w:val="HideTWBExt"/>
          <w:b w:val="0"/>
        </w:rPr>
        <w:t>&lt;Rapporteur&gt;</w:t>
      </w:r>
      <w:r>
        <w:t xml:space="preserve">Karlo </w:t>
      </w:r>
      <w:proofErr w:type="spellStart"/>
      <w:r>
        <w:t>Ressler</w:t>
      </w:r>
      <w:proofErr w:type="spellEnd"/>
      <w:r>
        <w:rPr>
          <w:rStyle w:val="HideTWBExt"/>
          <w:b w:val="0"/>
        </w:rPr>
        <w:t>&lt;/Rapporteur&gt;</w:t>
      </w:r>
    </w:p>
    <w:p w14:paraId="37FF26EF" w14:textId="77777777" w:rsidR="00B85286" w:rsidRPr="005F50E0" w:rsidRDefault="002651D4">
      <w:pPr>
        <w:pStyle w:val="CoverNormal24a"/>
      </w:pPr>
      <w:r>
        <w:rPr>
          <w:rStyle w:val="HideTWBExt"/>
        </w:rPr>
        <w:t>&lt;DocRefPE&gt;</w:t>
      </w:r>
      <w:r>
        <w:t>(PE788.793v01-00)</w:t>
      </w:r>
      <w:r>
        <w:rPr>
          <w:rStyle w:val="HideTWBExt"/>
        </w:rPr>
        <w:t>&lt;/DocRefPE&gt;</w:t>
      </w:r>
    </w:p>
    <w:p w14:paraId="52857969" w14:textId="77777777" w:rsidR="00B85286" w:rsidRPr="005F50E0" w:rsidRDefault="002651D4">
      <w:pPr>
        <w:pStyle w:val="CoverNormal24a"/>
      </w:pPr>
      <w:r>
        <w:rPr>
          <w:rStyle w:val="HideTWBExt"/>
        </w:rPr>
        <w:t>&lt;Titre&gt;</w:t>
      </w:r>
      <w:r>
        <w:t xml:space="preserve">sulla proposta di regolamento del Parlamento europeo e del Consiglio che </w:t>
      </w:r>
      <w:r>
        <w:t>istituisce il sostegno dell'Unione per lo spazio Schengen, per la gestione europea integrata delle frontiere e per la politica comune dei visti per il periodo dal 2028 al 2034</w:t>
      </w:r>
      <w:r>
        <w:rPr>
          <w:rStyle w:val="HideTWBExt"/>
        </w:rPr>
        <w:t>&lt;/Titre&gt;</w:t>
      </w:r>
    </w:p>
    <w:p w14:paraId="658FA222" w14:textId="77777777" w:rsidR="006337D4" w:rsidRPr="005F50E0" w:rsidRDefault="002651D4" w:rsidP="006337D4">
      <w:pPr>
        <w:pStyle w:val="CoverNormal"/>
      </w:pPr>
      <w:r>
        <w:rPr>
          <w:rStyle w:val="HideTWBExt"/>
        </w:rPr>
        <w:t>&lt;DocAmend&gt;</w:t>
      </w:r>
      <w:r>
        <w:t>Proposta di regolamento</w:t>
      </w:r>
      <w:r>
        <w:rPr>
          <w:rStyle w:val="HideTWBExt"/>
        </w:rPr>
        <w:t>&lt;/DocAmend&gt;</w:t>
      </w:r>
    </w:p>
    <w:p w14:paraId="524BEF42" w14:textId="77777777" w:rsidR="00B85286" w:rsidRPr="005F50E0" w:rsidRDefault="002651D4">
      <w:pPr>
        <w:pStyle w:val="CoverNormal24a"/>
      </w:pPr>
      <w:r>
        <w:rPr>
          <w:rStyle w:val="HideTWBExt"/>
        </w:rPr>
        <w:t>&lt;DocRef&gt;</w:t>
      </w:r>
      <w:r>
        <w:t>(COM(2025)0541 – C10</w:t>
      </w:r>
      <w:r>
        <w:noBreakHyphen/>
        <w:t>0176/2025 – 2025/0541(COD))</w:t>
      </w:r>
      <w:r>
        <w:rPr>
          <w:rStyle w:val="HideTWBExt"/>
        </w:rPr>
        <w:t>&lt;/DocRef&gt;</w:t>
      </w:r>
    </w:p>
    <w:p w14:paraId="462688F3" w14:textId="77777777" w:rsidR="00B85286" w:rsidRPr="005F50E0" w:rsidRDefault="002651D4" w:rsidP="00E660E2">
      <w:pPr>
        <w:widowControl/>
        <w:tabs>
          <w:tab w:val="center" w:pos="4677"/>
        </w:tabs>
      </w:pPr>
      <w:r>
        <w:br w:type="page"/>
      </w:r>
      <w:proofErr w:type="spellStart"/>
      <w:r>
        <w:lastRenderedPageBreak/>
        <w:t>AM_Com_LegReport</w:t>
      </w:r>
      <w:proofErr w:type="spellEnd"/>
    </w:p>
    <w:p w14:paraId="4F60A12D" w14:textId="77777777" w:rsidR="003E43AC" w:rsidRPr="005F50E0" w:rsidRDefault="002651D4" w:rsidP="001444E0">
      <w:pPr>
        <w:pStyle w:val="AmNumberTabs"/>
        <w:keepNext/>
      </w:pPr>
      <w:r>
        <w:br w:type="page"/>
      </w:r>
      <w:bookmarkStart w:id="0" w:name="IntroB"/>
      <w:r>
        <w:rPr>
          <w:rStyle w:val="HideTWBExt"/>
          <w:b w:val="0"/>
        </w:rPr>
        <w:lastRenderedPageBreak/>
        <w:t>&lt;RepeatBlock-Amend&gt;</w:t>
      </w:r>
      <w:bookmarkStart w:id="1" w:name="restart"/>
      <w:bookmarkEnd w:id="0"/>
      <w:r>
        <w:rPr>
          <w:rStyle w:val="HideTWBExt"/>
          <w:b w:val="0"/>
        </w:rPr>
        <w:t>&lt;Amend&gt;</w:t>
      </w:r>
      <w:r>
        <w:t>Emendamento</w:t>
      </w:r>
      <w:r>
        <w:tab/>
      </w:r>
      <w:r>
        <w:tab/>
      </w:r>
      <w:r>
        <w:rPr>
          <w:rStyle w:val="HideTWBExt"/>
          <w:b w:val="0"/>
        </w:rPr>
        <w:t>&lt;NumAm&gt;</w:t>
      </w:r>
      <w:r>
        <w:t>206</w:t>
      </w:r>
      <w:r>
        <w:rPr>
          <w:rStyle w:val="HideTWBExt"/>
          <w:b w:val="0"/>
        </w:rPr>
        <w:t>&lt;/NumAm&gt;</w:t>
      </w:r>
    </w:p>
    <w:p w14:paraId="49141F74" w14:textId="77777777" w:rsidR="005B32E3" w:rsidRPr="005F50E0" w:rsidRDefault="002651D4" w:rsidP="005B32E3">
      <w:pPr>
        <w:pStyle w:val="NormalBold"/>
      </w:pPr>
      <w:r>
        <w:rPr>
          <w:rStyle w:val="HideTWBExt"/>
          <w:b w:val="0"/>
        </w:rPr>
        <w:t>&lt;RepeatBlock-By&gt;&lt;Members&gt;</w:t>
      </w:r>
      <w:r>
        <w:t>Murielle Laurent</w:t>
      </w:r>
      <w:r>
        <w:rPr>
          <w:rStyle w:val="HideTWBExt"/>
          <w:b w:val="0"/>
        </w:rPr>
        <w:t>&lt;/Members&gt;</w:t>
      </w:r>
    </w:p>
    <w:p w14:paraId="24077265" w14:textId="77777777" w:rsidR="005B32E3" w:rsidRPr="005F50E0" w:rsidRDefault="002651D4" w:rsidP="005B32E3">
      <w:r>
        <w:rPr>
          <w:rStyle w:val="HideTWBExt"/>
        </w:rPr>
        <w:t>&lt;/RepeatBlock-By&gt;</w:t>
      </w:r>
    </w:p>
    <w:p w14:paraId="4CBC4A95" w14:textId="77777777" w:rsidR="009B0305" w:rsidRPr="005F50E0" w:rsidRDefault="002651D4" w:rsidP="005B32E3">
      <w:pPr>
        <w:pStyle w:val="NormalBold"/>
      </w:pPr>
      <w:r>
        <w:rPr>
          <w:rStyle w:val="HideTWBExt"/>
          <w:b w:val="0"/>
        </w:rPr>
        <w:t>&lt;DocAmend&gt;</w:t>
      </w:r>
      <w:r>
        <w:t>Proposta di regolamento</w:t>
      </w:r>
      <w:r>
        <w:rPr>
          <w:rStyle w:val="HideTWBExt"/>
          <w:b w:val="0"/>
        </w:rPr>
        <w:t>&lt;/DocAmend&gt;</w:t>
      </w:r>
    </w:p>
    <w:p w14:paraId="6E861150" w14:textId="77777777" w:rsidR="009B0305" w:rsidRPr="005F50E0" w:rsidRDefault="002651D4" w:rsidP="00A233E9">
      <w:pPr>
        <w:pStyle w:val="NormalBold"/>
        <w:keepNext/>
      </w:pPr>
      <w:r>
        <w:rPr>
          <w:rStyle w:val="HideTWBExt"/>
          <w:b w:val="0"/>
        </w:rPr>
        <w:t>&lt;Article&gt;</w:t>
      </w:r>
      <w:r>
        <w:t xml:space="preserve">Allegato </w:t>
      </w:r>
      <w:r>
        <w:t>(nuovo)</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A3198A" w14:paraId="19DCA0A1" w14:textId="77777777">
        <w:trPr>
          <w:jc w:val="center"/>
        </w:trPr>
        <w:tc>
          <w:tcPr>
            <w:tcW w:w="9752" w:type="dxa"/>
            <w:gridSpan w:val="2"/>
          </w:tcPr>
          <w:p w14:paraId="28532C71" w14:textId="77777777" w:rsidR="009A65D8" w:rsidRPr="005F50E0" w:rsidRDefault="009A65D8" w:rsidP="00A233E9">
            <w:pPr>
              <w:keepNext/>
            </w:pPr>
          </w:p>
        </w:tc>
      </w:tr>
      <w:tr w:rsidR="00A3198A" w14:paraId="0CF391EB" w14:textId="77777777">
        <w:trPr>
          <w:jc w:val="center"/>
        </w:trPr>
        <w:tc>
          <w:tcPr>
            <w:tcW w:w="4876" w:type="dxa"/>
          </w:tcPr>
          <w:p w14:paraId="400AEF18" w14:textId="77777777" w:rsidR="009A65D8" w:rsidRPr="005F50E0" w:rsidRDefault="002651D4" w:rsidP="00A233E9">
            <w:pPr>
              <w:pStyle w:val="AmColumnHeading"/>
              <w:keepNext/>
            </w:pPr>
            <w:r>
              <w:t>Testo della Commissione</w:t>
            </w:r>
          </w:p>
        </w:tc>
        <w:tc>
          <w:tcPr>
            <w:tcW w:w="4876" w:type="dxa"/>
          </w:tcPr>
          <w:p w14:paraId="7E8344CE" w14:textId="77777777" w:rsidR="009A65D8" w:rsidRPr="005F50E0" w:rsidRDefault="002651D4" w:rsidP="00A233E9">
            <w:pPr>
              <w:pStyle w:val="AmColumnHeading"/>
              <w:keepNext/>
            </w:pPr>
            <w:r>
              <w:t>Emendamento</w:t>
            </w:r>
          </w:p>
        </w:tc>
      </w:tr>
      <w:tr w:rsidR="00A3198A" w14:paraId="599437E7" w14:textId="77777777">
        <w:trPr>
          <w:jc w:val="center"/>
        </w:trPr>
        <w:tc>
          <w:tcPr>
            <w:tcW w:w="4876" w:type="dxa"/>
          </w:tcPr>
          <w:p w14:paraId="77319A3E" w14:textId="77777777" w:rsidR="00AA1AF8" w:rsidRPr="005F50E0" w:rsidRDefault="00AA1AF8" w:rsidP="00E8229D">
            <w:pPr>
              <w:pStyle w:val="Normal6a"/>
            </w:pPr>
          </w:p>
        </w:tc>
        <w:tc>
          <w:tcPr>
            <w:tcW w:w="4876" w:type="dxa"/>
          </w:tcPr>
          <w:p w14:paraId="44F72D5E" w14:textId="77777777" w:rsidR="00AA1AF8" w:rsidRPr="005F50E0" w:rsidRDefault="002651D4" w:rsidP="00E8229D">
            <w:pPr>
              <w:pStyle w:val="Normal6a"/>
              <w:rPr>
                <w:b/>
                <w:bCs/>
                <w:i/>
                <w:iCs/>
              </w:rPr>
            </w:pPr>
            <w:r>
              <w:rPr>
                <w:b/>
                <w:i/>
              </w:rPr>
              <w:t>Allegato</w:t>
            </w:r>
          </w:p>
        </w:tc>
      </w:tr>
      <w:tr w:rsidR="00A3198A" w14:paraId="03A7E251" w14:textId="77777777">
        <w:trPr>
          <w:jc w:val="center"/>
        </w:trPr>
        <w:tc>
          <w:tcPr>
            <w:tcW w:w="4876" w:type="dxa"/>
          </w:tcPr>
          <w:p w14:paraId="26318112" w14:textId="77777777" w:rsidR="009A65D8" w:rsidRPr="005F50E0" w:rsidRDefault="009A65D8" w:rsidP="00E8229D">
            <w:pPr>
              <w:pStyle w:val="Normal6a"/>
            </w:pPr>
          </w:p>
        </w:tc>
        <w:tc>
          <w:tcPr>
            <w:tcW w:w="4876" w:type="dxa"/>
          </w:tcPr>
          <w:p w14:paraId="54315572" w14:textId="77777777" w:rsidR="009A65D8" w:rsidRPr="005F50E0" w:rsidRDefault="002651D4" w:rsidP="00E8229D">
            <w:pPr>
              <w:pStyle w:val="Normal6a"/>
              <w:rPr>
                <w:b/>
                <w:bCs/>
                <w:i/>
                <w:iCs/>
              </w:rPr>
            </w:pPr>
            <w:r>
              <w:rPr>
                <w:b/>
                <w:i/>
              </w:rPr>
              <w:t>Ambito di applicazione del sostegno</w:t>
            </w:r>
          </w:p>
        </w:tc>
      </w:tr>
      <w:tr w:rsidR="00A3198A" w14:paraId="4F9195BC" w14:textId="77777777">
        <w:trPr>
          <w:jc w:val="center"/>
        </w:trPr>
        <w:tc>
          <w:tcPr>
            <w:tcW w:w="4876" w:type="dxa"/>
          </w:tcPr>
          <w:p w14:paraId="5AA1E01E" w14:textId="77777777" w:rsidR="001444E0" w:rsidRPr="005F50E0" w:rsidRDefault="001444E0" w:rsidP="00E8229D">
            <w:pPr>
              <w:pStyle w:val="Normal6a"/>
            </w:pPr>
          </w:p>
        </w:tc>
        <w:tc>
          <w:tcPr>
            <w:tcW w:w="4876" w:type="dxa"/>
          </w:tcPr>
          <w:p w14:paraId="0F1FBC90" w14:textId="77777777" w:rsidR="001444E0" w:rsidRPr="005F50E0" w:rsidRDefault="002651D4" w:rsidP="00E8229D">
            <w:pPr>
              <w:pStyle w:val="Normal6a"/>
              <w:rPr>
                <w:b/>
                <w:bCs/>
                <w:i/>
                <w:iCs/>
              </w:rPr>
            </w:pPr>
            <w:r>
              <w:rPr>
                <w:b/>
                <w:i/>
              </w:rPr>
              <w:t>1.</w:t>
            </w:r>
            <w:r>
              <w:rPr>
                <w:b/>
                <w:i/>
              </w:rPr>
              <w:tab/>
              <w:t>Nell'ambito dell'obiettivo di cui all'articolo 3, paragrafo 1, lettera a), il sostegno dell'Unione è destinato alle seguenti finalità:</w:t>
            </w:r>
          </w:p>
        </w:tc>
      </w:tr>
      <w:tr w:rsidR="00A3198A" w14:paraId="3CB913D1" w14:textId="77777777">
        <w:trPr>
          <w:jc w:val="center"/>
        </w:trPr>
        <w:tc>
          <w:tcPr>
            <w:tcW w:w="4876" w:type="dxa"/>
          </w:tcPr>
          <w:p w14:paraId="1F2A3AB2" w14:textId="77777777" w:rsidR="001444E0" w:rsidRPr="005F50E0" w:rsidRDefault="001444E0" w:rsidP="00E8229D">
            <w:pPr>
              <w:pStyle w:val="Normal6a"/>
            </w:pPr>
          </w:p>
        </w:tc>
        <w:tc>
          <w:tcPr>
            <w:tcW w:w="4876" w:type="dxa"/>
          </w:tcPr>
          <w:p w14:paraId="321A79A2" w14:textId="77777777" w:rsidR="001444E0" w:rsidRPr="005F50E0" w:rsidRDefault="002651D4" w:rsidP="00E8229D">
            <w:pPr>
              <w:pStyle w:val="Normal6a"/>
              <w:rPr>
                <w:b/>
                <w:bCs/>
                <w:i/>
                <w:iCs/>
              </w:rPr>
            </w:pPr>
            <w:r>
              <w:rPr>
                <w:b/>
                <w:i/>
              </w:rPr>
              <w:t>a)</w:t>
            </w:r>
            <w:r>
              <w:rPr>
                <w:b/>
                <w:i/>
              </w:rPr>
              <w:tab/>
            </w:r>
            <w:r>
              <w:rPr>
                <w:b/>
                <w:i/>
              </w:rPr>
              <w:t>scambio di migliori prassi e di esperti, compreso il distacco di esperti, e miglioramento della capacità delle reti europee di valutare, promuovere, sostenere e sviluppare ulteriormente lo spazio Schengen senza controlli alle frontiere interne;</w:t>
            </w:r>
          </w:p>
        </w:tc>
      </w:tr>
      <w:tr w:rsidR="00A3198A" w14:paraId="792C1AFC" w14:textId="77777777">
        <w:trPr>
          <w:jc w:val="center"/>
        </w:trPr>
        <w:tc>
          <w:tcPr>
            <w:tcW w:w="4876" w:type="dxa"/>
          </w:tcPr>
          <w:p w14:paraId="233A1C35" w14:textId="77777777" w:rsidR="001444E0" w:rsidRPr="005F50E0" w:rsidRDefault="001444E0" w:rsidP="00E8229D">
            <w:pPr>
              <w:pStyle w:val="Normal6a"/>
            </w:pPr>
          </w:p>
        </w:tc>
        <w:tc>
          <w:tcPr>
            <w:tcW w:w="4876" w:type="dxa"/>
          </w:tcPr>
          <w:p w14:paraId="0758EA95" w14:textId="77777777" w:rsidR="001444E0" w:rsidRPr="005F50E0" w:rsidRDefault="002651D4" w:rsidP="00E8229D">
            <w:pPr>
              <w:pStyle w:val="Normal6a"/>
              <w:rPr>
                <w:b/>
                <w:bCs/>
                <w:i/>
                <w:iCs/>
                <w:szCs w:val="24"/>
              </w:rPr>
            </w:pPr>
            <w:r>
              <w:rPr>
                <w:b/>
                <w:i/>
              </w:rPr>
              <w:t>b)</w:t>
            </w:r>
            <w:r>
              <w:rPr>
                <w:b/>
                <w:i/>
              </w:rPr>
              <w:tab/>
              <w:t>studi e altre azioni rilevanti, come le azioni volte a migliorare la conoscenza mediante analisi, monitoraggio e valutazione;</w:t>
            </w:r>
          </w:p>
        </w:tc>
      </w:tr>
      <w:tr w:rsidR="00A3198A" w14:paraId="4779F269" w14:textId="77777777">
        <w:trPr>
          <w:jc w:val="center"/>
        </w:trPr>
        <w:tc>
          <w:tcPr>
            <w:tcW w:w="4876" w:type="dxa"/>
          </w:tcPr>
          <w:p w14:paraId="2C1432FA" w14:textId="77777777" w:rsidR="001444E0" w:rsidRPr="005F50E0" w:rsidRDefault="001444E0" w:rsidP="00E8229D">
            <w:pPr>
              <w:pStyle w:val="Normal6a"/>
            </w:pPr>
          </w:p>
        </w:tc>
        <w:tc>
          <w:tcPr>
            <w:tcW w:w="4876" w:type="dxa"/>
          </w:tcPr>
          <w:p w14:paraId="1DF47D5C" w14:textId="77777777" w:rsidR="001444E0" w:rsidRPr="005F50E0" w:rsidRDefault="002651D4" w:rsidP="00E8229D">
            <w:pPr>
              <w:pStyle w:val="Normal6a"/>
              <w:rPr>
                <w:b/>
                <w:bCs/>
                <w:i/>
                <w:iCs/>
                <w:szCs w:val="24"/>
              </w:rPr>
            </w:pPr>
            <w:r>
              <w:rPr>
                <w:b/>
                <w:i/>
              </w:rPr>
              <w:t>c)</w:t>
            </w:r>
            <w:r>
              <w:rPr>
                <w:b/>
                <w:i/>
              </w:rPr>
              <w:tab/>
              <w:t>misure preparatorie, di sorveglianza, amministrative e tecniche, anche per rafforzare la governance dello spazio Schengen tramite lo sviluppo e l'attuazione del meccanismo di valutazione istituito dal regolamento (UE) n. 1053/2013 per verificare l'applicazione dell'acquis di Schengen, comprese le spese di missione degli esperti della Commissione e degli Stati membri che partecipano a visite in loco;</w:t>
            </w:r>
          </w:p>
        </w:tc>
      </w:tr>
      <w:tr w:rsidR="00A3198A" w14:paraId="6284BAF4" w14:textId="77777777">
        <w:trPr>
          <w:jc w:val="center"/>
        </w:trPr>
        <w:tc>
          <w:tcPr>
            <w:tcW w:w="4876" w:type="dxa"/>
          </w:tcPr>
          <w:p w14:paraId="2C5584A1" w14:textId="77777777" w:rsidR="001444E0" w:rsidRPr="005F50E0" w:rsidRDefault="001444E0" w:rsidP="00E8229D">
            <w:pPr>
              <w:pStyle w:val="Normal6a"/>
            </w:pPr>
          </w:p>
        </w:tc>
        <w:tc>
          <w:tcPr>
            <w:tcW w:w="4876" w:type="dxa"/>
          </w:tcPr>
          <w:p w14:paraId="67CDF033" w14:textId="77777777" w:rsidR="001444E0" w:rsidRPr="005F50E0" w:rsidRDefault="002651D4" w:rsidP="00E8229D">
            <w:pPr>
              <w:pStyle w:val="Normal6a"/>
              <w:rPr>
                <w:b/>
                <w:bCs/>
                <w:i/>
                <w:iCs/>
                <w:szCs w:val="24"/>
              </w:rPr>
            </w:pPr>
            <w:r>
              <w:rPr>
                <w:b/>
                <w:i/>
              </w:rPr>
              <w:t>d)</w:t>
            </w:r>
            <w:r>
              <w:rPr>
                <w:b/>
                <w:i/>
              </w:rPr>
              <w:tab/>
              <w:t>attività di sensibilizzazione fra le parti interessate e fra i cittadini in merito allo spazio Schengen senza controllo alle frontiere interne, compresa la comunicazione istituzionale delle priorità politiche dell'Unione in questo settore;</w:t>
            </w:r>
          </w:p>
        </w:tc>
      </w:tr>
      <w:tr w:rsidR="00A3198A" w14:paraId="348CB580" w14:textId="77777777">
        <w:trPr>
          <w:jc w:val="center"/>
        </w:trPr>
        <w:tc>
          <w:tcPr>
            <w:tcW w:w="4876" w:type="dxa"/>
          </w:tcPr>
          <w:p w14:paraId="19050819" w14:textId="77777777" w:rsidR="001444E0" w:rsidRPr="005F50E0" w:rsidRDefault="001444E0" w:rsidP="00E8229D">
            <w:pPr>
              <w:pStyle w:val="Normal6a"/>
            </w:pPr>
          </w:p>
        </w:tc>
        <w:tc>
          <w:tcPr>
            <w:tcW w:w="4876" w:type="dxa"/>
          </w:tcPr>
          <w:p w14:paraId="7114584F" w14:textId="77777777" w:rsidR="001444E0" w:rsidRPr="005F50E0" w:rsidRDefault="002651D4" w:rsidP="00E8229D">
            <w:pPr>
              <w:pStyle w:val="Normal6a"/>
              <w:rPr>
                <w:b/>
                <w:bCs/>
                <w:i/>
                <w:iCs/>
                <w:szCs w:val="24"/>
              </w:rPr>
            </w:pPr>
            <w:r>
              <w:rPr>
                <w:b/>
                <w:i/>
              </w:rPr>
              <w:t>e)</w:t>
            </w:r>
            <w:r>
              <w:rPr>
                <w:b/>
                <w:i/>
              </w:rPr>
              <w:tab/>
              <w:t>sviluppo di strumenti statistici, di metodi e di indicatori nel rispetto del principio di non discriminazione;</w:t>
            </w:r>
          </w:p>
        </w:tc>
      </w:tr>
      <w:tr w:rsidR="00A3198A" w14:paraId="5CE8895F" w14:textId="77777777">
        <w:trPr>
          <w:jc w:val="center"/>
        </w:trPr>
        <w:tc>
          <w:tcPr>
            <w:tcW w:w="4876" w:type="dxa"/>
          </w:tcPr>
          <w:p w14:paraId="151BD16F" w14:textId="77777777" w:rsidR="001444E0" w:rsidRPr="005F50E0" w:rsidRDefault="001444E0" w:rsidP="00E8229D">
            <w:pPr>
              <w:pStyle w:val="Normal6a"/>
            </w:pPr>
          </w:p>
        </w:tc>
        <w:tc>
          <w:tcPr>
            <w:tcW w:w="4876" w:type="dxa"/>
          </w:tcPr>
          <w:p w14:paraId="673E524F" w14:textId="77777777" w:rsidR="001444E0" w:rsidRPr="005F50E0" w:rsidRDefault="002651D4" w:rsidP="00E8229D">
            <w:pPr>
              <w:pStyle w:val="Normal6a"/>
              <w:rPr>
                <w:b/>
                <w:bCs/>
                <w:i/>
                <w:iCs/>
                <w:szCs w:val="24"/>
              </w:rPr>
            </w:pPr>
            <w:r>
              <w:rPr>
                <w:b/>
                <w:i/>
              </w:rPr>
              <w:t>f)</w:t>
            </w:r>
            <w:r>
              <w:rPr>
                <w:b/>
                <w:i/>
              </w:rPr>
              <w:tab/>
              <w:t>sostegno operativo per l'attuazione di misure volte a garantire l'applicazione dell'acquis di Schengen;</w:t>
            </w:r>
          </w:p>
        </w:tc>
      </w:tr>
      <w:tr w:rsidR="00A3198A" w14:paraId="4B377871" w14:textId="77777777">
        <w:trPr>
          <w:jc w:val="center"/>
        </w:trPr>
        <w:tc>
          <w:tcPr>
            <w:tcW w:w="4876" w:type="dxa"/>
          </w:tcPr>
          <w:p w14:paraId="5FEAF832" w14:textId="77777777" w:rsidR="00231D55" w:rsidRPr="005F50E0" w:rsidRDefault="00231D55" w:rsidP="00E8229D">
            <w:pPr>
              <w:pStyle w:val="Normal6a"/>
            </w:pPr>
          </w:p>
        </w:tc>
        <w:tc>
          <w:tcPr>
            <w:tcW w:w="4876" w:type="dxa"/>
          </w:tcPr>
          <w:p w14:paraId="54408B93" w14:textId="77777777" w:rsidR="00231D55" w:rsidRPr="005F50E0" w:rsidRDefault="002651D4" w:rsidP="00E8229D">
            <w:pPr>
              <w:pStyle w:val="Normal6a"/>
              <w:rPr>
                <w:b/>
                <w:bCs/>
                <w:i/>
                <w:iCs/>
              </w:rPr>
            </w:pPr>
            <w:r>
              <w:rPr>
                <w:b/>
                <w:i/>
              </w:rPr>
              <w:t>2.</w:t>
            </w:r>
            <w:r>
              <w:rPr>
                <w:b/>
                <w:i/>
              </w:rPr>
              <w:tab/>
            </w:r>
            <w:r>
              <w:rPr>
                <w:b/>
                <w:i/>
              </w:rPr>
              <w:t>Nell'ambito dell'obiettivo di cui all'articolo 3, paragrafo 1, lettera b), il sostegno dell'Unione è destinato alle seguenti finalità:</w:t>
            </w:r>
          </w:p>
        </w:tc>
      </w:tr>
      <w:tr w:rsidR="00A3198A" w14:paraId="75D5BE4D" w14:textId="77777777">
        <w:trPr>
          <w:jc w:val="center"/>
        </w:trPr>
        <w:tc>
          <w:tcPr>
            <w:tcW w:w="4876" w:type="dxa"/>
          </w:tcPr>
          <w:p w14:paraId="2A14726D" w14:textId="77777777" w:rsidR="00231D55" w:rsidRPr="005F50E0" w:rsidRDefault="00231D55" w:rsidP="00E8229D">
            <w:pPr>
              <w:pStyle w:val="Normal6a"/>
            </w:pPr>
          </w:p>
        </w:tc>
        <w:tc>
          <w:tcPr>
            <w:tcW w:w="4876" w:type="dxa"/>
          </w:tcPr>
          <w:p w14:paraId="6D767E3C" w14:textId="77777777" w:rsidR="00231D55" w:rsidRPr="005F50E0" w:rsidRDefault="002651D4" w:rsidP="00E8229D">
            <w:pPr>
              <w:pStyle w:val="Normal6a"/>
              <w:rPr>
                <w:b/>
                <w:bCs/>
                <w:i/>
                <w:iCs/>
                <w:szCs w:val="24"/>
              </w:rPr>
            </w:pPr>
            <w:r>
              <w:rPr>
                <w:b/>
                <w:i/>
              </w:rPr>
              <w:t>a)</w:t>
            </w:r>
            <w:r>
              <w:rPr>
                <w:b/>
                <w:i/>
              </w:rPr>
              <w:tab/>
              <w:t>infrastrutture, edifici, sistemi e servizi necessari ai valichi di frontiera e per la sorveglianza di frontiera tra i valichi di frontiera;</w:t>
            </w:r>
          </w:p>
        </w:tc>
      </w:tr>
      <w:tr w:rsidR="00A3198A" w14:paraId="241B89F4" w14:textId="77777777">
        <w:trPr>
          <w:jc w:val="center"/>
        </w:trPr>
        <w:tc>
          <w:tcPr>
            <w:tcW w:w="4876" w:type="dxa"/>
          </w:tcPr>
          <w:p w14:paraId="23F28F94" w14:textId="77777777" w:rsidR="00231D55" w:rsidRPr="005F50E0" w:rsidRDefault="00231D55" w:rsidP="00E8229D">
            <w:pPr>
              <w:pStyle w:val="Normal6a"/>
            </w:pPr>
          </w:p>
        </w:tc>
        <w:tc>
          <w:tcPr>
            <w:tcW w:w="4876" w:type="dxa"/>
          </w:tcPr>
          <w:p w14:paraId="2B7AE121" w14:textId="77777777" w:rsidR="00231D55" w:rsidRPr="005F50E0" w:rsidRDefault="002651D4" w:rsidP="00E8229D">
            <w:pPr>
              <w:pStyle w:val="Normal6a"/>
              <w:rPr>
                <w:b/>
                <w:bCs/>
                <w:i/>
                <w:iCs/>
                <w:szCs w:val="24"/>
              </w:rPr>
            </w:pPr>
            <w:r>
              <w:rPr>
                <w:b/>
                <w:i/>
              </w:rPr>
              <w:t>b)</w:t>
            </w:r>
            <w:r>
              <w:rPr>
                <w:b/>
                <w:i/>
              </w:rPr>
              <w:tab/>
              <w:t>attrezzature operative, compresi i mezzi di trasporto e i sistemi TIC, necessari per un controllo di frontiera efficace e sicuro ai valichi di frontiera e per la sorveglianza di frontiera, in linea con eventuali norme elaborate dall'Agenzia europea della guardia di frontiera e costiera;</w:t>
            </w:r>
          </w:p>
        </w:tc>
      </w:tr>
      <w:tr w:rsidR="00A3198A" w14:paraId="75D13AC8" w14:textId="77777777">
        <w:trPr>
          <w:jc w:val="center"/>
        </w:trPr>
        <w:tc>
          <w:tcPr>
            <w:tcW w:w="4876" w:type="dxa"/>
          </w:tcPr>
          <w:p w14:paraId="4F881CBF" w14:textId="77777777" w:rsidR="00231D55" w:rsidRPr="005F50E0" w:rsidRDefault="00231D55" w:rsidP="00E8229D">
            <w:pPr>
              <w:pStyle w:val="Normal6a"/>
            </w:pPr>
          </w:p>
        </w:tc>
        <w:tc>
          <w:tcPr>
            <w:tcW w:w="4876" w:type="dxa"/>
          </w:tcPr>
          <w:p w14:paraId="33C3B3B0" w14:textId="77777777" w:rsidR="00231D55" w:rsidRPr="005F50E0" w:rsidRDefault="002651D4" w:rsidP="00E8229D">
            <w:pPr>
              <w:pStyle w:val="Normal6a"/>
              <w:rPr>
                <w:b/>
                <w:bCs/>
                <w:i/>
                <w:iCs/>
              </w:rPr>
            </w:pPr>
            <w:r>
              <w:rPr>
                <w:b/>
                <w:i/>
              </w:rPr>
              <w:t>c)</w:t>
            </w:r>
            <w:r>
              <w:rPr>
                <w:b/>
                <w:i/>
              </w:rPr>
              <w:tab/>
              <w:t>formazione relativa alla gestione europea integrata delle frontiere, o che contribuisca al suo sviluppo, tenendo conto delle necessità operative e delle analisi dei rischi, ivi comprese le sfide individuate nelle raccomandazioni di cui all'articolo 13, paragrafo 7, e nel pieno rispetto dei diritti fondamentali;</w:t>
            </w:r>
          </w:p>
        </w:tc>
      </w:tr>
      <w:tr w:rsidR="00A3198A" w14:paraId="4E10A715" w14:textId="77777777">
        <w:trPr>
          <w:jc w:val="center"/>
        </w:trPr>
        <w:tc>
          <w:tcPr>
            <w:tcW w:w="4876" w:type="dxa"/>
          </w:tcPr>
          <w:p w14:paraId="76C8EE4F" w14:textId="77777777" w:rsidR="00231D55" w:rsidRPr="005F50E0" w:rsidRDefault="00231D55" w:rsidP="00E8229D">
            <w:pPr>
              <w:pStyle w:val="Normal6a"/>
            </w:pPr>
          </w:p>
        </w:tc>
        <w:tc>
          <w:tcPr>
            <w:tcW w:w="4876" w:type="dxa"/>
          </w:tcPr>
          <w:p w14:paraId="156B3D05" w14:textId="77777777" w:rsidR="00231D55" w:rsidRPr="005F50E0" w:rsidRDefault="002651D4" w:rsidP="00E8229D">
            <w:pPr>
              <w:pStyle w:val="Normal6a"/>
              <w:rPr>
                <w:b/>
                <w:bCs/>
                <w:i/>
                <w:iCs/>
              </w:rPr>
            </w:pPr>
            <w:r>
              <w:rPr>
                <w:b/>
                <w:i/>
              </w:rPr>
              <w:t>d)</w:t>
            </w:r>
            <w:r>
              <w:rPr>
                <w:b/>
                <w:i/>
              </w:rPr>
              <w:tab/>
              <w:t>invio congiunto di funzionari di collegamento incaricati dell'immigrazione in paesi terzi conformemente al regolamento (UE) 2019/1240 del Parlamento europeo e del Consiglio;</w:t>
            </w:r>
          </w:p>
        </w:tc>
      </w:tr>
      <w:tr w:rsidR="00A3198A" w14:paraId="0758FE58" w14:textId="77777777">
        <w:trPr>
          <w:jc w:val="center"/>
        </w:trPr>
        <w:tc>
          <w:tcPr>
            <w:tcW w:w="4876" w:type="dxa"/>
          </w:tcPr>
          <w:p w14:paraId="6FE6A84B" w14:textId="77777777" w:rsidR="00231D55" w:rsidRPr="005F50E0" w:rsidRDefault="00231D55" w:rsidP="00E8229D">
            <w:pPr>
              <w:pStyle w:val="Normal6a"/>
            </w:pPr>
          </w:p>
        </w:tc>
        <w:tc>
          <w:tcPr>
            <w:tcW w:w="4876" w:type="dxa"/>
          </w:tcPr>
          <w:p w14:paraId="7ED33303" w14:textId="77777777" w:rsidR="00231D55" w:rsidRPr="005F50E0" w:rsidRDefault="002651D4" w:rsidP="00E8229D">
            <w:pPr>
              <w:pStyle w:val="Normal6a"/>
              <w:rPr>
                <w:b/>
                <w:bCs/>
                <w:i/>
                <w:iCs/>
                <w:szCs w:val="24"/>
              </w:rPr>
            </w:pPr>
            <w:r>
              <w:rPr>
                <w:b/>
                <w:i/>
              </w:rPr>
              <w:t>e)</w:t>
            </w:r>
            <w:r>
              <w:rPr>
                <w:b/>
                <w:i/>
              </w:rPr>
              <w:tab/>
              <w:t xml:space="preserve">scambio di buone prassi ed esperienze, studi, progetti pilota e altre azioni rilevanti per attuare o sviluppare la gestione europea integrata delle frontiere, incluse misure volte al rafforzamento della guardia di frontiera e costiera europea, tra cui sviluppo comune di capacità, appalti congiunti, definizione di norme comuni e altre misure per razionalizzare la cooperazione e il coordinamento tra l'Agenzia europea della guardia di frontiera e costiera e gli Stati membri, e di misure di </w:t>
            </w:r>
            <w:r>
              <w:rPr>
                <w:b/>
                <w:i/>
              </w:rPr>
              <w:lastRenderedPageBreak/>
              <w:t>indirizzamento dell</w:t>
            </w:r>
            <w:r>
              <w:rPr>
                <w:b/>
                <w:i/>
              </w:rPr>
              <w:t>e persone vulnerabili che necessitano di assistenza e delle persone che necessitano di protezione internazionale o che intendono chiederla;</w:t>
            </w:r>
          </w:p>
        </w:tc>
      </w:tr>
      <w:tr w:rsidR="00A3198A" w14:paraId="6EA50BE7" w14:textId="77777777">
        <w:trPr>
          <w:jc w:val="center"/>
        </w:trPr>
        <w:tc>
          <w:tcPr>
            <w:tcW w:w="4876" w:type="dxa"/>
          </w:tcPr>
          <w:p w14:paraId="7C221A02" w14:textId="77777777" w:rsidR="00231D55" w:rsidRPr="005F50E0" w:rsidRDefault="00231D55" w:rsidP="00E8229D">
            <w:pPr>
              <w:pStyle w:val="Normal6a"/>
            </w:pPr>
          </w:p>
        </w:tc>
        <w:tc>
          <w:tcPr>
            <w:tcW w:w="4876" w:type="dxa"/>
          </w:tcPr>
          <w:p w14:paraId="434CA6BA" w14:textId="77777777" w:rsidR="00231D55" w:rsidRPr="005F50E0" w:rsidRDefault="002651D4" w:rsidP="00E8229D">
            <w:pPr>
              <w:pStyle w:val="Normal6a"/>
              <w:rPr>
                <w:b/>
                <w:bCs/>
                <w:i/>
                <w:iCs/>
                <w:szCs w:val="24"/>
              </w:rPr>
            </w:pPr>
            <w:r>
              <w:rPr>
                <w:b/>
                <w:i/>
              </w:rPr>
              <w:t>f)</w:t>
            </w:r>
            <w:r>
              <w:rPr>
                <w:b/>
                <w:i/>
              </w:rPr>
              <w:tab/>
              <w:t>misure preparatorie, di sorveglianza, amministrative e tecniche necessarie per attuare le politiche in materia di frontiere esterne, anche per rafforzare la governance dello spazio Schengen tramite lo sviluppo e l'attuazione del meccanismo di valutazione istituito dal regolamento (UE) n. 1053/2013 per verificare l'applicazione dell'acquis di Schengen e del regolamento (UE) 2016/399, comprese le spese di missione degli esperti della Commissione e degli Stati membri che partecipano a visite in loco, e misure</w:t>
            </w:r>
            <w:r>
              <w:rPr>
                <w:b/>
                <w:i/>
              </w:rPr>
              <w:t xml:space="preserve"> per attuare le raccomandazioni formulate a seguito di valutazioni delle vulnerabilità svolte dall'Agenzia europea della guardia di frontiera e costiera in conformità del regolamento (UE) 2019/1896;</w:t>
            </w:r>
          </w:p>
        </w:tc>
      </w:tr>
      <w:tr w:rsidR="00A3198A" w14:paraId="3AA3F48F" w14:textId="77777777">
        <w:trPr>
          <w:jc w:val="center"/>
        </w:trPr>
        <w:tc>
          <w:tcPr>
            <w:tcW w:w="4876" w:type="dxa"/>
          </w:tcPr>
          <w:p w14:paraId="4CC6910E" w14:textId="77777777" w:rsidR="00231D55" w:rsidRPr="005F50E0" w:rsidRDefault="00231D55" w:rsidP="00E8229D">
            <w:pPr>
              <w:pStyle w:val="Normal6a"/>
            </w:pPr>
          </w:p>
        </w:tc>
        <w:tc>
          <w:tcPr>
            <w:tcW w:w="4876" w:type="dxa"/>
          </w:tcPr>
          <w:p w14:paraId="78B7B4E7" w14:textId="77777777" w:rsidR="00231D55" w:rsidRPr="005F50E0" w:rsidRDefault="002651D4" w:rsidP="00E8229D">
            <w:pPr>
              <w:pStyle w:val="Normal6a"/>
              <w:rPr>
                <w:b/>
                <w:bCs/>
                <w:i/>
                <w:iCs/>
              </w:rPr>
            </w:pPr>
            <w:r>
              <w:rPr>
                <w:b/>
                <w:i/>
              </w:rPr>
              <w:t>g)</w:t>
            </w:r>
            <w:r>
              <w:rPr>
                <w:b/>
                <w:i/>
              </w:rPr>
              <w:tab/>
              <w:t xml:space="preserve">azioni volte a migliorare la qualità dei dati conservati nei sistemi TIC e l'esercizio da parte degli </w:t>
            </w:r>
            <w:r>
              <w:rPr>
                <w:b/>
                <w:i/>
              </w:rPr>
              <w:t>interessati dei diritti di informazione, accesso, rettifica e cancellazione dei propri dati personali e limitazione del loro trattamento;</w:t>
            </w:r>
          </w:p>
        </w:tc>
      </w:tr>
      <w:tr w:rsidR="00A3198A" w14:paraId="582E9D49" w14:textId="77777777">
        <w:trPr>
          <w:jc w:val="center"/>
        </w:trPr>
        <w:tc>
          <w:tcPr>
            <w:tcW w:w="4876" w:type="dxa"/>
          </w:tcPr>
          <w:p w14:paraId="3EE9E87E" w14:textId="77777777" w:rsidR="00231D55" w:rsidRPr="005F50E0" w:rsidRDefault="00231D55" w:rsidP="00E8229D">
            <w:pPr>
              <w:pStyle w:val="Normal6a"/>
            </w:pPr>
          </w:p>
        </w:tc>
        <w:tc>
          <w:tcPr>
            <w:tcW w:w="4876" w:type="dxa"/>
          </w:tcPr>
          <w:p w14:paraId="2E88FBBF" w14:textId="77777777" w:rsidR="00231D55" w:rsidRPr="005F50E0" w:rsidRDefault="002651D4" w:rsidP="00E8229D">
            <w:pPr>
              <w:pStyle w:val="Normal6a"/>
              <w:rPr>
                <w:b/>
                <w:bCs/>
                <w:i/>
                <w:iCs/>
              </w:rPr>
            </w:pPr>
            <w:r>
              <w:rPr>
                <w:b/>
                <w:i/>
              </w:rPr>
              <w:t>h)</w:t>
            </w:r>
            <w:r>
              <w:rPr>
                <w:b/>
                <w:i/>
              </w:rPr>
              <w:tab/>
              <w:t>identificazione, rilevamento delle impronte digitali, registrazione, controlli di sicurezza, raccolta di informazioni (debriefing), comunicazione di informazioni, esami medici e accertamento delle vulnerabilità e, ove necessario, cure mediche e indirizzamento dei cittadini di paesi terzi verso la procedura appropriata alle frontiere esterne;</w:t>
            </w:r>
          </w:p>
        </w:tc>
      </w:tr>
      <w:tr w:rsidR="00A3198A" w14:paraId="00CC1722" w14:textId="77777777">
        <w:trPr>
          <w:jc w:val="center"/>
        </w:trPr>
        <w:tc>
          <w:tcPr>
            <w:tcW w:w="4876" w:type="dxa"/>
          </w:tcPr>
          <w:p w14:paraId="0F54DDA1" w14:textId="77777777" w:rsidR="00231D55" w:rsidRPr="005F50E0" w:rsidRDefault="00231D55" w:rsidP="00E8229D">
            <w:pPr>
              <w:pStyle w:val="Normal6a"/>
            </w:pPr>
          </w:p>
        </w:tc>
        <w:tc>
          <w:tcPr>
            <w:tcW w:w="4876" w:type="dxa"/>
          </w:tcPr>
          <w:p w14:paraId="45C71060" w14:textId="77777777" w:rsidR="00231D55" w:rsidRPr="005F50E0" w:rsidRDefault="002651D4" w:rsidP="00E8229D">
            <w:pPr>
              <w:pStyle w:val="Normal6a"/>
              <w:rPr>
                <w:b/>
                <w:bCs/>
                <w:i/>
                <w:iCs/>
              </w:rPr>
            </w:pPr>
            <w:r>
              <w:rPr>
                <w:b/>
                <w:i/>
              </w:rPr>
              <w:t>i)</w:t>
            </w:r>
            <w:r>
              <w:rPr>
                <w:b/>
                <w:i/>
              </w:rPr>
              <w:tab/>
              <w:t>azioni volte a istituire, mantenere o sviluppare meccanismi di monitoraggio indipendenti conformemente all'articolo 10 del regolamento (UE) 2024/1356 ("regolamento sugli accertamenti");</w:t>
            </w:r>
          </w:p>
        </w:tc>
      </w:tr>
      <w:tr w:rsidR="00A3198A" w14:paraId="1D5D0ADD" w14:textId="77777777">
        <w:trPr>
          <w:jc w:val="center"/>
        </w:trPr>
        <w:tc>
          <w:tcPr>
            <w:tcW w:w="4876" w:type="dxa"/>
          </w:tcPr>
          <w:p w14:paraId="30A0282D" w14:textId="77777777" w:rsidR="00231D55" w:rsidRPr="005F50E0" w:rsidRDefault="00231D55" w:rsidP="00E8229D">
            <w:pPr>
              <w:pStyle w:val="Normal6a"/>
            </w:pPr>
          </w:p>
        </w:tc>
        <w:tc>
          <w:tcPr>
            <w:tcW w:w="4876" w:type="dxa"/>
          </w:tcPr>
          <w:p w14:paraId="0B32225D" w14:textId="77777777" w:rsidR="00231D55" w:rsidRPr="005F50E0" w:rsidRDefault="002651D4" w:rsidP="00E8229D">
            <w:pPr>
              <w:pStyle w:val="Normal6a"/>
              <w:rPr>
                <w:b/>
                <w:bCs/>
                <w:i/>
                <w:iCs/>
                <w:szCs w:val="24"/>
              </w:rPr>
            </w:pPr>
            <w:r>
              <w:rPr>
                <w:b/>
                <w:i/>
              </w:rPr>
              <w:t>j)</w:t>
            </w:r>
            <w:r>
              <w:rPr>
                <w:b/>
                <w:i/>
              </w:rPr>
              <w:tab/>
              <w:t>azioni volte a rafforzare la sensibilizzazione in merito alle politiche relative alle frontiere esterne fra le parti interessate e fra i cittadini, compresa la comunicazione istituzionale delle priorità politiche dell'Unione;</w:t>
            </w:r>
          </w:p>
        </w:tc>
      </w:tr>
      <w:tr w:rsidR="00A3198A" w14:paraId="07AE62B7" w14:textId="77777777">
        <w:trPr>
          <w:jc w:val="center"/>
        </w:trPr>
        <w:tc>
          <w:tcPr>
            <w:tcW w:w="4876" w:type="dxa"/>
          </w:tcPr>
          <w:p w14:paraId="15767D8B" w14:textId="77777777" w:rsidR="00231D55" w:rsidRPr="005F50E0" w:rsidRDefault="00231D55" w:rsidP="00E8229D">
            <w:pPr>
              <w:pStyle w:val="Normal6a"/>
            </w:pPr>
          </w:p>
        </w:tc>
        <w:tc>
          <w:tcPr>
            <w:tcW w:w="4876" w:type="dxa"/>
          </w:tcPr>
          <w:p w14:paraId="7DBAF0A2" w14:textId="77777777" w:rsidR="00231D55" w:rsidRPr="005F50E0" w:rsidRDefault="002651D4" w:rsidP="00E8229D">
            <w:pPr>
              <w:pStyle w:val="Normal6a"/>
              <w:rPr>
                <w:b/>
                <w:bCs/>
                <w:i/>
                <w:iCs/>
                <w:szCs w:val="24"/>
              </w:rPr>
            </w:pPr>
            <w:r>
              <w:rPr>
                <w:b/>
                <w:i/>
              </w:rPr>
              <w:t>k)</w:t>
            </w:r>
            <w:r>
              <w:rPr>
                <w:b/>
                <w:i/>
              </w:rPr>
              <w:tab/>
              <w:t>sviluppo di strumenti statistici, di metodi e di indicatori nel rispetto del principio di non discriminazione;</w:t>
            </w:r>
          </w:p>
        </w:tc>
      </w:tr>
      <w:tr w:rsidR="00A3198A" w14:paraId="09D6A4C5" w14:textId="77777777">
        <w:trPr>
          <w:jc w:val="center"/>
        </w:trPr>
        <w:tc>
          <w:tcPr>
            <w:tcW w:w="4876" w:type="dxa"/>
          </w:tcPr>
          <w:p w14:paraId="480DB8E8" w14:textId="77777777" w:rsidR="00231D55" w:rsidRPr="005F50E0" w:rsidRDefault="00231D55" w:rsidP="00E8229D">
            <w:pPr>
              <w:pStyle w:val="Normal6a"/>
            </w:pPr>
          </w:p>
        </w:tc>
        <w:tc>
          <w:tcPr>
            <w:tcW w:w="4876" w:type="dxa"/>
          </w:tcPr>
          <w:p w14:paraId="517B7F7C" w14:textId="77777777" w:rsidR="00231D55" w:rsidRPr="005F50E0" w:rsidRDefault="002651D4" w:rsidP="00E8229D">
            <w:pPr>
              <w:pStyle w:val="Normal6a"/>
              <w:rPr>
                <w:b/>
                <w:bCs/>
                <w:i/>
                <w:iCs/>
                <w:szCs w:val="24"/>
              </w:rPr>
            </w:pPr>
            <w:r>
              <w:rPr>
                <w:b/>
                <w:i/>
              </w:rPr>
              <w:t>l)</w:t>
            </w:r>
            <w:r>
              <w:rPr>
                <w:b/>
                <w:i/>
              </w:rPr>
              <w:tab/>
              <w:t>sostegno operativo per l'attuazione della gestione europea integrata delle frontiere.</w:t>
            </w:r>
          </w:p>
        </w:tc>
      </w:tr>
      <w:tr w:rsidR="00A3198A" w14:paraId="4A8F6021" w14:textId="77777777">
        <w:trPr>
          <w:jc w:val="center"/>
        </w:trPr>
        <w:tc>
          <w:tcPr>
            <w:tcW w:w="4876" w:type="dxa"/>
          </w:tcPr>
          <w:p w14:paraId="0A7BE28D" w14:textId="77777777" w:rsidR="00231D55" w:rsidRPr="005F50E0" w:rsidRDefault="00231D55" w:rsidP="00E8229D">
            <w:pPr>
              <w:pStyle w:val="Normal6a"/>
            </w:pPr>
          </w:p>
        </w:tc>
        <w:tc>
          <w:tcPr>
            <w:tcW w:w="4876" w:type="dxa"/>
          </w:tcPr>
          <w:p w14:paraId="4DAEEB8D" w14:textId="77777777" w:rsidR="00231D55" w:rsidRPr="005F50E0" w:rsidRDefault="002651D4" w:rsidP="00E8229D">
            <w:pPr>
              <w:pStyle w:val="Normal6a"/>
              <w:rPr>
                <w:b/>
                <w:bCs/>
                <w:i/>
                <w:iCs/>
              </w:rPr>
            </w:pPr>
            <w:r>
              <w:rPr>
                <w:b/>
                <w:i/>
              </w:rPr>
              <w:t>3.</w:t>
            </w:r>
            <w:r>
              <w:rPr>
                <w:b/>
                <w:i/>
              </w:rPr>
              <w:tab/>
              <w:t>Nell'ambito dell'obiettivo di cui all'articolo 3, paragrafo 1, lettera c), il sostegno dell'Unione è destinato alle seguenti finalità:</w:t>
            </w:r>
          </w:p>
        </w:tc>
      </w:tr>
      <w:tr w:rsidR="00A3198A" w14:paraId="4FABDE7C" w14:textId="77777777">
        <w:trPr>
          <w:jc w:val="center"/>
        </w:trPr>
        <w:tc>
          <w:tcPr>
            <w:tcW w:w="4876" w:type="dxa"/>
          </w:tcPr>
          <w:p w14:paraId="7967BF01" w14:textId="77777777" w:rsidR="00231D55" w:rsidRPr="005F50E0" w:rsidRDefault="00231D55" w:rsidP="00E8229D">
            <w:pPr>
              <w:pStyle w:val="Normal6a"/>
            </w:pPr>
          </w:p>
        </w:tc>
        <w:tc>
          <w:tcPr>
            <w:tcW w:w="4876" w:type="dxa"/>
          </w:tcPr>
          <w:p w14:paraId="1C179495" w14:textId="77777777" w:rsidR="00231D55" w:rsidRPr="005F50E0" w:rsidRDefault="002651D4" w:rsidP="00E8229D">
            <w:pPr>
              <w:pStyle w:val="Normal6a"/>
              <w:rPr>
                <w:b/>
                <w:bCs/>
                <w:i/>
                <w:iCs/>
                <w:szCs w:val="24"/>
              </w:rPr>
            </w:pPr>
            <w:r>
              <w:rPr>
                <w:b/>
                <w:i/>
              </w:rPr>
              <w:t>a)</w:t>
            </w:r>
            <w:r>
              <w:rPr>
                <w:b/>
                <w:i/>
              </w:rPr>
              <w:tab/>
              <w:t xml:space="preserve">infrastrutture </w:t>
            </w:r>
            <w:proofErr w:type="gramStart"/>
            <w:r>
              <w:rPr>
                <w:b/>
                <w:i/>
              </w:rPr>
              <w:t>ed</w:t>
            </w:r>
            <w:proofErr w:type="gramEnd"/>
            <w:r>
              <w:rPr>
                <w:b/>
                <w:i/>
              </w:rPr>
              <w:t xml:space="preserve"> edifici necessari per il trattamento delle domande di visto e la cooperazione consolare, ivi comprese misure di sicurezza, e altre azioni volte a migliorare la qualità del servizio ai richiedenti il visto;</w:t>
            </w:r>
          </w:p>
        </w:tc>
      </w:tr>
      <w:tr w:rsidR="00A3198A" w14:paraId="6F7940B9" w14:textId="77777777">
        <w:trPr>
          <w:jc w:val="center"/>
        </w:trPr>
        <w:tc>
          <w:tcPr>
            <w:tcW w:w="4876" w:type="dxa"/>
          </w:tcPr>
          <w:p w14:paraId="0F832A65" w14:textId="77777777" w:rsidR="00231D55" w:rsidRPr="005F50E0" w:rsidRDefault="00231D55" w:rsidP="00E8229D">
            <w:pPr>
              <w:pStyle w:val="Normal6a"/>
            </w:pPr>
          </w:p>
        </w:tc>
        <w:tc>
          <w:tcPr>
            <w:tcW w:w="4876" w:type="dxa"/>
          </w:tcPr>
          <w:p w14:paraId="35FE1505" w14:textId="77777777" w:rsidR="00231D55" w:rsidRPr="005F50E0" w:rsidRDefault="002651D4" w:rsidP="00E8229D">
            <w:pPr>
              <w:pStyle w:val="Normal6a"/>
              <w:rPr>
                <w:b/>
                <w:bCs/>
                <w:i/>
                <w:iCs/>
                <w:szCs w:val="24"/>
              </w:rPr>
            </w:pPr>
            <w:r>
              <w:rPr>
                <w:b/>
                <w:i/>
              </w:rPr>
              <w:t>b)</w:t>
            </w:r>
            <w:r>
              <w:rPr>
                <w:b/>
                <w:i/>
              </w:rPr>
              <w:tab/>
              <w:t xml:space="preserve">attrezzature operative e sistemi TIC </w:t>
            </w:r>
            <w:r>
              <w:rPr>
                <w:b/>
                <w:i/>
              </w:rPr>
              <w:t>necessari per il trattamento delle domande di visto e la cooperazione consolare;</w:t>
            </w:r>
          </w:p>
        </w:tc>
      </w:tr>
      <w:tr w:rsidR="00A3198A" w14:paraId="7CFEE12C" w14:textId="77777777">
        <w:trPr>
          <w:jc w:val="center"/>
        </w:trPr>
        <w:tc>
          <w:tcPr>
            <w:tcW w:w="4876" w:type="dxa"/>
          </w:tcPr>
          <w:p w14:paraId="19B4E63B" w14:textId="77777777" w:rsidR="00231D55" w:rsidRPr="005F50E0" w:rsidRDefault="00231D55" w:rsidP="00E8229D">
            <w:pPr>
              <w:pStyle w:val="Normal6a"/>
            </w:pPr>
          </w:p>
        </w:tc>
        <w:tc>
          <w:tcPr>
            <w:tcW w:w="4876" w:type="dxa"/>
          </w:tcPr>
          <w:p w14:paraId="4BF12400" w14:textId="77777777" w:rsidR="00231D55" w:rsidRPr="005F50E0" w:rsidRDefault="002651D4" w:rsidP="00E8229D">
            <w:pPr>
              <w:pStyle w:val="Normal6a"/>
              <w:rPr>
                <w:b/>
                <w:bCs/>
                <w:i/>
                <w:iCs/>
                <w:szCs w:val="24"/>
              </w:rPr>
            </w:pPr>
            <w:r>
              <w:rPr>
                <w:b/>
                <w:i/>
              </w:rPr>
              <w:t>c)</w:t>
            </w:r>
            <w:r>
              <w:rPr>
                <w:b/>
                <w:i/>
              </w:rPr>
              <w:tab/>
              <w:t>formazione del personale consolare e di altro personale che contribuisca alla politica comune in materia di visti e alla cooperazione consolare;</w:t>
            </w:r>
          </w:p>
        </w:tc>
      </w:tr>
      <w:tr w:rsidR="00A3198A" w14:paraId="5FCEC667" w14:textId="77777777">
        <w:trPr>
          <w:jc w:val="center"/>
        </w:trPr>
        <w:tc>
          <w:tcPr>
            <w:tcW w:w="4876" w:type="dxa"/>
          </w:tcPr>
          <w:p w14:paraId="591158A2" w14:textId="77777777" w:rsidR="00231D55" w:rsidRPr="005F50E0" w:rsidRDefault="00231D55" w:rsidP="00E8229D">
            <w:pPr>
              <w:pStyle w:val="Normal6a"/>
            </w:pPr>
          </w:p>
        </w:tc>
        <w:tc>
          <w:tcPr>
            <w:tcW w:w="4876" w:type="dxa"/>
          </w:tcPr>
          <w:p w14:paraId="09821E3D" w14:textId="77777777" w:rsidR="00231D55" w:rsidRPr="005F50E0" w:rsidRDefault="002651D4" w:rsidP="00E8229D">
            <w:pPr>
              <w:pStyle w:val="Normal6a"/>
              <w:rPr>
                <w:b/>
                <w:bCs/>
                <w:i/>
                <w:iCs/>
                <w:szCs w:val="24"/>
              </w:rPr>
            </w:pPr>
            <w:r>
              <w:rPr>
                <w:b/>
                <w:i/>
              </w:rPr>
              <w:t>d)</w:t>
            </w:r>
            <w:r>
              <w:rPr>
                <w:b/>
                <w:i/>
              </w:rPr>
              <w:tab/>
              <w:t>scambio di migliori prassi e di esperti, compreso il distacco di esperti, e miglioramento della capacità delle reti europee di valutare, promuovere, sostenere e sviluppare ulteriormente le politiche dell'Unione e i suoi obiettivi;</w:t>
            </w:r>
          </w:p>
        </w:tc>
      </w:tr>
      <w:tr w:rsidR="00A3198A" w14:paraId="2C97EF82" w14:textId="77777777">
        <w:trPr>
          <w:jc w:val="center"/>
        </w:trPr>
        <w:tc>
          <w:tcPr>
            <w:tcW w:w="4876" w:type="dxa"/>
          </w:tcPr>
          <w:p w14:paraId="1A9E38C2" w14:textId="77777777" w:rsidR="00231D55" w:rsidRPr="005F50E0" w:rsidRDefault="00231D55" w:rsidP="00E8229D">
            <w:pPr>
              <w:pStyle w:val="Normal6a"/>
            </w:pPr>
          </w:p>
        </w:tc>
        <w:tc>
          <w:tcPr>
            <w:tcW w:w="4876" w:type="dxa"/>
          </w:tcPr>
          <w:p w14:paraId="42F42E10" w14:textId="77777777" w:rsidR="00231D55" w:rsidRPr="005F50E0" w:rsidRDefault="002651D4" w:rsidP="00E8229D">
            <w:pPr>
              <w:pStyle w:val="Normal6a"/>
              <w:rPr>
                <w:b/>
                <w:bCs/>
                <w:i/>
                <w:iCs/>
              </w:rPr>
            </w:pPr>
            <w:r>
              <w:rPr>
                <w:b/>
                <w:i/>
              </w:rPr>
              <w:t>e)</w:t>
            </w:r>
            <w:r>
              <w:rPr>
                <w:b/>
                <w:i/>
              </w:rPr>
              <w:tab/>
              <w:t xml:space="preserve">studi e altre azioni </w:t>
            </w:r>
            <w:r>
              <w:rPr>
                <w:b/>
                <w:i/>
              </w:rPr>
              <w:t>rilevanti, come le azioni volte a migliorare la conoscenza mediante analisi, monitoraggio e valutazione;</w:t>
            </w:r>
          </w:p>
        </w:tc>
      </w:tr>
      <w:tr w:rsidR="00A3198A" w14:paraId="2B42CF3D" w14:textId="77777777">
        <w:trPr>
          <w:jc w:val="center"/>
        </w:trPr>
        <w:tc>
          <w:tcPr>
            <w:tcW w:w="4876" w:type="dxa"/>
          </w:tcPr>
          <w:p w14:paraId="5BCC23F1" w14:textId="77777777" w:rsidR="00231D55" w:rsidRPr="005F50E0" w:rsidRDefault="00231D55" w:rsidP="00E8229D">
            <w:pPr>
              <w:pStyle w:val="Normal6a"/>
            </w:pPr>
          </w:p>
        </w:tc>
        <w:tc>
          <w:tcPr>
            <w:tcW w:w="4876" w:type="dxa"/>
          </w:tcPr>
          <w:p w14:paraId="418BCCF6" w14:textId="77777777" w:rsidR="00231D55" w:rsidRPr="005F50E0" w:rsidRDefault="002651D4" w:rsidP="00E8229D">
            <w:pPr>
              <w:pStyle w:val="Normal6a"/>
              <w:rPr>
                <w:b/>
                <w:bCs/>
                <w:i/>
                <w:iCs/>
                <w:szCs w:val="24"/>
              </w:rPr>
            </w:pPr>
            <w:r>
              <w:rPr>
                <w:b/>
                <w:i/>
              </w:rPr>
              <w:t>f)</w:t>
            </w:r>
            <w:r>
              <w:rPr>
                <w:b/>
                <w:i/>
              </w:rPr>
              <w:tab/>
              <w:t xml:space="preserve">attività di sensibilizzazione sulle politiche dei visti fra le parti interessate e fra i cittadini, compresa la comunicazione </w:t>
            </w:r>
            <w:r>
              <w:rPr>
                <w:b/>
                <w:i/>
              </w:rPr>
              <w:lastRenderedPageBreak/>
              <w:t>istituzionale delle priorità politiche dell'Unione;</w:t>
            </w:r>
          </w:p>
        </w:tc>
      </w:tr>
      <w:tr w:rsidR="00A3198A" w14:paraId="455F28E4" w14:textId="77777777">
        <w:trPr>
          <w:jc w:val="center"/>
        </w:trPr>
        <w:tc>
          <w:tcPr>
            <w:tcW w:w="4876" w:type="dxa"/>
          </w:tcPr>
          <w:p w14:paraId="3D1510C8" w14:textId="77777777" w:rsidR="00231D55" w:rsidRPr="005F50E0" w:rsidRDefault="00231D55" w:rsidP="00E8229D">
            <w:pPr>
              <w:pStyle w:val="Normal6a"/>
            </w:pPr>
          </w:p>
        </w:tc>
        <w:tc>
          <w:tcPr>
            <w:tcW w:w="4876" w:type="dxa"/>
          </w:tcPr>
          <w:p w14:paraId="6C319648" w14:textId="77777777" w:rsidR="00231D55" w:rsidRPr="005F50E0" w:rsidRDefault="002651D4" w:rsidP="00E8229D">
            <w:pPr>
              <w:pStyle w:val="Normal6a"/>
              <w:rPr>
                <w:b/>
                <w:bCs/>
                <w:i/>
                <w:iCs/>
                <w:szCs w:val="24"/>
              </w:rPr>
            </w:pPr>
            <w:r>
              <w:rPr>
                <w:b/>
                <w:i/>
              </w:rPr>
              <w:t>g)</w:t>
            </w:r>
            <w:r>
              <w:rPr>
                <w:b/>
                <w:i/>
              </w:rPr>
              <w:tab/>
              <w:t>sviluppo di strumenti statistici, di metodi e di indicatori nel rispetto del principio di non discriminazione;</w:t>
            </w:r>
          </w:p>
        </w:tc>
      </w:tr>
      <w:tr w:rsidR="00A3198A" w14:paraId="1A785A47" w14:textId="77777777">
        <w:trPr>
          <w:jc w:val="center"/>
        </w:trPr>
        <w:tc>
          <w:tcPr>
            <w:tcW w:w="4876" w:type="dxa"/>
          </w:tcPr>
          <w:p w14:paraId="6EB0797C" w14:textId="77777777" w:rsidR="00231D55" w:rsidRPr="005F50E0" w:rsidRDefault="00231D55" w:rsidP="00E8229D">
            <w:pPr>
              <w:pStyle w:val="Normal6a"/>
            </w:pPr>
          </w:p>
        </w:tc>
        <w:tc>
          <w:tcPr>
            <w:tcW w:w="4876" w:type="dxa"/>
          </w:tcPr>
          <w:p w14:paraId="03316EE8" w14:textId="77777777" w:rsidR="00231D55" w:rsidRPr="005F50E0" w:rsidRDefault="002651D4" w:rsidP="00E8229D">
            <w:pPr>
              <w:pStyle w:val="Normal6a"/>
              <w:rPr>
                <w:b/>
                <w:bCs/>
                <w:i/>
                <w:iCs/>
                <w:szCs w:val="24"/>
              </w:rPr>
            </w:pPr>
            <w:r>
              <w:rPr>
                <w:b/>
                <w:i/>
              </w:rPr>
              <w:t>h)</w:t>
            </w:r>
            <w:r>
              <w:rPr>
                <w:b/>
                <w:i/>
              </w:rPr>
              <w:tab/>
              <w:t>sostegno operativo per l'attuazione della politica comune in materia di visti;</w:t>
            </w:r>
          </w:p>
        </w:tc>
      </w:tr>
      <w:tr w:rsidR="00A3198A" w14:paraId="291DF3F8" w14:textId="77777777">
        <w:trPr>
          <w:jc w:val="center"/>
        </w:trPr>
        <w:tc>
          <w:tcPr>
            <w:tcW w:w="4876" w:type="dxa"/>
          </w:tcPr>
          <w:p w14:paraId="162C1EC7" w14:textId="77777777" w:rsidR="00507587" w:rsidRPr="005F50E0" w:rsidRDefault="00507587" w:rsidP="00E8229D">
            <w:pPr>
              <w:pStyle w:val="Normal6a"/>
            </w:pPr>
          </w:p>
        </w:tc>
        <w:tc>
          <w:tcPr>
            <w:tcW w:w="4876" w:type="dxa"/>
          </w:tcPr>
          <w:p w14:paraId="35A57FA0" w14:textId="77777777" w:rsidR="00507587" w:rsidRPr="005F50E0" w:rsidRDefault="002651D4" w:rsidP="00E8229D">
            <w:pPr>
              <w:pStyle w:val="Normal6a"/>
              <w:rPr>
                <w:b/>
                <w:bCs/>
                <w:i/>
                <w:iCs/>
                <w:szCs w:val="24"/>
              </w:rPr>
            </w:pPr>
            <w:r>
              <w:rPr>
                <w:b/>
                <w:i/>
              </w:rPr>
              <w:t>i)</w:t>
            </w:r>
            <w:r>
              <w:rPr>
                <w:b/>
                <w:i/>
              </w:rPr>
              <w:tab/>
              <w:t>sostegno agli Stati membri nel rilascio di visti, compresi i visti con validità territoriale limitata, di cui all'articolo 25 del regolamento (CE) n. 810/2009, rilasciati per motivi umanitari o di interesse nazionale o in virtù di obblighi internazionali;</w:t>
            </w:r>
          </w:p>
        </w:tc>
      </w:tr>
    </w:tbl>
    <w:p w14:paraId="7D253892" w14:textId="77777777" w:rsidR="00FA192C" w:rsidRPr="005F50E0" w:rsidRDefault="002651D4" w:rsidP="00FA192C">
      <w:pPr>
        <w:pStyle w:val="AmOrLang"/>
      </w:pPr>
      <w:r w:rsidRPr="005F50E0">
        <w:t xml:space="preserve">Or. </w:t>
      </w:r>
      <w:r w:rsidRPr="00104147">
        <w:rPr>
          <w:rStyle w:val="HideTWBExt"/>
        </w:rPr>
        <w:t>&lt;Original&gt;</w:t>
      </w:r>
      <w:r w:rsidR="00507587" w:rsidRPr="00104147">
        <w:rPr>
          <w:rStyle w:val="HideTWBInt"/>
        </w:rPr>
        <w:t>{EN}</w:t>
      </w:r>
      <w:r w:rsidR="00507587" w:rsidRPr="005F50E0">
        <w:t>en</w:t>
      </w:r>
      <w:r w:rsidRPr="00104147">
        <w:rPr>
          <w:rStyle w:val="HideTWBExt"/>
        </w:rPr>
        <w:t>&lt;/Original&gt;</w:t>
      </w:r>
    </w:p>
    <w:p w14:paraId="17F8442F" w14:textId="77777777" w:rsidR="00FA192C" w:rsidRPr="005F50E0" w:rsidRDefault="002651D4" w:rsidP="003923F7">
      <w:pPr>
        <w:pStyle w:val="AmJustTitle"/>
      </w:pPr>
      <w:r>
        <w:rPr>
          <w:rStyle w:val="HideTWBExt"/>
          <w:i w:val="0"/>
        </w:rPr>
        <w:t>&lt;TitreJust&gt;</w:t>
      </w:r>
      <w:r>
        <w:t>Motivazione</w:t>
      </w:r>
      <w:r>
        <w:rPr>
          <w:rStyle w:val="HideTWBExt"/>
          <w:i w:val="0"/>
        </w:rPr>
        <w:t>&lt;/TitreJust&gt;</w:t>
      </w:r>
    </w:p>
    <w:p w14:paraId="2A5C7E64" w14:textId="77777777" w:rsidR="00507587" w:rsidRPr="005F50E0" w:rsidRDefault="002651D4" w:rsidP="00507587">
      <w:pPr>
        <w:pStyle w:val="Normal12Italic"/>
        <w:jc w:val="both"/>
        <w:rPr>
          <w:szCs w:val="24"/>
        </w:rPr>
      </w:pPr>
      <w:r>
        <w:t xml:space="preserve"> Le azioni che saranno finanziate a titolo di questo strumento dovrebbero essere definite nell'interesse della trasparenza e nell'interesse del Parlamento, in qualità di colegislatore. Non dovrebbe essere consentito il finanziamento di attività a "scatola nera" da parte degli Stati membri.</w:t>
      </w:r>
    </w:p>
    <w:p w14:paraId="39698876" w14:textId="77777777" w:rsidR="00FA192C" w:rsidRPr="005F50E0" w:rsidRDefault="00FA192C" w:rsidP="00FA192C">
      <w:pPr>
        <w:pStyle w:val="AmJustText"/>
      </w:pPr>
    </w:p>
    <w:p w14:paraId="20A4F14F" w14:textId="77777777" w:rsidR="00166CCB" w:rsidRPr="005F50E0" w:rsidRDefault="002651D4" w:rsidP="00A5426B">
      <w:r>
        <w:rPr>
          <w:rStyle w:val="HideTWBExt"/>
        </w:rPr>
        <w:t>&lt;/Amend&gt;</w:t>
      </w:r>
      <w:bookmarkEnd w:id="1"/>
    </w:p>
    <w:p w14:paraId="72CA2063" w14:textId="77777777" w:rsidR="00FA192C" w:rsidRPr="005F50E0" w:rsidRDefault="002651D4" w:rsidP="00FA192C">
      <w:bookmarkStart w:id="2" w:name="EndB"/>
      <w:r>
        <w:rPr>
          <w:rStyle w:val="HideTWBExt"/>
        </w:rPr>
        <w:t>&lt;/RepeatBlock-Amend&gt;</w:t>
      </w:r>
      <w:bookmarkEnd w:id="2"/>
    </w:p>
    <w:p w14:paraId="4F497B1D" w14:textId="77777777" w:rsidR="008363E4" w:rsidRPr="005F50E0" w:rsidRDefault="008363E4" w:rsidP="00FA192C"/>
    <w:sectPr w:rsidR="008363E4" w:rsidRPr="005F50E0" w:rsidSect="002316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0E974" w14:textId="77777777" w:rsidR="002651D4" w:rsidRDefault="002651D4">
      <w:r>
        <w:separator/>
      </w:r>
    </w:p>
  </w:endnote>
  <w:endnote w:type="continuationSeparator" w:id="0">
    <w:p w14:paraId="535CD82B" w14:textId="77777777" w:rsidR="002651D4" w:rsidRDefault="00265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8BE4B" w14:textId="77777777" w:rsidR="00231602" w:rsidRPr="002651D4" w:rsidRDefault="002651D4" w:rsidP="00231602">
    <w:pPr>
      <w:pStyle w:val="EPFooter"/>
      <w:rPr>
        <w:lang w:val="de-DE"/>
      </w:rPr>
    </w:pPr>
    <w:r w:rsidRPr="002651D4">
      <w:rPr>
        <w:lang w:val="de-DE"/>
      </w:rPr>
      <w:t>PE</w:t>
    </w:r>
    <w:r w:rsidRPr="002651D4">
      <w:rPr>
        <w:rStyle w:val="HideTWBExt"/>
        <w:lang w:val="de-DE"/>
      </w:rPr>
      <w:t>&lt;NoPE&gt;</w:t>
    </w:r>
    <w:r w:rsidRPr="002651D4">
      <w:rPr>
        <w:lang w:val="de-DE"/>
      </w:rPr>
      <w:t>790.136</w:t>
    </w:r>
    <w:r w:rsidRPr="002651D4">
      <w:rPr>
        <w:rStyle w:val="HideTWBExt"/>
        <w:lang w:val="de-DE"/>
      </w:rPr>
      <w:t>&lt;/NoPE&gt;&lt;Version&gt;</w:t>
    </w:r>
    <w:r w:rsidRPr="002651D4">
      <w:rPr>
        <w:lang w:val="de-DE"/>
      </w:rPr>
      <w:t>v01-00</w:t>
    </w:r>
    <w:r w:rsidRPr="002651D4">
      <w:rPr>
        <w:rStyle w:val="HideTWBExt"/>
        <w:lang w:val="de-DE"/>
      </w:rPr>
      <w:t>&lt;/Version&gt;</w:t>
    </w:r>
    <w:r w:rsidRPr="002651D4">
      <w:rPr>
        <w:lang w:val="de-DE"/>
      </w:rPr>
      <w:tab/>
    </w:r>
    <w:r w:rsidRPr="005F50E0">
      <w:fldChar w:fldCharType="begin"/>
    </w:r>
    <w:r w:rsidRPr="002651D4">
      <w:rPr>
        <w:lang w:val="de-DE"/>
      </w:rPr>
      <w:instrText xml:space="preserve"> PAGE  \* MERGEFORMAT </w:instrText>
    </w:r>
    <w:r w:rsidRPr="005F50E0">
      <w:fldChar w:fldCharType="separate"/>
    </w:r>
    <w:r w:rsidRPr="002651D4">
      <w:rPr>
        <w:noProof/>
        <w:lang w:val="de-DE"/>
      </w:rPr>
      <w:t>2</w:t>
    </w:r>
    <w:r w:rsidRPr="005F50E0">
      <w:fldChar w:fldCharType="end"/>
    </w:r>
    <w:r w:rsidRPr="002651D4">
      <w:rPr>
        <w:lang w:val="de-DE"/>
      </w:rPr>
      <w:t>/</w:t>
    </w:r>
    <w:r w:rsidRPr="005F50E0">
      <w:fldChar w:fldCharType="begin"/>
    </w:r>
    <w:r w:rsidRPr="002651D4">
      <w:rPr>
        <w:lang w:val="de-DE"/>
      </w:rPr>
      <w:instrText xml:space="preserve"> NUMPAGES  \* MERGEFORMAT </w:instrText>
    </w:r>
    <w:r w:rsidRPr="005F50E0">
      <w:fldChar w:fldCharType="separate"/>
    </w:r>
    <w:r w:rsidRPr="002651D4">
      <w:rPr>
        <w:noProof/>
        <w:lang w:val="de-DE"/>
      </w:rPr>
      <w:t>7</w:t>
    </w:r>
    <w:r w:rsidRPr="005F50E0">
      <w:rPr>
        <w:noProof/>
      </w:rPr>
      <w:fldChar w:fldCharType="end"/>
    </w:r>
    <w:r w:rsidRPr="002651D4">
      <w:rPr>
        <w:lang w:val="de-DE"/>
      </w:rPr>
      <w:tab/>
    </w:r>
    <w:r w:rsidRPr="002651D4">
      <w:rPr>
        <w:rStyle w:val="HideTWBExt"/>
        <w:lang w:val="de-DE"/>
      </w:rPr>
      <w:t>&lt;PathFdR&gt;</w:t>
    </w:r>
    <w:r w:rsidRPr="002651D4">
      <w:rPr>
        <w:lang w:val="de-DE"/>
      </w:rPr>
      <w:t>AM\1346405IT.docx</w:t>
    </w:r>
    <w:r w:rsidRPr="002651D4">
      <w:rPr>
        <w:rStyle w:val="HideTWBExt"/>
        <w:lang w:val="de-DE"/>
      </w:rPr>
      <w:t>&lt;/PathFdR&gt;</w:t>
    </w:r>
  </w:p>
  <w:p w14:paraId="63A922ED" w14:textId="77777777" w:rsidR="00D82FCC" w:rsidRPr="005F50E0" w:rsidRDefault="002651D4" w:rsidP="00231602">
    <w:pPr>
      <w:pStyle w:val="EPFooter2"/>
    </w:pPr>
    <w:r w:rsidRPr="005F50E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6C47E" w14:textId="77777777" w:rsidR="00231602" w:rsidRPr="002651D4" w:rsidRDefault="002651D4" w:rsidP="00231602">
    <w:pPr>
      <w:pStyle w:val="EPFooter"/>
      <w:rPr>
        <w:lang w:val="en-GB"/>
      </w:rPr>
    </w:pPr>
    <w:r w:rsidRPr="002651D4">
      <w:rPr>
        <w:rStyle w:val="HideTWBExt"/>
        <w:lang w:val="en-GB"/>
      </w:rPr>
      <w:t>&lt;PathFdR&gt;</w:t>
    </w:r>
    <w:r w:rsidRPr="002651D4">
      <w:rPr>
        <w:lang w:val="en-GB"/>
      </w:rPr>
      <w:t>AM\1346405IT.docx</w:t>
    </w:r>
    <w:r w:rsidRPr="002651D4">
      <w:rPr>
        <w:rStyle w:val="HideTWBExt"/>
        <w:lang w:val="en-GB"/>
      </w:rPr>
      <w:t>&lt;/PathFdR&gt;</w:t>
    </w:r>
    <w:r w:rsidRPr="002651D4">
      <w:rPr>
        <w:lang w:val="en-GB"/>
      </w:rPr>
      <w:tab/>
    </w:r>
    <w:r w:rsidRPr="005F50E0">
      <w:fldChar w:fldCharType="begin"/>
    </w:r>
    <w:r w:rsidRPr="002651D4">
      <w:rPr>
        <w:lang w:val="en-GB"/>
      </w:rPr>
      <w:instrText xml:space="preserve"> PAGE  \* MERGEFORMAT </w:instrText>
    </w:r>
    <w:r w:rsidRPr="005F50E0">
      <w:fldChar w:fldCharType="separate"/>
    </w:r>
    <w:r w:rsidRPr="002651D4">
      <w:rPr>
        <w:noProof/>
        <w:lang w:val="en-GB"/>
      </w:rPr>
      <w:t>3</w:t>
    </w:r>
    <w:r w:rsidRPr="005F50E0">
      <w:fldChar w:fldCharType="end"/>
    </w:r>
    <w:r w:rsidRPr="002651D4">
      <w:rPr>
        <w:lang w:val="en-GB"/>
      </w:rPr>
      <w:t>/</w:t>
    </w:r>
    <w:r w:rsidRPr="005F50E0">
      <w:fldChar w:fldCharType="begin"/>
    </w:r>
    <w:r w:rsidRPr="002651D4">
      <w:rPr>
        <w:lang w:val="en-GB"/>
      </w:rPr>
      <w:instrText xml:space="preserve"> NUMPAGES  \* MERGEFORMAT </w:instrText>
    </w:r>
    <w:r w:rsidRPr="005F50E0">
      <w:fldChar w:fldCharType="separate"/>
    </w:r>
    <w:r w:rsidRPr="002651D4">
      <w:rPr>
        <w:noProof/>
        <w:lang w:val="en-GB"/>
      </w:rPr>
      <w:t>7</w:t>
    </w:r>
    <w:r w:rsidRPr="005F50E0">
      <w:rPr>
        <w:noProof/>
      </w:rPr>
      <w:fldChar w:fldCharType="end"/>
    </w:r>
    <w:r w:rsidRPr="002651D4">
      <w:rPr>
        <w:lang w:val="en-GB"/>
      </w:rPr>
      <w:tab/>
      <w:t>PE</w:t>
    </w:r>
    <w:r w:rsidRPr="002651D4">
      <w:rPr>
        <w:rStyle w:val="HideTWBExt"/>
        <w:lang w:val="en-GB"/>
      </w:rPr>
      <w:t>&lt;NoPE&gt;</w:t>
    </w:r>
    <w:r w:rsidRPr="002651D4">
      <w:rPr>
        <w:lang w:val="en-GB"/>
      </w:rPr>
      <w:t>790.136</w:t>
    </w:r>
    <w:r w:rsidRPr="002651D4">
      <w:rPr>
        <w:rStyle w:val="HideTWBExt"/>
        <w:lang w:val="en-GB"/>
      </w:rPr>
      <w:t>&lt;/NoPE&gt;&lt;Version&gt;</w:t>
    </w:r>
    <w:r w:rsidRPr="002651D4">
      <w:rPr>
        <w:lang w:val="en-GB"/>
      </w:rPr>
      <w:t>v01-00</w:t>
    </w:r>
    <w:r w:rsidRPr="002651D4">
      <w:rPr>
        <w:rStyle w:val="HideTWBExt"/>
        <w:lang w:val="en-GB"/>
      </w:rPr>
      <w:t>&lt;/Version&gt;</w:t>
    </w:r>
  </w:p>
  <w:p w14:paraId="57DCD6BC" w14:textId="77777777" w:rsidR="00D82FCC" w:rsidRPr="002651D4" w:rsidRDefault="002651D4" w:rsidP="00231602">
    <w:pPr>
      <w:pStyle w:val="EPFooter2"/>
      <w:rPr>
        <w:lang w:val="en-GB"/>
      </w:rPr>
    </w:pPr>
    <w:r w:rsidRPr="002651D4">
      <w:rPr>
        <w:lang w:val="en-GB"/>
      </w:rPr>
      <w:tab/>
    </w:r>
    <w:r w:rsidRPr="002651D4">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4CA5F" w14:textId="77777777" w:rsidR="00231602" w:rsidRPr="005F50E0" w:rsidRDefault="002651D4" w:rsidP="00231602">
    <w:pPr>
      <w:pStyle w:val="EPFooter"/>
    </w:pPr>
    <w:r w:rsidRPr="00104147">
      <w:rPr>
        <w:rStyle w:val="HideTWBExt"/>
      </w:rPr>
      <w:t>&lt;PathFdR&gt;</w:t>
    </w:r>
    <w:r w:rsidRPr="005F50E0">
      <w:t>AM\1346405IT.docx</w:t>
    </w:r>
    <w:r w:rsidRPr="00104147">
      <w:rPr>
        <w:rStyle w:val="HideTWBExt"/>
      </w:rPr>
      <w:t>&lt;/PathFdR&gt;</w:t>
    </w:r>
    <w:r w:rsidRPr="005F50E0">
      <w:tab/>
    </w:r>
    <w:r w:rsidRPr="005F50E0">
      <w:tab/>
      <w:t>PE</w:t>
    </w:r>
    <w:r w:rsidRPr="00104147">
      <w:rPr>
        <w:rStyle w:val="HideTWBExt"/>
      </w:rPr>
      <w:t>&lt;NoPE&gt;</w:t>
    </w:r>
    <w:r w:rsidRPr="005F50E0">
      <w:t>790.136</w:t>
    </w:r>
    <w:r w:rsidRPr="00104147">
      <w:rPr>
        <w:rStyle w:val="HideTWBExt"/>
      </w:rPr>
      <w:t>&lt;/NoPE&gt;&lt;Version&gt;</w:t>
    </w:r>
    <w:r w:rsidRPr="005F50E0">
      <w:t>v01-00</w:t>
    </w:r>
    <w:r w:rsidRPr="00104147">
      <w:rPr>
        <w:rStyle w:val="HideTWBExt"/>
      </w:rPr>
      <w:t>&lt;/Version&gt;</w:t>
    </w:r>
  </w:p>
  <w:p w14:paraId="49F4506A" w14:textId="77777777" w:rsidR="00D82FCC" w:rsidRPr="005F50E0" w:rsidRDefault="002651D4" w:rsidP="00231602">
    <w:pPr>
      <w:pStyle w:val="EPFooter2"/>
    </w:pPr>
    <w:r w:rsidRPr="005F50E0">
      <w:t>IT</w:t>
    </w:r>
    <w:r w:rsidRPr="005F50E0">
      <w:tab/>
    </w:r>
    <w:r w:rsidRPr="005F50E0">
      <w:rPr>
        <w:b w:val="0"/>
        <w:i/>
        <w:color w:val="C0C0C0"/>
        <w:sz w:val="22"/>
      </w:rPr>
      <w:t>Unita nella diversità</w:t>
    </w:r>
    <w:r w:rsidRPr="005F50E0">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CEB5D" w14:textId="77777777" w:rsidR="002651D4" w:rsidRDefault="002651D4">
      <w:r>
        <w:separator/>
      </w:r>
    </w:p>
  </w:footnote>
  <w:footnote w:type="continuationSeparator" w:id="0">
    <w:p w14:paraId="461F0F49" w14:textId="77777777" w:rsidR="002651D4" w:rsidRDefault="00265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829E7" w14:textId="77777777" w:rsidR="00104147" w:rsidRDefault="001041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3C030" w14:textId="77777777" w:rsidR="00104147" w:rsidRDefault="001041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54471" w14:textId="77777777" w:rsidR="00104147" w:rsidRDefault="001041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2EF824DA">
      <w:start w:val="1"/>
      <w:numFmt w:val="decimal"/>
      <w:lvlText w:val="%1."/>
      <w:lvlJc w:val="left"/>
      <w:pPr>
        <w:ind w:left="720" w:hanging="360"/>
      </w:pPr>
      <w:rPr>
        <w:rFonts w:hint="default"/>
      </w:rPr>
    </w:lvl>
    <w:lvl w:ilvl="1" w:tplc="3936321E" w:tentative="1">
      <w:start w:val="1"/>
      <w:numFmt w:val="lowerLetter"/>
      <w:lvlText w:val="%2."/>
      <w:lvlJc w:val="left"/>
      <w:pPr>
        <w:ind w:left="1440" w:hanging="360"/>
      </w:pPr>
    </w:lvl>
    <w:lvl w:ilvl="2" w:tplc="0C986A78" w:tentative="1">
      <w:start w:val="1"/>
      <w:numFmt w:val="lowerRoman"/>
      <w:lvlText w:val="%3."/>
      <w:lvlJc w:val="right"/>
      <w:pPr>
        <w:ind w:left="2160" w:hanging="180"/>
      </w:pPr>
    </w:lvl>
    <w:lvl w:ilvl="3" w:tplc="0F3E3FDC" w:tentative="1">
      <w:start w:val="1"/>
      <w:numFmt w:val="decimal"/>
      <w:lvlText w:val="%4."/>
      <w:lvlJc w:val="left"/>
      <w:pPr>
        <w:ind w:left="2880" w:hanging="360"/>
      </w:pPr>
    </w:lvl>
    <w:lvl w:ilvl="4" w:tplc="28CA2EE6" w:tentative="1">
      <w:start w:val="1"/>
      <w:numFmt w:val="lowerLetter"/>
      <w:lvlText w:val="%5."/>
      <w:lvlJc w:val="left"/>
      <w:pPr>
        <w:ind w:left="3600" w:hanging="360"/>
      </w:pPr>
    </w:lvl>
    <w:lvl w:ilvl="5" w:tplc="8C948006" w:tentative="1">
      <w:start w:val="1"/>
      <w:numFmt w:val="lowerRoman"/>
      <w:lvlText w:val="%6."/>
      <w:lvlJc w:val="right"/>
      <w:pPr>
        <w:ind w:left="4320" w:hanging="180"/>
      </w:pPr>
    </w:lvl>
    <w:lvl w:ilvl="6" w:tplc="C506FF92" w:tentative="1">
      <w:start w:val="1"/>
      <w:numFmt w:val="decimal"/>
      <w:lvlText w:val="%7."/>
      <w:lvlJc w:val="left"/>
      <w:pPr>
        <w:ind w:left="5040" w:hanging="360"/>
      </w:pPr>
    </w:lvl>
    <w:lvl w:ilvl="7" w:tplc="32AA2608" w:tentative="1">
      <w:start w:val="1"/>
      <w:numFmt w:val="lowerLetter"/>
      <w:lvlText w:val="%8."/>
      <w:lvlJc w:val="left"/>
      <w:pPr>
        <w:ind w:left="5760" w:hanging="360"/>
      </w:pPr>
    </w:lvl>
    <w:lvl w:ilvl="8" w:tplc="64AA344C"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D9A8B81A">
      <w:start w:val="1"/>
      <w:numFmt w:val="decimal"/>
      <w:lvlText w:val="%1."/>
      <w:lvlJc w:val="left"/>
      <w:pPr>
        <w:ind w:left="720" w:hanging="360"/>
      </w:pPr>
      <w:rPr>
        <w:rFonts w:hint="default"/>
      </w:rPr>
    </w:lvl>
    <w:lvl w:ilvl="1" w:tplc="5E8C9C38" w:tentative="1">
      <w:start w:val="1"/>
      <w:numFmt w:val="lowerLetter"/>
      <w:lvlText w:val="%2."/>
      <w:lvlJc w:val="left"/>
      <w:pPr>
        <w:ind w:left="1440" w:hanging="360"/>
      </w:pPr>
    </w:lvl>
    <w:lvl w:ilvl="2" w:tplc="8594F78A" w:tentative="1">
      <w:start w:val="1"/>
      <w:numFmt w:val="lowerRoman"/>
      <w:lvlText w:val="%3."/>
      <w:lvlJc w:val="right"/>
      <w:pPr>
        <w:ind w:left="2160" w:hanging="180"/>
      </w:pPr>
    </w:lvl>
    <w:lvl w:ilvl="3" w:tplc="F3385106" w:tentative="1">
      <w:start w:val="1"/>
      <w:numFmt w:val="decimal"/>
      <w:lvlText w:val="%4."/>
      <w:lvlJc w:val="left"/>
      <w:pPr>
        <w:ind w:left="2880" w:hanging="360"/>
      </w:pPr>
    </w:lvl>
    <w:lvl w:ilvl="4" w:tplc="E1C49BC2" w:tentative="1">
      <w:start w:val="1"/>
      <w:numFmt w:val="lowerLetter"/>
      <w:lvlText w:val="%5."/>
      <w:lvlJc w:val="left"/>
      <w:pPr>
        <w:ind w:left="3600" w:hanging="360"/>
      </w:pPr>
    </w:lvl>
    <w:lvl w:ilvl="5" w:tplc="D7D23B54" w:tentative="1">
      <w:start w:val="1"/>
      <w:numFmt w:val="lowerRoman"/>
      <w:lvlText w:val="%6."/>
      <w:lvlJc w:val="right"/>
      <w:pPr>
        <w:ind w:left="4320" w:hanging="180"/>
      </w:pPr>
    </w:lvl>
    <w:lvl w:ilvl="6" w:tplc="96EC732A" w:tentative="1">
      <w:start w:val="1"/>
      <w:numFmt w:val="decimal"/>
      <w:lvlText w:val="%7."/>
      <w:lvlJc w:val="left"/>
      <w:pPr>
        <w:ind w:left="5040" w:hanging="360"/>
      </w:pPr>
    </w:lvl>
    <w:lvl w:ilvl="7" w:tplc="A5A662AA" w:tentative="1">
      <w:start w:val="1"/>
      <w:numFmt w:val="lowerLetter"/>
      <w:lvlText w:val="%8."/>
      <w:lvlJc w:val="left"/>
      <w:pPr>
        <w:ind w:left="5760" w:hanging="360"/>
      </w:pPr>
    </w:lvl>
    <w:lvl w:ilvl="8" w:tplc="7F8C9B36"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1752296C">
      <w:start w:val="1"/>
      <w:numFmt w:val="lowerLetter"/>
      <w:lvlText w:val="(%1)"/>
      <w:lvlJc w:val="left"/>
      <w:pPr>
        <w:ind w:left="720" w:hanging="360"/>
      </w:pPr>
      <w:rPr>
        <w:rFonts w:hint="default"/>
      </w:rPr>
    </w:lvl>
    <w:lvl w:ilvl="1" w:tplc="91283350" w:tentative="1">
      <w:start w:val="1"/>
      <w:numFmt w:val="lowerLetter"/>
      <w:lvlText w:val="%2."/>
      <w:lvlJc w:val="left"/>
      <w:pPr>
        <w:ind w:left="1440" w:hanging="360"/>
      </w:pPr>
    </w:lvl>
    <w:lvl w:ilvl="2" w:tplc="071AAE4C" w:tentative="1">
      <w:start w:val="1"/>
      <w:numFmt w:val="lowerRoman"/>
      <w:lvlText w:val="%3."/>
      <w:lvlJc w:val="right"/>
      <w:pPr>
        <w:ind w:left="2160" w:hanging="180"/>
      </w:pPr>
    </w:lvl>
    <w:lvl w:ilvl="3" w:tplc="197AE15E" w:tentative="1">
      <w:start w:val="1"/>
      <w:numFmt w:val="decimal"/>
      <w:lvlText w:val="%4."/>
      <w:lvlJc w:val="left"/>
      <w:pPr>
        <w:ind w:left="2880" w:hanging="360"/>
      </w:pPr>
    </w:lvl>
    <w:lvl w:ilvl="4" w:tplc="4D449F48" w:tentative="1">
      <w:start w:val="1"/>
      <w:numFmt w:val="lowerLetter"/>
      <w:lvlText w:val="%5."/>
      <w:lvlJc w:val="left"/>
      <w:pPr>
        <w:ind w:left="3600" w:hanging="360"/>
      </w:pPr>
    </w:lvl>
    <w:lvl w:ilvl="5" w:tplc="26A00AEE" w:tentative="1">
      <w:start w:val="1"/>
      <w:numFmt w:val="lowerRoman"/>
      <w:lvlText w:val="%6."/>
      <w:lvlJc w:val="right"/>
      <w:pPr>
        <w:ind w:left="4320" w:hanging="180"/>
      </w:pPr>
    </w:lvl>
    <w:lvl w:ilvl="6" w:tplc="AA449BF8" w:tentative="1">
      <w:start w:val="1"/>
      <w:numFmt w:val="decimal"/>
      <w:lvlText w:val="%7."/>
      <w:lvlJc w:val="left"/>
      <w:pPr>
        <w:ind w:left="5040" w:hanging="360"/>
      </w:pPr>
    </w:lvl>
    <w:lvl w:ilvl="7" w:tplc="19C02950" w:tentative="1">
      <w:start w:val="1"/>
      <w:numFmt w:val="lowerLetter"/>
      <w:lvlText w:val="%8."/>
      <w:lvlJc w:val="left"/>
      <w:pPr>
        <w:ind w:left="5760" w:hanging="360"/>
      </w:pPr>
    </w:lvl>
    <w:lvl w:ilvl="8" w:tplc="58680346"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8D2C6D10">
      <w:start w:val="1"/>
      <w:numFmt w:val="lowerLetter"/>
      <w:lvlText w:val="(%1)"/>
      <w:lvlJc w:val="left"/>
      <w:pPr>
        <w:ind w:left="750" w:hanging="390"/>
      </w:pPr>
      <w:rPr>
        <w:rFonts w:hint="default"/>
      </w:rPr>
    </w:lvl>
    <w:lvl w:ilvl="1" w:tplc="7F44F512" w:tentative="1">
      <w:start w:val="1"/>
      <w:numFmt w:val="lowerLetter"/>
      <w:lvlText w:val="%2."/>
      <w:lvlJc w:val="left"/>
      <w:pPr>
        <w:ind w:left="1440" w:hanging="360"/>
      </w:pPr>
    </w:lvl>
    <w:lvl w:ilvl="2" w:tplc="7B946296" w:tentative="1">
      <w:start w:val="1"/>
      <w:numFmt w:val="lowerRoman"/>
      <w:lvlText w:val="%3."/>
      <w:lvlJc w:val="right"/>
      <w:pPr>
        <w:ind w:left="2160" w:hanging="180"/>
      </w:pPr>
    </w:lvl>
    <w:lvl w:ilvl="3" w:tplc="95904158" w:tentative="1">
      <w:start w:val="1"/>
      <w:numFmt w:val="decimal"/>
      <w:lvlText w:val="%4."/>
      <w:lvlJc w:val="left"/>
      <w:pPr>
        <w:ind w:left="2880" w:hanging="360"/>
      </w:pPr>
    </w:lvl>
    <w:lvl w:ilvl="4" w:tplc="4866E6E2" w:tentative="1">
      <w:start w:val="1"/>
      <w:numFmt w:val="lowerLetter"/>
      <w:lvlText w:val="%5."/>
      <w:lvlJc w:val="left"/>
      <w:pPr>
        <w:ind w:left="3600" w:hanging="360"/>
      </w:pPr>
    </w:lvl>
    <w:lvl w:ilvl="5" w:tplc="079C2C5A" w:tentative="1">
      <w:start w:val="1"/>
      <w:numFmt w:val="lowerRoman"/>
      <w:lvlText w:val="%6."/>
      <w:lvlJc w:val="right"/>
      <w:pPr>
        <w:ind w:left="4320" w:hanging="180"/>
      </w:pPr>
    </w:lvl>
    <w:lvl w:ilvl="6" w:tplc="C8285322" w:tentative="1">
      <w:start w:val="1"/>
      <w:numFmt w:val="decimal"/>
      <w:lvlText w:val="%7."/>
      <w:lvlJc w:val="left"/>
      <w:pPr>
        <w:ind w:left="5040" w:hanging="360"/>
      </w:pPr>
    </w:lvl>
    <w:lvl w:ilvl="7" w:tplc="9B243FF4" w:tentative="1">
      <w:start w:val="1"/>
      <w:numFmt w:val="lowerLetter"/>
      <w:lvlText w:val="%8."/>
      <w:lvlJc w:val="left"/>
      <w:pPr>
        <w:ind w:left="5760" w:hanging="360"/>
      </w:pPr>
    </w:lvl>
    <w:lvl w:ilvl="8" w:tplc="C51EA94C"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983254B0">
      <w:start w:val="1"/>
      <w:numFmt w:val="lowerLetter"/>
      <w:lvlText w:val="(%1)"/>
      <w:lvlJc w:val="left"/>
      <w:pPr>
        <w:ind w:left="720" w:hanging="360"/>
      </w:pPr>
      <w:rPr>
        <w:rFonts w:hint="default"/>
      </w:rPr>
    </w:lvl>
    <w:lvl w:ilvl="1" w:tplc="3582294C" w:tentative="1">
      <w:start w:val="1"/>
      <w:numFmt w:val="lowerLetter"/>
      <w:lvlText w:val="%2."/>
      <w:lvlJc w:val="left"/>
      <w:pPr>
        <w:ind w:left="1440" w:hanging="360"/>
      </w:pPr>
    </w:lvl>
    <w:lvl w:ilvl="2" w:tplc="93F0ED10" w:tentative="1">
      <w:start w:val="1"/>
      <w:numFmt w:val="lowerRoman"/>
      <w:lvlText w:val="%3."/>
      <w:lvlJc w:val="right"/>
      <w:pPr>
        <w:ind w:left="2160" w:hanging="180"/>
      </w:pPr>
    </w:lvl>
    <w:lvl w:ilvl="3" w:tplc="1B724FF4" w:tentative="1">
      <w:start w:val="1"/>
      <w:numFmt w:val="decimal"/>
      <w:lvlText w:val="%4."/>
      <w:lvlJc w:val="left"/>
      <w:pPr>
        <w:ind w:left="2880" w:hanging="360"/>
      </w:pPr>
    </w:lvl>
    <w:lvl w:ilvl="4" w:tplc="9C24BCA0" w:tentative="1">
      <w:start w:val="1"/>
      <w:numFmt w:val="lowerLetter"/>
      <w:lvlText w:val="%5."/>
      <w:lvlJc w:val="left"/>
      <w:pPr>
        <w:ind w:left="3600" w:hanging="360"/>
      </w:pPr>
    </w:lvl>
    <w:lvl w:ilvl="5" w:tplc="F23ECFEA" w:tentative="1">
      <w:start w:val="1"/>
      <w:numFmt w:val="lowerRoman"/>
      <w:lvlText w:val="%6."/>
      <w:lvlJc w:val="right"/>
      <w:pPr>
        <w:ind w:left="4320" w:hanging="180"/>
      </w:pPr>
    </w:lvl>
    <w:lvl w:ilvl="6" w:tplc="DFAC899A" w:tentative="1">
      <w:start w:val="1"/>
      <w:numFmt w:val="decimal"/>
      <w:lvlText w:val="%7."/>
      <w:lvlJc w:val="left"/>
      <w:pPr>
        <w:ind w:left="5040" w:hanging="360"/>
      </w:pPr>
    </w:lvl>
    <w:lvl w:ilvl="7" w:tplc="610EAF80" w:tentative="1">
      <w:start w:val="1"/>
      <w:numFmt w:val="lowerLetter"/>
      <w:lvlText w:val="%8."/>
      <w:lvlJc w:val="left"/>
      <w:pPr>
        <w:ind w:left="5760" w:hanging="360"/>
      </w:pPr>
    </w:lvl>
    <w:lvl w:ilvl="8" w:tplc="47D0745C"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IT"/>
    <w:docVar w:name="TXTLANGUEMIN" w:val="it"/>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IT.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E7234"/>
    <w:rsid w:val="000F2A80"/>
    <w:rsid w:val="000F7815"/>
    <w:rsid w:val="00104147"/>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31602"/>
    <w:rsid w:val="00231D55"/>
    <w:rsid w:val="00231EA7"/>
    <w:rsid w:val="00234AF6"/>
    <w:rsid w:val="00236619"/>
    <w:rsid w:val="00251FBF"/>
    <w:rsid w:val="002574CB"/>
    <w:rsid w:val="002651D4"/>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7739B"/>
    <w:rsid w:val="00495E20"/>
    <w:rsid w:val="004E0AAC"/>
    <w:rsid w:val="004E1C4C"/>
    <w:rsid w:val="004F03F0"/>
    <w:rsid w:val="004F2903"/>
    <w:rsid w:val="00507587"/>
    <w:rsid w:val="0051673F"/>
    <w:rsid w:val="005246D8"/>
    <w:rsid w:val="00526750"/>
    <w:rsid w:val="00547F73"/>
    <w:rsid w:val="00557617"/>
    <w:rsid w:val="00571479"/>
    <w:rsid w:val="00575DD1"/>
    <w:rsid w:val="005A7205"/>
    <w:rsid w:val="005A7EB4"/>
    <w:rsid w:val="005B32E3"/>
    <w:rsid w:val="005E50C2"/>
    <w:rsid w:val="005F50E0"/>
    <w:rsid w:val="00607ABE"/>
    <w:rsid w:val="00620056"/>
    <w:rsid w:val="00632453"/>
    <w:rsid w:val="006337D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356D5"/>
    <w:rsid w:val="00966038"/>
    <w:rsid w:val="009A65D8"/>
    <w:rsid w:val="009B0305"/>
    <w:rsid w:val="009C1DC1"/>
    <w:rsid w:val="009F230F"/>
    <w:rsid w:val="00A15973"/>
    <w:rsid w:val="00A233E9"/>
    <w:rsid w:val="00A3198A"/>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65E80"/>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1072</Words>
  <Characters>6583</Characters>
  <Application>Microsoft Office Word</Application>
  <DocSecurity>0</DocSecurity>
  <Lines>256</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2026-07-08T14:34:00Z</dcterms:created>
  <dcterms:modified xsi:type="dcterms:W3CDTF">2026-07-08T14:34:00Z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- 2026/07/08 16:31</vt:lpwstr>
  </property>
  <property fmtid="{D5CDD505-2E9C-101B-9397-08002B2CF9AE}" pid="9" name="Created with">
    <vt:lpwstr>10.3.0 Build [20260401]</vt:lpwstr>
  </property>
  <property fmtid="{D5CDD505-2E9C-101B-9397-08002B2CF9AE}" pid="10" name="FooterPath">
    <vt:lpwstr>AM\1346405IT.docx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790.136</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- 2026/06/24 17:59</vt:lpwstr>
  </property>
</Properties>
</file>