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60809" w:rsidRPr="00F004FC" w14:paraId="4256402F" w14:textId="77777777" w:rsidTr="00C85D0F">
        <w:trPr>
          <w:trHeight w:hRule="exact" w:val="1418"/>
        </w:trPr>
        <w:tc>
          <w:tcPr>
            <w:tcW w:w="6804" w:type="dxa"/>
            <w:shd w:val="clear" w:color="auto" w:fill="auto"/>
            <w:vAlign w:val="center"/>
          </w:tcPr>
          <w:p w14:paraId="46B4A21D" w14:textId="77777777" w:rsidR="00BE5062" w:rsidRPr="00F004FC" w:rsidRDefault="005261DB" w:rsidP="00C85D0F">
            <w:pPr>
              <w:pStyle w:val="EPName"/>
            </w:pPr>
            <w:r w:rsidRPr="00F004FC">
              <w:t>Parlament Ewropew</w:t>
            </w:r>
          </w:p>
          <w:p w14:paraId="1ABC09AE" w14:textId="77777777" w:rsidR="00BE5062" w:rsidRPr="00F004FC" w:rsidRDefault="005261DB" w:rsidP="00C85D0F">
            <w:pPr>
              <w:pStyle w:val="EPTerm"/>
            </w:pPr>
            <w:r w:rsidRPr="00F004FC">
              <w:t>2024-2029</w:t>
            </w:r>
          </w:p>
        </w:tc>
        <w:tc>
          <w:tcPr>
            <w:tcW w:w="2268" w:type="dxa"/>
            <w:shd w:val="clear" w:color="auto" w:fill="auto"/>
          </w:tcPr>
          <w:p w14:paraId="3ACC1534" w14:textId="77777777" w:rsidR="00BE5062" w:rsidRPr="00F004FC" w:rsidRDefault="005261DB" w:rsidP="00C85D0F">
            <w:pPr>
              <w:pStyle w:val="EPLogo"/>
            </w:pPr>
            <w:r w:rsidRPr="00F004FC">
              <w:rPr>
                <w:noProof/>
              </w:rPr>
              <w:drawing>
                <wp:inline distT="0" distB="0" distL="0" distR="0" wp14:anchorId="543B8FB5" wp14:editId="0C0504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1E9322E" w14:textId="77777777" w:rsidR="000E7234" w:rsidRPr="00F004FC" w:rsidRDefault="000E7234" w:rsidP="000E7234">
      <w:pPr>
        <w:pStyle w:val="LineTop"/>
      </w:pPr>
    </w:p>
    <w:p w14:paraId="6A36BFC9" w14:textId="77777777" w:rsidR="000E7234" w:rsidRPr="00F004FC" w:rsidRDefault="005261DB" w:rsidP="000E7234">
      <w:pPr>
        <w:pStyle w:val="EPBody"/>
      </w:pPr>
      <w:r w:rsidRPr="00F004FC">
        <w:rPr>
          <w:rStyle w:val="HideTWBExt"/>
        </w:rPr>
        <w:t>&lt;</w:t>
      </w:r>
      <w:r w:rsidRPr="00F004FC">
        <w:rPr>
          <w:rStyle w:val="HideTWBExt"/>
          <w:i w:val="0"/>
        </w:rPr>
        <w:t>Commission</w:t>
      </w:r>
      <w:r w:rsidRPr="00F004FC">
        <w:rPr>
          <w:rStyle w:val="HideTWBExt"/>
        </w:rPr>
        <w:t>&gt;</w:t>
      </w:r>
      <w:r w:rsidRPr="00F004FC">
        <w:rPr>
          <w:rStyle w:val="HideTWBInt"/>
          <w:color w:val="auto"/>
        </w:rPr>
        <w:t>{LIBE}</w:t>
      </w:r>
      <w:r w:rsidRPr="00F004FC">
        <w:t>Kumitat għal-Libertajiet Ċivili, il-Ġustizzja u l-Intern</w:t>
      </w:r>
      <w:r w:rsidRPr="00F004FC">
        <w:rPr>
          <w:rStyle w:val="HideTWBExt"/>
        </w:rPr>
        <w:t>&lt;/</w:t>
      </w:r>
      <w:r w:rsidRPr="00F004FC">
        <w:rPr>
          <w:rStyle w:val="HideTWBExt"/>
          <w:i w:val="0"/>
        </w:rPr>
        <w:t>Commission</w:t>
      </w:r>
      <w:r w:rsidRPr="00F004FC">
        <w:rPr>
          <w:rStyle w:val="HideTWBExt"/>
        </w:rPr>
        <w:t>&gt;</w:t>
      </w:r>
    </w:p>
    <w:p w14:paraId="51688140" w14:textId="77777777" w:rsidR="000E7234" w:rsidRPr="00F004FC" w:rsidRDefault="000E7234" w:rsidP="000E7234">
      <w:pPr>
        <w:pStyle w:val="LineBottom"/>
      </w:pPr>
    </w:p>
    <w:p w14:paraId="31334F10" w14:textId="77777777" w:rsidR="00B85286" w:rsidRPr="00F004FC" w:rsidRDefault="005261DB">
      <w:pPr>
        <w:pStyle w:val="CoverReference"/>
      </w:pPr>
      <w:r w:rsidRPr="00F004FC">
        <w:rPr>
          <w:rStyle w:val="HideTWBExt"/>
          <w:b w:val="0"/>
        </w:rPr>
        <w:t>&lt;RefProc&gt;</w:t>
      </w:r>
      <w:r w:rsidRPr="00F004FC">
        <w:t>2025/0541</w:t>
      </w:r>
      <w:r w:rsidRPr="00F004FC">
        <w:rPr>
          <w:rStyle w:val="HideTWBExt"/>
          <w:b w:val="0"/>
        </w:rPr>
        <w:t>&lt;/RefProc&gt;&lt;RefTypeProc&gt;</w:t>
      </w:r>
      <w:r w:rsidRPr="00F004FC">
        <w:t>(COD)</w:t>
      </w:r>
      <w:r w:rsidRPr="00F004FC">
        <w:rPr>
          <w:rStyle w:val="HideTWBExt"/>
          <w:b w:val="0"/>
        </w:rPr>
        <w:t>&lt;/RefTypeProc&gt;</w:t>
      </w:r>
    </w:p>
    <w:p w14:paraId="186CF859" w14:textId="77777777" w:rsidR="00B85286" w:rsidRPr="00F004FC" w:rsidRDefault="005261DB">
      <w:pPr>
        <w:pStyle w:val="CoverDate"/>
      </w:pPr>
      <w:r w:rsidRPr="00F004FC">
        <w:rPr>
          <w:rStyle w:val="HideTWBExt"/>
        </w:rPr>
        <w:t>&lt;Date&gt;</w:t>
      </w:r>
      <w:r w:rsidRPr="00F004FC">
        <w:rPr>
          <w:rStyle w:val="HideTWBInt"/>
          <w:color w:val="auto"/>
        </w:rPr>
        <w:t>{24/06/2026}</w:t>
      </w:r>
      <w:r w:rsidRPr="00F004FC">
        <w:t>24.6.2026</w:t>
      </w:r>
      <w:r w:rsidRPr="00F004FC">
        <w:rPr>
          <w:rStyle w:val="HideTWBExt"/>
        </w:rPr>
        <w:t>&lt;/Date&gt;</w:t>
      </w:r>
    </w:p>
    <w:p w14:paraId="27803883" w14:textId="77777777" w:rsidR="009B0305" w:rsidRPr="00F004FC" w:rsidRDefault="005261DB" w:rsidP="009B0305">
      <w:pPr>
        <w:pStyle w:val="CoverDocType"/>
      </w:pPr>
      <w:r w:rsidRPr="00F004FC">
        <w:rPr>
          <w:rStyle w:val="HideTWBExt"/>
          <w:b w:val="0"/>
        </w:rPr>
        <w:t>&lt;TypeAM&gt;</w:t>
      </w:r>
      <w:r w:rsidRPr="00F004FC">
        <w:t>EMENDA</w:t>
      </w:r>
      <w:r w:rsidRPr="00F004FC">
        <w:rPr>
          <w:rStyle w:val="HideTWBExt"/>
          <w:b w:val="0"/>
        </w:rPr>
        <w:t>&lt;/TypeAM&gt;</w:t>
      </w:r>
    </w:p>
    <w:p w14:paraId="7D04CCAF" w14:textId="77777777" w:rsidR="00B85286" w:rsidRPr="00F004FC" w:rsidRDefault="005261DB" w:rsidP="001C2054">
      <w:pPr>
        <w:pStyle w:val="CoverDocType24a"/>
      </w:pPr>
      <w:r w:rsidRPr="00F004FC">
        <w:rPr>
          <w:rStyle w:val="HideTWBExt"/>
          <w:b w:val="0"/>
        </w:rPr>
        <w:t>&lt;RangeAM&gt;</w:t>
      </w:r>
      <w:r w:rsidRPr="00F004FC">
        <w:t>206</w:t>
      </w:r>
      <w:r w:rsidRPr="00F004FC">
        <w:rPr>
          <w:rStyle w:val="HideTWBExt"/>
          <w:b w:val="0"/>
        </w:rPr>
        <w:t>&lt;/RangeAM&gt;</w:t>
      </w:r>
    </w:p>
    <w:p w14:paraId="3C2D4046" w14:textId="77777777" w:rsidR="001C2054" w:rsidRPr="00F004FC" w:rsidRDefault="005261DB" w:rsidP="00A93F8C">
      <w:pPr>
        <w:pStyle w:val="CoverBold"/>
      </w:pPr>
      <w:r w:rsidRPr="00F004FC">
        <w:rPr>
          <w:rStyle w:val="HideTWBExt"/>
          <w:b w:val="0"/>
        </w:rPr>
        <w:t>&lt;TitreType&gt;</w:t>
      </w:r>
      <w:r w:rsidRPr="00F004FC">
        <w:t>Abbozz ta’ rapport</w:t>
      </w:r>
      <w:r w:rsidRPr="00F004FC">
        <w:rPr>
          <w:rStyle w:val="HideTWBExt"/>
          <w:b w:val="0"/>
        </w:rPr>
        <w:t>&lt;/TitreType&gt;</w:t>
      </w:r>
    </w:p>
    <w:p w14:paraId="2F078A15" w14:textId="77777777" w:rsidR="00B85286" w:rsidRPr="00F004FC" w:rsidRDefault="005261DB" w:rsidP="00A93F8C">
      <w:pPr>
        <w:pStyle w:val="CoverBold"/>
      </w:pPr>
      <w:r w:rsidRPr="00F004FC">
        <w:rPr>
          <w:rStyle w:val="HideTWBExt"/>
          <w:b w:val="0"/>
        </w:rPr>
        <w:t>&lt;Rapporteur&gt;</w:t>
      </w:r>
      <w:r w:rsidRPr="00F004FC">
        <w:t>Karlo Ressler</w:t>
      </w:r>
      <w:r w:rsidRPr="00F004FC">
        <w:rPr>
          <w:rStyle w:val="HideTWBExt"/>
          <w:b w:val="0"/>
        </w:rPr>
        <w:t>&lt;/Rapporteur&gt;</w:t>
      </w:r>
    </w:p>
    <w:p w14:paraId="4F491A80" w14:textId="77777777" w:rsidR="00B85286" w:rsidRPr="00F004FC" w:rsidRDefault="005261DB">
      <w:pPr>
        <w:pStyle w:val="CoverNormal24a"/>
      </w:pPr>
      <w:r w:rsidRPr="00F004FC">
        <w:rPr>
          <w:rStyle w:val="HideTWBExt"/>
        </w:rPr>
        <w:t>&lt;DocRefPE&gt;</w:t>
      </w:r>
      <w:r w:rsidRPr="00F004FC">
        <w:t>(PE788.793v01-00)</w:t>
      </w:r>
      <w:r w:rsidRPr="00F004FC">
        <w:rPr>
          <w:rStyle w:val="HideTWBExt"/>
        </w:rPr>
        <w:t>&lt;/DocRefPE&gt;</w:t>
      </w:r>
    </w:p>
    <w:p w14:paraId="428A764B" w14:textId="77777777" w:rsidR="00B85286" w:rsidRPr="00F004FC" w:rsidRDefault="005261DB">
      <w:pPr>
        <w:pStyle w:val="CoverNormal24a"/>
      </w:pPr>
      <w:r w:rsidRPr="00F004FC">
        <w:rPr>
          <w:rStyle w:val="HideTWBExt"/>
        </w:rPr>
        <w:t>&lt;Titre&gt;</w:t>
      </w:r>
      <w:r w:rsidRPr="00F004FC">
        <w:t xml:space="preserve">dwar il-proposta għal regolament tal-Parlament Ewropew u tal-Kunsill li tistabbilixxi l-appoġġ </w:t>
      </w:r>
      <w:r w:rsidRPr="00F004FC">
        <w:t>tal-Unjoni għaż-żona Schengen, għall-ġestjoni integrata Ewropea tal-fruntieri u għall-politika komuni dwar il-viżi għall-perjodu mill-2028 sal-2034</w:t>
      </w:r>
      <w:r w:rsidRPr="00F004FC">
        <w:rPr>
          <w:rStyle w:val="HideTWBExt"/>
        </w:rPr>
        <w:t>&lt;/Titre&gt;</w:t>
      </w:r>
    </w:p>
    <w:p w14:paraId="54E8F443" w14:textId="77777777" w:rsidR="006337D4" w:rsidRPr="00F004FC" w:rsidRDefault="005261DB" w:rsidP="006337D4">
      <w:pPr>
        <w:pStyle w:val="CoverNormal"/>
      </w:pPr>
      <w:r w:rsidRPr="00F004FC">
        <w:rPr>
          <w:rStyle w:val="HideTWBExt"/>
        </w:rPr>
        <w:t>&lt;DocAmend&gt;</w:t>
      </w:r>
      <w:r w:rsidRPr="00F004FC">
        <w:t>Proposta għal regolament</w:t>
      </w:r>
      <w:r w:rsidRPr="00F004FC">
        <w:rPr>
          <w:rStyle w:val="HideTWBExt"/>
        </w:rPr>
        <w:t>&lt;/DocAmend&gt;</w:t>
      </w:r>
    </w:p>
    <w:p w14:paraId="07EF8017" w14:textId="77777777" w:rsidR="00B85286" w:rsidRPr="00F004FC" w:rsidRDefault="005261DB">
      <w:pPr>
        <w:pStyle w:val="CoverNormal24a"/>
      </w:pPr>
      <w:r w:rsidRPr="00F004FC">
        <w:rPr>
          <w:rStyle w:val="HideTWBExt"/>
        </w:rPr>
        <w:t>&lt;DocRef&gt;</w:t>
      </w:r>
      <w:r w:rsidRPr="00F004FC">
        <w:t>(COM(2025)0541 – C10</w:t>
      </w:r>
      <w:r w:rsidRPr="00F004FC">
        <w:noBreakHyphen/>
        <w:t>0176/2025 – 2025/0541(COD))</w:t>
      </w:r>
      <w:r w:rsidRPr="00F004FC">
        <w:rPr>
          <w:rStyle w:val="HideTWBExt"/>
        </w:rPr>
        <w:t>&lt;/DocRef&gt;</w:t>
      </w:r>
    </w:p>
    <w:p w14:paraId="0A11AC5B" w14:textId="77777777" w:rsidR="00B85286" w:rsidRPr="00F004FC" w:rsidRDefault="005261DB" w:rsidP="00E660E2">
      <w:pPr>
        <w:widowControl/>
        <w:tabs>
          <w:tab w:val="center" w:pos="4677"/>
        </w:tabs>
      </w:pPr>
      <w:r w:rsidRPr="00F004FC">
        <w:br w:type="page"/>
      </w:r>
      <w:r w:rsidRPr="00F004FC">
        <w:lastRenderedPageBreak/>
        <w:t>AM_Com_LegReport</w:t>
      </w:r>
    </w:p>
    <w:p w14:paraId="630DC2CC" w14:textId="77777777" w:rsidR="003E43AC" w:rsidRPr="00F004FC" w:rsidRDefault="005261DB" w:rsidP="001444E0">
      <w:pPr>
        <w:pStyle w:val="AmNumberTabs"/>
        <w:keepNext/>
      </w:pPr>
      <w:r w:rsidRPr="00F004FC">
        <w:br w:type="page"/>
      </w:r>
      <w:bookmarkStart w:id="0" w:name="IntroB"/>
      <w:r w:rsidRPr="00F004FC">
        <w:rPr>
          <w:rStyle w:val="HideTWBExt"/>
          <w:b w:val="0"/>
        </w:rPr>
        <w:lastRenderedPageBreak/>
        <w:t>&lt;RepeatBlock-Amend&gt;</w:t>
      </w:r>
      <w:bookmarkStart w:id="1" w:name="restart"/>
      <w:bookmarkEnd w:id="0"/>
      <w:r w:rsidRPr="00F004FC">
        <w:rPr>
          <w:rStyle w:val="HideTWBExt"/>
          <w:b w:val="0"/>
        </w:rPr>
        <w:t>&lt;Amend&gt;</w:t>
      </w:r>
      <w:r w:rsidRPr="00F004FC">
        <w:t>Emenda</w:t>
      </w:r>
      <w:r w:rsidRPr="00F004FC">
        <w:tab/>
      </w:r>
      <w:r w:rsidRPr="00F004FC">
        <w:tab/>
      </w:r>
      <w:r w:rsidRPr="00F004FC">
        <w:rPr>
          <w:rStyle w:val="HideTWBExt"/>
          <w:b w:val="0"/>
        </w:rPr>
        <w:t>&lt;NumAm&gt;</w:t>
      </w:r>
      <w:r w:rsidRPr="00F004FC">
        <w:t>206</w:t>
      </w:r>
      <w:r w:rsidRPr="00F004FC">
        <w:rPr>
          <w:rStyle w:val="HideTWBExt"/>
          <w:b w:val="0"/>
        </w:rPr>
        <w:t>&lt;/NumAm&gt;</w:t>
      </w:r>
    </w:p>
    <w:p w14:paraId="21F6FE9A" w14:textId="77777777" w:rsidR="005B32E3" w:rsidRPr="00F004FC" w:rsidRDefault="005261DB" w:rsidP="005B32E3">
      <w:pPr>
        <w:pStyle w:val="NormalBold"/>
      </w:pPr>
      <w:r w:rsidRPr="00F004FC">
        <w:rPr>
          <w:rStyle w:val="HideTWBExt"/>
          <w:b w:val="0"/>
        </w:rPr>
        <w:t>&lt;RepeatBlock-By&gt;&lt;Members&gt;</w:t>
      </w:r>
      <w:r w:rsidRPr="00F004FC">
        <w:t>Murielle Laurent</w:t>
      </w:r>
      <w:r w:rsidRPr="00F004FC">
        <w:rPr>
          <w:rStyle w:val="HideTWBExt"/>
          <w:b w:val="0"/>
        </w:rPr>
        <w:t>&lt;/Members&gt;</w:t>
      </w:r>
    </w:p>
    <w:p w14:paraId="1B922267" w14:textId="77777777" w:rsidR="005B32E3" w:rsidRPr="00F004FC" w:rsidRDefault="005261DB" w:rsidP="005B32E3">
      <w:r w:rsidRPr="00F004FC">
        <w:rPr>
          <w:rStyle w:val="HideTWBExt"/>
        </w:rPr>
        <w:t>&lt;/RepeatBlock-By&gt;</w:t>
      </w:r>
    </w:p>
    <w:p w14:paraId="503E95B2" w14:textId="77777777" w:rsidR="009B0305" w:rsidRPr="00F004FC" w:rsidRDefault="005261DB" w:rsidP="005B32E3">
      <w:pPr>
        <w:pStyle w:val="NormalBold"/>
      </w:pPr>
      <w:r w:rsidRPr="00F004FC">
        <w:rPr>
          <w:rStyle w:val="HideTWBExt"/>
          <w:b w:val="0"/>
        </w:rPr>
        <w:t>&lt;DocAmend&gt;</w:t>
      </w:r>
      <w:r w:rsidRPr="00F004FC">
        <w:t>Proposta għal regolament</w:t>
      </w:r>
      <w:r w:rsidRPr="00F004FC">
        <w:rPr>
          <w:rStyle w:val="HideTWBExt"/>
          <w:b w:val="0"/>
        </w:rPr>
        <w:t>&lt;/DocAmend&gt;</w:t>
      </w:r>
    </w:p>
    <w:p w14:paraId="0C01A40F" w14:textId="77777777" w:rsidR="009B0305" w:rsidRPr="00F004FC" w:rsidRDefault="005261DB" w:rsidP="00A233E9">
      <w:pPr>
        <w:pStyle w:val="NormalBold"/>
        <w:keepNext/>
      </w:pPr>
      <w:r w:rsidRPr="00F004FC">
        <w:rPr>
          <w:rStyle w:val="HideTWBExt"/>
          <w:b w:val="0"/>
        </w:rPr>
        <w:t>&lt;Article&gt;</w:t>
      </w:r>
      <w:r w:rsidRPr="00F004FC">
        <w:t>Anness (ġdid)</w:t>
      </w:r>
      <w:r w:rsidRPr="00F004F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60809" w:rsidRPr="00F004FC" w14:paraId="29634731" w14:textId="77777777">
        <w:trPr>
          <w:jc w:val="center"/>
        </w:trPr>
        <w:tc>
          <w:tcPr>
            <w:tcW w:w="9752" w:type="dxa"/>
            <w:gridSpan w:val="2"/>
          </w:tcPr>
          <w:p w14:paraId="35FF977C" w14:textId="77777777" w:rsidR="009A65D8" w:rsidRPr="00F004FC" w:rsidRDefault="009A65D8" w:rsidP="00A233E9">
            <w:pPr>
              <w:keepNext/>
            </w:pPr>
          </w:p>
        </w:tc>
      </w:tr>
      <w:tr w:rsidR="00A60809" w:rsidRPr="00F004FC" w14:paraId="4A34BDBC" w14:textId="77777777">
        <w:trPr>
          <w:jc w:val="center"/>
        </w:trPr>
        <w:tc>
          <w:tcPr>
            <w:tcW w:w="4876" w:type="dxa"/>
          </w:tcPr>
          <w:p w14:paraId="60AEDFCA" w14:textId="77777777" w:rsidR="009A65D8" w:rsidRPr="00F004FC" w:rsidRDefault="005261DB" w:rsidP="00A233E9">
            <w:pPr>
              <w:pStyle w:val="AmColumnHeading"/>
              <w:keepNext/>
            </w:pPr>
            <w:r w:rsidRPr="00F004FC">
              <w:t xml:space="preserve">Test propost </w:t>
            </w:r>
            <w:r w:rsidRPr="00F004FC">
              <w:t>mill-Kummissjoni</w:t>
            </w:r>
          </w:p>
        </w:tc>
        <w:tc>
          <w:tcPr>
            <w:tcW w:w="4876" w:type="dxa"/>
          </w:tcPr>
          <w:p w14:paraId="2FCC430B" w14:textId="77777777" w:rsidR="009A65D8" w:rsidRPr="00F004FC" w:rsidRDefault="005261DB" w:rsidP="00A233E9">
            <w:pPr>
              <w:pStyle w:val="AmColumnHeading"/>
              <w:keepNext/>
            </w:pPr>
            <w:r w:rsidRPr="00F004FC">
              <w:t>Emenda</w:t>
            </w:r>
          </w:p>
        </w:tc>
      </w:tr>
      <w:tr w:rsidR="00A60809" w:rsidRPr="00F004FC" w14:paraId="5A91A9DA" w14:textId="77777777">
        <w:trPr>
          <w:jc w:val="center"/>
        </w:trPr>
        <w:tc>
          <w:tcPr>
            <w:tcW w:w="4876" w:type="dxa"/>
          </w:tcPr>
          <w:p w14:paraId="645FACBC" w14:textId="77777777" w:rsidR="00AA1AF8" w:rsidRPr="00F004FC" w:rsidRDefault="00AA1AF8" w:rsidP="00E8229D">
            <w:pPr>
              <w:pStyle w:val="Normal6a"/>
            </w:pPr>
          </w:p>
        </w:tc>
        <w:tc>
          <w:tcPr>
            <w:tcW w:w="4876" w:type="dxa"/>
          </w:tcPr>
          <w:p w14:paraId="4572A786" w14:textId="77777777" w:rsidR="00AA1AF8" w:rsidRPr="00F004FC" w:rsidRDefault="005261DB" w:rsidP="00E8229D">
            <w:pPr>
              <w:pStyle w:val="Normal6a"/>
              <w:rPr>
                <w:b/>
                <w:bCs/>
                <w:i/>
                <w:iCs/>
              </w:rPr>
            </w:pPr>
            <w:r w:rsidRPr="00F004FC">
              <w:rPr>
                <w:b/>
                <w:i/>
              </w:rPr>
              <w:t>Anness</w:t>
            </w:r>
          </w:p>
        </w:tc>
      </w:tr>
      <w:tr w:rsidR="00A60809" w:rsidRPr="00F004FC" w14:paraId="6E906F66" w14:textId="77777777">
        <w:trPr>
          <w:jc w:val="center"/>
        </w:trPr>
        <w:tc>
          <w:tcPr>
            <w:tcW w:w="4876" w:type="dxa"/>
          </w:tcPr>
          <w:p w14:paraId="212DF8CC" w14:textId="77777777" w:rsidR="009A65D8" w:rsidRPr="00F004FC" w:rsidRDefault="009A65D8" w:rsidP="00E8229D">
            <w:pPr>
              <w:pStyle w:val="Normal6a"/>
            </w:pPr>
          </w:p>
        </w:tc>
        <w:tc>
          <w:tcPr>
            <w:tcW w:w="4876" w:type="dxa"/>
          </w:tcPr>
          <w:p w14:paraId="7BAE7376" w14:textId="77777777" w:rsidR="009A65D8" w:rsidRPr="00F004FC" w:rsidRDefault="005261DB" w:rsidP="00E8229D">
            <w:pPr>
              <w:pStyle w:val="Normal6a"/>
              <w:rPr>
                <w:b/>
                <w:bCs/>
                <w:i/>
                <w:iCs/>
              </w:rPr>
            </w:pPr>
            <w:r w:rsidRPr="00F004FC">
              <w:rPr>
                <w:b/>
                <w:i/>
              </w:rPr>
              <w:t>Kamp ta’ applikazzjoni tal-appoġġ</w:t>
            </w:r>
          </w:p>
        </w:tc>
      </w:tr>
      <w:tr w:rsidR="00A60809" w:rsidRPr="00F004FC" w14:paraId="3B1B6B8F" w14:textId="77777777">
        <w:trPr>
          <w:jc w:val="center"/>
        </w:trPr>
        <w:tc>
          <w:tcPr>
            <w:tcW w:w="4876" w:type="dxa"/>
          </w:tcPr>
          <w:p w14:paraId="360E8DDF" w14:textId="77777777" w:rsidR="001444E0" w:rsidRPr="00F004FC" w:rsidRDefault="001444E0" w:rsidP="00E8229D">
            <w:pPr>
              <w:pStyle w:val="Normal6a"/>
            </w:pPr>
          </w:p>
        </w:tc>
        <w:tc>
          <w:tcPr>
            <w:tcW w:w="4876" w:type="dxa"/>
          </w:tcPr>
          <w:p w14:paraId="67657A8D" w14:textId="77777777" w:rsidR="001444E0" w:rsidRPr="00F004FC" w:rsidRDefault="005261DB" w:rsidP="00E8229D">
            <w:pPr>
              <w:pStyle w:val="Normal6a"/>
              <w:rPr>
                <w:b/>
                <w:bCs/>
                <w:i/>
                <w:iCs/>
              </w:rPr>
            </w:pPr>
            <w:r w:rsidRPr="00F004FC">
              <w:rPr>
                <w:b/>
                <w:i/>
              </w:rPr>
              <w:t>1.</w:t>
            </w:r>
            <w:r w:rsidRPr="00F004FC">
              <w:rPr>
                <w:b/>
                <w:i/>
              </w:rPr>
              <w:tab/>
              <w:t>Fi ħdan l-objettiv stabbilit fl-Artikolu 3(1), il-punt (a), l-appoġġ tal-Unjoni għandu jiġi pprovdut għal dan li ġej:</w:t>
            </w:r>
          </w:p>
        </w:tc>
      </w:tr>
      <w:tr w:rsidR="00A60809" w:rsidRPr="00F004FC" w14:paraId="546DBF70" w14:textId="77777777">
        <w:trPr>
          <w:jc w:val="center"/>
        </w:trPr>
        <w:tc>
          <w:tcPr>
            <w:tcW w:w="4876" w:type="dxa"/>
          </w:tcPr>
          <w:p w14:paraId="25FA1BDA" w14:textId="77777777" w:rsidR="001444E0" w:rsidRPr="00F004FC" w:rsidRDefault="001444E0" w:rsidP="00E8229D">
            <w:pPr>
              <w:pStyle w:val="Normal6a"/>
            </w:pPr>
          </w:p>
        </w:tc>
        <w:tc>
          <w:tcPr>
            <w:tcW w:w="4876" w:type="dxa"/>
          </w:tcPr>
          <w:p w14:paraId="070B37F1" w14:textId="77777777" w:rsidR="001444E0" w:rsidRPr="00F004FC" w:rsidRDefault="005261DB" w:rsidP="00E8229D">
            <w:pPr>
              <w:pStyle w:val="Normal6a"/>
              <w:rPr>
                <w:b/>
                <w:bCs/>
                <w:i/>
                <w:iCs/>
              </w:rPr>
            </w:pPr>
            <w:r w:rsidRPr="00F004FC">
              <w:rPr>
                <w:b/>
                <w:i/>
              </w:rPr>
              <w:t>(a)</w:t>
            </w:r>
            <w:r w:rsidRPr="00F004FC">
              <w:rPr>
                <w:b/>
                <w:i/>
              </w:rPr>
              <w:tab/>
              <w:t xml:space="preserve">l-iskambju tal-aħjar prattiki u l-iskambju ta’ </w:t>
            </w:r>
            <w:r w:rsidRPr="00F004FC">
              <w:rPr>
                <w:b/>
                <w:i/>
              </w:rPr>
              <w:t>esperti, inkluż is-sekondar ta’ esperti, kif ukoll l-ixprunar tal-kapaċità tan-networks Ewropej biex jivvalutaw, jippromwovu, jappoġġaw u jiżviluppaw aktar iż-żona Schengen mingħajr kontroll fil-fruntieri interni;</w:t>
            </w:r>
          </w:p>
        </w:tc>
      </w:tr>
      <w:tr w:rsidR="00A60809" w:rsidRPr="00F004FC" w14:paraId="17680DAD" w14:textId="77777777">
        <w:trPr>
          <w:jc w:val="center"/>
        </w:trPr>
        <w:tc>
          <w:tcPr>
            <w:tcW w:w="4876" w:type="dxa"/>
          </w:tcPr>
          <w:p w14:paraId="11560FF2" w14:textId="77777777" w:rsidR="001444E0" w:rsidRPr="00F004FC" w:rsidRDefault="001444E0" w:rsidP="00E8229D">
            <w:pPr>
              <w:pStyle w:val="Normal6a"/>
            </w:pPr>
          </w:p>
        </w:tc>
        <w:tc>
          <w:tcPr>
            <w:tcW w:w="4876" w:type="dxa"/>
          </w:tcPr>
          <w:p w14:paraId="2DAE6BBD" w14:textId="77777777" w:rsidR="001444E0" w:rsidRPr="00F004FC" w:rsidRDefault="005261DB" w:rsidP="00E8229D">
            <w:pPr>
              <w:pStyle w:val="Normal6a"/>
              <w:rPr>
                <w:b/>
                <w:bCs/>
                <w:i/>
                <w:iCs/>
                <w:szCs w:val="24"/>
              </w:rPr>
            </w:pPr>
            <w:r w:rsidRPr="00F004FC">
              <w:rPr>
                <w:b/>
                <w:i/>
              </w:rPr>
              <w:t>(b)</w:t>
            </w:r>
            <w:r w:rsidRPr="00F004FC">
              <w:rPr>
                <w:b/>
                <w:i/>
              </w:rPr>
              <w:tab/>
              <w:t>studji u azzjonijiet oħra rilevanti, bħal azzjonijiet li għandhom l-għan li jtejbu l-għarfien permezz ta’ analiżi, monitoraġġ u evalwazzjoni;</w:t>
            </w:r>
          </w:p>
        </w:tc>
      </w:tr>
      <w:tr w:rsidR="00A60809" w:rsidRPr="00F004FC" w14:paraId="6E568AFA" w14:textId="77777777">
        <w:trPr>
          <w:jc w:val="center"/>
        </w:trPr>
        <w:tc>
          <w:tcPr>
            <w:tcW w:w="4876" w:type="dxa"/>
          </w:tcPr>
          <w:p w14:paraId="0DE15B6D" w14:textId="77777777" w:rsidR="001444E0" w:rsidRPr="00F004FC" w:rsidRDefault="001444E0" w:rsidP="00E8229D">
            <w:pPr>
              <w:pStyle w:val="Normal6a"/>
            </w:pPr>
          </w:p>
        </w:tc>
        <w:tc>
          <w:tcPr>
            <w:tcW w:w="4876" w:type="dxa"/>
          </w:tcPr>
          <w:p w14:paraId="197D1335" w14:textId="77777777" w:rsidR="001444E0" w:rsidRPr="00F004FC" w:rsidRDefault="005261DB" w:rsidP="00E8229D">
            <w:pPr>
              <w:pStyle w:val="Normal6a"/>
              <w:rPr>
                <w:b/>
                <w:bCs/>
                <w:i/>
                <w:iCs/>
                <w:szCs w:val="24"/>
              </w:rPr>
            </w:pPr>
            <w:r w:rsidRPr="00F004FC">
              <w:rPr>
                <w:b/>
                <w:i/>
              </w:rPr>
              <w:t>(c)</w:t>
            </w:r>
            <w:r w:rsidRPr="00F004FC">
              <w:rPr>
                <w:b/>
                <w:i/>
              </w:rPr>
              <w:tab/>
              <w:t>attivitajiet preparatorji, ta’ monitoraġġ, amministrattivi u tekniċi, inkluż biex isaħħu l-governanza taż-żona Schengen billi jiżviluppaw u jimplimentaw il-mekkaniżmu ta’ evalwazzjoni kif stabbilit mir-Regolament (UE) Nru 1053/2013 bl-għan li tiġi vverifikata l-applikazzjoni tal-acquis ta’ Schengen, inkluża n-nefqa tal-missjoni għall-esperti tal-Kummissjoni u l-Istati Membri li jipparteċipaw fi żjarat fuq il-post;</w:t>
            </w:r>
          </w:p>
        </w:tc>
      </w:tr>
      <w:tr w:rsidR="00A60809" w:rsidRPr="00F004FC" w14:paraId="692DEC39" w14:textId="77777777">
        <w:trPr>
          <w:jc w:val="center"/>
        </w:trPr>
        <w:tc>
          <w:tcPr>
            <w:tcW w:w="4876" w:type="dxa"/>
          </w:tcPr>
          <w:p w14:paraId="091E97E7" w14:textId="77777777" w:rsidR="001444E0" w:rsidRPr="00F004FC" w:rsidRDefault="001444E0" w:rsidP="00E8229D">
            <w:pPr>
              <w:pStyle w:val="Normal6a"/>
            </w:pPr>
          </w:p>
        </w:tc>
        <w:tc>
          <w:tcPr>
            <w:tcW w:w="4876" w:type="dxa"/>
          </w:tcPr>
          <w:p w14:paraId="75B62ECA" w14:textId="77777777" w:rsidR="001444E0" w:rsidRPr="00F004FC" w:rsidRDefault="005261DB" w:rsidP="00E8229D">
            <w:pPr>
              <w:pStyle w:val="Normal6a"/>
              <w:rPr>
                <w:b/>
                <w:bCs/>
                <w:i/>
                <w:iCs/>
                <w:szCs w:val="24"/>
              </w:rPr>
            </w:pPr>
            <w:r w:rsidRPr="00F004FC">
              <w:rPr>
                <w:b/>
                <w:i/>
              </w:rPr>
              <w:t>(d)</w:t>
            </w:r>
            <w:r w:rsidRPr="00F004FC">
              <w:rPr>
                <w:b/>
                <w:i/>
              </w:rPr>
              <w:tab/>
              <w:t xml:space="preserve">attivitajiet biex issir sensibilizzazzjoni fost il-partijiet ikkonċernati u l-pubbliku ġenerali fir-rigward taż-żona Schengen mingħajr kontroll fil-fruntieri interni, inkluża l-komunikazzjoni korporattiva </w:t>
            </w:r>
            <w:r w:rsidRPr="00F004FC">
              <w:rPr>
                <w:b/>
                <w:i/>
              </w:rPr>
              <w:t>tal-prijoritajiet politiċi tal-Unjoni f’din iż-żona;</w:t>
            </w:r>
          </w:p>
        </w:tc>
      </w:tr>
      <w:tr w:rsidR="00A60809" w:rsidRPr="00F004FC" w14:paraId="6DB2EFBE" w14:textId="77777777">
        <w:trPr>
          <w:jc w:val="center"/>
        </w:trPr>
        <w:tc>
          <w:tcPr>
            <w:tcW w:w="4876" w:type="dxa"/>
          </w:tcPr>
          <w:p w14:paraId="21CC35D4" w14:textId="77777777" w:rsidR="001444E0" w:rsidRPr="00F004FC" w:rsidRDefault="001444E0" w:rsidP="00E8229D">
            <w:pPr>
              <w:pStyle w:val="Normal6a"/>
            </w:pPr>
          </w:p>
        </w:tc>
        <w:tc>
          <w:tcPr>
            <w:tcW w:w="4876" w:type="dxa"/>
          </w:tcPr>
          <w:p w14:paraId="3239C7CE" w14:textId="77777777" w:rsidR="001444E0" w:rsidRPr="00F004FC" w:rsidRDefault="005261DB" w:rsidP="00E8229D">
            <w:pPr>
              <w:pStyle w:val="Normal6a"/>
              <w:rPr>
                <w:b/>
                <w:bCs/>
                <w:i/>
                <w:iCs/>
                <w:szCs w:val="24"/>
              </w:rPr>
            </w:pPr>
            <w:r w:rsidRPr="00F004FC">
              <w:rPr>
                <w:b/>
                <w:i/>
              </w:rPr>
              <w:t>(e)</w:t>
            </w:r>
            <w:r w:rsidRPr="00F004FC">
              <w:rPr>
                <w:b/>
                <w:i/>
              </w:rPr>
              <w:tab/>
              <w:t>l-iżvilupp ta’ għodod, metodi u indikaturi tal-istatistika li jirrispettaw il-prinċipju ta’ nondiskriminazzjoni;</w:t>
            </w:r>
          </w:p>
        </w:tc>
      </w:tr>
      <w:tr w:rsidR="00A60809" w:rsidRPr="00F004FC" w14:paraId="0BD7200C" w14:textId="77777777">
        <w:trPr>
          <w:jc w:val="center"/>
        </w:trPr>
        <w:tc>
          <w:tcPr>
            <w:tcW w:w="4876" w:type="dxa"/>
          </w:tcPr>
          <w:p w14:paraId="04A437ED" w14:textId="77777777" w:rsidR="001444E0" w:rsidRPr="00F004FC" w:rsidRDefault="001444E0" w:rsidP="00E8229D">
            <w:pPr>
              <w:pStyle w:val="Normal6a"/>
            </w:pPr>
          </w:p>
        </w:tc>
        <w:tc>
          <w:tcPr>
            <w:tcW w:w="4876" w:type="dxa"/>
          </w:tcPr>
          <w:p w14:paraId="2B0221CB" w14:textId="77777777" w:rsidR="001444E0" w:rsidRPr="00F004FC" w:rsidRDefault="005261DB" w:rsidP="00E8229D">
            <w:pPr>
              <w:pStyle w:val="Normal6a"/>
              <w:rPr>
                <w:b/>
                <w:bCs/>
                <w:i/>
                <w:iCs/>
                <w:szCs w:val="24"/>
              </w:rPr>
            </w:pPr>
            <w:r w:rsidRPr="00F004FC">
              <w:rPr>
                <w:b/>
                <w:i/>
              </w:rPr>
              <w:t>(f)</w:t>
            </w:r>
            <w:r w:rsidRPr="00F004FC">
              <w:rPr>
                <w:b/>
                <w:i/>
              </w:rPr>
              <w:tab/>
              <w:t xml:space="preserve">appoġġ operattiv għall-implimentazzjoni ta’ miżuri biex tiġi żgurata </w:t>
            </w:r>
            <w:r w:rsidRPr="00F004FC">
              <w:rPr>
                <w:b/>
                <w:i/>
              </w:rPr>
              <w:t>l-applikazzjoni tal-acquis ta’ Schengen;</w:t>
            </w:r>
          </w:p>
        </w:tc>
      </w:tr>
      <w:tr w:rsidR="00A60809" w:rsidRPr="00F004FC" w14:paraId="369C4B0E" w14:textId="77777777">
        <w:trPr>
          <w:jc w:val="center"/>
        </w:trPr>
        <w:tc>
          <w:tcPr>
            <w:tcW w:w="4876" w:type="dxa"/>
          </w:tcPr>
          <w:p w14:paraId="56F521C8" w14:textId="77777777" w:rsidR="00231D55" w:rsidRPr="00F004FC" w:rsidRDefault="00231D55" w:rsidP="00E8229D">
            <w:pPr>
              <w:pStyle w:val="Normal6a"/>
            </w:pPr>
          </w:p>
        </w:tc>
        <w:tc>
          <w:tcPr>
            <w:tcW w:w="4876" w:type="dxa"/>
          </w:tcPr>
          <w:p w14:paraId="151DE30E" w14:textId="77777777" w:rsidR="00231D55" w:rsidRPr="00F004FC" w:rsidRDefault="005261DB" w:rsidP="00E8229D">
            <w:pPr>
              <w:pStyle w:val="Normal6a"/>
              <w:rPr>
                <w:b/>
                <w:bCs/>
                <w:i/>
                <w:iCs/>
              </w:rPr>
            </w:pPr>
            <w:r w:rsidRPr="00F004FC">
              <w:rPr>
                <w:b/>
                <w:i/>
              </w:rPr>
              <w:t>2.</w:t>
            </w:r>
            <w:r w:rsidRPr="00F004FC">
              <w:rPr>
                <w:b/>
                <w:i/>
              </w:rPr>
              <w:tab/>
              <w:t>Fi ħdan l-objettiv stabbilit fl-Artikolu 3(1), il-punt (b), l-appoġġ tal-Unjoni għandu jiġi pprovdut għal dan li ġej:</w:t>
            </w:r>
          </w:p>
        </w:tc>
      </w:tr>
      <w:tr w:rsidR="00A60809" w:rsidRPr="00F004FC" w14:paraId="358261B1" w14:textId="77777777">
        <w:trPr>
          <w:jc w:val="center"/>
        </w:trPr>
        <w:tc>
          <w:tcPr>
            <w:tcW w:w="4876" w:type="dxa"/>
          </w:tcPr>
          <w:p w14:paraId="24F8300E" w14:textId="77777777" w:rsidR="00231D55" w:rsidRPr="00F004FC" w:rsidRDefault="00231D55" w:rsidP="00E8229D">
            <w:pPr>
              <w:pStyle w:val="Normal6a"/>
            </w:pPr>
          </w:p>
        </w:tc>
        <w:tc>
          <w:tcPr>
            <w:tcW w:w="4876" w:type="dxa"/>
          </w:tcPr>
          <w:p w14:paraId="60584600" w14:textId="77777777" w:rsidR="00231D55" w:rsidRPr="00F004FC" w:rsidRDefault="005261DB" w:rsidP="00E8229D">
            <w:pPr>
              <w:pStyle w:val="Normal6a"/>
              <w:rPr>
                <w:b/>
                <w:bCs/>
                <w:i/>
                <w:iCs/>
                <w:szCs w:val="24"/>
              </w:rPr>
            </w:pPr>
            <w:r w:rsidRPr="00F004FC">
              <w:rPr>
                <w:b/>
                <w:i/>
              </w:rPr>
              <w:t>(a)</w:t>
            </w:r>
            <w:r w:rsidRPr="00F004FC">
              <w:rPr>
                <w:b/>
                <w:i/>
              </w:rPr>
              <w:tab/>
              <w:t>infrastruttura, bini, sistemi u servizzi meħtieġa fil-punti ta’ qsim tal-fruntiera u għas-sorveljanza fuq il-fruntiera bejn il-punti ta’ qsim tal-fruntiera;</w:t>
            </w:r>
          </w:p>
        </w:tc>
      </w:tr>
      <w:tr w:rsidR="00A60809" w:rsidRPr="00F004FC" w14:paraId="65E5B0C0" w14:textId="77777777">
        <w:trPr>
          <w:jc w:val="center"/>
        </w:trPr>
        <w:tc>
          <w:tcPr>
            <w:tcW w:w="4876" w:type="dxa"/>
          </w:tcPr>
          <w:p w14:paraId="65EA8828" w14:textId="77777777" w:rsidR="00231D55" w:rsidRPr="00F004FC" w:rsidRDefault="00231D55" w:rsidP="00E8229D">
            <w:pPr>
              <w:pStyle w:val="Normal6a"/>
            </w:pPr>
          </w:p>
        </w:tc>
        <w:tc>
          <w:tcPr>
            <w:tcW w:w="4876" w:type="dxa"/>
          </w:tcPr>
          <w:p w14:paraId="717663F5" w14:textId="77777777" w:rsidR="00231D55" w:rsidRPr="00F004FC" w:rsidRDefault="005261DB" w:rsidP="00E8229D">
            <w:pPr>
              <w:pStyle w:val="Normal6a"/>
              <w:rPr>
                <w:b/>
                <w:bCs/>
                <w:i/>
                <w:iCs/>
                <w:szCs w:val="24"/>
              </w:rPr>
            </w:pPr>
            <w:r w:rsidRPr="00F004FC">
              <w:rPr>
                <w:b/>
                <w:i/>
              </w:rPr>
              <w:t>(b)</w:t>
            </w:r>
            <w:r w:rsidRPr="00F004FC">
              <w:rPr>
                <w:b/>
                <w:i/>
              </w:rPr>
              <w:tab/>
              <w:t>tagħmir operazzjonali, inklużi mezzi ta’ trasport u sistemi tal-ICT, meħtieġa għal kontroll fuq il-fruntiera li jkun effettiv u sikur fil-punti ta’ qsim tal-fruntiera u għas-sorveljanza fuq il-fruntiera, f’konformità mal-istandards żviluppati mill-Aġenzija Ewropea għall-Gwardja tal-Fruntiera u tal-Kosta, fejn tali standards jeżistu;</w:t>
            </w:r>
          </w:p>
        </w:tc>
      </w:tr>
      <w:tr w:rsidR="00A60809" w:rsidRPr="00F004FC" w14:paraId="33DB1B6C" w14:textId="77777777">
        <w:trPr>
          <w:jc w:val="center"/>
        </w:trPr>
        <w:tc>
          <w:tcPr>
            <w:tcW w:w="4876" w:type="dxa"/>
          </w:tcPr>
          <w:p w14:paraId="37BAB49B" w14:textId="77777777" w:rsidR="00231D55" w:rsidRPr="00F004FC" w:rsidRDefault="00231D55" w:rsidP="00E8229D">
            <w:pPr>
              <w:pStyle w:val="Normal6a"/>
            </w:pPr>
          </w:p>
        </w:tc>
        <w:tc>
          <w:tcPr>
            <w:tcW w:w="4876" w:type="dxa"/>
          </w:tcPr>
          <w:p w14:paraId="10AF65A5" w14:textId="77777777" w:rsidR="00231D55" w:rsidRPr="00F004FC" w:rsidRDefault="005261DB" w:rsidP="00E8229D">
            <w:pPr>
              <w:pStyle w:val="Normal6a"/>
              <w:rPr>
                <w:b/>
                <w:bCs/>
                <w:i/>
                <w:iCs/>
              </w:rPr>
            </w:pPr>
            <w:r w:rsidRPr="00F004FC">
              <w:rPr>
                <w:b/>
                <w:i/>
              </w:rPr>
              <w:t>(c)</w:t>
            </w:r>
            <w:r w:rsidRPr="00F004FC">
              <w:rPr>
                <w:b/>
                <w:i/>
              </w:rPr>
              <w:tab/>
              <w:t>taħriġ fil-qasam tal-iżvilupp tal-ġestjoni integrata Ewropea tal-fruntieri, jew li jikkontribwixxi għal dan l-iżvilupp, b’kont meħud tal-ħtiġijiet operazzjonali u l-analiżijiet tar-riskju, inklużi sfidi identifikati fir-rakkomandazzjonijiet imsemmija fl-Artikolu 13(7), u f’konformità sħiħa mad-drittijiet fundamentali;</w:t>
            </w:r>
          </w:p>
        </w:tc>
      </w:tr>
      <w:tr w:rsidR="00A60809" w:rsidRPr="00F004FC" w14:paraId="1B7CE3A8" w14:textId="77777777">
        <w:trPr>
          <w:jc w:val="center"/>
        </w:trPr>
        <w:tc>
          <w:tcPr>
            <w:tcW w:w="4876" w:type="dxa"/>
          </w:tcPr>
          <w:p w14:paraId="77B7C5B7" w14:textId="77777777" w:rsidR="00231D55" w:rsidRPr="00F004FC" w:rsidRDefault="00231D55" w:rsidP="00E8229D">
            <w:pPr>
              <w:pStyle w:val="Normal6a"/>
            </w:pPr>
          </w:p>
        </w:tc>
        <w:tc>
          <w:tcPr>
            <w:tcW w:w="4876" w:type="dxa"/>
          </w:tcPr>
          <w:p w14:paraId="6028E242" w14:textId="77777777" w:rsidR="00231D55" w:rsidRPr="00F004FC" w:rsidRDefault="005261DB" w:rsidP="00E8229D">
            <w:pPr>
              <w:pStyle w:val="Normal6a"/>
              <w:rPr>
                <w:b/>
                <w:bCs/>
                <w:i/>
                <w:iCs/>
              </w:rPr>
            </w:pPr>
            <w:r w:rsidRPr="00F004FC">
              <w:rPr>
                <w:b/>
                <w:i/>
              </w:rPr>
              <w:t>(d)</w:t>
            </w:r>
            <w:r w:rsidRPr="00F004FC">
              <w:rPr>
                <w:b/>
                <w:i/>
              </w:rPr>
              <w:tab/>
              <w:t>l-iskjerament ta’ uffiċjali għall-komunikazzjoni dwar l-immigrazzjoni għal pajjiżi terzi f’konformità mar-Regolament (UE) 2019/1240 tal-Parlament Ewropew u tal-Kunsill;</w:t>
            </w:r>
          </w:p>
        </w:tc>
      </w:tr>
      <w:tr w:rsidR="00A60809" w:rsidRPr="00F004FC" w14:paraId="1E953AB9" w14:textId="77777777">
        <w:trPr>
          <w:jc w:val="center"/>
        </w:trPr>
        <w:tc>
          <w:tcPr>
            <w:tcW w:w="4876" w:type="dxa"/>
          </w:tcPr>
          <w:p w14:paraId="21366A2B" w14:textId="77777777" w:rsidR="00231D55" w:rsidRPr="00F004FC" w:rsidRDefault="00231D55" w:rsidP="00E8229D">
            <w:pPr>
              <w:pStyle w:val="Normal6a"/>
            </w:pPr>
          </w:p>
        </w:tc>
        <w:tc>
          <w:tcPr>
            <w:tcW w:w="4876" w:type="dxa"/>
          </w:tcPr>
          <w:p w14:paraId="3F93A7B2" w14:textId="77777777" w:rsidR="00231D55" w:rsidRPr="00F004FC" w:rsidRDefault="005261DB" w:rsidP="00E8229D">
            <w:pPr>
              <w:pStyle w:val="Normal6a"/>
              <w:rPr>
                <w:b/>
                <w:bCs/>
                <w:i/>
                <w:iCs/>
                <w:szCs w:val="24"/>
              </w:rPr>
            </w:pPr>
            <w:r w:rsidRPr="00F004FC">
              <w:rPr>
                <w:b/>
                <w:i/>
              </w:rPr>
              <w:t>(e)</w:t>
            </w:r>
            <w:r w:rsidRPr="00F004FC">
              <w:rPr>
                <w:b/>
                <w:i/>
              </w:rPr>
              <w:tab/>
              <w:t xml:space="preserve">l-iskambju tal-aħjar prattiki u ta’ għarfien espert, studji, proġetti pilota u azzjonijiet oħra rilevanti bl-għan li jimplimentaw jew jiżviluppaw il-ġestjoni integrata Ewropea tal-fruntieri, inklużi miżuri li għandhom l-għan li jiżviluppaw </w:t>
            </w:r>
            <w:r w:rsidRPr="00F004FC">
              <w:rPr>
                <w:b/>
                <w:i/>
              </w:rPr>
              <w:lastRenderedPageBreak/>
              <w:t xml:space="preserve">il-Gwardja Ewropea tal-Fruntiera u tal-Kosta, bħat-tisħiħ tal-kapaċitajiet komuni, l-akkwist konġunt, l-istabbiliment ta’ standards komuni u miżuri oħra li jissimplifikaw il-kooperazzjoni u l-koordinazzjoni bejn l-Aġenzija Ewropea għall-Gwardja tal-Fruntiera u tal-Kosta </w:t>
            </w:r>
            <w:r w:rsidRPr="00F004FC">
              <w:rPr>
                <w:b/>
                <w:i/>
              </w:rPr>
              <w:t>u l-Istati Membri, u miżuri relatati mar-riferiment ta’ persuni vulnerabbli li jeħtieġu assistenza u persuni li jeħtieġu protezzjoni internazzjonali jew li jixtiequ japplikaw għal tali protezzjoni internazzjonali;</w:t>
            </w:r>
          </w:p>
        </w:tc>
      </w:tr>
      <w:tr w:rsidR="00A60809" w:rsidRPr="00F004FC" w14:paraId="6CC1840F" w14:textId="77777777">
        <w:trPr>
          <w:jc w:val="center"/>
        </w:trPr>
        <w:tc>
          <w:tcPr>
            <w:tcW w:w="4876" w:type="dxa"/>
          </w:tcPr>
          <w:p w14:paraId="5DFA83A0" w14:textId="77777777" w:rsidR="00231D55" w:rsidRPr="00F004FC" w:rsidRDefault="00231D55" w:rsidP="00E8229D">
            <w:pPr>
              <w:pStyle w:val="Normal6a"/>
            </w:pPr>
          </w:p>
        </w:tc>
        <w:tc>
          <w:tcPr>
            <w:tcW w:w="4876" w:type="dxa"/>
          </w:tcPr>
          <w:p w14:paraId="6E9888B5" w14:textId="77777777" w:rsidR="00231D55" w:rsidRPr="00F004FC" w:rsidRDefault="005261DB" w:rsidP="00E8229D">
            <w:pPr>
              <w:pStyle w:val="Normal6a"/>
              <w:rPr>
                <w:b/>
                <w:bCs/>
                <w:i/>
                <w:iCs/>
                <w:szCs w:val="24"/>
              </w:rPr>
            </w:pPr>
            <w:r w:rsidRPr="00F004FC">
              <w:rPr>
                <w:b/>
                <w:i/>
              </w:rPr>
              <w:t>(f)</w:t>
            </w:r>
            <w:r w:rsidRPr="00F004FC">
              <w:rPr>
                <w:b/>
                <w:i/>
              </w:rPr>
              <w:tab/>
              <w:t>attivitajiet preparatorji, ta’ monitoraġġ, amministrattivi u tekniċi meħtieġa biex jiġu implimentati l-politiki tal-fruntieri esterni, inkluż biex tissaħħaħ il-governanza taż-żona Schengen billi jiżviluppaw u jimplimentaw il-mekkaniżmu ta’ evalwazzjoni, stabbilit mir-Regolament (UE) Nru 1053/2013 biex tiġi vverifikata l-applikazzjoni tal-acquis ta’ Schengen u tar-Regolament (UE) 2016/399, inkluża n-nefqa tal-missjoni għall-esperti tal-Kummissjoni u l-Istati Membri li jipparteċipaw fi żjarat fuq il-post u m</w:t>
            </w:r>
            <w:r w:rsidRPr="00F004FC">
              <w:rPr>
                <w:b/>
                <w:i/>
              </w:rPr>
              <w:t>iżuri biex jiġu implimentati rakkomandazzjonijiet maħruġa wara valutazzjonijiet tal-vulnerabbiltà mwettqa mill-Aġenzija Ewropea għall-Gwardja tal-Fruntiera u tal-Kosta f’konformità mar-Regolament (UE) 2019/1896;</w:t>
            </w:r>
          </w:p>
        </w:tc>
      </w:tr>
      <w:tr w:rsidR="00A60809" w:rsidRPr="00F004FC" w14:paraId="75E44A9A" w14:textId="77777777">
        <w:trPr>
          <w:jc w:val="center"/>
        </w:trPr>
        <w:tc>
          <w:tcPr>
            <w:tcW w:w="4876" w:type="dxa"/>
          </w:tcPr>
          <w:p w14:paraId="56F41A79" w14:textId="77777777" w:rsidR="00231D55" w:rsidRPr="00F004FC" w:rsidRDefault="00231D55" w:rsidP="00E8229D">
            <w:pPr>
              <w:pStyle w:val="Normal6a"/>
            </w:pPr>
          </w:p>
        </w:tc>
        <w:tc>
          <w:tcPr>
            <w:tcW w:w="4876" w:type="dxa"/>
          </w:tcPr>
          <w:p w14:paraId="6DA88ADE" w14:textId="77777777" w:rsidR="00231D55" w:rsidRPr="00F004FC" w:rsidRDefault="005261DB" w:rsidP="00E8229D">
            <w:pPr>
              <w:pStyle w:val="Normal6a"/>
              <w:rPr>
                <w:b/>
                <w:bCs/>
                <w:i/>
                <w:iCs/>
              </w:rPr>
            </w:pPr>
            <w:r w:rsidRPr="00F004FC">
              <w:rPr>
                <w:b/>
                <w:i/>
              </w:rPr>
              <w:t>(g)</w:t>
            </w:r>
            <w:r w:rsidRPr="00F004FC">
              <w:rPr>
                <w:b/>
                <w:i/>
              </w:rPr>
              <w:tab/>
              <w:t xml:space="preserve">azzjonijiet li jtejbu l-kwalità tad-data maħżuna fis-sistemi tal-ICT u li jtejbu l-eżerċitar tad-drittijiet ta’ suġġett tad-data għall-informazzjoni, għall-aċċess għad-data </w:t>
            </w:r>
            <w:r w:rsidRPr="00F004FC">
              <w:rPr>
                <w:b/>
                <w:i/>
              </w:rPr>
              <w:t>personali tiegħu, u għar-rettifika u t-tħassir, kif ukoll għar-restrizzjoni tal-ipproċessar, ta’ tali data;</w:t>
            </w:r>
          </w:p>
        </w:tc>
      </w:tr>
      <w:tr w:rsidR="00A60809" w:rsidRPr="00F004FC" w14:paraId="12D92512" w14:textId="77777777">
        <w:trPr>
          <w:jc w:val="center"/>
        </w:trPr>
        <w:tc>
          <w:tcPr>
            <w:tcW w:w="4876" w:type="dxa"/>
          </w:tcPr>
          <w:p w14:paraId="520EDBC6" w14:textId="77777777" w:rsidR="00231D55" w:rsidRPr="00F004FC" w:rsidRDefault="00231D55" w:rsidP="00E8229D">
            <w:pPr>
              <w:pStyle w:val="Normal6a"/>
            </w:pPr>
          </w:p>
        </w:tc>
        <w:tc>
          <w:tcPr>
            <w:tcW w:w="4876" w:type="dxa"/>
          </w:tcPr>
          <w:p w14:paraId="1F120F14" w14:textId="77777777" w:rsidR="00231D55" w:rsidRPr="00F004FC" w:rsidRDefault="005261DB" w:rsidP="00E8229D">
            <w:pPr>
              <w:pStyle w:val="Normal6a"/>
              <w:rPr>
                <w:b/>
                <w:bCs/>
                <w:i/>
                <w:iCs/>
              </w:rPr>
            </w:pPr>
            <w:r w:rsidRPr="00F004FC">
              <w:rPr>
                <w:b/>
                <w:i/>
              </w:rPr>
              <w:t>(h)</w:t>
            </w:r>
            <w:r w:rsidRPr="00F004FC">
              <w:rPr>
                <w:b/>
                <w:i/>
              </w:rPr>
              <w:tab/>
              <w:t xml:space="preserve">l-identifikazzjoni, it-teħid tal-marki tas-swaba’, ir-reġistrazzjoni, il-verifiki ta’ sigurtà, l-għoti ta’ informazzjoni, l-iskrinjar mediku u ta’ vulnerabbiltà u, fejn meħtieġ, il-kura medika u r-riferiment ta’ ċittadini ta’ pajjiżi terzi għall-proċedura xierqa fil-fruntieri </w:t>
            </w:r>
            <w:r w:rsidRPr="00F004FC">
              <w:rPr>
                <w:b/>
                <w:i/>
              </w:rPr>
              <w:lastRenderedPageBreak/>
              <w:t>esterni;</w:t>
            </w:r>
          </w:p>
        </w:tc>
      </w:tr>
      <w:tr w:rsidR="00A60809" w:rsidRPr="00F004FC" w14:paraId="3FD2967D" w14:textId="77777777">
        <w:trPr>
          <w:jc w:val="center"/>
        </w:trPr>
        <w:tc>
          <w:tcPr>
            <w:tcW w:w="4876" w:type="dxa"/>
          </w:tcPr>
          <w:p w14:paraId="2F6FDCDC" w14:textId="77777777" w:rsidR="00231D55" w:rsidRPr="00F004FC" w:rsidRDefault="00231D55" w:rsidP="00E8229D">
            <w:pPr>
              <w:pStyle w:val="Normal6a"/>
            </w:pPr>
          </w:p>
        </w:tc>
        <w:tc>
          <w:tcPr>
            <w:tcW w:w="4876" w:type="dxa"/>
          </w:tcPr>
          <w:p w14:paraId="7178BC09" w14:textId="77777777" w:rsidR="00231D55" w:rsidRPr="00F004FC" w:rsidRDefault="005261DB" w:rsidP="00E8229D">
            <w:pPr>
              <w:pStyle w:val="Normal6a"/>
              <w:rPr>
                <w:b/>
                <w:bCs/>
                <w:i/>
                <w:iCs/>
              </w:rPr>
            </w:pPr>
            <w:r w:rsidRPr="00F004FC">
              <w:rPr>
                <w:b/>
                <w:i/>
              </w:rPr>
              <w:t>(i)</w:t>
            </w:r>
            <w:r w:rsidRPr="00F004FC">
              <w:rPr>
                <w:b/>
                <w:i/>
              </w:rPr>
              <w:tab/>
              <w:t>azzjonijiet biex jiġu stabbiliti, miżmuma jew żviluppati mekkaniżmi ta’ monitoraġġ indipendenti f’konformità mal-Artikolu 10 tar-Regolament (UE) 2024/1356 (“ir-Regolament dwar l-Iskrinjar”);</w:t>
            </w:r>
          </w:p>
        </w:tc>
      </w:tr>
      <w:tr w:rsidR="00A60809" w:rsidRPr="00F004FC" w14:paraId="0FF3C04E" w14:textId="77777777">
        <w:trPr>
          <w:jc w:val="center"/>
        </w:trPr>
        <w:tc>
          <w:tcPr>
            <w:tcW w:w="4876" w:type="dxa"/>
          </w:tcPr>
          <w:p w14:paraId="0CE3FE93" w14:textId="77777777" w:rsidR="00231D55" w:rsidRPr="00F004FC" w:rsidRDefault="00231D55" w:rsidP="00E8229D">
            <w:pPr>
              <w:pStyle w:val="Normal6a"/>
            </w:pPr>
          </w:p>
        </w:tc>
        <w:tc>
          <w:tcPr>
            <w:tcW w:w="4876" w:type="dxa"/>
          </w:tcPr>
          <w:p w14:paraId="21A9F39E" w14:textId="77777777" w:rsidR="00231D55" w:rsidRPr="00F004FC" w:rsidRDefault="005261DB" w:rsidP="00E8229D">
            <w:pPr>
              <w:pStyle w:val="Normal6a"/>
              <w:rPr>
                <w:b/>
                <w:bCs/>
                <w:i/>
                <w:iCs/>
                <w:szCs w:val="24"/>
              </w:rPr>
            </w:pPr>
            <w:r w:rsidRPr="00F004FC">
              <w:rPr>
                <w:b/>
                <w:i/>
              </w:rPr>
              <w:t>(j)</w:t>
            </w:r>
            <w:r w:rsidRPr="00F004FC">
              <w:rPr>
                <w:b/>
                <w:i/>
              </w:rPr>
              <w:tab/>
              <w:t>attivitajiet li għandhom l-għan li ssir aktar sensibilizzazzjoni dwar il-politiki tal-fruntieri esterni fost il-partijiet ikkonċernati u l-pubbliku ġenerali, inkluża l-komunikazzjoni korporattiva tal-prijoritajiet politiċi tal-Unjoni;</w:t>
            </w:r>
          </w:p>
        </w:tc>
      </w:tr>
      <w:tr w:rsidR="00A60809" w:rsidRPr="00F004FC" w14:paraId="11E4A515" w14:textId="77777777">
        <w:trPr>
          <w:jc w:val="center"/>
        </w:trPr>
        <w:tc>
          <w:tcPr>
            <w:tcW w:w="4876" w:type="dxa"/>
          </w:tcPr>
          <w:p w14:paraId="152523E4" w14:textId="77777777" w:rsidR="00231D55" w:rsidRPr="00F004FC" w:rsidRDefault="00231D55" w:rsidP="00E8229D">
            <w:pPr>
              <w:pStyle w:val="Normal6a"/>
            </w:pPr>
          </w:p>
        </w:tc>
        <w:tc>
          <w:tcPr>
            <w:tcW w:w="4876" w:type="dxa"/>
          </w:tcPr>
          <w:p w14:paraId="4CDE941B" w14:textId="77777777" w:rsidR="00231D55" w:rsidRPr="00F004FC" w:rsidRDefault="005261DB" w:rsidP="00E8229D">
            <w:pPr>
              <w:pStyle w:val="Normal6a"/>
              <w:rPr>
                <w:b/>
                <w:bCs/>
                <w:i/>
                <w:iCs/>
                <w:szCs w:val="24"/>
              </w:rPr>
            </w:pPr>
            <w:r w:rsidRPr="00F004FC">
              <w:rPr>
                <w:b/>
                <w:i/>
              </w:rPr>
              <w:t>(k)</w:t>
            </w:r>
            <w:r w:rsidRPr="00F004FC">
              <w:rPr>
                <w:b/>
                <w:i/>
              </w:rPr>
              <w:tab/>
              <w:t>l-iżvilupp ta’ għodod, metodi u indikaturi tal-istatistika li jirrispettaw il-prinċipju ta’ nondiskriminazzjoni;</w:t>
            </w:r>
          </w:p>
        </w:tc>
      </w:tr>
      <w:tr w:rsidR="00A60809" w:rsidRPr="00F004FC" w14:paraId="26D11F7A" w14:textId="77777777">
        <w:trPr>
          <w:jc w:val="center"/>
        </w:trPr>
        <w:tc>
          <w:tcPr>
            <w:tcW w:w="4876" w:type="dxa"/>
          </w:tcPr>
          <w:p w14:paraId="0B9DBEDE" w14:textId="77777777" w:rsidR="00231D55" w:rsidRPr="00F004FC" w:rsidRDefault="00231D55" w:rsidP="00E8229D">
            <w:pPr>
              <w:pStyle w:val="Normal6a"/>
            </w:pPr>
          </w:p>
        </w:tc>
        <w:tc>
          <w:tcPr>
            <w:tcW w:w="4876" w:type="dxa"/>
          </w:tcPr>
          <w:p w14:paraId="3DB012E1" w14:textId="77777777" w:rsidR="00231D55" w:rsidRPr="00F004FC" w:rsidRDefault="005261DB" w:rsidP="00E8229D">
            <w:pPr>
              <w:pStyle w:val="Normal6a"/>
              <w:rPr>
                <w:b/>
                <w:bCs/>
                <w:i/>
                <w:iCs/>
                <w:szCs w:val="24"/>
              </w:rPr>
            </w:pPr>
            <w:r w:rsidRPr="00F004FC">
              <w:rPr>
                <w:b/>
                <w:i/>
              </w:rPr>
              <w:t>(l)</w:t>
            </w:r>
            <w:r w:rsidRPr="00F004FC">
              <w:rPr>
                <w:b/>
                <w:i/>
              </w:rPr>
              <w:tab/>
              <w:t>appoġġ operattiv għall-implimentazzjoni ta’ ġestjoni integrata Ewropea tal-fruntieri.</w:t>
            </w:r>
          </w:p>
        </w:tc>
      </w:tr>
      <w:tr w:rsidR="00A60809" w:rsidRPr="00F004FC" w14:paraId="4C4AB009" w14:textId="77777777">
        <w:trPr>
          <w:jc w:val="center"/>
        </w:trPr>
        <w:tc>
          <w:tcPr>
            <w:tcW w:w="4876" w:type="dxa"/>
          </w:tcPr>
          <w:p w14:paraId="3FB147B6" w14:textId="77777777" w:rsidR="00231D55" w:rsidRPr="00F004FC" w:rsidRDefault="00231D55" w:rsidP="00E8229D">
            <w:pPr>
              <w:pStyle w:val="Normal6a"/>
            </w:pPr>
          </w:p>
        </w:tc>
        <w:tc>
          <w:tcPr>
            <w:tcW w:w="4876" w:type="dxa"/>
          </w:tcPr>
          <w:p w14:paraId="0F18FA65" w14:textId="77777777" w:rsidR="00231D55" w:rsidRPr="00F004FC" w:rsidRDefault="005261DB" w:rsidP="00E8229D">
            <w:pPr>
              <w:pStyle w:val="Normal6a"/>
              <w:rPr>
                <w:b/>
                <w:bCs/>
                <w:i/>
                <w:iCs/>
              </w:rPr>
            </w:pPr>
            <w:r w:rsidRPr="00F004FC">
              <w:rPr>
                <w:b/>
                <w:i/>
              </w:rPr>
              <w:t>3.</w:t>
            </w:r>
            <w:r w:rsidRPr="00F004FC">
              <w:rPr>
                <w:b/>
                <w:i/>
              </w:rPr>
              <w:tab/>
              <w:t>Fi ħdan l-objettiv stabbilit fl-Artikolu 3(1), il-punt (c), l-appoġġ tal-Unjoni għandu jiġi pprovdut għal dan li ġej:</w:t>
            </w:r>
          </w:p>
        </w:tc>
      </w:tr>
      <w:tr w:rsidR="00A60809" w:rsidRPr="00F004FC" w14:paraId="20C201BC" w14:textId="77777777">
        <w:trPr>
          <w:jc w:val="center"/>
        </w:trPr>
        <w:tc>
          <w:tcPr>
            <w:tcW w:w="4876" w:type="dxa"/>
          </w:tcPr>
          <w:p w14:paraId="68501DB6" w14:textId="77777777" w:rsidR="00231D55" w:rsidRPr="00F004FC" w:rsidRDefault="00231D55" w:rsidP="00E8229D">
            <w:pPr>
              <w:pStyle w:val="Normal6a"/>
            </w:pPr>
          </w:p>
        </w:tc>
        <w:tc>
          <w:tcPr>
            <w:tcW w:w="4876" w:type="dxa"/>
          </w:tcPr>
          <w:p w14:paraId="6490C427" w14:textId="77777777" w:rsidR="00231D55" w:rsidRPr="00F004FC" w:rsidRDefault="005261DB" w:rsidP="00E8229D">
            <w:pPr>
              <w:pStyle w:val="Normal6a"/>
              <w:rPr>
                <w:b/>
                <w:bCs/>
                <w:i/>
                <w:iCs/>
                <w:szCs w:val="24"/>
              </w:rPr>
            </w:pPr>
            <w:r w:rsidRPr="00F004FC">
              <w:rPr>
                <w:b/>
                <w:i/>
              </w:rPr>
              <w:t>(a)</w:t>
            </w:r>
            <w:r w:rsidRPr="00F004FC">
              <w:rPr>
                <w:b/>
                <w:i/>
              </w:rPr>
              <w:tab/>
              <w:t>infrastruttura u bini meħtieġa għall-ipproċessar ta’ applikazzjonijiet għall-viżi u l-kooperazzjoni konsulari, inklużi miżuri ta’ sigurtà, u azzjonijiet oħra li għandhom l-għan li jtejbu l-kwalità tas-servizz lill-applikanti għal viża;</w:t>
            </w:r>
          </w:p>
        </w:tc>
      </w:tr>
      <w:tr w:rsidR="00A60809" w:rsidRPr="00F004FC" w14:paraId="659A34A9" w14:textId="77777777">
        <w:trPr>
          <w:jc w:val="center"/>
        </w:trPr>
        <w:tc>
          <w:tcPr>
            <w:tcW w:w="4876" w:type="dxa"/>
          </w:tcPr>
          <w:p w14:paraId="4DC93C8C" w14:textId="77777777" w:rsidR="00231D55" w:rsidRPr="00F004FC" w:rsidRDefault="00231D55" w:rsidP="00E8229D">
            <w:pPr>
              <w:pStyle w:val="Normal6a"/>
            </w:pPr>
          </w:p>
        </w:tc>
        <w:tc>
          <w:tcPr>
            <w:tcW w:w="4876" w:type="dxa"/>
          </w:tcPr>
          <w:p w14:paraId="3C24A9FD" w14:textId="77777777" w:rsidR="00231D55" w:rsidRPr="00F004FC" w:rsidRDefault="005261DB" w:rsidP="00E8229D">
            <w:pPr>
              <w:pStyle w:val="Normal6a"/>
              <w:rPr>
                <w:b/>
                <w:bCs/>
                <w:i/>
                <w:iCs/>
                <w:szCs w:val="24"/>
              </w:rPr>
            </w:pPr>
            <w:r w:rsidRPr="00F004FC">
              <w:rPr>
                <w:b/>
                <w:i/>
              </w:rPr>
              <w:t>(b)</w:t>
            </w:r>
            <w:r w:rsidRPr="00F004FC">
              <w:rPr>
                <w:b/>
                <w:i/>
              </w:rPr>
              <w:tab/>
              <w:t xml:space="preserve">tagħmir operazzjonali u sistemi tal-ICT meħtieġa għall-ipproċessar ta’ applikazzjonijiet għal viża u </w:t>
            </w:r>
            <w:r w:rsidRPr="00F004FC">
              <w:rPr>
                <w:b/>
                <w:i/>
              </w:rPr>
              <w:t>kooperazzjoni konsulari;</w:t>
            </w:r>
          </w:p>
        </w:tc>
      </w:tr>
      <w:tr w:rsidR="00A60809" w:rsidRPr="00F004FC" w14:paraId="64ABD797" w14:textId="77777777">
        <w:trPr>
          <w:jc w:val="center"/>
        </w:trPr>
        <w:tc>
          <w:tcPr>
            <w:tcW w:w="4876" w:type="dxa"/>
          </w:tcPr>
          <w:p w14:paraId="67E32ADB" w14:textId="77777777" w:rsidR="00231D55" w:rsidRPr="00F004FC" w:rsidRDefault="00231D55" w:rsidP="00E8229D">
            <w:pPr>
              <w:pStyle w:val="Normal6a"/>
            </w:pPr>
          </w:p>
        </w:tc>
        <w:tc>
          <w:tcPr>
            <w:tcW w:w="4876" w:type="dxa"/>
          </w:tcPr>
          <w:p w14:paraId="10F0103E" w14:textId="77777777" w:rsidR="00231D55" w:rsidRPr="00F004FC" w:rsidRDefault="005261DB" w:rsidP="00E8229D">
            <w:pPr>
              <w:pStyle w:val="Normal6a"/>
              <w:rPr>
                <w:b/>
                <w:bCs/>
                <w:i/>
                <w:iCs/>
                <w:szCs w:val="24"/>
              </w:rPr>
            </w:pPr>
            <w:r w:rsidRPr="00F004FC">
              <w:rPr>
                <w:b/>
                <w:i/>
              </w:rPr>
              <w:t>(c)</w:t>
            </w:r>
            <w:r w:rsidRPr="00F004FC">
              <w:rPr>
                <w:b/>
                <w:i/>
              </w:rPr>
              <w:tab/>
              <w:t>taħriġ ta’ persunal konsulari u persunal ieħor li jikkontribwixxu għall-politika komuni dwar il-viżi u l-kooperazzjoni konsulari;</w:t>
            </w:r>
          </w:p>
        </w:tc>
      </w:tr>
      <w:tr w:rsidR="00A60809" w:rsidRPr="00F004FC" w14:paraId="76A05B8D" w14:textId="77777777">
        <w:trPr>
          <w:jc w:val="center"/>
        </w:trPr>
        <w:tc>
          <w:tcPr>
            <w:tcW w:w="4876" w:type="dxa"/>
          </w:tcPr>
          <w:p w14:paraId="2F7A971F" w14:textId="77777777" w:rsidR="00231D55" w:rsidRPr="00F004FC" w:rsidRDefault="00231D55" w:rsidP="00E8229D">
            <w:pPr>
              <w:pStyle w:val="Normal6a"/>
            </w:pPr>
          </w:p>
        </w:tc>
        <w:tc>
          <w:tcPr>
            <w:tcW w:w="4876" w:type="dxa"/>
          </w:tcPr>
          <w:p w14:paraId="0D043CE2" w14:textId="77777777" w:rsidR="00231D55" w:rsidRPr="00F004FC" w:rsidRDefault="005261DB" w:rsidP="00E8229D">
            <w:pPr>
              <w:pStyle w:val="Normal6a"/>
              <w:rPr>
                <w:b/>
                <w:bCs/>
                <w:i/>
                <w:iCs/>
                <w:szCs w:val="24"/>
              </w:rPr>
            </w:pPr>
            <w:r w:rsidRPr="00F004FC">
              <w:rPr>
                <w:b/>
                <w:i/>
              </w:rPr>
              <w:t>(d)</w:t>
            </w:r>
            <w:r w:rsidRPr="00F004FC">
              <w:rPr>
                <w:b/>
                <w:i/>
              </w:rPr>
              <w:tab/>
              <w:t xml:space="preserve">l-iskambju tal-aħjar prattiki u l-iskambju ta’ esperti, inkluż is-sekondar ta’ </w:t>
            </w:r>
            <w:r w:rsidRPr="00F004FC">
              <w:rPr>
                <w:b/>
                <w:i/>
              </w:rPr>
              <w:t xml:space="preserve">esperti, kif ukoll l-ixprunar tal-kapaċità tan-networks Ewropej biex jivvalutaw, jippromwovu, jappoġġaw u jiżviluppaw aktar il-politiki u l-objettivi </w:t>
            </w:r>
            <w:r w:rsidRPr="00F004FC">
              <w:rPr>
                <w:b/>
                <w:i/>
              </w:rPr>
              <w:lastRenderedPageBreak/>
              <w:t>tal-Unjoni;</w:t>
            </w:r>
          </w:p>
        </w:tc>
      </w:tr>
      <w:tr w:rsidR="00A60809" w:rsidRPr="00F004FC" w14:paraId="285D19E4" w14:textId="77777777">
        <w:trPr>
          <w:jc w:val="center"/>
        </w:trPr>
        <w:tc>
          <w:tcPr>
            <w:tcW w:w="4876" w:type="dxa"/>
          </w:tcPr>
          <w:p w14:paraId="00E52BEF" w14:textId="77777777" w:rsidR="00231D55" w:rsidRPr="00F004FC" w:rsidRDefault="00231D55" w:rsidP="00E8229D">
            <w:pPr>
              <w:pStyle w:val="Normal6a"/>
            </w:pPr>
          </w:p>
        </w:tc>
        <w:tc>
          <w:tcPr>
            <w:tcW w:w="4876" w:type="dxa"/>
          </w:tcPr>
          <w:p w14:paraId="72D31F1A" w14:textId="77777777" w:rsidR="00231D55" w:rsidRPr="00F004FC" w:rsidRDefault="005261DB" w:rsidP="00E8229D">
            <w:pPr>
              <w:pStyle w:val="Normal6a"/>
              <w:rPr>
                <w:b/>
                <w:bCs/>
                <w:i/>
                <w:iCs/>
              </w:rPr>
            </w:pPr>
            <w:r w:rsidRPr="00F004FC">
              <w:rPr>
                <w:b/>
                <w:i/>
              </w:rPr>
              <w:t>(e)</w:t>
            </w:r>
            <w:r w:rsidRPr="00F004FC">
              <w:rPr>
                <w:b/>
                <w:i/>
              </w:rPr>
              <w:tab/>
              <w:t>studji u azzjonijiet oħra rilevanti, bħal azzjonijiet li għandhom l-għan li jtejbu l-għarfien permezz ta’ analiżi, monitoraġġ u evalwazzjoni;</w:t>
            </w:r>
          </w:p>
        </w:tc>
      </w:tr>
      <w:tr w:rsidR="00A60809" w:rsidRPr="00F004FC" w14:paraId="7D34B20E" w14:textId="77777777">
        <w:trPr>
          <w:jc w:val="center"/>
        </w:trPr>
        <w:tc>
          <w:tcPr>
            <w:tcW w:w="4876" w:type="dxa"/>
          </w:tcPr>
          <w:p w14:paraId="16B6FEFF" w14:textId="77777777" w:rsidR="00231D55" w:rsidRPr="00F004FC" w:rsidRDefault="00231D55" w:rsidP="00E8229D">
            <w:pPr>
              <w:pStyle w:val="Normal6a"/>
            </w:pPr>
          </w:p>
        </w:tc>
        <w:tc>
          <w:tcPr>
            <w:tcW w:w="4876" w:type="dxa"/>
          </w:tcPr>
          <w:p w14:paraId="056134D6" w14:textId="77777777" w:rsidR="00231D55" w:rsidRPr="00F004FC" w:rsidRDefault="005261DB" w:rsidP="00E8229D">
            <w:pPr>
              <w:pStyle w:val="Normal6a"/>
              <w:rPr>
                <w:b/>
                <w:bCs/>
                <w:i/>
                <w:iCs/>
                <w:szCs w:val="24"/>
              </w:rPr>
            </w:pPr>
            <w:r w:rsidRPr="00F004FC">
              <w:rPr>
                <w:b/>
                <w:i/>
              </w:rPr>
              <w:t>(f)</w:t>
            </w:r>
            <w:r w:rsidRPr="00F004FC">
              <w:rPr>
                <w:b/>
                <w:i/>
              </w:rPr>
              <w:tab/>
              <w:t>attivitajiet biex issir sensibilizzazzjoni fost il-partijiet ikkonċernati u l-pubbliku ġenerali fir-rigward tal-politiki dwar il-viżi, inkluża l-komunikazzjoni korporattiva tal-prijoritajiet politiċi tal-Unjoni;</w:t>
            </w:r>
          </w:p>
        </w:tc>
      </w:tr>
      <w:tr w:rsidR="00A60809" w:rsidRPr="00F004FC" w14:paraId="0ABD41A0" w14:textId="77777777">
        <w:trPr>
          <w:jc w:val="center"/>
        </w:trPr>
        <w:tc>
          <w:tcPr>
            <w:tcW w:w="4876" w:type="dxa"/>
          </w:tcPr>
          <w:p w14:paraId="699FCBC1" w14:textId="77777777" w:rsidR="00231D55" w:rsidRPr="00F004FC" w:rsidRDefault="00231D55" w:rsidP="00E8229D">
            <w:pPr>
              <w:pStyle w:val="Normal6a"/>
            </w:pPr>
          </w:p>
        </w:tc>
        <w:tc>
          <w:tcPr>
            <w:tcW w:w="4876" w:type="dxa"/>
          </w:tcPr>
          <w:p w14:paraId="325890F1" w14:textId="77777777" w:rsidR="00231D55" w:rsidRPr="00F004FC" w:rsidRDefault="005261DB" w:rsidP="00E8229D">
            <w:pPr>
              <w:pStyle w:val="Normal6a"/>
              <w:rPr>
                <w:b/>
                <w:bCs/>
                <w:i/>
                <w:iCs/>
                <w:szCs w:val="24"/>
              </w:rPr>
            </w:pPr>
            <w:r w:rsidRPr="00F004FC">
              <w:rPr>
                <w:b/>
                <w:i/>
              </w:rPr>
              <w:t>(g)</w:t>
            </w:r>
            <w:r w:rsidRPr="00F004FC">
              <w:rPr>
                <w:b/>
                <w:i/>
              </w:rPr>
              <w:tab/>
              <w:t>l-iżvilupp ta’ għodod, metodi u indikaturi tal-istatistika li jirrispettaw il-prinċipju ta’ nondiskriminazzjoni;</w:t>
            </w:r>
          </w:p>
        </w:tc>
      </w:tr>
      <w:tr w:rsidR="00A60809" w:rsidRPr="00F004FC" w14:paraId="751DA0F0" w14:textId="77777777">
        <w:trPr>
          <w:jc w:val="center"/>
        </w:trPr>
        <w:tc>
          <w:tcPr>
            <w:tcW w:w="4876" w:type="dxa"/>
          </w:tcPr>
          <w:p w14:paraId="198B42F6" w14:textId="77777777" w:rsidR="00231D55" w:rsidRPr="00F004FC" w:rsidRDefault="00231D55" w:rsidP="00E8229D">
            <w:pPr>
              <w:pStyle w:val="Normal6a"/>
            </w:pPr>
          </w:p>
        </w:tc>
        <w:tc>
          <w:tcPr>
            <w:tcW w:w="4876" w:type="dxa"/>
          </w:tcPr>
          <w:p w14:paraId="0E9494D0" w14:textId="77777777" w:rsidR="00231D55" w:rsidRPr="00F004FC" w:rsidRDefault="005261DB" w:rsidP="00E8229D">
            <w:pPr>
              <w:pStyle w:val="Normal6a"/>
              <w:rPr>
                <w:b/>
                <w:bCs/>
                <w:i/>
                <w:iCs/>
                <w:szCs w:val="24"/>
              </w:rPr>
            </w:pPr>
            <w:r w:rsidRPr="00F004FC">
              <w:rPr>
                <w:b/>
                <w:i/>
              </w:rPr>
              <w:t>(h)</w:t>
            </w:r>
            <w:r w:rsidRPr="00F004FC">
              <w:rPr>
                <w:b/>
                <w:i/>
              </w:rPr>
              <w:tab/>
              <w:t>appoġġ operazzjonali għall-implimentazzjoni tal-politika komuni dwar il-viżi;</w:t>
            </w:r>
          </w:p>
        </w:tc>
      </w:tr>
      <w:tr w:rsidR="00A60809" w:rsidRPr="00F004FC" w14:paraId="440C34DC" w14:textId="77777777">
        <w:trPr>
          <w:jc w:val="center"/>
        </w:trPr>
        <w:tc>
          <w:tcPr>
            <w:tcW w:w="4876" w:type="dxa"/>
          </w:tcPr>
          <w:p w14:paraId="0CB40BEE" w14:textId="77777777" w:rsidR="00507587" w:rsidRPr="00F004FC" w:rsidRDefault="00507587" w:rsidP="00E8229D">
            <w:pPr>
              <w:pStyle w:val="Normal6a"/>
            </w:pPr>
          </w:p>
        </w:tc>
        <w:tc>
          <w:tcPr>
            <w:tcW w:w="4876" w:type="dxa"/>
          </w:tcPr>
          <w:p w14:paraId="723A5CEF" w14:textId="77777777" w:rsidR="00507587" w:rsidRPr="00F004FC" w:rsidRDefault="005261DB" w:rsidP="00E8229D">
            <w:pPr>
              <w:pStyle w:val="Normal6a"/>
              <w:rPr>
                <w:b/>
                <w:bCs/>
                <w:i/>
                <w:iCs/>
                <w:szCs w:val="24"/>
              </w:rPr>
            </w:pPr>
            <w:r w:rsidRPr="00F004FC">
              <w:rPr>
                <w:b/>
                <w:i/>
              </w:rPr>
              <w:t>(i)</w:t>
            </w:r>
            <w:r w:rsidRPr="00F004FC">
              <w:rPr>
                <w:b/>
                <w:i/>
              </w:rPr>
              <w:tab/>
              <w:t>appoġġ lill-Istati Membri fil-ħruġ ta’ viżi, inklużi viżi b’validità territorjali limitata, kif imsemmi fl-Artikolu 25 tar-Regolament (KE) Nru 810/2009, maħruġin għal raġunijiet umanitarji, għal raġunijiet ta’ interess nazzjonali jew minħabba obbligi internazzjonali.</w:t>
            </w:r>
          </w:p>
        </w:tc>
      </w:tr>
    </w:tbl>
    <w:p w14:paraId="2354B577" w14:textId="77777777" w:rsidR="00FA192C" w:rsidRPr="00F004FC" w:rsidRDefault="005261DB" w:rsidP="00FA192C">
      <w:pPr>
        <w:pStyle w:val="AmOrLang"/>
      </w:pPr>
      <w:r w:rsidRPr="00F004FC">
        <w:t xml:space="preserve">Or. </w:t>
      </w:r>
      <w:r w:rsidRPr="00F004FC">
        <w:rPr>
          <w:rStyle w:val="HideTWBExt"/>
          <w:noProof w:val="0"/>
        </w:rPr>
        <w:t>&lt;Original&gt;</w:t>
      </w:r>
      <w:r w:rsidR="00507587" w:rsidRPr="00F004FC">
        <w:rPr>
          <w:rStyle w:val="HideTWBInt"/>
        </w:rPr>
        <w:t>{EN}</w:t>
      </w:r>
      <w:r w:rsidR="00507587" w:rsidRPr="00F004FC">
        <w:t>en</w:t>
      </w:r>
      <w:r w:rsidRPr="00F004FC">
        <w:rPr>
          <w:rStyle w:val="HideTWBExt"/>
          <w:noProof w:val="0"/>
        </w:rPr>
        <w:t>&lt;/Original&gt;</w:t>
      </w:r>
    </w:p>
    <w:p w14:paraId="03C24C08" w14:textId="77777777" w:rsidR="00FA192C" w:rsidRPr="00F004FC" w:rsidRDefault="005261DB" w:rsidP="003923F7">
      <w:pPr>
        <w:pStyle w:val="AmJustTitle"/>
      </w:pPr>
      <w:r w:rsidRPr="00F004FC">
        <w:rPr>
          <w:rStyle w:val="HideTWBExt"/>
          <w:i w:val="0"/>
        </w:rPr>
        <w:t>&lt;TitreJust&gt;</w:t>
      </w:r>
      <w:r w:rsidRPr="00F004FC">
        <w:t>Ġustifikazzjoni</w:t>
      </w:r>
      <w:r w:rsidRPr="00F004FC">
        <w:rPr>
          <w:rStyle w:val="HideTWBExt"/>
          <w:i w:val="0"/>
        </w:rPr>
        <w:t>&lt;/TitreJust&gt;</w:t>
      </w:r>
    </w:p>
    <w:p w14:paraId="4FEB926A" w14:textId="77777777" w:rsidR="00507587" w:rsidRPr="00F004FC" w:rsidRDefault="005261DB" w:rsidP="00507587">
      <w:pPr>
        <w:pStyle w:val="Normal12Italic"/>
        <w:jc w:val="both"/>
        <w:rPr>
          <w:szCs w:val="24"/>
        </w:rPr>
      </w:pPr>
      <w:r w:rsidRPr="00F004FC">
        <w:t xml:space="preserve"> L-azzjonijiet li se jiġu ffinanzjati taħt dan l-istrument għandhom jiġu definiti fl-interess tat-trasparenza u fl-interess tal-Parlament, bħala koleġiżlatur. Il-finanzjament ta’ attivitajiet opaċi mill-Istati Membri ma għandux ikun permess.</w:t>
      </w:r>
    </w:p>
    <w:p w14:paraId="1B5CDF9A" w14:textId="77777777" w:rsidR="00FA192C" w:rsidRPr="00F004FC" w:rsidRDefault="00FA192C" w:rsidP="00FA192C">
      <w:pPr>
        <w:pStyle w:val="AmJustText"/>
      </w:pPr>
    </w:p>
    <w:p w14:paraId="54FACA6C" w14:textId="77777777" w:rsidR="00166CCB" w:rsidRPr="00F004FC" w:rsidRDefault="005261DB" w:rsidP="00A5426B">
      <w:r w:rsidRPr="00F004FC">
        <w:rPr>
          <w:rStyle w:val="HideTWBExt"/>
        </w:rPr>
        <w:t>&lt;/Amend&gt;</w:t>
      </w:r>
      <w:bookmarkEnd w:id="1"/>
    </w:p>
    <w:p w14:paraId="343462E8" w14:textId="77777777" w:rsidR="00FA192C" w:rsidRPr="00F004FC" w:rsidRDefault="005261DB" w:rsidP="00FA192C">
      <w:bookmarkStart w:id="2" w:name="EndB"/>
      <w:r w:rsidRPr="00F004FC">
        <w:rPr>
          <w:rStyle w:val="HideTWBExt"/>
        </w:rPr>
        <w:t>&lt;/RepeatBlock-Amend&gt;</w:t>
      </w:r>
      <w:bookmarkEnd w:id="2"/>
    </w:p>
    <w:p w14:paraId="58C337AB" w14:textId="77777777" w:rsidR="008363E4" w:rsidRPr="00F004FC" w:rsidRDefault="008363E4" w:rsidP="00FA192C"/>
    <w:sectPr w:rsidR="008363E4" w:rsidRPr="00F004FC" w:rsidSect="00F004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4D549" w14:textId="77777777" w:rsidR="005261DB" w:rsidRPr="00F004FC" w:rsidRDefault="005261DB">
      <w:r w:rsidRPr="00F004FC">
        <w:separator/>
      </w:r>
    </w:p>
  </w:endnote>
  <w:endnote w:type="continuationSeparator" w:id="0">
    <w:p w14:paraId="7FBB7A4B" w14:textId="77777777" w:rsidR="005261DB" w:rsidRPr="00F004FC" w:rsidRDefault="005261DB">
      <w:r w:rsidRPr="00F004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787" w14:textId="77777777" w:rsidR="00F004FC" w:rsidRPr="00F004FC" w:rsidRDefault="00F004FC" w:rsidP="00F004FC">
    <w:pPr>
      <w:pStyle w:val="EPFooter"/>
    </w:pPr>
    <w:r w:rsidRPr="00F004FC">
      <w:t>PE</w:t>
    </w:r>
    <w:r w:rsidRPr="00F004FC">
      <w:rPr>
        <w:rStyle w:val="HideTWBExt"/>
      </w:rPr>
      <w:t>&lt;NoPE&gt;</w:t>
    </w:r>
    <w:r w:rsidRPr="00F004FC">
      <w:t>790.136</w:t>
    </w:r>
    <w:r w:rsidRPr="00F004FC">
      <w:rPr>
        <w:rStyle w:val="HideTWBExt"/>
      </w:rPr>
      <w:t>&lt;/NoPE&gt;&lt;Version&gt;</w:t>
    </w:r>
    <w:r w:rsidRPr="00F004FC">
      <w:t>v01-00</w:t>
    </w:r>
    <w:r w:rsidRPr="00F004FC">
      <w:rPr>
        <w:rStyle w:val="HideTWBExt"/>
      </w:rPr>
      <w:t>&lt;/Version&gt;</w:t>
    </w:r>
    <w:r w:rsidRPr="00F004FC">
      <w:tab/>
    </w:r>
    <w:r w:rsidRPr="00F004FC">
      <w:fldChar w:fldCharType="begin"/>
    </w:r>
    <w:r w:rsidRPr="00F004FC">
      <w:instrText xml:space="preserve"> PAGE  \* MERGEFORMAT </w:instrText>
    </w:r>
    <w:r w:rsidRPr="00F004FC">
      <w:fldChar w:fldCharType="separate"/>
    </w:r>
    <w:r w:rsidRPr="00F004FC">
      <w:rPr>
        <w:noProof/>
      </w:rPr>
      <w:t>2</w:t>
    </w:r>
    <w:r w:rsidRPr="00F004FC">
      <w:fldChar w:fldCharType="end"/>
    </w:r>
    <w:r w:rsidRPr="00F004FC">
      <w:t>/</w:t>
    </w:r>
    <w:fldSimple w:instr=" NUMPAGES  \* MERGEFORMAT ">
      <w:r w:rsidRPr="00F004FC">
        <w:rPr>
          <w:noProof/>
        </w:rPr>
        <w:t>7</w:t>
      </w:r>
    </w:fldSimple>
    <w:r w:rsidRPr="00F004FC">
      <w:tab/>
    </w:r>
    <w:r w:rsidRPr="00F004FC">
      <w:rPr>
        <w:rStyle w:val="HideTWBExt"/>
      </w:rPr>
      <w:t>&lt;PathFdR&gt;</w:t>
    </w:r>
    <w:r w:rsidRPr="00F004FC">
      <w:t>AM\1346405MT.docx</w:t>
    </w:r>
    <w:r w:rsidRPr="00F004FC">
      <w:rPr>
        <w:rStyle w:val="HideTWBExt"/>
      </w:rPr>
      <w:t>&lt;/PathFdR&gt;</w:t>
    </w:r>
  </w:p>
  <w:p w14:paraId="446E3FB0" w14:textId="0D4FD8F1" w:rsidR="00D82FCC" w:rsidRPr="00F004FC" w:rsidRDefault="00F004FC" w:rsidP="00F004FC">
    <w:pPr>
      <w:pStyle w:val="EPFooter2"/>
    </w:pPr>
    <w:r w:rsidRPr="00F004FC">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A0E6" w14:textId="77777777" w:rsidR="00F004FC" w:rsidRPr="00F004FC" w:rsidRDefault="00F004FC" w:rsidP="00F004FC">
    <w:pPr>
      <w:pStyle w:val="EPFooter"/>
    </w:pPr>
    <w:r w:rsidRPr="00F004FC">
      <w:rPr>
        <w:rStyle w:val="HideTWBExt"/>
      </w:rPr>
      <w:t>&lt;PathFdR&gt;</w:t>
    </w:r>
    <w:r w:rsidRPr="00F004FC">
      <w:t>AM\1346405MT.docx</w:t>
    </w:r>
    <w:r w:rsidRPr="00F004FC">
      <w:rPr>
        <w:rStyle w:val="HideTWBExt"/>
      </w:rPr>
      <w:t>&lt;/PathFdR&gt;</w:t>
    </w:r>
    <w:r w:rsidRPr="00F004FC">
      <w:tab/>
    </w:r>
    <w:r w:rsidRPr="00F004FC">
      <w:fldChar w:fldCharType="begin"/>
    </w:r>
    <w:r w:rsidRPr="00F004FC">
      <w:instrText xml:space="preserve"> PAGE  \* MERGEFORMAT </w:instrText>
    </w:r>
    <w:r w:rsidRPr="00F004FC">
      <w:fldChar w:fldCharType="separate"/>
    </w:r>
    <w:r w:rsidRPr="00F004FC">
      <w:rPr>
        <w:noProof/>
      </w:rPr>
      <w:t>3</w:t>
    </w:r>
    <w:r w:rsidRPr="00F004FC">
      <w:fldChar w:fldCharType="end"/>
    </w:r>
    <w:r w:rsidRPr="00F004FC">
      <w:t>/</w:t>
    </w:r>
    <w:fldSimple w:instr=" NUMPAGES  \* MERGEFORMAT ">
      <w:r w:rsidRPr="00F004FC">
        <w:rPr>
          <w:noProof/>
        </w:rPr>
        <w:t>7</w:t>
      </w:r>
    </w:fldSimple>
    <w:r w:rsidRPr="00F004FC">
      <w:tab/>
      <w:t>PE</w:t>
    </w:r>
    <w:r w:rsidRPr="00F004FC">
      <w:rPr>
        <w:rStyle w:val="HideTWBExt"/>
      </w:rPr>
      <w:t>&lt;NoPE&gt;</w:t>
    </w:r>
    <w:r w:rsidRPr="00F004FC">
      <w:t>790.136</w:t>
    </w:r>
    <w:r w:rsidRPr="00F004FC">
      <w:rPr>
        <w:rStyle w:val="HideTWBExt"/>
      </w:rPr>
      <w:t>&lt;/NoPE&gt;&lt;Version&gt;</w:t>
    </w:r>
    <w:r w:rsidRPr="00F004FC">
      <w:t>v01-00</w:t>
    </w:r>
    <w:r w:rsidRPr="00F004FC">
      <w:rPr>
        <w:rStyle w:val="HideTWBExt"/>
      </w:rPr>
      <w:t>&lt;/Version&gt;</w:t>
    </w:r>
  </w:p>
  <w:p w14:paraId="3328B42C" w14:textId="6FEE08F6" w:rsidR="00D82FCC" w:rsidRPr="00F004FC" w:rsidRDefault="00F004FC" w:rsidP="00F004FC">
    <w:pPr>
      <w:pStyle w:val="EPFooter2"/>
    </w:pPr>
    <w:r w:rsidRPr="00F004FC">
      <w:tab/>
    </w:r>
    <w:r w:rsidRPr="00F004FC">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2FDB" w14:textId="77777777" w:rsidR="00F004FC" w:rsidRPr="00F004FC" w:rsidRDefault="00F004FC" w:rsidP="00F004FC">
    <w:pPr>
      <w:pStyle w:val="EPFooter"/>
    </w:pPr>
    <w:r w:rsidRPr="00F004FC">
      <w:rPr>
        <w:rStyle w:val="HideTWBExt"/>
      </w:rPr>
      <w:t>&lt;PathFdR&gt;</w:t>
    </w:r>
    <w:r w:rsidRPr="00F004FC">
      <w:t>AM\1346405MT.docx</w:t>
    </w:r>
    <w:r w:rsidRPr="00F004FC">
      <w:rPr>
        <w:rStyle w:val="HideTWBExt"/>
      </w:rPr>
      <w:t>&lt;/PathFdR&gt;</w:t>
    </w:r>
    <w:r w:rsidRPr="00F004FC">
      <w:tab/>
    </w:r>
    <w:r w:rsidRPr="00F004FC">
      <w:tab/>
      <w:t>PE</w:t>
    </w:r>
    <w:r w:rsidRPr="00F004FC">
      <w:rPr>
        <w:rStyle w:val="HideTWBExt"/>
      </w:rPr>
      <w:t>&lt;NoPE&gt;</w:t>
    </w:r>
    <w:r w:rsidRPr="00F004FC">
      <w:t>790.136</w:t>
    </w:r>
    <w:r w:rsidRPr="00F004FC">
      <w:rPr>
        <w:rStyle w:val="HideTWBExt"/>
      </w:rPr>
      <w:t>&lt;/NoPE&gt;&lt;Version&gt;</w:t>
    </w:r>
    <w:r w:rsidRPr="00F004FC">
      <w:t>v01-00</w:t>
    </w:r>
    <w:r w:rsidRPr="00F004FC">
      <w:rPr>
        <w:rStyle w:val="HideTWBExt"/>
      </w:rPr>
      <w:t>&lt;/Version&gt;</w:t>
    </w:r>
  </w:p>
  <w:p w14:paraId="158C6ABC" w14:textId="0E10F784" w:rsidR="00D82FCC" w:rsidRPr="00F004FC" w:rsidRDefault="00F004FC" w:rsidP="00F004FC">
    <w:pPr>
      <w:pStyle w:val="EPFooter2"/>
    </w:pPr>
    <w:r w:rsidRPr="00F004FC">
      <w:t>MT</w:t>
    </w:r>
    <w:r w:rsidRPr="00F004FC">
      <w:tab/>
    </w:r>
    <w:r w:rsidRPr="00F004FC">
      <w:rPr>
        <w:b w:val="0"/>
        <w:i/>
        <w:color w:val="C0C0C0"/>
        <w:sz w:val="22"/>
      </w:rPr>
      <w:t>Magħquda fid-diversità</w:t>
    </w:r>
    <w:r w:rsidRPr="00F004FC">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48CCA" w14:textId="77777777" w:rsidR="005261DB" w:rsidRPr="00F004FC" w:rsidRDefault="005261DB">
      <w:r w:rsidRPr="00F004FC">
        <w:separator/>
      </w:r>
    </w:p>
  </w:footnote>
  <w:footnote w:type="continuationSeparator" w:id="0">
    <w:p w14:paraId="6E1B3258" w14:textId="77777777" w:rsidR="005261DB" w:rsidRPr="00F004FC" w:rsidRDefault="005261DB">
      <w:r w:rsidRPr="00F004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61C6" w14:textId="77777777" w:rsidR="005261DB" w:rsidRDefault="00526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2E77" w14:textId="77777777" w:rsidR="005261DB" w:rsidRDefault="005261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239F" w14:textId="77777777" w:rsidR="005261DB" w:rsidRDefault="005261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4B4028EC">
      <w:start w:val="1"/>
      <w:numFmt w:val="decimal"/>
      <w:lvlText w:val="%1."/>
      <w:lvlJc w:val="left"/>
      <w:pPr>
        <w:ind w:left="720" w:hanging="360"/>
      </w:pPr>
      <w:rPr>
        <w:rFonts w:hint="default"/>
      </w:rPr>
    </w:lvl>
    <w:lvl w:ilvl="1" w:tplc="33D25A7A" w:tentative="1">
      <w:start w:val="1"/>
      <w:numFmt w:val="lowerLetter"/>
      <w:lvlText w:val="%2."/>
      <w:lvlJc w:val="left"/>
      <w:pPr>
        <w:ind w:left="1440" w:hanging="360"/>
      </w:pPr>
    </w:lvl>
    <w:lvl w:ilvl="2" w:tplc="54B4E332" w:tentative="1">
      <w:start w:val="1"/>
      <w:numFmt w:val="lowerRoman"/>
      <w:lvlText w:val="%3."/>
      <w:lvlJc w:val="right"/>
      <w:pPr>
        <w:ind w:left="2160" w:hanging="180"/>
      </w:pPr>
    </w:lvl>
    <w:lvl w:ilvl="3" w:tplc="8C7E5D38" w:tentative="1">
      <w:start w:val="1"/>
      <w:numFmt w:val="decimal"/>
      <w:lvlText w:val="%4."/>
      <w:lvlJc w:val="left"/>
      <w:pPr>
        <w:ind w:left="2880" w:hanging="360"/>
      </w:pPr>
    </w:lvl>
    <w:lvl w:ilvl="4" w:tplc="C1EC30B2" w:tentative="1">
      <w:start w:val="1"/>
      <w:numFmt w:val="lowerLetter"/>
      <w:lvlText w:val="%5."/>
      <w:lvlJc w:val="left"/>
      <w:pPr>
        <w:ind w:left="3600" w:hanging="360"/>
      </w:pPr>
    </w:lvl>
    <w:lvl w:ilvl="5" w:tplc="71786792" w:tentative="1">
      <w:start w:val="1"/>
      <w:numFmt w:val="lowerRoman"/>
      <w:lvlText w:val="%6."/>
      <w:lvlJc w:val="right"/>
      <w:pPr>
        <w:ind w:left="4320" w:hanging="180"/>
      </w:pPr>
    </w:lvl>
    <w:lvl w:ilvl="6" w:tplc="A15609B0" w:tentative="1">
      <w:start w:val="1"/>
      <w:numFmt w:val="decimal"/>
      <w:lvlText w:val="%7."/>
      <w:lvlJc w:val="left"/>
      <w:pPr>
        <w:ind w:left="5040" w:hanging="360"/>
      </w:pPr>
    </w:lvl>
    <w:lvl w:ilvl="7" w:tplc="141A84B2" w:tentative="1">
      <w:start w:val="1"/>
      <w:numFmt w:val="lowerLetter"/>
      <w:lvlText w:val="%8."/>
      <w:lvlJc w:val="left"/>
      <w:pPr>
        <w:ind w:left="5760" w:hanging="360"/>
      </w:pPr>
    </w:lvl>
    <w:lvl w:ilvl="8" w:tplc="487C1570"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AFBC512C">
      <w:start w:val="1"/>
      <w:numFmt w:val="decimal"/>
      <w:lvlText w:val="%1."/>
      <w:lvlJc w:val="left"/>
      <w:pPr>
        <w:ind w:left="720" w:hanging="360"/>
      </w:pPr>
      <w:rPr>
        <w:rFonts w:hint="default"/>
      </w:rPr>
    </w:lvl>
    <w:lvl w:ilvl="1" w:tplc="8C8427D8" w:tentative="1">
      <w:start w:val="1"/>
      <w:numFmt w:val="lowerLetter"/>
      <w:lvlText w:val="%2."/>
      <w:lvlJc w:val="left"/>
      <w:pPr>
        <w:ind w:left="1440" w:hanging="360"/>
      </w:pPr>
    </w:lvl>
    <w:lvl w:ilvl="2" w:tplc="07966286" w:tentative="1">
      <w:start w:val="1"/>
      <w:numFmt w:val="lowerRoman"/>
      <w:lvlText w:val="%3."/>
      <w:lvlJc w:val="right"/>
      <w:pPr>
        <w:ind w:left="2160" w:hanging="180"/>
      </w:pPr>
    </w:lvl>
    <w:lvl w:ilvl="3" w:tplc="027EE9A2" w:tentative="1">
      <w:start w:val="1"/>
      <w:numFmt w:val="decimal"/>
      <w:lvlText w:val="%4."/>
      <w:lvlJc w:val="left"/>
      <w:pPr>
        <w:ind w:left="2880" w:hanging="360"/>
      </w:pPr>
    </w:lvl>
    <w:lvl w:ilvl="4" w:tplc="A7AC228E" w:tentative="1">
      <w:start w:val="1"/>
      <w:numFmt w:val="lowerLetter"/>
      <w:lvlText w:val="%5."/>
      <w:lvlJc w:val="left"/>
      <w:pPr>
        <w:ind w:left="3600" w:hanging="360"/>
      </w:pPr>
    </w:lvl>
    <w:lvl w:ilvl="5" w:tplc="2E70EDF0" w:tentative="1">
      <w:start w:val="1"/>
      <w:numFmt w:val="lowerRoman"/>
      <w:lvlText w:val="%6."/>
      <w:lvlJc w:val="right"/>
      <w:pPr>
        <w:ind w:left="4320" w:hanging="180"/>
      </w:pPr>
    </w:lvl>
    <w:lvl w:ilvl="6" w:tplc="CC8EE18A" w:tentative="1">
      <w:start w:val="1"/>
      <w:numFmt w:val="decimal"/>
      <w:lvlText w:val="%7."/>
      <w:lvlJc w:val="left"/>
      <w:pPr>
        <w:ind w:left="5040" w:hanging="360"/>
      </w:pPr>
    </w:lvl>
    <w:lvl w:ilvl="7" w:tplc="211692DE" w:tentative="1">
      <w:start w:val="1"/>
      <w:numFmt w:val="lowerLetter"/>
      <w:lvlText w:val="%8."/>
      <w:lvlJc w:val="left"/>
      <w:pPr>
        <w:ind w:left="5760" w:hanging="360"/>
      </w:pPr>
    </w:lvl>
    <w:lvl w:ilvl="8" w:tplc="EEA02B7A"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AE6E38CA">
      <w:start w:val="1"/>
      <w:numFmt w:val="lowerLetter"/>
      <w:lvlText w:val="(%1)"/>
      <w:lvlJc w:val="left"/>
      <w:pPr>
        <w:ind w:left="720" w:hanging="360"/>
      </w:pPr>
      <w:rPr>
        <w:rFonts w:hint="default"/>
      </w:rPr>
    </w:lvl>
    <w:lvl w:ilvl="1" w:tplc="2D440D2C" w:tentative="1">
      <w:start w:val="1"/>
      <w:numFmt w:val="lowerLetter"/>
      <w:lvlText w:val="%2."/>
      <w:lvlJc w:val="left"/>
      <w:pPr>
        <w:ind w:left="1440" w:hanging="360"/>
      </w:pPr>
    </w:lvl>
    <w:lvl w:ilvl="2" w:tplc="D2965B16" w:tentative="1">
      <w:start w:val="1"/>
      <w:numFmt w:val="lowerRoman"/>
      <w:lvlText w:val="%3."/>
      <w:lvlJc w:val="right"/>
      <w:pPr>
        <w:ind w:left="2160" w:hanging="180"/>
      </w:pPr>
    </w:lvl>
    <w:lvl w:ilvl="3" w:tplc="B194E98C" w:tentative="1">
      <w:start w:val="1"/>
      <w:numFmt w:val="decimal"/>
      <w:lvlText w:val="%4."/>
      <w:lvlJc w:val="left"/>
      <w:pPr>
        <w:ind w:left="2880" w:hanging="360"/>
      </w:pPr>
    </w:lvl>
    <w:lvl w:ilvl="4" w:tplc="414EA808" w:tentative="1">
      <w:start w:val="1"/>
      <w:numFmt w:val="lowerLetter"/>
      <w:lvlText w:val="%5."/>
      <w:lvlJc w:val="left"/>
      <w:pPr>
        <w:ind w:left="3600" w:hanging="360"/>
      </w:pPr>
    </w:lvl>
    <w:lvl w:ilvl="5" w:tplc="C67C0FAE" w:tentative="1">
      <w:start w:val="1"/>
      <w:numFmt w:val="lowerRoman"/>
      <w:lvlText w:val="%6."/>
      <w:lvlJc w:val="right"/>
      <w:pPr>
        <w:ind w:left="4320" w:hanging="180"/>
      </w:pPr>
    </w:lvl>
    <w:lvl w:ilvl="6" w:tplc="C9DA2DF6" w:tentative="1">
      <w:start w:val="1"/>
      <w:numFmt w:val="decimal"/>
      <w:lvlText w:val="%7."/>
      <w:lvlJc w:val="left"/>
      <w:pPr>
        <w:ind w:left="5040" w:hanging="360"/>
      </w:pPr>
    </w:lvl>
    <w:lvl w:ilvl="7" w:tplc="7DCA3E18" w:tentative="1">
      <w:start w:val="1"/>
      <w:numFmt w:val="lowerLetter"/>
      <w:lvlText w:val="%8."/>
      <w:lvlJc w:val="left"/>
      <w:pPr>
        <w:ind w:left="5760" w:hanging="360"/>
      </w:pPr>
    </w:lvl>
    <w:lvl w:ilvl="8" w:tplc="B022BC72"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209428CC">
      <w:start w:val="1"/>
      <w:numFmt w:val="lowerLetter"/>
      <w:lvlText w:val="(%1)"/>
      <w:lvlJc w:val="left"/>
      <w:pPr>
        <w:ind w:left="750" w:hanging="390"/>
      </w:pPr>
      <w:rPr>
        <w:rFonts w:hint="default"/>
      </w:rPr>
    </w:lvl>
    <w:lvl w:ilvl="1" w:tplc="6EFC5A56" w:tentative="1">
      <w:start w:val="1"/>
      <w:numFmt w:val="lowerLetter"/>
      <w:lvlText w:val="%2."/>
      <w:lvlJc w:val="left"/>
      <w:pPr>
        <w:ind w:left="1440" w:hanging="360"/>
      </w:pPr>
    </w:lvl>
    <w:lvl w:ilvl="2" w:tplc="E96EDCD8" w:tentative="1">
      <w:start w:val="1"/>
      <w:numFmt w:val="lowerRoman"/>
      <w:lvlText w:val="%3."/>
      <w:lvlJc w:val="right"/>
      <w:pPr>
        <w:ind w:left="2160" w:hanging="180"/>
      </w:pPr>
    </w:lvl>
    <w:lvl w:ilvl="3" w:tplc="ED88FAC6" w:tentative="1">
      <w:start w:val="1"/>
      <w:numFmt w:val="decimal"/>
      <w:lvlText w:val="%4."/>
      <w:lvlJc w:val="left"/>
      <w:pPr>
        <w:ind w:left="2880" w:hanging="360"/>
      </w:pPr>
    </w:lvl>
    <w:lvl w:ilvl="4" w:tplc="39306D90" w:tentative="1">
      <w:start w:val="1"/>
      <w:numFmt w:val="lowerLetter"/>
      <w:lvlText w:val="%5."/>
      <w:lvlJc w:val="left"/>
      <w:pPr>
        <w:ind w:left="3600" w:hanging="360"/>
      </w:pPr>
    </w:lvl>
    <w:lvl w:ilvl="5" w:tplc="BDA60ED8" w:tentative="1">
      <w:start w:val="1"/>
      <w:numFmt w:val="lowerRoman"/>
      <w:lvlText w:val="%6."/>
      <w:lvlJc w:val="right"/>
      <w:pPr>
        <w:ind w:left="4320" w:hanging="180"/>
      </w:pPr>
    </w:lvl>
    <w:lvl w:ilvl="6" w:tplc="F3D26BE2" w:tentative="1">
      <w:start w:val="1"/>
      <w:numFmt w:val="decimal"/>
      <w:lvlText w:val="%7."/>
      <w:lvlJc w:val="left"/>
      <w:pPr>
        <w:ind w:left="5040" w:hanging="360"/>
      </w:pPr>
    </w:lvl>
    <w:lvl w:ilvl="7" w:tplc="4AAC162A" w:tentative="1">
      <w:start w:val="1"/>
      <w:numFmt w:val="lowerLetter"/>
      <w:lvlText w:val="%8."/>
      <w:lvlJc w:val="left"/>
      <w:pPr>
        <w:ind w:left="5760" w:hanging="360"/>
      </w:pPr>
    </w:lvl>
    <w:lvl w:ilvl="8" w:tplc="C204D064"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E9EEE572">
      <w:start w:val="1"/>
      <w:numFmt w:val="lowerLetter"/>
      <w:lvlText w:val="(%1)"/>
      <w:lvlJc w:val="left"/>
      <w:pPr>
        <w:ind w:left="720" w:hanging="360"/>
      </w:pPr>
      <w:rPr>
        <w:rFonts w:hint="default"/>
      </w:rPr>
    </w:lvl>
    <w:lvl w:ilvl="1" w:tplc="CD3ADF48" w:tentative="1">
      <w:start w:val="1"/>
      <w:numFmt w:val="lowerLetter"/>
      <w:lvlText w:val="%2."/>
      <w:lvlJc w:val="left"/>
      <w:pPr>
        <w:ind w:left="1440" w:hanging="360"/>
      </w:pPr>
    </w:lvl>
    <w:lvl w:ilvl="2" w:tplc="4FACF876" w:tentative="1">
      <w:start w:val="1"/>
      <w:numFmt w:val="lowerRoman"/>
      <w:lvlText w:val="%3."/>
      <w:lvlJc w:val="right"/>
      <w:pPr>
        <w:ind w:left="2160" w:hanging="180"/>
      </w:pPr>
    </w:lvl>
    <w:lvl w:ilvl="3" w:tplc="7AB04420" w:tentative="1">
      <w:start w:val="1"/>
      <w:numFmt w:val="decimal"/>
      <w:lvlText w:val="%4."/>
      <w:lvlJc w:val="left"/>
      <w:pPr>
        <w:ind w:left="2880" w:hanging="360"/>
      </w:pPr>
    </w:lvl>
    <w:lvl w:ilvl="4" w:tplc="FE9EA954" w:tentative="1">
      <w:start w:val="1"/>
      <w:numFmt w:val="lowerLetter"/>
      <w:lvlText w:val="%5."/>
      <w:lvlJc w:val="left"/>
      <w:pPr>
        <w:ind w:left="3600" w:hanging="360"/>
      </w:pPr>
    </w:lvl>
    <w:lvl w:ilvl="5" w:tplc="70FAB92A" w:tentative="1">
      <w:start w:val="1"/>
      <w:numFmt w:val="lowerRoman"/>
      <w:lvlText w:val="%6."/>
      <w:lvlJc w:val="right"/>
      <w:pPr>
        <w:ind w:left="4320" w:hanging="180"/>
      </w:pPr>
    </w:lvl>
    <w:lvl w:ilvl="6" w:tplc="007297CE" w:tentative="1">
      <w:start w:val="1"/>
      <w:numFmt w:val="decimal"/>
      <w:lvlText w:val="%7."/>
      <w:lvlJc w:val="left"/>
      <w:pPr>
        <w:ind w:left="5040" w:hanging="360"/>
      </w:pPr>
    </w:lvl>
    <w:lvl w:ilvl="7" w:tplc="525E4A5E" w:tentative="1">
      <w:start w:val="1"/>
      <w:numFmt w:val="lowerLetter"/>
      <w:lvlText w:val="%8."/>
      <w:lvlJc w:val="left"/>
      <w:pPr>
        <w:ind w:left="5760" w:hanging="360"/>
      </w:pPr>
    </w:lvl>
    <w:lvl w:ilvl="8" w:tplc="4F5C0914"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1DB"/>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80899"/>
    <w:rsid w:val="009A65D8"/>
    <w:rsid w:val="009B0305"/>
    <w:rsid w:val="009C1DC1"/>
    <w:rsid w:val="009F230F"/>
    <w:rsid w:val="00A15973"/>
    <w:rsid w:val="00A233E9"/>
    <w:rsid w:val="00A40EC0"/>
    <w:rsid w:val="00A46736"/>
    <w:rsid w:val="00A507FC"/>
    <w:rsid w:val="00A5426B"/>
    <w:rsid w:val="00A60809"/>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04FC"/>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BF8FC"/>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904</Words>
  <Characters>6949</Characters>
  <Application>Microsoft Office Word</Application>
  <DocSecurity>0</DocSecurity>
  <Lines>266</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GRIMA Cherise-Marie</cp:lastModifiedBy>
  <cp:revision>2</cp:revision>
  <cp:lastPrinted>2007-06-22T14:02:00Z</cp:lastPrinted>
  <dcterms:created xsi:type="dcterms:W3CDTF">2026-06-30T13:52:00Z</dcterms:created>
  <dcterms:modified xsi:type="dcterms:W3CDTF">2026-06-30T13:52:00Z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AM\1346405MT.docx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- 2026/06/30 15:52</vt:lpwstr>
  </property>
</Properties>
</file>