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94A28" w:rsidRPr="008A1855" w14:paraId="6E4BB975" w14:textId="77777777" w:rsidTr="00C85D0F">
        <w:trPr>
          <w:trHeight w:hRule="exact" w:val="1418"/>
        </w:trPr>
        <w:tc>
          <w:tcPr>
            <w:tcW w:w="6804" w:type="dxa"/>
            <w:shd w:val="clear" w:color="auto" w:fill="auto"/>
            <w:vAlign w:val="center"/>
          </w:tcPr>
          <w:p w14:paraId="0365C4C4" w14:textId="77777777" w:rsidR="00BE5062" w:rsidRPr="008A1855" w:rsidRDefault="00C37291" w:rsidP="00C85D0F">
            <w:pPr>
              <w:pStyle w:val="EPName"/>
            </w:pPr>
            <w:r w:rsidRPr="008A1855">
              <w:t>Parlamento Europeu</w:t>
            </w:r>
          </w:p>
          <w:p w14:paraId="723A51C4" w14:textId="655B14EC" w:rsidR="00BE5062" w:rsidRPr="008A1855" w:rsidRDefault="00C37291" w:rsidP="00C85D0F">
            <w:pPr>
              <w:pStyle w:val="EPTerm"/>
            </w:pPr>
            <w:r w:rsidRPr="008A1855">
              <w:t>2024</w:t>
            </w:r>
            <w:r w:rsidR="00E7105A">
              <w:noBreakHyphen/>
            </w:r>
            <w:r w:rsidRPr="008A1855">
              <w:t>2029</w:t>
            </w:r>
          </w:p>
        </w:tc>
        <w:tc>
          <w:tcPr>
            <w:tcW w:w="2268" w:type="dxa"/>
            <w:shd w:val="clear" w:color="auto" w:fill="auto"/>
          </w:tcPr>
          <w:p w14:paraId="425FBFBE" w14:textId="77777777" w:rsidR="00BE5062" w:rsidRPr="008A1855" w:rsidRDefault="00C37291" w:rsidP="00C85D0F">
            <w:pPr>
              <w:pStyle w:val="EPLogo"/>
            </w:pPr>
            <w:r w:rsidRPr="008A1855">
              <w:rPr>
                <w:noProof/>
              </w:rPr>
              <w:drawing>
                <wp:inline distT="0" distB="0" distL="0" distR="0" wp14:anchorId="0C51FCC9" wp14:editId="405B66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A16AABF" w14:textId="77777777" w:rsidR="000E7234" w:rsidRPr="008A1855" w:rsidRDefault="000E7234" w:rsidP="000E7234">
      <w:pPr>
        <w:pStyle w:val="LineTop"/>
      </w:pPr>
    </w:p>
    <w:p w14:paraId="02A15B4D" w14:textId="77777777" w:rsidR="000E7234" w:rsidRPr="008A1855" w:rsidRDefault="00C37291" w:rsidP="000E7234">
      <w:pPr>
        <w:pStyle w:val="EPBody"/>
      </w:pPr>
      <w:r w:rsidRPr="008A1855">
        <w:rPr>
          <w:rStyle w:val="HideTWBExt"/>
        </w:rPr>
        <w:t>&lt;</w:t>
      </w:r>
      <w:r w:rsidRPr="008A1855">
        <w:rPr>
          <w:rStyle w:val="HideTWBExt"/>
          <w:i w:val="0"/>
        </w:rPr>
        <w:t>Commission</w:t>
      </w:r>
      <w:r w:rsidRPr="008A1855">
        <w:rPr>
          <w:rStyle w:val="HideTWBExt"/>
        </w:rPr>
        <w:t>&gt;</w:t>
      </w:r>
      <w:r w:rsidRPr="008A1855">
        <w:rPr>
          <w:rStyle w:val="HideTWBInt"/>
          <w:color w:val="auto"/>
        </w:rPr>
        <w:t>{LIBE}</w:t>
      </w:r>
      <w:r w:rsidRPr="008A1855">
        <w:t>Comissão das Liberdades Cívicas, da Justiça e dos Assuntos Internos</w:t>
      </w:r>
      <w:r w:rsidRPr="008A1855">
        <w:rPr>
          <w:rStyle w:val="HideTWBExt"/>
        </w:rPr>
        <w:t>&lt;/</w:t>
      </w:r>
      <w:r w:rsidRPr="008A1855">
        <w:rPr>
          <w:rStyle w:val="HideTWBExt"/>
          <w:i w:val="0"/>
        </w:rPr>
        <w:t>Commission</w:t>
      </w:r>
      <w:r w:rsidRPr="008A1855">
        <w:rPr>
          <w:rStyle w:val="HideTWBExt"/>
        </w:rPr>
        <w:t>&gt;</w:t>
      </w:r>
    </w:p>
    <w:p w14:paraId="03383A65" w14:textId="77777777" w:rsidR="000E7234" w:rsidRPr="008A1855" w:rsidRDefault="000E7234" w:rsidP="000E7234">
      <w:pPr>
        <w:pStyle w:val="LineBottom"/>
      </w:pPr>
    </w:p>
    <w:p w14:paraId="1F24E89F" w14:textId="77777777" w:rsidR="00B85286" w:rsidRPr="008A1855" w:rsidRDefault="00C37291">
      <w:pPr>
        <w:pStyle w:val="CoverReference"/>
      </w:pPr>
      <w:r w:rsidRPr="008A1855">
        <w:rPr>
          <w:rStyle w:val="HideTWBExt"/>
          <w:b w:val="0"/>
        </w:rPr>
        <w:t>&lt;RefProc&gt;</w:t>
      </w:r>
      <w:r w:rsidRPr="008A1855">
        <w:t>2025/0541</w:t>
      </w:r>
      <w:r w:rsidRPr="008A1855">
        <w:rPr>
          <w:rStyle w:val="HideTWBExt"/>
          <w:b w:val="0"/>
        </w:rPr>
        <w:t>&lt;/RefProc&gt;&lt;RefTypeProc&gt;</w:t>
      </w:r>
      <w:r w:rsidRPr="008A1855">
        <w:t>(COD)</w:t>
      </w:r>
      <w:r w:rsidRPr="008A1855">
        <w:rPr>
          <w:rStyle w:val="HideTWBExt"/>
          <w:b w:val="0"/>
        </w:rPr>
        <w:t>&lt;/RefTypeProc&gt;</w:t>
      </w:r>
    </w:p>
    <w:p w14:paraId="65FCE183" w14:textId="77777777" w:rsidR="00B85286" w:rsidRPr="008A1855" w:rsidRDefault="00C37291">
      <w:pPr>
        <w:pStyle w:val="CoverDate"/>
      </w:pPr>
      <w:r w:rsidRPr="008A1855">
        <w:rPr>
          <w:rStyle w:val="HideTWBExt"/>
        </w:rPr>
        <w:t>&lt;Date&gt;</w:t>
      </w:r>
      <w:r w:rsidRPr="008A1855">
        <w:rPr>
          <w:rStyle w:val="HideTWBInt"/>
          <w:color w:val="auto"/>
        </w:rPr>
        <w:t>{24/06/2026}</w:t>
      </w:r>
      <w:r w:rsidRPr="008A1855">
        <w:t>24.6.2026</w:t>
      </w:r>
      <w:r w:rsidRPr="008A1855">
        <w:rPr>
          <w:rStyle w:val="HideTWBExt"/>
        </w:rPr>
        <w:t>&lt;/Date&gt;</w:t>
      </w:r>
    </w:p>
    <w:p w14:paraId="31645B46" w14:textId="77777777" w:rsidR="009B0305" w:rsidRPr="008A1855" w:rsidRDefault="00C37291" w:rsidP="009B0305">
      <w:pPr>
        <w:pStyle w:val="CoverDocType"/>
      </w:pPr>
      <w:r w:rsidRPr="008A1855">
        <w:rPr>
          <w:rStyle w:val="HideTWBExt"/>
          <w:b w:val="0"/>
        </w:rPr>
        <w:t>&lt;TypeAM&gt;</w:t>
      </w:r>
      <w:r w:rsidRPr="008A1855">
        <w:t>ALTERAÇÃO</w:t>
      </w:r>
      <w:r w:rsidRPr="008A1855">
        <w:rPr>
          <w:rStyle w:val="HideTWBExt"/>
          <w:b w:val="0"/>
        </w:rPr>
        <w:t>&lt;/TypeAM&gt;</w:t>
      </w:r>
    </w:p>
    <w:p w14:paraId="720E497E" w14:textId="77777777" w:rsidR="00B85286" w:rsidRPr="008A1855" w:rsidRDefault="00C37291" w:rsidP="001C2054">
      <w:pPr>
        <w:pStyle w:val="CoverDocType24a"/>
      </w:pPr>
      <w:r w:rsidRPr="008A1855">
        <w:rPr>
          <w:rStyle w:val="HideTWBExt"/>
          <w:b w:val="0"/>
        </w:rPr>
        <w:t>&lt;RangeAM&gt;</w:t>
      </w:r>
      <w:r w:rsidRPr="008A1855">
        <w:t>206</w:t>
      </w:r>
      <w:r w:rsidRPr="008A1855">
        <w:rPr>
          <w:rStyle w:val="HideTWBExt"/>
          <w:b w:val="0"/>
        </w:rPr>
        <w:t>&lt;/RangeAM&gt;</w:t>
      </w:r>
    </w:p>
    <w:p w14:paraId="29266867" w14:textId="77777777" w:rsidR="001C2054" w:rsidRPr="008A1855" w:rsidRDefault="00C37291" w:rsidP="00A93F8C">
      <w:pPr>
        <w:pStyle w:val="CoverBold"/>
      </w:pPr>
      <w:r w:rsidRPr="008A1855">
        <w:rPr>
          <w:rStyle w:val="HideTWBExt"/>
          <w:b w:val="0"/>
        </w:rPr>
        <w:t>&lt;TitreType&gt;</w:t>
      </w:r>
      <w:r w:rsidRPr="008A1855">
        <w:t>Projeto de relatório</w:t>
      </w:r>
      <w:r w:rsidRPr="008A1855">
        <w:rPr>
          <w:rStyle w:val="HideTWBExt"/>
          <w:b w:val="0"/>
        </w:rPr>
        <w:t>&lt;/TitreType&gt;</w:t>
      </w:r>
    </w:p>
    <w:p w14:paraId="417FF42F" w14:textId="77777777" w:rsidR="00B85286" w:rsidRPr="008A1855" w:rsidRDefault="00C37291" w:rsidP="00A93F8C">
      <w:pPr>
        <w:pStyle w:val="CoverBold"/>
      </w:pPr>
      <w:r w:rsidRPr="008A1855">
        <w:rPr>
          <w:rStyle w:val="HideTWBExt"/>
          <w:b w:val="0"/>
        </w:rPr>
        <w:t>&lt;Rapporteur&gt;</w:t>
      </w:r>
      <w:r w:rsidRPr="008A1855">
        <w:t>Karlo Ressler</w:t>
      </w:r>
      <w:r w:rsidRPr="008A1855">
        <w:rPr>
          <w:rStyle w:val="HideTWBExt"/>
          <w:b w:val="0"/>
        </w:rPr>
        <w:t>&lt;/Rapporteur&gt;</w:t>
      </w:r>
    </w:p>
    <w:p w14:paraId="64C794D3" w14:textId="66955458" w:rsidR="00B85286" w:rsidRPr="008A1855" w:rsidRDefault="00C37291">
      <w:pPr>
        <w:pStyle w:val="CoverNormal24a"/>
      </w:pPr>
      <w:r w:rsidRPr="008A1855">
        <w:rPr>
          <w:rStyle w:val="HideTWBExt"/>
        </w:rPr>
        <w:t>&lt;DocRefPE&gt;</w:t>
      </w:r>
      <w:r w:rsidRPr="008A1855">
        <w:t>(PE788.793v01</w:t>
      </w:r>
      <w:r w:rsidR="00E7105A">
        <w:noBreakHyphen/>
      </w:r>
      <w:r w:rsidRPr="008A1855">
        <w:t>00)</w:t>
      </w:r>
      <w:r w:rsidRPr="008A1855">
        <w:rPr>
          <w:rStyle w:val="HideTWBExt"/>
        </w:rPr>
        <w:t>&lt;/DocRefPE&gt;</w:t>
      </w:r>
    </w:p>
    <w:p w14:paraId="57A5561E" w14:textId="77777777" w:rsidR="00B85286" w:rsidRPr="008A1855" w:rsidRDefault="00C37291">
      <w:pPr>
        <w:pStyle w:val="CoverNormal24a"/>
      </w:pPr>
      <w:r w:rsidRPr="008A1855">
        <w:rPr>
          <w:rStyle w:val="HideTWBExt"/>
        </w:rPr>
        <w:t>&lt;Titre&gt;</w:t>
      </w:r>
      <w:r w:rsidRPr="008A1855">
        <w:t xml:space="preserve">sobre a proposta de regulamento do Parlamento Europeu e do Conselho que estabelece o </w:t>
      </w:r>
      <w:r w:rsidRPr="008A1855">
        <w:t>apoio da União ao espaço Schengen, à gestão europeia integrada das fronteiras e à política comum de vistos para o período de 2028 a 2034</w:t>
      </w:r>
      <w:r w:rsidRPr="008A1855">
        <w:rPr>
          <w:rStyle w:val="HideTWBExt"/>
        </w:rPr>
        <w:t>&lt;/Titre&gt;</w:t>
      </w:r>
    </w:p>
    <w:p w14:paraId="7CE59336" w14:textId="77777777" w:rsidR="006337D4" w:rsidRPr="008A1855" w:rsidRDefault="00C37291" w:rsidP="006337D4">
      <w:pPr>
        <w:pStyle w:val="CoverNormal"/>
      </w:pPr>
      <w:r w:rsidRPr="008A1855">
        <w:rPr>
          <w:rStyle w:val="HideTWBExt"/>
        </w:rPr>
        <w:t>&lt;DocAmend&gt;</w:t>
      </w:r>
      <w:r w:rsidRPr="008A1855">
        <w:t>Proposta de regulamento</w:t>
      </w:r>
      <w:r w:rsidRPr="008A1855">
        <w:rPr>
          <w:rStyle w:val="HideTWBExt"/>
        </w:rPr>
        <w:t>&lt;/DocAmend&gt;</w:t>
      </w:r>
    </w:p>
    <w:p w14:paraId="0E4D886A" w14:textId="475C8E52" w:rsidR="00B85286" w:rsidRPr="008A1855" w:rsidRDefault="00C37291">
      <w:pPr>
        <w:pStyle w:val="CoverNormal24a"/>
      </w:pPr>
      <w:r w:rsidRPr="008A1855">
        <w:rPr>
          <w:rStyle w:val="HideTWBExt"/>
        </w:rPr>
        <w:t>&lt;DocRef&gt;</w:t>
      </w:r>
      <w:r w:rsidRPr="008A1855">
        <w:t>(COM(2025)0541 – C10</w:t>
      </w:r>
      <w:r w:rsidR="00E7105A">
        <w:noBreakHyphen/>
      </w:r>
      <w:r w:rsidRPr="008A1855">
        <w:t>0176/2025 – 2025/0541(COD))</w:t>
      </w:r>
      <w:r w:rsidRPr="008A1855">
        <w:rPr>
          <w:rStyle w:val="HideTWBExt"/>
        </w:rPr>
        <w:t>&lt;/DocRef&gt;</w:t>
      </w:r>
    </w:p>
    <w:p w14:paraId="4F76FF7B" w14:textId="77777777" w:rsidR="00B85286" w:rsidRPr="008A1855" w:rsidRDefault="00C37291" w:rsidP="00E660E2">
      <w:pPr>
        <w:widowControl/>
        <w:tabs>
          <w:tab w:val="center" w:pos="4677"/>
        </w:tabs>
      </w:pPr>
      <w:r w:rsidRPr="008A1855">
        <w:br w:type="page"/>
      </w:r>
      <w:r w:rsidRPr="008A1855">
        <w:lastRenderedPageBreak/>
        <w:t>AM_Com_LegReport</w:t>
      </w:r>
    </w:p>
    <w:p w14:paraId="2333FBA2" w14:textId="77777777" w:rsidR="003E43AC" w:rsidRPr="008A1855" w:rsidRDefault="00C37291" w:rsidP="001444E0">
      <w:pPr>
        <w:pStyle w:val="AmNumberTabs"/>
        <w:keepNext/>
      </w:pPr>
      <w:r w:rsidRPr="008A1855">
        <w:br w:type="page"/>
      </w:r>
      <w:bookmarkStart w:id="0" w:name="IntroB"/>
      <w:r w:rsidRPr="008A1855">
        <w:rPr>
          <w:rStyle w:val="HideTWBExt"/>
          <w:b w:val="0"/>
        </w:rPr>
        <w:lastRenderedPageBreak/>
        <w:t>&lt;RepeatBlock-Amend&gt;</w:t>
      </w:r>
      <w:bookmarkStart w:id="1" w:name="restart"/>
      <w:bookmarkEnd w:id="0"/>
      <w:r w:rsidRPr="008A1855">
        <w:rPr>
          <w:rStyle w:val="HideTWBExt"/>
          <w:b w:val="0"/>
        </w:rPr>
        <w:t>&lt;Amend&gt;</w:t>
      </w:r>
      <w:r w:rsidRPr="008A1855">
        <w:t>Alteração</w:t>
      </w:r>
      <w:r w:rsidRPr="008A1855">
        <w:tab/>
      </w:r>
      <w:r w:rsidRPr="008A1855">
        <w:tab/>
      </w:r>
      <w:r w:rsidRPr="008A1855">
        <w:rPr>
          <w:rStyle w:val="HideTWBExt"/>
          <w:b w:val="0"/>
        </w:rPr>
        <w:t>&lt;NumAm&gt;</w:t>
      </w:r>
      <w:r w:rsidRPr="008A1855">
        <w:t>206</w:t>
      </w:r>
      <w:r w:rsidRPr="008A1855">
        <w:rPr>
          <w:rStyle w:val="HideTWBExt"/>
          <w:b w:val="0"/>
        </w:rPr>
        <w:t>&lt;/NumAm&gt;</w:t>
      </w:r>
    </w:p>
    <w:p w14:paraId="1C49498D" w14:textId="77777777" w:rsidR="005B32E3" w:rsidRPr="008A1855" w:rsidRDefault="00C37291" w:rsidP="005B32E3">
      <w:pPr>
        <w:pStyle w:val="NormalBold"/>
      </w:pPr>
      <w:r w:rsidRPr="008A1855">
        <w:rPr>
          <w:rStyle w:val="HideTWBExt"/>
          <w:b w:val="0"/>
        </w:rPr>
        <w:t>&lt;RepeatBlock-By&gt;&lt;Members&gt;</w:t>
      </w:r>
      <w:r w:rsidRPr="008A1855">
        <w:t>Murielle Laurent</w:t>
      </w:r>
      <w:r w:rsidRPr="008A1855">
        <w:rPr>
          <w:rStyle w:val="HideTWBExt"/>
          <w:b w:val="0"/>
        </w:rPr>
        <w:t>&lt;/Members&gt;</w:t>
      </w:r>
    </w:p>
    <w:p w14:paraId="42975594" w14:textId="77777777" w:rsidR="005B32E3" w:rsidRPr="008A1855" w:rsidRDefault="00C37291" w:rsidP="005B32E3">
      <w:r w:rsidRPr="008A1855">
        <w:rPr>
          <w:rStyle w:val="HideTWBExt"/>
        </w:rPr>
        <w:t>&lt;/RepeatBlock-By&gt;</w:t>
      </w:r>
    </w:p>
    <w:p w14:paraId="42BAE0D0" w14:textId="77777777" w:rsidR="009B0305" w:rsidRPr="008A1855" w:rsidRDefault="00C37291" w:rsidP="005B32E3">
      <w:pPr>
        <w:pStyle w:val="NormalBold"/>
      </w:pPr>
      <w:r w:rsidRPr="008A1855">
        <w:rPr>
          <w:rStyle w:val="HideTWBExt"/>
          <w:b w:val="0"/>
        </w:rPr>
        <w:t>&lt;DocAmend&gt;</w:t>
      </w:r>
      <w:r w:rsidRPr="008A1855">
        <w:t>Proposta de regulamento</w:t>
      </w:r>
      <w:r w:rsidRPr="008A1855">
        <w:rPr>
          <w:rStyle w:val="HideTWBExt"/>
          <w:b w:val="0"/>
        </w:rPr>
        <w:t>&lt;/DocAmend&gt;</w:t>
      </w:r>
    </w:p>
    <w:p w14:paraId="164F616F" w14:textId="77777777" w:rsidR="009B0305" w:rsidRPr="008A1855" w:rsidRDefault="00C37291" w:rsidP="00A233E9">
      <w:pPr>
        <w:pStyle w:val="NormalBold"/>
        <w:keepNext/>
      </w:pPr>
      <w:r w:rsidRPr="008A1855">
        <w:rPr>
          <w:rStyle w:val="HideTWBExt"/>
          <w:b w:val="0"/>
        </w:rPr>
        <w:t>&lt;Article&gt;</w:t>
      </w:r>
      <w:r w:rsidRPr="008A1855">
        <w:t>Anexo (novo)</w:t>
      </w:r>
      <w:r w:rsidRPr="008A185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94A28" w:rsidRPr="008A1855" w14:paraId="4E4D498A" w14:textId="77777777">
        <w:trPr>
          <w:jc w:val="center"/>
        </w:trPr>
        <w:tc>
          <w:tcPr>
            <w:tcW w:w="9752" w:type="dxa"/>
            <w:gridSpan w:val="2"/>
          </w:tcPr>
          <w:p w14:paraId="7E5998F1" w14:textId="77777777" w:rsidR="009A65D8" w:rsidRPr="008A1855" w:rsidRDefault="009A65D8" w:rsidP="00A233E9">
            <w:pPr>
              <w:keepNext/>
            </w:pPr>
          </w:p>
        </w:tc>
      </w:tr>
      <w:tr w:rsidR="00294A28" w:rsidRPr="008A1855" w14:paraId="692A9F51" w14:textId="77777777">
        <w:trPr>
          <w:jc w:val="center"/>
        </w:trPr>
        <w:tc>
          <w:tcPr>
            <w:tcW w:w="4876" w:type="dxa"/>
          </w:tcPr>
          <w:p w14:paraId="060B13DE" w14:textId="77777777" w:rsidR="009A65D8" w:rsidRPr="008A1855" w:rsidRDefault="00C37291" w:rsidP="00A233E9">
            <w:pPr>
              <w:pStyle w:val="AmColumnHeading"/>
              <w:keepNext/>
            </w:pPr>
            <w:r w:rsidRPr="008A1855">
              <w:t>Texto da Comissão</w:t>
            </w:r>
          </w:p>
        </w:tc>
        <w:tc>
          <w:tcPr>
            <w:tcW w:w="4876" w:type="dxa"/>
          </w:tcPr>
          <w:p w14:paraId="7205F23A" w14:textId="77777777" w:rsidR="009A65D8" w:rsidRPr="008A1855" w:rsidRDefault="00C37291" w:rsidP="00A233E9">
            <w:pPr>
              <w:pStyle w:val="AmColumnHeading"/>
              <w:keepNext/>
            </w:pPr>
            <w:r w:rsidRPr="008A1855">
              <w:t>Alteração</w:t>
            </w:r>
          </w:p>
        </w:tc>
      </w:tr>
      <w:tr w:rsidR="00294A28" w:rsidRPr="008A1855" w14:paraId="106248D0" w14:textId="77777777">
        <w:trPr>
          <w:jc w:val="center"/>
        </w:trPr>
        <w:tc>
          <w:tcPr>
            <w:tcW w:w="4876" w:type="dxa"/>
          </w:tcPr>
          <w:p w14:paraId="232ED732" w14:textId="77777777" w:rsidR="00AA1AF8" w:rsidRPr="008A1855" w:rsidRDefault="00AA1AF8" w:rsidP="00E8229D">
            <w:pPr>
              <w:pStyle w:val="Normal6a"/>
            </w:pPr>
          </w:p>
        </w:tc>
        <w:tc>
          <w:tcPr>
            <w:tcW w:w="4876" w:type="dxa"/>
          </w:tcPr>
          <w:p w14:paraId="57025ACD" w14:textId="77777777" w:rsidR="00AA1AF8" w:rsidRPr="008A1855" w:rsidRDefault="00C37291" w:rsidP="00E8229D">
            <w:pPr>
              <w:pStyle w:val="Normal6a"/>
              <w:rPr>
                <w:b/>
                <w:bCs/>
                <w:i/>
                <w:iCs/>
              </w:rPr>
            </w:pPr>
            <w:r w:rsidRPr="008A1855">
              <w:rPr>
                <w:b/>
                <w:i/>
              </w:rPr>
              <w:t>Anexo</w:t>
            </w:r>
          </w:p>
        </w:tc>
      </w:tr>
      <w:tr w:rsidR="00294A28" w:rsidRPr="008A1855" w14:paraId="4149DD54" w14:textId="77777777">
        <w:trPr>
          <w:jc w:val="center"/>
        </w:trPr>
        <w:tc>
          <w:tcPr>
            <w:tcW w:w="4876" w:type="dxa"/>
          </w:tcPr>
          <w:p w14:paraId="258FFAFA" w14:textId="77777777" w:rsidR="009A65D8" w:rsidRPr="008A1855" w:rsidRDefault="009A65D8" w:rsidP="00E8229D">
            <w:pPr>
              <w:pStyle w:val="Normal6a"/>
            </w:pPr>
          </w:p>
        </w:tc>
        <w:tc>
          <w:tcPr>
            <w:tcW w:w="4876" w:type="dxa"/>
          </w:tcPr>
          <w:p w14:paraId="1F9C1121" w14:textId="77777777" w:rsidR="009A65D8" w:rsidRPr="008A1855" w:rsidRDefault="00C37291" w:rsidP="00E8229D">
            <w:pPr>
              <w:pStyle w:val="Normal6a"/>
              <w:rPr>
                <w:b/>
                <w:bCs/>
                <w:i/>
                <w:iCs/>
              </w:rPr>
            </w:pPr>
            <w:r w:rsidRPr="008A1855">
              <w:rPr>
                <w:b/>
                <w:i/>
              </w:rPr>
              <w:t>Âmbito de aplicação do apoio</w:t>
            </w:r>
          </w:p>
        </w:tc>
      </w:tr>
      <w:tr w:rsidR="00294A28" w:rsidRPr="008A1855" w14:paraId="3359BD54" w14:textId="77777777">
        <w:trPr>
          <w:jc w:val="center"/>
        </w:trPr>
        <w:tc>
          <w:tcPr>
            <w:tcW w:w="4876" w:type="dxa"/>
          </w:tcPr>
          <w:p w14:paraId="49BCBE26" w14:textId="77777777" w:rsidR="001444E0" w:rsidRPr="008A1855" w:rsidRDefault="001444E0" w:rsidP="00E8229D">
            <w:pPr>
              <w:pStyle w:val="Normal6a"/>
            </w:pPr>
          </w:p>
        </w:tc>
        <w:tc>
          <w:tcPr>
            <w:tcW w:w="4876" w:type="dxa"/>
          </w:tcPr>
          <w:p w14:paraId="68D7A174" w14:textId="77777777" w:rsidR="001444E0" w:rsidRPr="008A1855" w:rsidRDefault="00C37291" w:rsidP="00E8229D">
            <w:pPr>
              <w:pStyle w:val="Normal6a"/>
              <w:rPr>
                <w:b/>
                <w:bCs/>
                <w:i/>
                <w:iCs/>
              </w:rPr>
            </w:pPr>
            <w:r w:rsidRPr="008A1855">
              <w:rPr>
                <w:b/>
                <w:i/>
              </w:rPr>
              <w:t>1.</w:t>
            </w:r>
            <w:r w:rsidRPr="008A1855">
              <w:rPr>
                <w:b/>
                <w:i/>
              </w:rPr>
              <w:tab/>
              <w:t>No âmbito do objetivo previsto no artigo 3.º, n.º 1, alínea a), o apoio da União é concedido:</w:t>
            </w:r>
          </w:p>
        </w:tc>
      </w:tr>
      <w:tr w:rsidR="00294A28" w:rsidRPr="008A1855" w14:paraId="699D1C43" w14:textId="77777777">
        <w:trPr>
          <w:jc w:val="center"/>
        </w:trPr>
        <w:tc>
          <w:tcPr>
            <w:tcW w:w="4876" w:type="dxa"/>
          </w:tcPr>
          <w:p w14:paraId="14C0FF5C" w14:textId="77777777" w:rsidR="001444E0" w:rsidRPr="008A1855" w:rsidRDefault="001444E0" w:rsidP="00E8229D">
            <w:pPr>
              <w:pStyle w:val="Normal6a"/>
            </w:pPr>
          </w:p>
        </w:tc>
        <w:tc>
          <w:tcPr>
            <w:tcW w:w="4876" w:type="dxa"/>
          </w:tcPr>
          <w:p w14:paraId="4B11169B" w14:textId="77777777" w:rsidR="001444E0" w:rsidRPr="008A1855" w:rsidRDefault="00C37291" w:rsidP="00E8229D">
            <w:pPr>
              <w:pStyle w:val="Normal6a"/>
              <w:rPr>
                <w:b/>
                <w:bCs/>
                <w:i/>
                <w:iCs/>
              </w:rPr>
            </w:pPr>
            <w:r w:rsidRPr="008A1855">
              <w:rPr>
                <w:b/>
                <w:i/>
              </w:rPr>
              <w:t>(a)</w:t>
            </w:r>
            <w:r w:rsidRPr="008A1855">
              <w:rPr>
                <w:b/>
                <w:i/>
              </w:rPr>
              <w:tab/>
              <w:t xml:space="preserve">ao intercâmbio de boas práticas e de peritos, incluindo o destacamento de peritos, bem como ao </w:t>
            </w:r>
            <w:r w:rsidRPr="008A1855">
              <w:rPr>
                <w:b/>
                <w:i/>
              </w:rPr>
              <w:t>reforço da capacidade das redes europeias para avaliar, promover, apoiar e continuar a desenvolver o espaço Schengen sem controlos nas fronteiras internas;</w:t>
            </w:r>
          </w:p>
        </w:tc>
      </w:tr>
      <w:tr w:rsidR="00294A28" w:rsidRPr="008A1855" w14:paraId="16FC91B8" w14:textId="77777777">
        <w:trPr>
          <w:jc w:val="center"/>
        </w:trPr>
        <w:tc>
          <w:tcPr>
            <w:tcW w:w="4876" w:type="dxa"/>
          </w:tcPr>
          <w:p w14:paraId="4B521C04" w14:textId="77777777" w:rsidR="001444E0" w:rsidRPr="008A1855" w:rsidRDefault="001444E0" w:rsidP="00E8229D">
            <w:pPr>
              <w:pStyle w:val="Normal6a"/>
            </w:pPr>
          </w:p>
        </w:tc>
        <w:tc>
          <w:tcPr>
            <w:tcW w:w="4876" w:type="dxa"/>
          </w:tcPr>
          <w:p w14:paraId="2809B1F3" w14:textId="77777777" w:rsidR="001444E0" w:rsidRPr="008A1855" w:rsidRDefault="00C37291" w:rsidP="00E8229D">
            <w:pPr>
              <w:pStyle w:val="Normal6a"/>
              <w:rPr>
                <w:b/>
                <w:bCs/>
                <w:i/>
                <w:iCs/>
                <w:szCs w:val="24"/>
              </w:rPr>
            </w:pPr>
            <w:r w:rsidRPr="008A1855">
              <w:rPr>
                <w:b/>
                <w:i/>
              </w:rPr>
              <w:t>(b)</w:t>
            </w:r>
            <w:r w:rsidRPr="008A1855">
              <w:rPr>
                <w:b/>
                <w:i/>
              </w:rPr>
              <w:tab/>
              <w:t>a estudos e a outras ações pertinentes, como as destinadas a melhorar o conhecimento através de análises, acompanhamento e avaliação;</w:t>
            </w:r>
          </w:p>
        </w:tc>
      </w:tr>
      <w:tr w:rsidR="00294A28" w:rsidRPr="008A1855" w14:paraId="389802E2" w14:textId="77777777">
        <w:trPr>
          <w:jc w:val="center"/>
        </w:trPr>
        <w:tc>
          <w:tcPr>
            <w:tcW w:w="4876" w:type="dxa"/>
          </w:tcPr>
          <w:p w14:paraId="726EFC88" w14:textId="77777777" w:rsidR="001444E0" w:rsidRPr="008A1855" w:rsidRDefault="001444E0" w:rsidP="00E8229D">
            <w:pPr>
              <w:pStyle w:val="Normal6a"/>
            </w:pPr>
          </w:p>
        </w:tc>
        <w:tc>
          <w:tcPr>
            <w:tcW w:w="4876" w:type="dxa"/>
          </w:tcPr>
          <w:p w14:paraId="26DAF28E" w14:textId="7B3F7B13" w:rsidR="001444E0" w:rsidRPr="008A1855" w:rsidRDefault="00C37291" w:rsidP="00E8229D">
            <w:pPr>
              <w:pStyle w:val="Normal6a"/>
              <w:rPr>
                <w:b/>
                <w:bCs/>
                <w:i/>
                <w:iCs/>
                <w:szCs w:val="24"/>
              </w:rPr>
            </w:pPr>
            <w:r w:rsidRPr="008A1855">
              <w:rPr>
                <w:b/>
                <w:i/>
              </w:rPr>
              <w:t>(c)</w:t>
            </w:r>
            <w:r w:rsidRPr="008A1855">
              <w:rPr>
                <w:b/>
                <w:i/>
              </w:rPr>
              <w:tab/>
              <w:t>a atividades preparatórias, de acompanhamento, administrativas e técnicas, designadamente para reforçar a governação do espaço Schengen, desenvolvendo e aplicando o mecanismo de avaliação, criado pelo Regulamento (UE) n.º 1053/2013 para verificar a aplicação do acervo de Schengen, incluindo em especial as despesas de deslocação em serviço dos peritos da Comissão e dos Estados</w:t>
            </w:r>
            <w:r w:rsidR="00E7105A">
              <w:rPr>
                <w:b/>
                <w:i/>
              </w:rPr>
              <w:noBreakHyphen/>
            </w:r>
            <w:r w:rsidRPr="008A1855">
              <w:rPr>
                <w:b/>
                <w:i/>
              </w:rPr>
              <w:t>Membros que participem em visitas no local;</w:t>
            </w:r>
          </w:p>
        </w:tc>
      </w:tr>
      <w:tr w:rsidR="00294A28" w:rsidRPr="008A1855" w14:paraId="48EDE59D" w14:textId="77777777">
        <w:trPr>
          <w:jc w:val="center"/>
        </w:trPr>
        <w:tc>
          <w:tcPr>
            <w:tcW w:w="4876" w:type="dxa"/>
          </w:tcPr>
          <w:p w14:paraId="3AB37503" w14:textId="77777777" w:rsidR="001444E0" w:rsidRPr="008A1855" w:rsidRDefault="001444E0" w:rsidP="00E8229D">
            <w:pPr>
              <w:pStyle w:val="Normal6a"/>
            </w:pPr>
          </w:p>
        </w:tc>
        <w:tc>
          <w:tcPr>
            <w:tcW w:w="4876" w:type="dxa"/>
          </w:tcPr>
          <w:p w14:paraId="119CD6EC" w14:textId="77777777" w:rsidR="001444E0" w:rsidRPr="008A1855" w:rsidRDefault="00C37291" w:rsidP="00E8229D">
            <w:pPr>
              <w:pStyle w:val="Normal6a"/>
              <w:rPr>
                <w:b/>
                <w:bCs/>
                <w:i/>
                <w:iCs/>
                <w:szCs w:val="24"/>
              </w:rPr>
            </w:pPr>
            <w:r w:rsidRPr="008A1855">
              <w:rPr>
                <w:b/>
                <w:i/>
              </w:rPr>
              <w:t>(d)</w:t>
            </w:r>
            <w:r w:rsidRPr="008A1855">
              <w:rPr>
                <w:b/>
                <w:i/>
              </w:rPr>
              <w:tab/>
              <w:t xml:space="preserve">a atividades de </w:t>
            </w:r>
            <w:r w:rsidRPr="008A1855">
              <w:rPr>
                <w:b/>
                <w:i/>
              </w:rPr>
              <w:t>sensibilização das partes interessadas e do público em geral sobre o espaço Schengen sem controlos nas fronteiras internas, incluindo a comunicação institucional sobre as prioridades políticas da União neste domínio;</w:t>
            </w:r>
          </w:p>
        </w:tc>
      </w:tr>
      <w:tr w:rsidR="00294A28" w:rsidRPr="008A1855" w14:paraId="38582448" w14:textId="77777777">
        <w:trPr>
          <w:jc w:val="center"/>
        </w:trPr>
        <w:tc>
          <w:tcPr>
            <w:tcW w:w="4876" w:type="dxa"/>
          </w:tcPr>
          <w:p w14:paraId="698E959E" w14:textId="77777777" w:rsidR="001444E0" w:rsidRPr="008A1855" w:rsidRDefault="001444E0" w:rsidP="00E8229D">
            <w:pPr>
              <w:pStyle w:val="Normal6a"/>
            </w:pPr>
          </w:p>
        </w:tc>
        <w:tc>
          <w:tcPr>
            <w:tcW w:w="4876" w:type="dxa"/>
          </w:tcPr>
          <w:p w14:paraId="1E0EC995" w14:textId="77777777" w:rsidR="001444E0" w:rsidRPr="008A1855" w:rsidRDefault="00C37291" w:rsidP="00E8229D">
            <w:pPr>
              <w:pStyle w:val="Normal6a"/>
              <w:rPr>
                <w:b/>
                <w:bCs/>
                <w:i/>
                <w:iCs/>
                <w:szCs w:val="24"/>
              </w:rPr>
            </w:pPr>
            <w:r w:rsidRPr="008A1855">
              <w:rPr>
                <w:b/>
                <w:i/>
              </w:rPr>
              <w:t>(e)</w:t>
            </w:r>
            <w:r w:rsidRPr="008A1855">
              <w:rPr>
                <w:b/>
                <w:i/>
              </w:rPr>
              <w:tab/>
              <w:t xml:space="preserve">à elaboração de ferramentas, métodos e indicadores estatísticos que </w:t>
            </w:r>
            <w:r w:rsidRPr="008A1855">
              <w:rPr>
                <w:b/>
                <w:i/>
              </w:rPr>
              <w:lastRenderedPageBreak/>
              <w:t>respeitem o princípio da não discriminação;</w:t>
            </w:r>
          </w:p>
        </w:tc>
      </w:tr>
      <w:tr w:rsidR="00294A28" w:rsidRPr="008A1855" w14:paraId="73B292B3" w14:textId="77777777">
        <w:trPr>
          <w:jc w:val="center"/>
        </w:trPr>
        <w:tc>
          <w:tcPr>
            <w:tcW w:w="4876" w:type="dxa"/>
          </w:tcPr>
          <w:p w14:paraId="2874BF1D" w14:textId="77777777" w:rsidR="001444E0" w:rsidRPr="008A1855" w:rsidRDefault="001444E0" w:rsidP="00E8229D">
            <w:pPr>
              <w:pStyle w:val="Normal6a"/>
            </w:pPr>
          </w:p>
        </w:tc>
        <w:tc>
          <w:tcPr>
            <w:tcW w:w="4876" w:type="dxa"/>
          </w:tcPr>
          <w:p w14:paraId="21D49706" w14:textId="77777777" w:rsidR="001444E0" w:rsidRPr="008A1855" w:rsidRDefault="00C37291" w:rsidP="00E8229D">
            <w:pPr>
              <w:pStyle w:val="Normal6a"/>
              <w:rPr>
                <w:b/>
                <w:bCs/>
                <w:i/>
                <w:iCs/>
                <w:szCs w:val="24"/>
              </w:rPr>
            </w:pPr>
            <w:r w:rsidRPr="008A1855">
              <w:rPr>
                <w:b/>
                <w:i/>
              </w:rPr>
              <w:t>(f)</w:t>
            </w:r>
            <w:r w:rsidRPr="008A1855">
              <w:rPr>
                <w:b/>
                <w:i/>
              </w:rPr>
              <w:tab/>
              <w:t>ao apoio operacional à execução das medidas destinadas a assegurar a aplicação do acervo de Schengen;</w:t>
            </w:r>
          </w:p>
        </w:tc>
      </w:tr>
      <w:tr w:rsidR="00294A28" w:rsidRPr="008A1855" w14:paraId="34D14410" w14:textId="77777777">
        <w:trPr>
          <w:jc w:val="center"/>
        </w:trPr>
        <w:tc>
          <w:tcPr>
            <w:tcW w:w="4876" w:type="dxa"/>
          </w:tcPr>
          <w:p w14:paraId="24B2CED8" w14:textId="77777777" w:rsidR="00231D55" w:rsidRPr="008A1855" w:rsidRDefault="00231D55" w:rsidP="00E8229D">
            <w:pPr>
              <w:pStyle w:val="Normal6a"/>
            </w:pPr>
          </w:p>
        </w:tc>
        <w:tc>
          <w:tcPr>
            <w:tcW w:w="4876" w:type="dxa"/>
          </w:tcPr>
          <w:p w14:paraId="7AB60B02" w14:textId="77777777" w:rsidR="00231D55" w:rsidRPr="008A1855" w:rsidRDefault="00C37291" w:rsidP="00E8229D">
            <w:pPr>
              <w:pStyle w:val="Normal6a"/>
              <w:rPr>
                <w:b/>
                <w:bCs/>
                <w:i/>
                <w:iCs/>
              </w:rPr>
            </w:pPr>
            <w:r w:rsidRPr="008A1855">
              <w:rPr>
                <w:b/>
                <w:i/>
              </w:rPr>
              <w:t>2.</w:t>
            </w:r>
            <w:r w:rsidRPr="008A1855">
              <w:rPr>
                <w:b/>
                <w:i/>
              </w:rPr>
              <w:tab/>
              <w:t xml:space="preserve">No âmbito do objetivo previsto no artigo 3.º, n.º 1, </w:t>
            </w:r>
            <w:r w:rsidRPr="008A1855">
              <w:rPr>
                <w:b/>
                <w:i/>
              </w:rPr>
              <w:t>alínea b), o apoio da União é concedido:</w:t>
            </w:r>
          </w:p>
        </w:tc>
      </w:tr>
      <w:tr w:rsidR="00294A28" w:rsidRPr="008A1855" w14:paraId="20FF95BE" w14:textId="77777777">
        <w:trPr>
          <w:jc w:val="center"/>
        </w:trPr>
        <w:tc>
          <w:tcPr>
            <w:tcW w:w="4876" w:type="dxa"/>
          </w:tcPr>
          <w:p w14:paraId="5B2CE8DC" w14:textId="77777777" w:rsidR="00231D55" w:rsidRPr="008A1855" w:rsidRDefault="00231D55" w:rsidP="00E8229D">
            <w:pPr>
              <w:pStyle w:val="Normal6a"/>
            </w:pPr>
          </w:p>
        </w:tc>
        <w:tc>
          <w:tcPr>
            <w:tcW w:w="4876" w:type="dxa"/>
          </w:tcPr>
          <w:p w14:paraId="64EE31F6" w14:textId="77777777" w:rsidR="00231D55" w:rsidRPr="008A1855" w:rsidRDefault="00C37291" w:rsidP="00E8229D">
            <w:pPr>
              <w:pStyle w:val="Normal6a"/>
              <w:rPr>
                <w:b/>
                <w:bCs/>
                <w:i/>
                <w:iCs/>
                <w:szCs w:val="24"/>
              </w:rPr>
            </w:pPr>
            <w:r w:rsidRPr="008A1855">
              <w:rPr>
                <w:b/>
                <w:i/>
              </w:rPr>
              <w:t>(a)</w:t>
            </w:r>
            <w:r w:rsidRPr="008A1855">
              <w:rPr>
                <w:b/>
                <w:i/>
              </w:rPr>
              <w:tab/>
              <w:t>às infraestruturas, edifícios, sistemas e serviços necessários nos pontos de passagem de fronteira e para a vigilância das fronteiras entre pontos de passagem de fronteira;</w:t>
            </w:r>
          </w:p>
        </w:tc>
      </w:tr>
      <w:tr w:rsidR="00294A28" w:rsidRPr="008A1855" w14:paraId="11E48816" w14:textId="77777777">
        <w:trPr>
          <w:jc w:val="center"/>
        </w:trPr>
        <w:tc>
          <w:tcPr>
            <w:tcW w:w="4876" w:type="dxa"/>
          </w:tcPr>
          <w:p w14:paraId="082058AB" w14:textId="77777777" w:rsidR="00231D55" w:rsidRPr="008A1855" w:rsidRDefault="00231D55" w:rsidP="00E8229D">
            <w:pPr>
              <w:pStyle w:val="Normal6a"/>
            </w:pPr>
          </w:p>
        </w:tc>
        <w:tc>
          <w:tcPr>
            <w:tcW w:w="4876" w:type="dxa"/>
          </w:tcPr>
          <w:p w14:paraId="5BF645E7" w14:textId="77777777" w:rsidR="00231D55" w:rsidRPr="008A1855" w:rsidRDefault="00C37291" w:rsidP="00E8229D">
            <w:pPr>
              <w:pStyle w:val="Normal6a"/>
              <w:rPr>
                <w:b/>
                <w:bCs/>
                <w:i/>
                <w:iCs/>
                <w:szCs w:val="24"/>
              </w:rPr>
            </w:pPr>
            <w:r w:rsidRPr="008A1855">
              <w:rPr>
                <w:b/>
                <w:i/>
              </w:rPr>
              <w:t>(b)</w:t>
            </w:r>
            <w:r w:rsidRPr="008A1855">
              <w:rPr>
                <w:b/>
                <w:i/>
              </w:rPr>
              <w:tab/>
              <w:t>aos equipamentos operacionais, incluindo meios de transporte e sistemas de TIC, necessários para um controlo fronteiriço seguro e eficaz nos pontos de passagem de fronteira e para a vigilância das fronteiras, em conformidade com as normas elaboradas pela Agência Europeia da Guarda de Fronteiras e Costeira, quando tais normas existam;</w:t>
            </w:r>
          </w:p>
        </w:tc>
      </w:tr>
      <w:tr w:rsidR="00294A28" w:rsidRPr="008A1855" w14:paraId="6CB2A590" w14:textId="77777777">
        <w:trPr>
          <w:jc w:val="center"/>
        </w:trPr>
        <w:tc>
          <w:tcPr>
            <w:tcW w:w="4876" w:type="dxa"/>
          </w:tcPr>
          <w:p w14:paraId="07456D51" w14:textId="77777777" w:rsidR="00231D55" w:rsidRPr="008A1855" w:rsidRDefault="00231D55" w:rsidP="00E8229D">
            <w:pPr>
              <w:pStyle w:val="Normal6a"/>
            </w:pPr>
          </w:p>
        </w:tc>
        <w:tc>
          <w:tcPr>
            <w:tcW w:w="4876" w:type="dxa"/>
          </w:tcPr>
          <w:p w14:paraId="0D7F6E2E" w14:textId="77777777" w:rsidR="00231D55" w:rsidRPr="008A1855" w:rsidRDefault="00C37291" w:rsidP="00E8229D">
            <w:pPr>
              <w:pStyle w:val="Normal6a"/>
              <w:rPr>
                <w:b/>
                <w:bCs/>
                <w:i/>
                <w:iCs/>
              </w:rPr>
            </w:pPr>
            <w:r w:rsidRPr="008A1855">
              <w:rPr>
                <w:b/>
                <w:i/>
              </w:rPr>
              <w:t>(c)</w:t>
            </w:r>
            <w:r w:rsidRPr="008A1855">
              <w:rPr>
                <w:b/>
                <w:i/>
              </w:rPr>
              <w:tab/>
              <w:t>à formação no terreno em matéria de gestão europeia integrada das fronteiras, ou que contribua para o desenvolvimento dessa gestão, tendo em conta as necessidades operacionais e as análises de risco, incluindo os desafios identificados nas recomendações a que se refere o artigo 13.º, n.º 7, e no pleno respeito dos direitos fundamentais;</w:t>
            </w:r>
          </w:p>
        </w:tc>
      </w:tr>
      <w:tr w:rsidR="00294A28" w:rsidRPr="008A1855" w14:paraId="6B57018A" w14:textId="77777777">
        <w:trPr>
          <w:jc w:val="center"/>
        </w:trPr>
        <w:tc>
          <w:tcPr>
            <w:tcW w:w="4876" w:type="dxa"/>
          </w:tcPr>
          <w:p w14:paraId="1C8670C3" w14:textId="77777777" w:rsidR="00231D55" w:rsidRPr="008A1855" w:rsidRDefault="00231D55" w:rsidP="00E8229D">
            <w:pPr>
              <w:pStyle w:val="Normal6a"/>
            </w:pPr>
          </w:p>
        </w:tc>
        <w:tc>
          <w:tcPr>
            <w:tcW w:w="4876" w:type="dxa"/>
          </w:tcPr>
          <w:p w14:paraId="6CA0AE98" w14:textId="77777777" w:rsidR="00231D55" w:rsidRPr="008A1855" w:rsidRDefault="00C37291" w:rsidP="00E8229D">
            <w:pPr>
              <w:pStyle w:val="Normal6a"/>
              <w:rPr>
                <w:b/>
                <w:bCs/>
                <w:i/>
                <w:iCs/>
              </w:rPr>
            </w:pPr>
            <w:r w:rsidRPr="008A1855">
              <w:rPr>
                <w:b/>
                <w:i/>
              </w:rPr>
              <w:t>(d)</w:t>
            </w:r>
            <w:r w:rsidRPr="008A1855">
              <w:rPr>
                <w:b/>
                <w:i/>
              </w:rPr>
              <w:tab/>
              <w:t>ao destacamento conjunto de agentes de ligação da imigração para países terceiros, em conformidade com o Regulamento (UE) 2019/1240 do Parlamento Europeu e do Conselho;</w:t>
            </w:r>
          </w:p>
        </w:tc>
      </w:tr>
      <w:tr w:rsidR="00294A28" w:rsidRPr="008A1855" w14:paraId="66D57D83" w14:textId="77777777">
        <w:trPr>
          <w:jc w:val="center"/>
        </w:trPr>
        <w:tc>
          <w:tcPr>
            <w:tcW w:w="4876" w:type="dxa"/>
          </w:tcPr>
          <w:p w14:paraId="03E302F2" w14:textId="77777777" w:rsidR="00231D55" w:rsidRPr="008A1855" w:rsidRDefault="00231D55" w:rsidP="00E8229D">
            <w:pPr>
              <w:pStyle w:val="Normal6a"/>
            </w:pPr>
          </w:p>
        </w:tc>
        <w:tc>
          <w:tcPr>
            <w:tcW w:w="4876" w:type="dxa"/>
          </w:tcPr>
          <w:p w14:paraId="36F4C279" w14:textId="24B6E7D3" w:rsidR="00231D55" w:rsidRPr="008A1855" w:rsidRDefault="00C37291" w:rsidP="00E8229D">
            <w:pPr>
              <w:pStyle w:val="Normal6a"/>
              <w:rPr>
                <w:b/>
                <w:bCs/>
                <w:i/>
                <w:iCs/>
                <w:szCs w:val="24"/>
              </w:rPr>
            </w:pPr>
            <w:r w:rsidRPr="008A1855">
              <w:rPr>
                <w:b/>
                <w:i/>
              </w:rPr>
              <w:t>(e)</w:t>
            </w:r>
            <w:r w:rsidRPr="008A1855">
              <w:rPr>
                <w:b/>
                <w:i/>
              </w:rPr>
              <w:tab/>
              <w:t>ao intercâmbio de boas práticas e de conhecimentos especializados, estudos, projetos</w:t>
            </w:r>
            <w:r w:rsidR="00E7105A">
              <w:rPr>
                <w:b/>
                <w:i/>
              </w:rPr>
              <w:noBreakHyphen/>
            </w:r>
            <w:r w:rsidRPr="008A1855">
              <w:rPr>
                <w:b/>
                <w:i/>
              </w:rPr>
              <w:t xml:space="preserve">piloto e outras ações relevantes destinadas a aplicar ou desenvolver a gestão europeia integrada das fronteiras, incluindo as medidas direcionadas para o desenvolvimento da Guarda Europeia de Fronteiras e Costeira, como o reforço das capacidades comuns, a contratação </w:t>
            </w:r>
            <w:r w:rsidRPr="008A1855">
              <w:rPr>
                <w:b/>
                <w:i/>
              </w:rPr>
              <w:lastRenderedPageBreak/>
              <w:t>pública conjunta, a definição de normas comuns e outras medidas que racionalizem a cooperação e a coordenação entre a Agência Europeia da Guarda de Fronteiras e Costeira e os Estados</w:t>
            </w:r>
            <w:r w:rsidR="00E7105A">
              <w:rPr>
                <w:b/>
                <w:i/>
              </w:rPr>
              <w:noBreakHyphen/>
            </w:r>
            <w:r w:rsidRPr="008A1855">
              <w:rPr>
                <w:b/>
                <w:i/>
              </w:rPr>
              <w:t>Membros, assim como às medidas relacionadas com o encaminhamento de pessoas vulneráveis que necessitem de assistência e de pessoas que necessitem de proteção internacional ou que pretendam solicitá</w:t>
            </w:r>
            <w:r w:rsidR="00E7105A">
              <w:rPr>
                <w:b/>
                <w:i/>
              </w:rPr>
              <w:noBreakHyphen/>
            </w:r>
            <w:r w:rsidRPr="008A1855">
              <w:rPr>
                <w:b/>
                <w:i/>
              </w:rPr>
              <w:t>la;</w:t>
            </w:r>
          </w:p>
        </w:tc>
      </w:tr>
      <w:tr w:rsidR="00294A28" w:rsidRPr="008A1855" w14:paraId="17382D79" w14:textId="77777777">
        <w:trPr>
          <w:jc w:val="center"/>
        </w:trPr>
        <w:tc>
          <w:tcPr>
            <w:tcW w:w="4876" w:type="dxa"/>
          </w:tcPr>
          <w:p w14:paraId="273CF776" w14:textId="77777777" w:rsidR="00231D55" w:rsidRPr="008A1855" w:rsidRDefault="00231D55" w:rsidP="00E8229D">
            <w:pPr>
              <w:pStyle w:val="Normal6a"/>
            </w:pPr>
          </w:p>
        </w:tc>
        <w:tc>
          <w:tcPr>
            <w:tcW w:w="4876" w:type="dxa"/>
          </w:tcPr>
          <w:p w14:paraId="68EE40C8" w14:textId="48D62F1A" w:rsidR="00231D55" w:rsidRPr="008A1855" w:rsidRDefault="00C37291" w:rsidP="00E8229D">
            <w:pPr>
              <w:pStyle w:val="Normal6a"/>
              <w:rPr>
                <w:b/>
                <w:bCs/>
                <w:i/>
                <w:iCs/>
                <w:szCs w:val="24"/>
              </w:rPr>
            </w:pPr>
            <w:r w:rsidRPr="008A1855">
              <w:rPr>
                <w:b/>
                <w:i/>
              </w:rPr>
              <w:t>(f)</w:t>
            </w:r>
            <w:r w:rsidRPr="008A1855">
              <w:rPr>
                <w:b/>
                <w:i/>
              </w:rPr>
              <w:tab/>
              <w:t>às atividades preparatórias, de acompanhamento, administrativas e técnicas, necessárias para executar as políticas em matéria de fronteiras externas, em especial para reforçar a governação do espaço Schengen, desenvolvendo e aplicando o mecanismo de avaliação, criado pelo Regulamento (UE) n.º 1053/2013 para verificar a aplicação do acervo e do Regulamento (UE) 2016/399, incluindo as despesas de deslocação em serviço dos peritos da Comissão e dos Estados</w:t>
            </w:r>
            <w:r w:rsidR="00E7105A">
              <w:rPr>
                <w:b/>
                <w:i/>
              </w:rPr>
              <w:noBreakHyphen/>
            </w:r>
            <w:r w:rsidRPr="008A1855">
              <w:rPr>
                <w:b/>
                <w:i/>
              </w:rPr>
              <w:t>Membros que participem em visitas no local e as medidas que visem aplicar recomendações emitidas na sequência das avaliações da vulnerabilidade realizadas pela Agência Europeia da Guarda de Fronteiras e Costeira, em conformidade com o Regulamento (UE) 2019/1896;</w:t>
            </w:r>
          </w:p>
        </w:tc>
      </w:tr>
      <w:tr w:rsidR="00294A28" w:rsidRPr="008A1855" w14:paraId="6EB69913" w14:textId="77777777">
        <w:trPr>
          <w:jc w:val="center"/>
        </w:trPr>
        <w:tc>
          <w:tcPr>
            <w:tcW w:w="4876" w:type="dxa"/>
          </w:tcPr>
          <w:p w14:paraId="61353540" w14:textId="77777777" w:rsidR="00231D55" w:rsidRPr="008A1855" w:rsidRDefault="00231D55" w:rsidP="00E8229D">
            <w:pPr>
              <w:pStyle w:val="Normal6a"/>
            </w:pPr>
          </w:p>
        </w:tc>
        <w:tc>
          <w:tcPr>
            <w:tcW w:w="4876" w:type="dxa"/>
          </w:tcPr>
          <w:p w14:paraId="5148BE3A" w14:textId="77777777" w:rsidR="00231D55" w:rsidRPr="008A1855" w:rsidRDefault="00C37291" w:rsidP="00E8229D">
            <w:pPr>
              <w:pStyle w:val="Normal6a"/>
              <w:rPr>
                <w:b/>
                <w:bCs/>
                <w:i/>
                <w:iCs/>
              </w:rPr>
            </w:pPr>
            <w:r w:rsidRPr="008A1855">
              <w:rPr>
                <w:b/>
                <w:i/>
              </w:rPr>
              <w:t>(g)</w:t>
            </w:r>
            <w:r w:rsidRPr="008A1855">
              <w:rPr>
                <w:b/>
                <w:i/>
              </w:rPr>
              <w:tab/>
              <w:t>às ações destinadas a aumentar a qualidade dos dados armazenados em sistemas de TIC e a melhorar o exercício dos direitos do titular dos dados à informação, ao acesso, à retificação e ao apagamento dos seus dados pessoais e à limitação do tratamento desses dados;</w:t>
            </w:r>
          </w:p>
        </w:tc>
      </w:tr>
      <w:tr w:rsidR="00294A28" w:rsidRPr="008A1855" w14:paraId="64801E32" w14:textId="77777777">
        <w:trPr>
          <w:jc w:val="center"/>
        </w:trPr>
        <w:tc>
          <w:tcPr>
            <w:tcW w:w="4876" w:type="dxa"/>
          </w:tcPr>
          <w:p w14:paraId="6E1B5E38" w14:textId="77777777" w:rsidR="00231D55" w:rsidRPr="008A1855" w:rsidRDefault="00231D55" w:rsidP="00E8229D">
            <w:pPr>
              <w:pStyle w:val="Normal6a"/>
            </w:pPr>
          </w:p>
        </w:tc>
        <w:tc>
          <w:tcPr>
            <w:tcW w:w="4876" w:type="dxa"/>
          </w:tcPr>
          <w:p w14:paraId="2AFA6EF9" w14:textId="77777777" w:rsidR="00231D55" w:rsidRPr="008A1855" w:rsidRDefault="00C37291" w:rsidP="00E8229D">
            <w:pPr>
              <w:pStyle w:val="Normal6a"/>
              <w:rPr>
                <w:b/>
                <w:bCs/>
                <w:i/>
                <w:iCs/>
              </w:rPr>
            </w:pPr>
            <w:r w:rsidRPr="008A1855">
              <w:rPr>
                <w:b/>
                <w:i/>
              </w:rPr>
              <w:t>(h)</w:t>
            </w:r>
            <w:r w:rsidRPr="008A1855">
              <w:rPr>
                <w:b/>
                <w:i/>
              </w:rPr>
              <w:tab/>
              <w:t xml:space="preserve">à identificação, recolha de impressões digitais, registo, controlos de segurança, entrevistas, prestação de informações, exames médicos e de vulnerabilidade e, quando necessário, assistência médica e o reencaminhamento de nacionais de países terceiros para o </w:t>
            </w:r>
            <w:r w:rsidRPr="008A1855">
              <w:rPr>
                <w:b/>
                <w:i/>
              </w:rPr>
              <w:lastRenderedPageBreak/>
              <w:t>procedimento adequado nas fronteiras externas;</w:t>
            </w:r>
          </w:p>
        </w:tc>
      </w:tr>
      <w:tr w:rsidR="00294A28" w:rsidRPr="008A1855" w14:paraId="38347768" w14:textId="77777777">
        <w:trPr>
          <w:jc w:val="center"/>
        </w:trPr>
        <w:tc>
          <w:tcPr>
            <w:tcW w:w="4876" w:type="dxa"/>
          </w:tcPr>
          <w:p w14:paraId="221358E8" w14:textId="77777777" w:rsidR="00231D55" w:rsidRPr="008A1855" w:rsidRDefault="00231D55" w:rsidP="00E8229D">
            <w:pPr>
              <w:pStyle w:val="Normal6a"/>
            </w:pPr>
          </w:p>
        </w:tc>
        <w:tc>
          <w:tcPr>
            <w:tcW w:w="4876" w:type="dxa"/>
          </w:tcPr>
          <w:p w14:paraId="5B466F9B" w14:textId="77777777" w:rsidR="00231D55" w:rsidRPr="008A1855" w:rsidRDefault="00C37291" w:rsidP="00E8229D">
            <w:pPr>
              <w:pStyle w:val="Normal6a"/>
              <w:rPr>
                <w:b/>
                <w:bCs/>
                <w:i/>
                <w:iCs/>
              </w:rPr>
            </w:pPr>
            <w:r w:rsidRPr="008A1855">
              <w:rPr>
                <w:b/>
                <w:i/>
              </w:rPr>
              <w:t>(i)</w:t>
            </w:r>
            <w:r w:rsidRPr="008A1855">
              <w:rPr>
                <w:b/>
                <w:i/>
              </w:rPr>
              <w:tab/>
              <w:t>às ações destinadas a criar, manter ou desenvolver mecanismos de monitorização independentes, em conformidade com o artigo 10.º do Regulamento (UE) 2024/1356 («Regulamento Triagem»);</w:t>
            </w:r>
          </w:p>
        </w:tc>
      </w:tr>
      <w:tr w:rsidR="00294A28" w:rsidRPr="008A1855" w14:paraId="77CAEB57" w14:textId="77777777">
        <w:trPr>
          <w:jc w:val="center"/>
        </w:trPr>
        <w:tc>
          <w:tcPr>
            <w:tcW w:w="4876" w:type="dxa"/>
          </w:tcPr>
          <w:p w14:paraId="4FD5B26A" w14:textId="77777777" w:rsidR="00231D55" w:rsidRPr="008A1855" w:rsidRDefault="00231D55" w:rsidP="00E8229D">
            <w:pPr>
              <w:pStyle w:val="Normal6a"/>
            </w:pPr>
          </w:p>
        </w:tc>
        <w:tc>
          <w:tcPr>
            <w:tcW w:w="4876" w:type="dxa"/>
          </w:tcPr>
          <w:p w14:paraId="542A59FC" w14:textId="77777777" w:rsidR="00231D55" w:rsidRPr="008A1855" w:rsidRDefault="00C37291" w:rsidP="00E8229D">
            <w:pPr>
              <w:pStyle w:val="Normal6a"/>
              <w:rPr>
                <w:b/>
                <w:bCs/>
                <w:i/>
                <w:iCs/>
                <w:szCs w:val="24"/>
              </w:rPr>
            </w:pPr>
            <w:r w:rsidRPr="008A1855">
              <w:rPr>
                <w:b/>
                <w:i/>
              </w:rPr>
              <w:t>(j)</w:t>
            </w:r>
            <w:r w:rsidRPr="008A1855">
              <w:rPr>
                <w:b/>
                <w:i/>
              </w:rPr>
              <w:tab/>
              <w:t>às ações destinadas a melhorar a sensibilização sobre as políticas em matéria de fronteiras externas entre as partes interessadas e o público em geral, incluindo a comunicação institucional das prioridades estratégicas da União;</w:t>
            </w:r>
          </w:p>
        </w:tc>
      </w:tr>
      <w:tr w:rsidR="00294A28" w:rsidRPr="008A1855" w14:paraId="7014DC79" w14:textId="77777777">
        <w:trPr>
          <w:jc w:val="center"/>
        </w:trPr>
        <w:tc>
          <w:tcPr>
            <w:tcW w:w="4876" w:type="dxa"/>
          </w:tcPr>
          <w:p w14:paraId="3EB35DCB" w14:textId="77777777" w:rsidR="00231D55" w:rsidRPr="008A1855" w:rsidRDefault="00231D55" w:rsidP="00E8229D">
            <w:pPr>
              <w:pStyle w:val="Normal6a"/>
            </w:pPr>
          </w:p>
        </w:tc>
        <w:tc>
          <w:tcPr>
            <w:tcW w:w="4876" w:type="dxa"/>
          </w:tcPr>
          <w:p w14:paraId="022211E3" w14:textId="77777777" w:rsidR="00231D55" w:rsidRPr="008A1855" w:rsidRDefault="00C37291" w:rsidP="00E8229D">
            <w:pPr>
              <w:pStyle w:val="Normal6a"/>
              <w:rPr>
                <w:b/>
                <w:bCs/>
                <w:i/>
                <w:iCs/>
                <w:szCs w:val="24"/>
              </w:rPr>
            </w:pPr>
            <w:r w:rsidRPr="008A1855">
              <w:rPr>
                <w:b/>
                <w:i/>
              </w:rPr>
              <w:t>(k)</w:t>
            </w:r>
            <w:r w:rsidRPr="008A1855">
              <w:rPr>
                <w:b/>
                <w:i/>
              </w:rPr>
              <w:tab/>
              <w:t>à elaboração de ferramentas, métodos e indicadores estatísticos que respeitem o princípio da não discriminação;</w:t>
            </w:r>
          </w:p>
        </w:tc>
      </w:tr>
      <w:tr w:rsidR="00294A28" w:rsidRPr="008A1855" w14:paraId="66D80DC4" w14:textId="77777777">
        <w:trPr>
          <w:jc w:val="center"/>
        </w:trPr>
        <w:tc>
          <w:tcPr>
            <w:tcW w:w="4876" w:type="dxa"/>
          </w:tcPr>
          <w:p w14:paraId="6B5AF1D6" w14:textId="77777777" w:rsidR="00231D55" w:rsidRPr="008A1855" w:rsidRDefault="00231D55" w:rsidP="00E8229D">
            <w:pPr>
              <w:pStyle w:val="Normal6a"/>
            </w:pPr>
          </w:p>
        </w:tc>
        <w:tc>
          <w:tcPr>
            <w:tcW w:w="4876" w:type="dxa"/>
          </w:tcPr>
          <w:p w14:paraId="1AFC9475" w14:textId="77777777" w:rsidR="00231D55" w:rsidRPr="008A1855" w:rsidRDefault="00C37291" w:rsidP="00E8229D">
            <w:pPr>
              <w:pStyle w:val="Normal6a"/>
              <w:rPr>
                <w:b/>
                <w:bCs/>
                <w:i/>
                <w:iCs/>
                <w:szCs w:val="24"/>
              </w:rPr>
            </w:pPr>
            <w:r w:rsidRPr="008A1855">
              <w:rPr>
                <w:b/>
                <w:i/>
              </w:rPr>
              <w:t>(l)</w:t>
            </w:r>
            <w:r w:rsidRPr="008A1855">
              <w:rPr>
                <w:b/>
                <w:i/>
              </w:rPr>
              <w:tab/>
              <w:t>ao apoio operacional à aplicação da gestão europeia integrada das fronteiras.</w:t>
            </w:r>
          </w:p>
        </w:tc>
      </w:tr>
      <w:tr w:rsidR="00294A28" w:rsidRPr="008A1855" w14:paraId="371BF8D0" w14:textId="77777777">
        <w:trPr>
          <w:jc w:val="center"/>
        </w:trPr>
        <w:tc>
          <w:tcPr>
            <w:tcW w:w="4876" w:type="dxa"/>
          </w:tcPr>
          <w:p w14:paraId="0994FA10" w14:textId="77777777" w:rsidR="00231D55" w:rsidRPr="008A1855" w:rsidRDefault="00231D55" w:rsidP="00E8229D">
            <w:pPr>
              <w:pStyle w:val="Normal6a"/>
            </w:pPr>
          </w:p>
        </w:tc>
        <w:tc>
          <w:tcPr>
            <w:tcW w:w="4876" w:type="dxa"/>
          </w:tcPr>
          <w:p w14:paraId="3349F3D5" w14:textId="77777777" w:rsidR="00231D55" w:rsidRPr="008A1855" w:rsidRDefault="00C37291" w:rsidP="00E8229D">
            <w:pPr>
              <w:pStyle w:val="Normal6a"/>
              <w:rPr>
                <w:b/>
                <w:bCs/>
                <w:i/>
                <w:iCs/>
              </w:rPr>
            </w:pPr>
            <w:r w:rsidRPr="008A1855">
              <w:rPr>
                <w:b/>
                <w:i/>
              </w:rPr>
              <w:t>3.</w:t>
            </w:r>
            <w:r w:rsidRPr="008A1855">
              <w:rPr>
                <w:b/>
                <w:i/>
              </w:rPr>
              <w:tab/>
              <w:t>No âmbito do objetivo previsto no artigo 3.º, n.º 1, alínea c), o apoio da União é concedido:</w:t>
            </w:r>
          </w:p>
        </w:tc>
      </w:tr>
      <w:tr w:rsidR="00294A28" w:rsidRPr="008A1855" w14:paraId="2F38142E" w14:textId="77777777">
        <w:trPr>
          <w:jc w:val="center"/>
        </w:trPr>
        <w:tc>
          <w:tcPr>
            <w:tcW w:w="4876" w:type="dxa"/>
          </w:tcPr>
          <w:p w14:paraId="47251383" w14:textId="77777777" w:rsidR="00231D55" w:rsidRPr="008A1855" w:rsidRDefault="00231D55" w:rsidP="00E8229D">
            <w:pPr>
              <w:pStyle w:val="Normal6a"/>
            </w:pPr>
          </w:p>
        </w:tc>
        <w:tc>
          <w:tcPr>
            <w:tcW w:w="4876" w:type="dxa"/>
          </w:tcPr>
          <w:p w14:paraId="746A5B28" w14:textId="77777777" w:rsidR="00231D55" w:rsidRPr="008A1855" w:rsidRDefault="00C37291" w:rsidP="00E8229D">
            <w:pPr>
              <w:pStyle w:val="Normal6a"/>
              <w:rPr>
                <w:b/>
                <w:bCs/>
                <w:i/>
                <w:iCs/>
                <w:szCs w:val="24"/>
              </w:rPr>
            </w:pPr>
            <w:r w:rsidRPr="008A1855">
              <w:rPr>
                <w:b/>
                <w:i/>
              </w:rPr>
              <w:t>(a)</w:t>
            </w:r>
            <w:r w:rsidRPr="008A1855">
              <w:rPr>
                <w:b/>
                <w:i/>
              </w:rPr>
              <w:tab/>
              <w:t>às infraestruturas e edifícios necessários ao tratamento dos pedidos de visto e à cooperação consular, incluindo as medidas de segurança e outras medidas destinadas a melhorar a qualidade do serviço prestado aos requerentes de visto;</w:t>
            </w:r>
          </w:p>
        </w:tc>
      </w:tr>
      <w:tr w:rsidR="00294A28" w:rsidRPr="008A1855" w14:paraId="38DDBB9A" w14:textId="77777777">
        <w:trPr>
          <w:jc w:val="center"/>
        </w:trPr>
        <w:tc>
          <w:tcPr>
            <w:tcW w:w="4876" w:type="dxa"/>
          </w:tcPr>
          <w:p w14:paraId="156AEBED" w14:textId="77777777" w:rsidR="00231D55" w:rsidRPr="008A1855" w:rsidRDefault="00231D55" w:rsidP="00E8229D">
            <w:pPr>
              <w:pStyle w:val="Normal6a"/>
            </w:pPr>
          </w:p>
        </w:tc>
        <w:tc>
          <w:tcPr>
            <w:tcW w:w="4876" w:type="dxa"/>
          </w:tcPr>
          <w:p w14:paraId="41E993F3" w14:textId="77777777" w:rsidR="00231D55" w:rsidRPr="008A1855" w:rsidRDefault="00C37291" w:rsidP="00E8229D">
            <w:pPr>
              <w:pStyle w:val="Normal6a"/>
              <w:rPr>
                <w:b/>
                <w:bCs/>
                <w:i/>
                <w:iCs/>
                <w:szCs w:val="24"/>
              </w:rPr>
            </w:pPr>
            <w:r w:rsidRPr="008A1855">
              <w:rPr>
                <w:b/>
                <w:i/>
              </w:rPr>
              <w:t>(b)</w:t>
            </w:r>
            <w:r w:rsidRPr="008A1855">
              <w:rPr>
                <w:b/>
                <w:i/>
              </w:rPr>
              <w:tab/>
              <w:t>aos equipamentos operacionais e sistemas de TIC necessários ao tratamento dos pedidos de visto e à cooperação consular;</w:t>
            </w:r>
          </w:p>
        </w:tc>
      </w:tr>
      <w:tr w:rsidR="00294A28" w:rsidRPr="008A1855" w14:paraId="677FEFCB" w14:textId="77777777">
        <w:trPr>
          <w:jc w:val="center"/>
        </w:trPr>
        <w:tc>
          <w:tcPr>
            <w:tcW w:w="4876" w:type="dxa"/>
          </w:tcPr>
          <w:p w14:paraId="2D72D31F" w14:textId="77777777" w:rsidR="00231D55" w:rsidRPr="008A1855" w:rsidRDefault="00231D55" w:rsidP="00E8229D">
            <w:pPr>
              <w:pStyle w:val="Normal6a"/>
            </w:pPr>
          </w:p>
        </w:tc>
        <w:tc>
          <w:tcPr>
            <w:tcW w:w="4876" w:type="dxa"/>
          </w:tcPr>
          <w:p w14:paraId="291A0D60" w14:textId="77777777" w:rsidR="00231D55" w:rsidRPr="008A1855" w:rsidRDefault="00C37291" w:rsidP="00E8229D">
            <w:pPr>
              <w:pStyle w:val="Normal6a"/>
              <w:rPr>
                <w:b/>
                <w:bCs/>
                <w:i/>
                <w:iCs/>
                <w:szCs w:val="24"/>
              </w:rPr>
            </w:pPr>
            <w:r w:rsidRPr="008A1855">
              <w:rPr>
                <w:b/>
                <w:i/>
              </w:rPr>
              <w:t>(c)</w:t>
            </w:r>
            <w:r w:rsidRPr="008A1855">
              <w:rPr>
                <w:b/>
                <w:i/>
              </w:rPr>
              <w:tab/>
              <w:t xml:space="preserve">à formação do pessoal consular ou de outros agentes que contribua para a política comum de vistos e à </w:t>
            </w:r>
            <w:r w:rsidRPr="008A1855">
              <w:rPr>
                <w:b/>
                <w:i/>
              </w:rPr>
              <w:t>cooperação consular;</w:t>
            </w:r>
          </w:p>
        </w:tc>
      </w:tr>
      <w:tr w:rsidR="00294A28" w:rsidRPr="008A1855" w14:paraId="68EC4027" w14:textId="77777777">
        <w:trPr>
          <w:jc w:val="center"/>
        </w:trPr>
        <w:tc>
          <w:tcPr>
            <w:tcW w:w="4876" w:type="dxa"/>
          </w:tcPr>
          <w:p w14:paraId="321F295F" w14:textId="77777777" w:rsidR="00231D55" w:rsidRPr="008A1855" w:rsidRDefault="00231D55" w:rsidP="00E8229D">
            <w:pPr>
              <w:pStyle w:val="Normal6a"/>
            </w:pPr>
          </w:p>
        </w:tc>
        <w:tc>
          <w:tcPr>
            <w:tcW w:w="4876" w:type="dxa"/>
          </w:tcPr>
          <w:p w14:paraId="7082E731" w14:textId="77777777" w:rsidR="00231D55" w:rsidRPr="008A1855" w:rsidRDefault="00C37291" w:rsidP="00E8229D">
            <w:pPr>
              <w:pStyle w:val="Normal6a"/>
              <w:rPr>
                <w:b/>
                <w:bCs/>
                <w:i/>
                <w:iCs/>
                <w:szCs w:val="24"/>
              </w:rPr>
            </w:pPr>
            <w:r w:rsidRPr="008A1855">
              <w:rPr>
                <w:b/>
                <w:i/>
              </w:rPr>
              <w:t>(d)</w:t>
            </w:r>
            <w:r w:rsidRPr="008A1855">
              <w:rPr>
                <w:b/>
                <w:i/>
              </w:rPr>
              <w:tab/>
              <w:t xml:space="preserve">ao intercâmbio de boas práticas e de peritos, incluindo o destacamento destes últimos, bem como ao aumento da capacidade das redes europeias para avaliar, promover, apoiar e aprofundar o desenvolvimento das políticas e dos </w:t>
            </w:r>
            <w:r w:rsidRPr="008A1855">
              <w:rPr>
                <w:b/>
                <w:i/>
              </w:rPr>
              <w:lastRenderedPageBreak/>
              <w:t>objetivos da União;</w:t>
            </w:r>
          </w:p>
        </w:tc>
      </w:tr>
      <w:tr w:rsidR="00294A28" w:rsidRPr="008A1855" w14:paraId="2DE8D4CE" w14:textId="77777777">
        <w:trPr>
          <w:jc w:val="center"/>
        </w:trPr>
        <w:tc>
          <w:tcPr>
            <w:tcW w:w="4876" w:type="dxa"/>
          </w:tcPr>
          <w:p w14:paraId="4A661406" w14:textId="77777777" w:rsidR="00231D55" w:rsidRPr="008A1855" w:rsidRDefault="00231D55" w:rsidP="00E8229D">
            <w:pPr>
              <w:pStyle w:val="Normal6a"/>
            </w:pPr>
          </w:p>
        </w:tc>
        <w:tc>
          <w:tcPr>
            <w:tcW w:w="4876" w:type="dxa"/>
          </w:tcPr>
          <w:p w14:paraId="491B0DAF" w14:textId="77777777" w:rsidR="00231D55" w:rsidRPr="008A1855" w:rsidRDefault="00C37291" w:rsidP="00E8229D">
            <w:pPr>
              <w:pStyle w:val="Normal6a"/>
              <w:rPr>
                <w:b/>
                <w:bCs/>
                <w:i/>
                <w:iCs/>
              </w:rPr>
            </w:pPr>
            <w:r w:rsidRPr="008A1855">
              <w:rPr>
                <w:b/>
                <w:i/>
              </w:rPr>
              <w:t>(e)</w:t>
            </w:r>
            <w:r w:rsidRPr="008A1855">
              <w:rPr>
                <w:b/>
                <w:i/>
              </w:rPr>
              <w:tab/>
              <w:t>a estudos e a outras ações pertinentes, como as destinadas a melhorar o conhecimento através de análises, acompanhamento e avaliação</w:t>
            </w:r>
          </w:p>
        </w:tc>
      </w:tr>
      <w:tr w:rsidR="00294A28" w:rsidRPr="008A1855" w14:paraId="002D2062" w14:textId="77777777">
        <w:trPr>
          <w:jc w:val="center"/>
        </w:trPr>
        <w:tc>
          <w:tcPr>
            <w:tcW w:w="4876" w:type="dxa"/>
          </w:tcPr>
          <w:p w14:paraId="5838C1B2" w14:textId="77777777" w:rsidR="00231D55" w:rsidRPr="008A1855" w:rsidRDefault="00231D55" w:rsidP="00E8229D">
            <w:pPr>
              <w:pStyle w:val="Normal6a"/>
            </w:pPr>
          </w:p>
        </w:tc>
        <w:tc>
          <w:tcPr>
            <w:tcW w:w="4876" w:type="dxa"/>
          </w:tcPr>
          <w:p w14:paraId="146BA1DC" w14:textId="77777777" w:rsidR="00231D55" w:rsidRPr="008A1855" w:rsidRDefault="00C37291" w:rsidP="00E8229D">
            <w:pPr>
              <w:pStyle w:val="Normal6a"/>
              <w:rPr>
                <w:b/>
                <w:bCs/>
                <w:i/>
                <w:iCs/>
                <w:szCs w:val="24"/>
              </w:rPr>
            </w:pPr>
            <w:r w:rsidRPr="008A1855">
              <w:rPr>
                <w:b/>
                <w:i/>
              </w:rPr>
              <w:t>(f)</w:t>
            </w:r>
            <w:r w:rsidRPr="008A1855">
              <w:rPr>
                <w:b/>
                <w:i/>
              </w:rPr>
              <w:tab/>
              <w:t>às atividades de sensibilização das partes interessadas e do público em geral em relação às políticas de vistos, incluindo a comunicação institucional das prioridades estratégicas da União;</w:t>
            </w:r>
          </w:p>
        </w:tc>
      </w:tr>
      <w:tr w:rsidR="00294A28" w:rsidRPr="008A1855" w14:paraId="51CB3E48" w14:textId="77777777">
        <w:trPr>
          <w:jc w:val="center"/>
        </w:trPr>
        <w:tc>
          <w:tcPr>
            <w:tcW w:w="4876" w:type="dxa"/>
          </w:tcPr>
          <w:p w14:paraId="5E401090" w14:textId="77777777" w:rsidR="00231D55" w:rsidRPr="008A1855" w:rsidRDefault="00231D55" w:rsidP="00E8229D">
            <w:pPr>
              <w:pStyle w:val="Normal6a"/>
            </w:pPr>
          </w:p>
        </w:tc>
        <w:tc>
          <w:tcPr>
            <w:tcW w:w="4876" w:type="dxa"/>
          </w:tcPr>
          <w:p w14:paraId="5AC850A9" w14:textId="77777777" w:rsidR="00231D55" w:rsidRPr="008A1855" w:rsidRDefault="00C37291" w:rsidP="00E8229D">
            <w:pPr>
              <w:pStyle w:val="Normal6a"/>
              <w:rPr>
                <w:b/>
                <w:bCs/>
                <w:i/>
                <w:iCs/>
                <w:szCs w:val="24"/>
              </w:rPr>
            </w:pPr>
            <w:r w:rsidRPr="008A1855">
              <w:rPr>
                <w:b/>
                <w:i/>
              </w:rPr>
              <w:t>(g)</w:t>
            </w:r>
            <w:r w:rsidRPr="008A1855">
              <w:rPr>
                <w:b/>
                <w:i/>
              </w:rPr>
              <w:tab/>
              <w:t>à elaboração de ferramentas, métodos e indicadores estatísticos que respeitem o princípio da não discriminação;</w:t>
            </w:r>
          </w:p>
        </w:tc>
      </w:tr>
      <w:tr w:rsidR="00294A28" w:rsidRPr="008A1855" w14:paraId="2D9CB0B0" w14:textId="77777777">
        <w:trPr>
          <w:jc w:val="center"/>
        </w:trPr>
        <w:tc>
          <w:tcPr>
            <w:tcW w:w="4876" w:type="dxa"/>
          </w:tcPr>
          <w:p w14:paraId="7D2136A8" w14:textId="77777777" w:rsidR="00231D55" w:rsidRPr="008A1855" w:rsidRDefault="00231D55" w:rsidP="00E8229D">
            <w:pPr>
              <w:pStyle w:val="Normal6a"/>
            </w:pPr>
          </w:p>
        </w:tc>
        <w:tc>
          <w:tcPr>
            <w:tcW w:w="4876" w:type="dxa"/>
          </w:tcPr>
          <w:p w14:paraId="7E3AB773" w14:textId="77777777" w:rsidR="00231D55" w:rsidRPr="008A1855" w:rsidRDefault="00C37291" w:rsidP="00E8229D">
            <w:pPr>
              <w:pStyle w:val="Normal6a"/>
              <w:rPr>
                <w:b/>
                <w:bCs/>
                <w:i/>
                <w:iCs/>
                <w:szCs w:val="24"/>
              </w:rPr>
            </w:pPr>
            <w:r w:rsidRPr="008A1855">
              <w:rPr>
                <w:b/>
                <w:i/>
              </w:rPr>
              <w:t>(h)</w:t>
            </w:r>
            <w:r w:rsidRPr="008A1855">
              <w:rPr>
                <w:b/>
                <w:i/>
              </w:rPr>
              <w:tab/>
              <w:t>ao apoio operacional à aplicação da política comum de vistos.</w:t>
            </w:r>
          </w:p>
        </w:tc>
      </w:tr>
      <w:tr w:rsidR="00294A28" w:rsidRPr="008A1855" w14:paraId="174DFF83" w14:textId="77777777">
        <w:trPr>
          <w:jc w:val="center"/>
        </w:trPr>
        <w:tc>
          <w:tcPr>
            <w:tcW w:w="4876" w:type="dxa"/>
          </w:tcPr>
          <w:p w14:paraId="6F3317CB" w14:textId="77777777" w:rsidR="00507587" w:rsidRPr="008A1855" w:rsidRDefault="00507587" w:rsidP="00E8229D">
            <w:pPr>
              <w:pStyle w:val="Normal6a"/>
            </w:pPr>
          </w:p>
        </w:tc>
        <w:tc>
          <w:tcPr>
            <w:tcW w:w="4876" w:type="dxa"/>
          </w:tcPr>
          <w:p w14:paraId="1624A802" w14:textId="4D9055C3" w:rsidR="00507587" w:rsidRPr="008A1855" w:rsidRDefault="00C37291" w:rsidP="00E8229D">
            <w:pPr>
              <w:pStyle w:val="Normal6a"/>
              <w:rPr>
                <w:b/>
                <w:bCs/>
                <w:i/>
                <w:iCs/>
                <w:szCs w:val="24"/>
              </w:rPr>
            </w:pPr>
            <w:r w:rsidRPr="008A1855">
              <w:rPr>
                <w:b/>
                <w:i/>
              </w:rPr>
              <w:t>(i)</w:t>
            </w:r>
            <w:r w:rsidRPr="008A1855">
              <w:rPr>
                <w:b/>
                <w:i/>
              </w:rPr>
              <w:tab/>
              <w:t>à assistência aos Estados</w:t>
            </w:r>
            <w:r w:rsidR="00E7105A">
              <w:rPr>
                <w:b/>
                <w:i/>
              </w:rPr>
              <w:noBreakHyphen/>
            </w:r>
            <w:r w:rsidRPr="008A1855">
              <w:rPr>
                <w:b/>
                <w:i/>
              </w:rPr>
              <w:t>Membros na emissão de vistos, incluindo os vistos com validade territorial limitada a que se refere o artigo 25.º do Regulamento (CE) n.º 810/2009, emitidos por razões humanitárias, por razões de interesse nacional ou decorrentes de obrigações internacionais.</w:t>
            </w:r>
          </w:p>
        </w:tc>
      </w:tr>
    </w:tbl>
    <w:p w14:paraId="26501391" w14:textId="77777777" w:rsidR="00FA192C" w:rsidRPr="008A1855" w:rsidRDefault="00C37291" w:rsidP="00FA192C">
      <w:pPr>
        <w:pStyle w:val="AmOrLang"/>
      </w:pPr>
      <w:r w:rsidRPr="008A1855">
        <w:t xml:space="preserve">Or. </w:t>
      </w:r>
      <w:r w:rsidRPr="008A1855">
        <w:rPr>
          <w:rStyle w:val="HideTWBExt"/>
          <w:noProof w:val="0"/>
        </w:rPr>
        <w:t>&lt;Original&gt;</w:t>
      </w:r>
      <w:r w:rsidR="00507587" w:rsidRPr="008A1855">
        <w:rPr>
          <w:rStyle w:val="HideTWBInt"/>
        </w:rPr>
        <w:t>{EN}</w:t>
      </w:r>
      <w:r w:rsidR="00507587" w:rsidRPr="008A1855">
        <w:t>en</w:t>
      </w:r>
      <w:r w:rsidRPr="008A1855">
        <w:rPr>
          <w:rStyle w:val="HideTWBExt"/>
          <w:noProof w:val="0"/>
        </w:rPr>
        <w:t>&lt;/Original&gt;</w:t>
      </w:r>
    </w:p>
    <w:p w14:paraId="690B6662" w14:textId="77777777" w:rsidR="00FA192C" w:rsidRPr="008A1855" w:rsidRDefault="00C37291" w:rsidP="003923F7">
      <w:pPr>
        <w:pStyle w:val="AmJustTitle"/>
      </w:pPr>
      <w:r w:rsidRPr="008A1855">
        <w:rPr>
          <w:rStyle w:val="HideTWBExt"/>
          <w:i w:val="0"/>
        </w:rPr>
        <w:t>&lt;TitreJust&gt;</w:t>
      </w:r>
      <w:r w:rsidRPr="008A1855">
        <w:t>Justificação</w:t>
      </w:r>
      <w:r w:rsidRPr="008A1855">
        <w:rPr>
          <w:rStyle w:val="HideTWBExt"/>
          <w:i w:val="0"/>
        </w:rPr>
        <w:t>&lt;/TitreJust&gt;</w:t>
      </w:r>
    </w:p>
    <w:p w14:paraId="7563AD18" w14:textId="17D33006" w:rsidR="00507587" w:rsidRPr="008A1855" w:rsidRDefault="00C37291" w:rsidP="00507587">
      <w:pPr>
        <w:pStyle w:val="Normal12Italic"/>
        <w:jc w:val="both"/>
        <w:rPr>
          <w:szCs w:val="24"/>
        </w:rPr>
      </w:pPr>
      <w:r w:rsidRPr="008A1855">
        <w:t xml:space="preserve"> As ações que serão financiadas ao abrigo deste instrumento devem ser definidas no interesse da transparência e no </w:t>
      </w:r>
      <w:r w:rsidRPr="008A1855">
        <w:t>interesse do Parlamento, enquanto colegislador. Não deve ser permitido o financiamento pelos Estados</w:t>
      </w:r>
      <w:r w:rsidR="00E7105A">
        <w:noBreakHyphen/>
      </w:r>
      <w:r w:rsidRPr="008A1855">
        <w:t>Membros de atividades provenientes de «caixas negras».</w:t>
      </w:r>
    </w:p>
    <w:p w14:paraId="0BF4565A" w14:textId="77777777" w:rsidR="00FA192C" w:rsidRPr="008A1855" w:rsidRDefault="00FA192C" w:rsidP="00FA192C">
      <w:pPr>
        <w:pStyle w:val="AmJustText"/>
      </w:pPr>
    </w:p>
    <w:p w14:paraId="37A16C13" w14:textId="77777777" w:rsidR="00166CCB" w:rsidRPr="008A1855" w:rsidRDefault="00C37291" w:rsidP="00A5426B">
      <w:r w:rsidRPr="008A1855">
        <w:rPr>
          <w:rStyle w:val="HideTWBExt"/>
        </w:rPr>
        <w:t>&lt;/Amend&gt;</w:t>
      </w:r>
      <w:bookmarkEnd w:id="1"/>
    </w:p>
    <w:p w14:paraId="46BBE347" w14:textId="77777777" w:rsidR="00FA192C" w:rsidRPr="008A1855" w:rsidRDefault="00C37291" w:rsidP="00FA192C">
      <w:bookmarkStart w:id="2" w:name="EndB"/>
      <w:r w:rsidRPr="008A1855">
        <w:rPr>
          <w:rStyle w:val="HideTWBExt"/>
        </w:rPr>
        <w:t>&lt;/RepeatBlock-Amend&gt;</w:t>
      </w:r>
      <w:bookmarkEnd w:id="2"/>
    </w:p>
    <w:p w14:paraId="310AF47C" w14:textId="77777777" w:rsidR="008363E4" w:rsidRPr="008A1855" w:rsidRDefault="008363E4" w:rsidP="00FA192C"/>
    <w:sectPr w:rsidR="008363E4" w:rsidRPr="008A1855" w:rsidSect="008A18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F82B5" w14:textId="77777777" w:rsidR="00C37291" w:rsidRPr="008A1855" w:rsidRDefault="00C37291">
      <w:r w:rsidRPr="008A1855">
        <w:separator/>
      </w:r>
    </w:p>
  </w:endnote>
  <w:endnote w:type="continuationSeparator" w:id="0">
    <w:p w14:paraId="20239538" w14:textId="77777777" w:rsidR="00C37291" w:rsidRPr="008A1855" w:rsidRDefault="00C37291">
      <w:r w:rsidRPr="008A18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86B3" w14:textId="657FE782" w:rsidR="008A1855" w:rsidRPr="008A1855" w:rsidRDefault="008A1855" w:rsidP="008A1855">
    <w:pPr>
      <w:pStyle w:val="EPFooter"/>
    </w:pPr>
    <w:r w:rsidRPr="008A1855">
      <w:t>PE</w:t>
    </w:r>
    <w:r w:rsidRPr="008A1855">
      <w:rPr>
        <w:rStyle w:val="HideTWBExt"/>
      </w:rPr>
      <w:t>&lt;NoPE&gt;</w:t>
    </w:r>
    <w:r w:rsidRPr="008A1855">
      <w:t>790.136</w:t>
    </w:r>
    <w:r w:rsidRPr="008A1855">
      <w:rPr>
        <w:rStyle w:val="HideTWBExt"/>
      </w:rPr>
      <w:t>&lt;/NoPE&gt;&lt;Version&gt;</w:t>
    </w:r>
    <w:r w:rsidRPr="008A1855">
      <w:t>v01</w:t>
    </w:r>
    <w:r w:rsidR="00E7105A">
      <w:noBreakHyphen/>
    </w:r>
    <w:r w:rsidRPr="008A1855">
      <w:t>00</w:t>
    </w:r>
    <w:r w:rsidRPr="008A1855">
      <w:rPr>
        <w:rStyle w:val="HideTWBExt"/>
      </w:rPr>
      <w:t>&lt;/Version&gt;</w:t>
    </w:r>
    <w:r w:rsidRPr="008A1855">
      <w:tab/>
    </w:r>
    <w:r w:rsidRPr="008A1855">
      <w:fldChar w:fldCharType="begin"/>
    </w:r>
    <w:r w:rsidRPr="008A1855">
      <w:instrText xml:space="preserve"> PAGE  \* MERGEFORMAT </w:instrText>
    </w:r>
    <w:r w:rsidRPr="008A1855">
      <w:fldChar w:fldCharType="separate"/>
    </w:r>
    <w:r w:rsidRPr="008A1855">
      <w:rPr>
        <w:noProof/>
      </w:rPr>
      <w:t>6</w:t>
    </w:r>
    <w:r w:rsidRPr="008A1855">
      <w:fldChar w:fldCharType="end"/>
    </w:r>
    <w:r w:rsidRPr="008A1855">
      <w:t>/</w:t>
    </w:r>
    <w:fldSimple w:instr=" NUMPAGES  \* MERGEFORMAT ">
      <w:r w:rsidRPr="008A1855">
        <w:rPr>
          <w:noProof/>
        </w:rPr>
        <w:t>7</w:t>
      </w:r>
    </w:fldSimple>
    <w:r w:rsidRPr="008A1855">
      <w:tab/>
    </w:r>
    <w:r w:rsidRPr="008A1855">
      <w:rPr>
        <w:rStyle w:val="HideTWBExt"/>
      </w:rPr>
      <w:t>&lt;PathFdR&gt;</w:t>
    </w:r>
    <w:r w:rsidRPr="008A1855">
      <w:t>AM\1346405PT.docx</w:t>
    </w:r>
    <w:r w:rsidRPr="008A1855">
      <w:rPr>
        <w:rStyle w:val="HideTWBExt"/>
      </w:rPr>
      <w:t>&lt;/PathFdR&gt;</w:t>
    </w:r>
  </w:p>
  <w:p w14:paraId="6ED664F9" w14:textId="487D04A0" w:rsidR="00D82FCC" w:rsidRPr="008A1855" w:rsidRDefault="008A1855" w:rsidP="008A1855">
    <w:pPr>
      <w:pStyle w:val="EPFooter2"/>
    </w:pPr>
    <w:r w:rsidRPr="008A185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DAF1" w14:textId="3DAAF816" w:rsidR="008A1855" w:rsidRPr="008A1855" w:rsidRDefault="008A1855" w:rsidP="008A1855">
    <w:pPr>
      <w:pStyle w:val="EPFooter"/>
    </w:pPr>
    <w:r w:rsidRPr="008A1855">
      <w:rPr>
        <w:rStyle w:val="HideTWBExt"/>
      </w:rPr>
      <w:t>&lt;PathFdR&gt;</w:t>
    </w:r>
    <w:r w:rsidRPr="008A1855">
      <w:t>AM\1346405PT.docx</w:t>
    </w:r>
    <w:r w:rsidRPr="008A1855">
      <w:rPr>
        <w:rStyle w:val="HideTWBExt"/>
      </w:rPr>
      <w:t>&lt;/PathFdR&gt;</w:t>
    </w:r>
    <w:r w:rsidRPr="008A1855">
      <w:tab/>
    </w:r>
    <w:r w:rsidRPr="008A1855">
      <w:fldChar w:fldCharType="begin"/>
    </w:r>
    <w:r w:rsidRPr="008A1855">
      <w:instrText xml:space="preserve"> PAGE  \* MERGEFORMAT </w:instrText>
    </w:r>
    <w:r w:rsidRPr="008A1855">
      <w:fldChar w:fldCharType="separate"/>
    </w:r>
    <w:r w:rsidRPr="008A1855">
      <w:rPr>
        <w:noProof/>
      </w:rPr>
      <w:t>7</w:t>
    </w:r>
    <w:r w:rsidRPr="008A1855">
      <w:fldChar w:fldCharType="end"/>
    </w:r>
    <w:r w:rsidRPr="008A1855">
      <w:t>/</w:t>
    </w:r>
    <w:fldSimple w:instr=" NUMPAGES  \* MERGEFORMAT ">
      <w:r w:rsidRPr="008A1855">
        <w:rPr>
          <w:noProof/>
        </w:rPr>
        <w:t>7</w:t>
      </w:r>
    </w:fldSimple>
    <w:r w:rsidRPr="008A1855">
      <w:tab/>
      <w:t>PE</w:t>
    </w:r>
    <w:r w:rsidRPr="008A1855">
      <w:rPr>
        <w:rStyle w:val="HideTWBExt"/>
      </w:rPr>
      <w:t>&lt;NoPE&gt;</w:t>
    </w:r>
    <w:r w:rsidRPr="008A1855">
      <w:t>790.136</w:t>
    </w:r>
    <w:r w:rsidRPr="008A1855">
      <w:rPr>
        <w:rStyle w:val="HideTWBExt"/>
      </w:rPr>
      <w:t>&lt;/NoPE&gt;&lt;Version&gt;</w:t>
    </w:r>
    <w:r w:rsidRPr="008A1855">
      <w:t>v01</w:t>
    </w:r>
    <w:r w:rsidR="00E7105A">
      <w:noBreakHyphen/>
    </w:r>
    <w:r w:rsidRPr="008A1855">
      <w:t>00</w:t>
    </w:r>
    <w:r w:rsidRPr="008A1855">
      <w:rPr>
        <w:rStyle w:val="HideTWBExt"/>
      </w:rPr>
      <w:t>&lt;/Version&gt;</w:t>
    </w:r>
  </w:p>
  <w:p w14:paraId="75000F5F" w14:textId="06B5B19C" w:rsidR="00D82FCC" w:rsidRPr="008A1855" w:rsidRDefault="008A1855" w:rsidP="008A1855">
    <w:pPr>
      <w:pStyle w:val="EPFooter2"/>
    </w:pPr>
    <w:r w:rsidRPr="008A1855">
      <w:tab/>
    </w:r>
    <w:r w:rsidRPr="008A1855">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B79C" w14:textId="7FB4FEE1" w:rsidR="008A1855" w:rsidRPr="008A1855" w:rsidRDefault="008A1855" w:rsidP="008A1855">
    <w:pPr>
      <w:pStyle w:val="EPFooter"/>
    </w:pPr>
    <w:r w:rsidRPr="008A1855">
      <w:rPr>
        <w:rStyle w:val="HideTWBExt"/>
      </w:rPr>
      <w:t>&lt;PathFdR&gt;</w:t>
    </w:r>
    <w:r w:rsidRPr="008A1855">
      <w:t>AM\1346405PT.docx</w:t>
    </w:r>
    <w:r w:rsidRPr="008A1855">
      <w:rPr>
        <w:rStyle w:val="HideTWBExt"/>
      </w:rPr>
      <w:t>&lt;/PathFdR&gt;</w:t>
    </w:r>
    <w:r w:rsidRPr="008A1855">
      <w:tab/>
    </w:r>
    <w:r w:rsidRPr="008A1855">
      <w:tab/>
      <w:t>PE</w:t>
    </w:r>
    <w:r w:rsidRPr="008A1855">
      <w:rPr>
        <w:rStyle w:val="HideTWBExt"/>
      </w:rPr>
      <w:t>&lt;NoPE&gt;</w:t>
    </w:r>
    <w:r w:rsidRPr="008A1855">
      <w:t>790.136</w:t>
    </w:r>
    <w:r w:rsidRPr="008A1855">
      <w:rPr>
        <w:rStyle w:val="HideTWBExt"/>
      </w:rPr>
      <w:t>&lt;/NoPE&gt;&lt;Version&gt;</w:t>
    </w:r>
    <w:r w:rsidRPr="008A1855">
      <w:t>v01</w:t>
    </w:r>
    <w:r w:rsidR="00E7105A">
      <w:noBreakHyphen/>
    </w:r>
    <w:r w:rsidRPr="008A1855">
      <w:t>00</w:t>
    </w:r>
    <w:r w:rsidRPr="008A1855">
      <w:rPr>
        <w:rStyle w:val="HideTWBExt"/>
      </w:rPr>
      <w:t>&lt;/Version&gt;</w:t>
    </w:r>
  </w:p>
  <w:p w14:paraId="12C1D07A" w14:textId="0F346B3C" w:rsidR="00D82FCC" w:rsidRPr="008A1855" w:rsidRDefault="008A1855" w:rsidP="008A1855">
    <w:pPr>
      <w:pStyle w:val="EPFooter2"/>
    </w:pPr>
    <w:r w:rsidRPr="008A1855">
      <w:t>PT</w:t>
    </w:r>
    <w:r w:rsidRPr="008A1855">
      <w:tab/>
    </w:r>
    <w:r w:rsidRPr="008A1855">
      <w:rPr>
        <w:b w:val="0"/>
        <w:i/>
        <w:color w:val="C0C0C0"/>
        <w:sz w:val="22"/>
      </w:rPr>
      <w:t>Unida na diversidade</w:t>
    </w:r>
    <w:r w:rsidRPr="008A1855">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18638" w14:textId="77777777" w:rsidR="00C37291" w:rsidRPr="008A1855" w:rsidRDefault="00C37291">
      <w:r w:rsidRPr="008A1855">
        <w:separator/>
      </w:r>
    </w:p>
  </w:footnote>
  <w:footnote w:type="continuationSeparator" w:id="0">
    <w:p w14:paraId="16A90BC3" w14:textId="77777777" w:rsidR="00C37291" w:rsidRPr="008A1855" w:rsidRDefault="00C37291">
      <w:r w:rsidRPr="008A18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A279A" w14:textId="77777777" w:rsidR="00E7105A" w:rsidRDefault="00E710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C9BF" w14:textId="77777777" w:rsidR="00E7105A" w:rsidRDefault="00E710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A1D6" w14:textId="77777777" w:rsidR="00E7105A" w:rsidRDefault="00E710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498A9D64">
      <w:start w:val="1"/>
      <w:numFmt w:val="decimal"/>
      <w:lvlText w:val="%1."/>
      <w:lvlJc w:val="left"/>
      <w:pPr>
        <w:ind w:left="720" w:hanging="360"/>
      </w:pPr>
      <w:rPr>
        <w:rFonts w:hint="default"/>
      </w:rPr>
    </w:lvl>
    <w:lvl w:ilvl="1" w:tplc="7B200BA6" w:tentative="1">
      <w:start w:val="1"/>
      <w:numFmt w:val="lowerLetter"/>
      <w:lvlText w:val="%2."/>
      <w:lvlJc w:val="left"/>
      <w:pPr>
        <w:ind w:left="1440" w:hanging="360"/>
      </w:pPr>
    </w:lvl>
    <w:lvl w:ilvl="2" w:tplc="5AA83578" w:tentative="1">
      <w:start w:val="1"/>
      <w:numFmt w:val="lowerRoman"/>
      <w:lvlText w:val="%3."/>
      <w:lvlJc w:val="right"/>
      <w:pPr>
        <w:ind w:left="2160" w:hanging="180"/>
      </w:pPr>
    </w:lvl>
    <w:lvl w:ilvl="3" w:tplc="AF225CDC" w:tentative="1">
      <w:start w:val="1"/>
      <w:numFmt w:val="decimal"/>
      <w:lvlText w:val="%4."/>
      <w:lvlJc w:val="left"/>
      <w:pPr>
        <w:ind w:left="2880" w:hanging="360"/>
      </w:pPr>
    </w:lvl>
    <w:lvl w:ilvl="4" w:tplc="B9A0B812" w:tentative="1">
      <w:start w:val="1"/>
      <w:numFmt w:val="lowerLetter"/>
      <w:lvlText w:val="%5."/>
      <w:lvlJc w:val="left"/>
      <w:pPr>
        <w:ind w:left="3600" w:hanging="360"/>
      </w:pPr>
    </w:lvl>
    <w:lvl w:ilvl="5" w:tplc="F81CFFAA" w:tentative="1">
      <w:start w:val="1"/>
      <w:numFmt w:val="lowerRoman"/>
      <w:lvlText w:val="%6."/>
      <w:lvlJc w:val="right"/>
      <w:pPr>
        <w:ind w:left="4320" w:hanging="180"/>
      </w:pPr>
    </w:lvl>
    <w:lvl w:ilvl="6" w:tplc="CA2C979C" w:tentative="1">
      <w:start w:val="1"/>
      <w:numFmt w:val="decimal"/>
      <w:lvlText w:val="%7."/>
      <w:lvlJc w:val="left"/>
      <w:pPr>
        <w:ind w:left="5040" w:hanging="360"/>
      </w:pPr>
    </w:lvl>
    <w:lvl w:ilvl="7" w:tplc="B592455C" w:tentative="1">
      <w:start w:val="1"/>
      <w:numFmt w:val="lowerLetter"/>
      <w:lvlText w:val="%8."/>
      <w:lvlJc w:val="left"/>
      <w:pPr>
        <w:ind w:left="5760" w:hanging="360"/>
      </w:pPr>
    </w:lvl>
    <w:lvl w:ilvl="8" w:tplc="646A97A8"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48B6CB58">
      <w:start w:val="1"/>
      <w:numFmt w:val="decimal"/>
      <w:lvlText w:val="%1."/>
      <w:lvlJc w:val="left"/>
      <w:pPr>
        <w:ind w:left="720" w:hanging="360"/>
      </w:pPr>
      <w:rPr>
        <w:rFonts w:hint="default"/>
      </w:rPr>
    </w:lvl>
    <w:lvl w:ilvl="1" w:tplc="82B600C6" w:tentative="1">
      <w:start w:val="1"/>
      <w:numFmt w:val="lowerLetter"/>
      <w:lvlText w:val="%2."/>
      <w:lvlJc w:val="left"/>
      <w:pPr>
        <w:ind w:left="1440" w:hanging="360"/>
      </w:pPr>
    </w:lvl>
    <w:lvl w:ilvl="2" w:tplc="E46470CA" w:tentative="1">
      <w:start w:val="1"/>
      <w:numFmt w:val="lowerRoman"/>
      <w:lvlText w:val="%3."/>
      <w:lvlJc w:val="right"/>
      <w:pPr>
        <w:ind w:left="2160" w:hanging="180"/>
      </w:pPr>
    </w:lvl>
    <w:lvl w:ilvl="3" w:tplc="591AA5B2" w:tentative="1">
      <w:start w:val="1"/>
      <w:numFmt w:val="decimal"/>
      <w:lvlText w:val="%4."/>
      <w:lvlJc w:val="left"/>
      <w:pPr>
        <w:ind w:left="2880" w:hanging="360"/>
      </w:pPr>
    </w:lvl>
    <w:lvl w:ilvl="4" w:tplc="4D040702" w:tentative="1">
      <w:start w:val="1"/>
      <w:numFmt w:val="lowerLetter"/>
      <w:lvlText w:val="%5."/>
      <w:lvlJc w:val="left"/>
      <w:pPr>
        <w:ind w:left="3600" w:hanging="360"/>
      </w:pPr>
    </w:lvl>
    <w:lvl w:ilvl="5" w:tplc="482E5B40" w:tentative="1">
      <w:start w:val="1"/>
      <w:numFmt w:val="lowerRoman"/>
      <w:lvlText w:val="%6."/>
      <w:lvlJc w:val="right"/>
      <w:pPr>
        <w:ind w:left="4320" w:hanging="180"/>
      </w:pPr>
    </w:lvl>
    <w:lvl w:ilvl="6" w:tplc="443AD3C4" w:tentative="1">
      <w:start w:val="1"/>
      <w:numFmt w:val="decimal"/>
      <w:lvlText w:val="%7."/>
      <w:lvlJc w:val="left"/>
      <w:pPr>
        <w:ind w:left="5040" w:hanging="360"/>
      </w:pPr>
    </w:lvl>
    <w:lvl w:ilvl="7" w:tplc="897A87D4" w:tentative="1">
      <w:start w:val="1"/>
      <w:numFmt w:val="lowerLetter"/>
      <w:lvlText w:val="%8."/>
      <w:lvlJc w:val="left"/>
      <w:pPr>
        <w:ind w:left="5760" w:hanging="360"/>
      </w:pPr>
    </w:lvl>
    <w:lvl w:ilvl="8" w:tplc="4E662576"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E33E6C68">
      <w:start w:val="1"/>
      <w:numFmt w:val="lowerLetter"/>
      <w:lvlText w:val="(%1)"/>
      <w:lvlJc w:val="left"/>
      <w:pPr>
        <w:ind w:left="720" w:hanging="360"/>
      </w:pPr>
      <w:rPr>
        <w:rFonts w:hint="default"/>
      </w:rPr>
    </w:lvl>
    <w:lvl w:ilvl="1" w:tplc="2FE4935E" w:tentative="1">
      <w:start w:val="1"/>
      <w:numFmt w:val="lowerLetter"/>
      <w:lvlText w:val="%2."/>
      <w:lvlJc w:val="left"/>
      <w:pPr>
        <w:ind w:left="1440" w:hanging="360"/>
      </w:pPr>
    </w:lvl>
    <w:lvl w:ilvl="2" w:tplc="066010D6" w:tentative="1">
      <w:start w:val="1"/>
      <w:numFmt w:val="lowerRoman"/>
      <w:lvlText w:val="%3."/>
      <w:lvlJc w:val="right"/>
      <w:pPr>
        <w:ind w:left="2160" w:hanging="180"/>
      </w:pPr>
    </w:lvl>
    <w:lvl w:ilvl="3" w:tplc="20604B18" w:tentative="1">
      <w:start w:val="1"/>
      <w:numFmt w:val="decimal"/>
      <w:lvlText w:val="%4."/>
      <w:lvlJc w:val="left"/>
      <w:pPr>
        <w:ind w:left="2880" w:hanging="360"/>
      </w:pPr>
    </w:lvl>
    <w:lvl w:ilvl="4" w:tplc="5B2AC48E" w:tentative="1">
      <w:start w:val="1"/>
      <w:numFmt w:val="lowerLetter"/>
      <w:lvlText w:val="%5."/>
      <w:lvlJc w:val="left"/>
      <w:pPr>
        <w:ind w:left="3600" w:hanging="360"/>
      </w:pPr>
    </w:lvl>
    <w:lvl w:ilvl="5" w:tplc="1CE60114" w:tentative="1">
      <w:start w:val="1"/>
      <w:numFmt w:val="lowerRoman"/>
      <w:lvlText w:val="%6."/>
      <w:lvlJc w:val="right"/>
      <w:pPr>
        <w:ind w:left="4320" w:hanging="180"/>
      </w:pPr>
    </w:lvl>
    <w:lvl w:ilvl="6" w:tplc="B5446782" w:tentative="1">
      <w:start w:val="1"/>
      <w:numFmt w:val="decimal"/>
      <w:lvlText w:val="%7."/>
      <w:lvlJc w:val="left"/>
      <w:pPr>
        <w:ind w:left="5040" w:hanging="360"/>
      </w:pPr>
    </w:lvl>
    <w:lvl w:ilvl="7" w:tplc="4EDCC788" w:tentative="1">
      <w:start w:val="1"/>
      <w:numFmt w:val="lowerLetter"/>
      <w:lvlText w:val="%8."/>
      <w:lvlJc w:val="left"/>
      <w:pPr>
        <w:ind w:left="5760" w:hanging="360"/>
      </w:pPr>
    </w:lvl>
    <w:lvl w:ilvl="8" w:tplc="542803DE"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4CDC2862">
      <w:start w:val="1"/>
      <w:numFmt w:val="lowerLetter"/>
      <w:lvlText w:val="(%1)"/>
      <w:lvlJc w:val="left"/>
      <w:pPr>
        <w:ind w:left="750" w:hanging="390"/>
      </w:pPr>
      <w:rPr>
        <w:rFonts w:hint="default"/>
      </w:rPr>
    </w:lvl>
    <w:lvl w:ilvl="1" w:tplc="835CDDCE" w:tentative="1">
      <w:start w:val="1"/>
      <w:numFmt w:val="lowerLetter"/>
      <w:lvlText w:val="%2."/>
      <w:lvlJc w:val="left"/>
      <w:pPr>
        <w:ind w:left="1440" w:hanging="360"/>
      </w:pPr>
    </w:lvl>
    <w:lvl w:ilvl="2" w:tplc="AE822FC0" w:tentative="1">
      <w:start w:val="1"/>
      <w:numFmt w:val="lowerRoman"/>
      <w:lvlText w:val="%3."/>
      <w:lvlJc w:val="right"/>
      <w:pPr>
        <w:ind w:left="2160" w:hanging="180"/>
      </w:pPr>
    </w:lvl>
    <w:lvl w:ilvl="3" w:tplc="5EF66648" w:tentative="1">
      <w:start w:val="1"/>
      <w:numFmt w:val="decimal"/>
      <w:lvlText w:val="%4."/>
      <w:lvlJc w:val="left"/>
      <w:pPr>
        <w:ind w:left="2880" w:hanging="360"/>
      </w:pPr>
    </w:lvl>
    <w:lvl w:ilvl="4" w:tplc="3E1C2610" w:tentative="1">
      <w:start w:val="1"/>
      <w:numFmt w:val="lowerLetter"/>
      <w:lvlText w:val="%5."/>
      <w:lvlJc w:val="left"/>
      <w:pPr>
        <w:ind w:left="3600" w:hanging="360"/>
      </w:pPr>
    </w:lvl>
    <w:lvl w:ilvl="5" w:tplc="A454BDEA" w:tentative="1">
      <w:start w:val="1"/>
      <w:numFmt w:val="lowerRoman"/>
      <w:lvlText w:val="%6."/>
      <w:lvlJc w:val="right"/>
      <w:pPr>
        <w:ind w:left="4320" w:hanging="180"/>
      </w:pPr>
    </w:lvl>
    <w:lvl w:ilvl="6" w:tplc="46301602" w:tentative="1">
      <w:start w:val="1"/>
      <w:numFmt w:val="decimal"/>
      <w:lvlText w:val="%7."/>
      <w:lvlJc w:val="left"/>
      <w:pPr>
        <w:ind w:left="5040" w:hanging="360"/>
      </w:pPr>
    </w:lvl>
    <w:lvl w:ilvl="7" w:tplc="BBFC3E78" w:tentative="1">
      <w:start w:val="1"/>
      <w:numFmt w:val="lowerLetter"/>
      <w:lvlText w:val="%8."/>
      <w:lvlJc w:val="left"/>
      <w:pPr>
        <w:ind w:left="5760" w:hanging="360"/>
      </w:pPr>
    </w:lvl>
    <w:lvl w:ilvl="8" w:tplc="F6A6F210"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FC6697EE">
      <w:start w:val="1"/>
      <w:numFmt w:val="lowerLetter"/>
      <w:lvlText w:val="(%1)"/>
      <w:lvlJc w:val="left"/>
      <w:pPr>
        <w:ind w:left="720" w:hanging="360"/>
      </w:pPr>
      <w:rPr>
        <w:rFonts w:hint="default"/>
      </w:rPr>
    </w:lvl>
    <w:lvl w:ilvl="1" w:tplc="1AAA494E" w:tentative="1">
      <w:start w:val="1"/>
      <w:numFmt w:val="lowerLetter"/>
      <w:lvlText w:val="%2."/>
      <w:lvlJc w:val="left"/>
      <w:pPr>
        <w:ind w:left="1440" w:hanging="360"/>
      </w:pPr>
    </w:lvl>
    <w:lvl w:ilvl="2" w:tplc="8CC4CC6A" w:tentative="1">
      <w:start w:val="1"/>
      <w:numFmt w:val="lowerRoman"/>
      <w:lvlText w:val="%3."/>
      <w:lvlJc w:val="right"/>
      <w:pPr>
        <w:ind w:left="2160" w:hanging="180"/>
      </w:pPr>
    </w:lvl>
    <w:lvl w:ilvl="3" w:tplc="A52ACA76" w:tentative="1">
      <w:start w:val="1"/>
      <w:numFmt w:val="decimal"/>
      <w:lvlText w:val="%4."/>
      <w:lvlJc w:val="left"/>
      <w:pPr>
        <w:ind w:left="2880" w:hanging="360"/>
      </w:pPr>
    </w:lvl>
    <w:lvl w:ilvl="4" w:tplc="911A2A0C" w:tentative="1">
      <w:start w:val="1"/>
      <w:numFmt w:val="lowerLetter"/>
      <w:lvlText w:val="%5."/>
      <w:lvlJc w:val="left"/>
      <w:pPr>
        <w:ind w:left="3600" w:hanging="360"/>
      </w:pPr>
    </w:lvl>
    <w:lvl w:ilvl="5" w:tplc="8D568646" w:tentative="1">
      <w:start w:val="1"/>
      <w:numFmt w:val="lowerRoman"/>
      <w:lvlText w:val="%6."/>
      <w:lvlJc w:val="right"/>
      <w:pPr>
        <w:ind w:left="4320" w:hanging="180"/>
      </w:pPr>
    </w:lvl>
    <w:lvl w:ilvl="6" w:tplc="905A3BDA" w:tentative="1">
      <w:start w:val="1"/>
      <w:numFmt w:val="decimal"/>
      <w:lvlText w:val="%7."/>
      <w:lvlJc w:val="left"/>
      <w:pPr>
        <w:ind w:left="5040" w:hanging="360"/>
      </w:pPr>
    </w:lvl>
    <w:lvl w:ilvl="7" w:tplc="720215EC" w:tentative="1">
      <w:start w:val="1"/>
      <w:numFmt w:val="lowerLetter"/>
      <w:lvlText w:val="%8."/>
      <w:lvlJc w:val="left"/>
      <w:pPr>
        <w:ind w:left="5760" w:hanging="360"/>
      </w:pPr>
    </w:lvl>
    <w:lvl w:ilvl="8" w:tplc="6FCC6242"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C0607"/>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94A28"/>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A1855"/>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37291"/>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7105A"/>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D8596"/>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6581</Characters>
  <Application>Microsoft Office Word</Application>
  <DocSecurity>0</DocSecurity>
  <Lines>266</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PEREIRA Dulce</cp:lastModifiedBy>
  <cp:revision>2</cp:revision>
  <cp:lastPrinted>2007-06-22T14:02:00Z</cp:lastPrinted>
  <dcterms:created xsi:type="dcterms:W3CDTF">2026-07-08T08:23:00Z</dcterms:created>
  <dcterms:modified xsi:type="dcterms:W3CDTF">2026-07-08T08:23:00Z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AM\1346405PT.docx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10:23</vt:lpwstr>
  </property>
</Properties>
</file>