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55538" w:rsidRPr="009F0A50" w14:paraId="31F769C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17423" w14:textId="77777777" w:rsidR="00BE5062" w:rsidRPr="009F0A50" w:rsidRDefault="00372D5C" w:rsidP="00C85D0F">
            <w:pPr>
              <w:pStyle w:val="EPName"/>
            </w:pPr>
            <w:r w:rsidRPr="009F0A50">
              <w:t>Europski parlament</w:t>
            </w:r>
          </w:p>
          <w:p w14:paraId="79612C84" w14:textId="77777777" w:rsidR="00BE5062" w:rsidRPr="009F0A50" w:rsidRDefault="00372D5C" w:rsidP="00C85D0F">
            <w:pPr>
              <w:pStyle w:val="EPTerm"/>
            </w:pPr>
            <w:r w:rsidRPr="009F0A5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F5C0F0" w14:textId="77777777" w:rsidR="00BE5062" w:rsidRPr="009F0A50" w:rsidRDefault="00372D5C" w:rsidP="00C85D0F">
            <w:pPr>
              <w:pStyle w:val="EPLogo"/>
            </w:pPr>
            <w:r w:rsidRPr="009F0A50">
              <w:rPr>
                <w:noProof/>
              </w:rPr>
              <w:drawing>
                <wp:inline distT="0" distB="0" distL="0" distR="0" wp14:anchorId="5F97DECB" wp14:editId="604B04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A14EFA" w14:textId="77777777" w:rsidR="000E7234" w:rsidRPr="009F0A50" w:rsidRDefault="000E7234" w:rsidP="000E7234">
      <w:pPr>
        <w:pStyle w:val="LineTop"/>
      </w:pPr>
    </w:p>
    <w:p w14:paraId="765FD7A9" w14:textId="77777777" w:rsidR="000E7234" w:rsidRPr="009F0A50" w:rsidRDefault="00372D5C" w:rsidP="000E7234">
      <w:pPr>
        <w:pStyle w:val="EPBody"/>
      </w:pPr>
      <w:r w:rsidRPr="009F0A50">
        <w:rPr>
          <w:rStyle w:val="HideTWBExt"/>
        </w:rPr>
        <w:t>&lt;</w:t>
      </w:r>
      <w:r w:rsidRPr="009F0A50">
        <w:rPr>
          <w:rStyle w:val="HideTWBExt"/>
          <w:i w:val="0"/>
        </w:rPr>
        <w:t>Commission</w:t>
      </w:r>
      <w:r w:rsidRPr="009F0A50">
        <w:rPr>
          <w:rStyle w:val="HideTWBExt"/>
        </w:rPr>
        <w:t>&gt;</w:t>
      </w:r>
      <w:r w:rsidRPr="009F0A50">
        <w:rPr>
          <w:rStyle w:val="HideTWBInt"/>
          <w:color w:val="auto"/>
        </w:rPr>
        <w:t>{LIBE}</w:t>
      </w:r>
      <w:r w:rsidRPr="009F0A50">
        <w:t>Odbor za građanske slobode, pravosuđe i unutarnje poslove</w:t>
      </w:r>
      <w:r w:rsidRPr="009F0A50">
        <w:rPr>
          <w:rStyle w:val="HideTWBExt"/>
        </w:rPr>
        <w:t>&lt;/</w:t>
      </w:r>
      <w:proofErr w:type="spellStart"/>
      <w:r w:rsidRPr="009F0A50">
        <w:rPr>
          <w:rStyle w:val="HideTWBExt"/>
          <w:i w:val="0"/>
        </w:rPr>
        <w:t>Commission</w:t>
      </w:r>
      <w:proofErr w:type="spellEnd"/>
      <w:r w:rsidRPr="009F0A50">
        <w:rPr>
          <w:rStyle w:val="HideTWBExt"/>
        </w:rPr>
        <w:t>&gt;</w:t>
      </w:r>
    </w:p>
    <w:p w14:paraId="55E15E90" w14:textId="77777777" w:rsidR="000E7234" w:rsidRPr="009F0A50" w:rsidRDefault="000E7234" w:rsidP="000E7234">
      <w:pPr>
        <w:pStyle w:val="LineBottom"/>
      </w:pPr>
    </w:p>
    <w:p w14:paraId="41F59101" w14:textId="77777777" w:rsidR="00B85286" w:rsidRPr="009F0A50" w:rsidRDefault="00372D5C">
      <w:pPr>
        <w:pStyle w:val="CoverReference"/>
      </w:pPr>
      <w:r w:rsidRPr="009F0A50">
        <w:rPr>
          <w:rStyle w:val="HideTWBExt"/>
          <w:b w:val="0"/>
        </w:rPr>
        <w:t>&lt;RefProc&gt;</w:t>
      </w:r>
      <w:r w:rsidRPr="009F0A50">
        <w:t>2025/0542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RefProc</w:t>
      </w:r>
      <w:proofErr w:type="spellEnd"/>
      <w:r w:rsidRPr="009F0A50">
        <w:rPr>
          <w:rStyle w:val="HideTWBExt"/>
          <w:b w:val="0"/>
        </w:rPr>
        <w:t>&gt;&lt;RefTypeProc&gt;</w:t>
      </w:r>
      <w:r w:rsidRPr="009F0A50">
        <w:t>(COD)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RefTypeProc</w:t>
      </w:r>
      <w:proofErr w:type="spellEnd"/>
      <w:r w:rsidRPr="009F0A50">
        <w:rPr>
          <w:rStyle w:val="HideTWBExt"/>
          <w:b w:val="0"/>
        </w:rPr>
        <w:t>&gt;</w:t>
      </w:r>
    </w:p>
    <w:p w14:paraId="04C8B347" w14:textId="77777777" w:rsidR="00B85286" w:rsidRPr="009F0A50" w:rsidRDefault="00372D5C">
      <w:pPr>
        <w:pStyle w:val="CoverDate"/>
      </w:pPr>
      <w:r w:rsidRPr="009F0A50">
        <w:rPr>
          <w:rStyle w:val="HideTWBExt"/>
        </w:rPr>
        <w:t>&lt;Date&gt;</w:t>
      </w:r>
      <w:r w:rsidRPr="009F0A50">
        <w:rPr>
          <w:rStyle w:val="HideTWBInt"/>
          <w:color w:val="auto"/>
        </w:rPr>
        <w:t>{24/06/2026}</w:t>
      </w:r>
      <w:r w:rsidRPr="009F0A50">
        <w:t>24.6.2026</w:t>
      </w:r>
      <w:r w:rsidRPr="009F0A50">
        <w:rPr>
          <w:rStyle w:val="HideTWBExt"/>
        </w:rPr>
        <w:t>&lt;/Date&gt;</w:t>
      </w:r>
    </w:p>
    <w:p w14:paraId="22924B17" w14:textId="77777777" w:rsidR="009B0305" w:rsidRPr="009F0A50" w:rsidRDefault="00372D5C" w:rsidP="009B0305">
      <w:pPr>
        <w:pStyle w:val="CoverDocType"/>
      </w:pPr>
      <w:r w:rsidRPr="009F0A50">
        <w:rPr>
          <w:rStyle w:val="HideTWBExt"/>
          <w:b w:val="0"/>
        </w:rPr>
        <w:t>&lt;TypeAM&gt;</w:t>
      </w:r>
      <w:r w:rsidRPr="009F0A50">
        <w:t>AMANDMAN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TypeAM</w:t>
      </w:r>
      <w:proofErr w:type="spellEnd"/>
      <w:r w:rsidRPr="009F0A50">
        <w:rPr>
          <w:rStyle w:val="HideTWBExt"/>
          <w:b w:val="0"/>
        </w:rPr>
        <w:t>&gt;</w:t>
      </w:r>
    </w:p>
    <w:p w14:paraId="61576FD8" w14:textId="77777777" w:rsidR="00B85286" w:rsidRPr="009F0A50" w:rsidRDefault="00372D5C" w:rsidP="001C2054">
      <w:pPr>
        <w:pStyle w:val="CoverDocType24a"/>
      </w:pPr>
      <w:r w:rsidRPr="009F0A50">
        <w:rPr>
          <w:rStyle w:val="HideTWBExt"/>
          <w:b w:val="0"/>
        </w:rPr>
        <w:t>&lt;RangeAM&gt;</w:t>
      </w:r>
      <w:r w:rsidRPr="009F0A50">
        <w:t>212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RangeAM</w:t>
      </w:r>
      <w:proofErr w:type="spellEnd"/>
      <w:r w:rsidRPr="009F0A50">
        <w:rPr>
          <w:rStyle w:val="HideTWBExt"/>
          <w:b w:val="0"/>
        </w:rPr>
        <w:t>&gt;</w:t>
      </w:r>
    </w:p>
    <w:p w14:paraId="726A9E09" w14:textId="77777777" w:rsidR="001C2054" w:rsidRPr="009F0A50" w:rsidRDefault="00372D5C" w:rsidP="00A93F8C">
      <w:pPr>
        <w:pStyle w:val="CoverBold"/>
      </w:pPr>
      <w:r w:rsidRPr="009F0A50">
        <w:rPr>
          <w:rStyle w:val="HideTWBExt"/>
          <w:b w:val="0"/>
        </w:rPr>
        <w:t>&lt;TitreType&gt;</w:t>
      </w:r>
      <w:r w:rsidRPr="009F0A50">
        <w:t>Nacrt izvješća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TitreType</w:t>
      </w:r>
      <w:proofErr w:type="spellEnd"/>
      <w:r w:rsidRPr="009F0A50">
        <w:rPr>
          <w:rStyle w:val="HideTWBExt"/>
          <w:b w:val="0"/>
        </w:rPr>
        <w:t>&gt;</w:t>
      </w:r>
    </w:p>
    <w:p w14:paraId="7F3DC709" w14:textId="77777777" w:rsidR="00B85286" w:rsidRPr="009F0A50" w:rsidRDefault="00372D5C" w:rsidP="00A93F8C">
      <w:pPr>
        <w:pStyle w:val="CoverBold"/>
      </w:pPr>
      <w:r w:rsidRPr="009F0A50">
        <w:rPr>
          <w:rStyle w:val="HideTWBExt"/>
          <w:b w:val="0"/>
        </w:rPr>
        <w:t>&lt;Rapporteur&gt;</w:t>
      </w:r>
      <w:proofErr w:type="spellStart"/>
      <w:r w:rsidRPr="009F0A50">
        <w:t>Assita</w:t>
      </w:r>
      <w:proofErr w:type="spellEnd"/>
      <w:r w:rsidRPr="009F0A50">
        <w:t xml:space="preserve"> </w:t>
      </w:r>
      <w:proofErr w:type="spellStart"/>
      <w:r w:rsidRPr="009F0A50">
        <w:t>Kanko</w:t>
      </w:r>
      <w:proofErr w:type="spellEnd"/>
      <w:r w:rsidRPr="009F0A50">
        <w:rPr>
          <w:rStyle w:val="HideTWBExt"/>
          <w:b w:val="0"/>
        </w:rPr>
        <w:t>&lt;/Rapporteur&gt;</w:t>
      </w:r>
    </w:p>
    <w:p w14:paraId="0009A992" w14:textId="77777777" w:rsidR="00B85286" w:rsidRPr="009F0A50" w:rsidRDefault="00372D5C">
      <w:pPr>
        <w:pStyle w:val="CoverNormal24a"/>
      </w:pPr>
      <w:r w:rsidRPr="009F0A50">
        <w:rPr>
          <w:rStyle w:val="HideTWBExt"/>
        </w:rPr>
        <w:t>&lt;DocRefPE&gt;</w:t>
      </w:r>
      <w:r w:rsidRPr="009F0A50">
        <w:t>(PE788.869v01-00)</w:t>
      </w:r>
      <w:r w:rsidRPr="009F0A50">
        <w:rPr>
          <w:rStyle w:val="HideTWBExt"/>
        </w:rPr>
        <w:t>&lt;/</w:t>
      </w:r>
      <w:proofErr w:type="spellStart"/>
      <w:r w:rsidRPr="009F0A50">
        <w:rPr>
          <w:rStyle w:val="HideTWBExt"/>
        </w:rPr>
        <w:t>DocRefPE</w:t>
      </w:r>
      <w:proofErr w:type="spellEnd"/>
      <w:r w:rsidRPr="009F0A50">
        <w:rPr>
          <w:rStyle w:val="HideTWBExt"/>
        </w:rPr>
        <w:t>&gt;</w:t>
      </w:r>
    </w:p>
    <w:p w14:paraId="0DBAFEEA" w14:textId="77777777" w:rsidR="00B85286" w:rsidRPr="009F0A50" w:rsidRDefault="00372D5C">
      <w:pPr>
        <w:pStyle w:val="CoverNormal24a"/>
      </w:pPr>
      <w:r w:rsidRPr="009F0A50">
        <w:rPr>
          <w:rStyle w:val="HideTWBExt"/>
        </w:rPr>
        <w:t>&lt;Titre&gt;</w:t>
      </w:r>
      <w:r w:rsidRPr="009F0A50">
        <w:t>Prijedlog uredbe Europskog parlamenta i Vijeća o uvođenju potpore Unije za unutarnju sigurnost za razdoblje 2028. – 2034.</w:t>
      </w:r>
      <w:r w:rsidRPr="009F0A50">
        <w:rPr>
          <w:rStyle w:val="HideTWBExt"/>
        </w:rPr>
        <w:t>&lt;/</w:t>
      </w:r>
      <w:proofErr w:type="spellStart"/>
      <w:r w:rsidRPr="009F0A50">
        <w:rPr>
          <w:rStyle w:val="HideTWBExt"/>
        </w:rPr>
        <w:t>Titre</w:t>
      </w:r>
      <w:proofErr w:type="spellEnd"/>
      <w:r w:rsidRPr="009F0A50">
        <w:rPr>
          <w:rStyle w:val="HideTWBExt"/>
        </w:rPr>
        <w:t>&gt;</w:t>
      </w:r>
    </w:p>
    <w:p w14:paraId="59D20550" w14:textId="77777777" w:rsidR="006337D4" w:rsidRPr="009F0A50" w:rsidRDefault="00372D5C" w:rsidP="006337D4">
      <w:pPr>
        <w:pStyle w:val="CoverNormal"/>
      </w:pPr>
      <w:r w:rsidRPr="009F0A50">
        <w:rPr>
          <w:rStyle w:val="HideTWBExt"/>
        </w:rPr>
        <w:t>&lt;DocAmend&gt;</w:t>
      </w:r>
      <w:r w:rsidRPr="009F0A50">
        <w:t>Prijedlog uredbe</w:t>
      </w:r>
      <w:r w:rsidRPr="009F0A50">
        <w:rPr>
          <w:rStyle w:val="HideTWBExt"/>
        </w:rPr>
        <w:t>&lt;/</w:t>
      </w:r>
      <w:proofErr w:type="spellStart"/>
      <w:r w:rsidRPr="009F0A50">
        <w:rPr>
          <w:rStyle w:val="HideTWBExt"/>
        </w:rPr>
        <w:t>DocAmend</w:t>
      </w:r>
      <w:proofErr w:type="spellEnd"/>
      <w:r w:rsidRPr="009F0A50">
        <w:rPr>
          <w:rStyle w:val="HideTWBExt"/>
        </w:rPr>
        <w:t>&gt;</w:t>
      </w:r>
    </w:p>
    <w:p w14:paraId="6922BF4C" w14:textId="77777777" w:rsidR="00B85286" w:rsidRPr="009F0A50" w:rsidRDefault="00372D5C">
      <w:pPr>
        <w:pStyle w:val="CoverNormal24a"/>
      </w:pPr>
      <w:r w:rsidRPr="009F0A50">
        <w:rPr>
          <w:rStyle w:val="HideTWBExt"/>
        </w:rPr>
        <w:t>&lt;DocRef&gt;</w:t>
      </w:r>
      <w:r w:rsidRPr="009F0A50">
        <w:t>(COM(2025)0542 – C10</w:t>
      </w:r>
      <w:r w:rsidRPr="009F0A50">
        <w:noBreakHyphen/>
        <w:t>0178/2025 – 2025/0542(COD))</w:t>
      </w:r>
      <w:r w:rsidRPr="009F0A50">
        <w:rPr>
          <w:rStyle w:val="HideTWBExt"/>
        </w:rPr>
        <w:t>&lt;/</w:t>
      </w:r>
      <w:proofErr w:type="spellStart"/>
      <w:r w:rsidRPr="009F0A50">
        <w:rPr>
          <w:rStyle w:val="HideTWBExt"/>
        </w:rPr>
        <w:t>DocRef</w:t>
      </w:r>
      <w:proofErr w:type="spellEnd"/>
      <w:r w:rsidRPr="009F0A50">
        <w:rPr>
          <w:rStyle w:val="HideTWBExt"/>
        </w:rPr>
        <w:t>&gt;</w:t>
      </w:r>
    </w:p>
    <w:p w14:paraId="7511AA30" w14:textId="77777777" w:rsidR="00B85286" w:rsidRPr="009F0A50" w:rsidRDefault="00372D5C" w:rsidP="00E660E2">
      <w:pPr>
        <w:widowControl/>
        <w:tabs>
          <w:tab w:val="center" w:pos="4677"/>
        </w:tabs>
      </w:pPr>
      <w:r w:rsidRPr="009F0A50">
        <w:br w:type="page"/>
      </w:r>
      <w:proofErr w:type="spellStart"/>
      <w:r w:rsidRPr="009F0A50">
        <w:lastRenderedPageBreak/>
        <w:t>AM_Com_LegReport</w:t>
      </w:r>
      <w:proofErr w:type="spellEnd"/>
    </w:p>
    <w:p w14:paraId="41BADCA3" w14:textId="77777777" w:rsidR="00CD0FA6" w:rsidRPr="009F0A50" w:rsidRDefault="00372D5C" w:rsidP="00DB4942">
      <w:pPr>
        <w:pStyle w:val="AmNumberTabs"/>
        <w:keepNext/>
        <w:rPr>
          <w:color w:val="000000"/>
        </w:rPr>
      </w:pPr>
      <w:r w:rsidRPr="009F0A50">
        <w:br w:type="page"/>
      </w:r>
      <w:bookmarkStart w:id="0" w:name="IntroA"/>
      <w:r w:rsidRPr="009F0A50">
        <w:rPr>
          <w:rStyle w:val="HideTWBExt"/>
          <w:b w:val="0"/>
        </w:rPr>
        <w:lastRenderedPageBreak/>
        <w:t>&lt;RepeatBlock-Amend&gt;</w:t>
      </w:r>
      <w:bookmarkEnd w:id="0"/>
      <w:r w:rsidRPr="009F0A50">
        <w:rPr>
          <w:rStyle w:val="HideTWBExt"/>
          <w:b w:val="0"/>
        </w:rPr>
        <w:t>&lt;Amend&gt;</w:t>
      </w:r>
      <w:r w:rsidRPr="009F0A50">
        <w:t>Amandman</w:t>
      </w:r>
      <w:r w:rsidRPr="009F0A50">
        <w:tab/>
      </w:r>
      <w:r w:rsidRPr="009F0A50">
        <w:tab/>
      </w:r>
      <w:r w:rsidRPr="009F0A50">
        <w:rPr>
          <w:rStyle w:val="HideTWBExt"/>
          <w:b w:val="0"/>
        </w:rPr>
        <w:t>&lt;NumAm&gt;</w:t>
      </w:r>
      <w:r w:rsidRPr="009F0A50">
        <w:t>212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NumAm</w:t>
      </w:r>
      <w:proofErr w:type="spellEnd"/>
      <w:r w:rsidRPr="009F0A50">
        <w:rPr>
          <w:rStyle w:val="HideTWBExt"/>
          <w:b w:val="0"/>
        </w:rPr>
        <w:t>&gt;</w:t>
      </w:r>
    </w:p>
    <w:p w14:paraId="38AF33F4" w14:textId="77777777" w:rsidR="009B3D31" w:rsidRPr="009F0A50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3468F035" w14:textId="77777777" w:rsidR="00CD0FA6" w:rsidRPr="009F0A50" w:rsidRDefault="00372D5C" w:rsidP="00CD0FA6">
      <w:pPr>
        <w:pStyle w:val="NormalBold"/>
      </w:pPr>
      <w:r w:rsidRPr="009F0A50">
        <w:rPr>
          <w:rStyle w:val="HideTWBExt"/>
          <w:b w:val="0"/>
        </w:rPr>
        <w:t>&lt;RepeatBlock-By&gt;&lt;Members&gt;</w:t>
      </w:r>
      <w:proofErr w:type="spellStart"/>
      <w:r w:rsidRPr="009F0A50">
        <w:t>Assita</w:t>
      </w:r>
      <w:proofErr w:type="spellEnd"/>
      <w:r w:rsidRPr="009F0A50">
        <w:t xml:space="preserve"> </w:t>
      </w:r>
      <w:proofErr w:type="spellStart"/>
      <w:r w:rsidRPr="009F0A50">
        <w:t>Kanko</w:t>
      </w:r>
      <w:proofErr w:type="spellEnd"/>
      <w:r w:rsidRPr="009F0A50">
        <w:rPr>
          <w:rStyle w:val="HideTWBExt"/>
          <w:b w:val="0"/>
        </w:rPr>
        <w:t>&lt;/Members&gt;</w:t>
      </w:r>
    </w:p>
    <w:p w14:paraId="38D3EF8E" w14:textId="77777777" w:rsidR="00CD0FA6" w:rsidRPr="009F0A50" w:rsidRDefault="00372D5C" w:rsidP="00CD0FA6">
      <w:r w:rsidRPr="009F0A50">
        <w:rPr>
          <w:rStyle w:val="HideTWBExt"/>
        </w:rPr>
        <w:t>&lt;/RepeatBlock-By&gt;</w:t>
      </w:r>
    </w:p>
    <w:p w14:paraId="3599ED4F" w14:textId="77777777" w:rsidR="00CD0FA6" w:rsidRPr="009F0A50" w:rsidRDefault="00372D5C" w:rsidP="00CD0FA6">
      <w:pPr>
        <w:pStyle w:val="NormalBold"/>
        <w:keepNext/>
      </w:pPr>
      <w:r w:rsidRPr="009F0A50">
        <w:rPr>
          <w:rStyle w:val="HideTWBExt"/>
          <w:b w:val="0"/>
        </w:rPr>
        <w:t>&lt;DocAmend&gt;</w:t>
      </w:r>
      <w:r w:rsidRPr="009F0A50">
        <w:t>Prijedlog uredbe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DocAmend</w:t>
      </w:r>
      <w:proofErr w:type="spellEnd"/>
      <w:r w:rsidRPr="009F0A50">
        <w:rPr>
          <w:rStyle w:val="HideTWBExt"/>
          <w:b w:val="0"/>
        </w:rPr>
        <w:t>&gt;</w:t>
      </w:r>
    </w:p>
    <w:p w14:paraId="6D31B78E" w14:textId="77777777" w:rsidR="00CD0FA6" w:rsidRPr="009F0A50" w:rsidRDefault="00372D5C" w:rsidP="00CD0FA6">
      <w:pPr>
        <w:pStyle w:val="NormalBold"/>
        <w:rPr>
          <w:rStyle w:val="HideTWBExt"/>
          <w:b w:val="0"/>
        </w:rPr>
      </w:pPr>
      <w:r w:rsidRPr="009F0A50">
        <w:rPr>
          <w:rStyle w:val="HideTWBExt"/>
          <w:b w:val="0"/>
        </w:rPr>
        <w:t>&lt;Article&gt;</w:t>
      </w:r>
      <w:r w:rsidRPr="009F0A50">
        <w:t>Prilog (novi)</w:t>
      </w:r>
      <w:r w:rsidRPr="009F0A50">
        <w:rPr>
          <w:rStyle w:val="HideTWBExt"/>
          <w:b w:val="0"/>
        </w:rPr>
        <w:t>&lt;/</w:t>
      </w:r>
      <w:proofErr w:type="spellStart"/>
      <w:r w:rsidRPr="009F0A50">
        <w:rPr>
          <w:rStyle w:val="HideTWBExt"/>
          <w:b w:val="0"/>
        </w:rPr>
        <w:t>Article</w:t>
      </w:r>
      <w:proofErr w:type="spellEnd"/>
      <w:r w:rsidRPr="009F0A50">
        <w:rPr>
          <w:rStyle w:val="HideTWBExt"/>
          <w:b w:val="0"/>
        </w:rPr>
        <w:t>&gt;</w:t>
      </w:r>
    </w:p>
    <w:p w14:paraId="275BA3D8" w14:textId="77777777" w:rsidR="00CD0FA6" w:rsidRPr="009F0A50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B55538" w:rsidRPr="009F0A50" w14:paraId="5AD28A5F" w14:textId="77777777" w:rsidTr="009B5BE1">
        <w:trPr>
          <w:trHeight w:val="360"/>
        </w:trPr>
        <w:tc>
          <w:tcPr>
            <w:tcW w:w="9059" w:type="dxa"/>
            <w:gridSpan w:val="2"/>
          </w:tcPr>
          <w:p w14:paraId="01A9669F" w14:textId="77777777" w:rsidR="00CD0FA6" w:rsidRPr="009F0A50" w:rsidRDefault="00CD0FA6" w:rsidP="003910EE">
            <w:pPr>
              <w:pStyle w:val="Normal6a"/>
            </w:pPr>
          </w:p>
        </w:tc>
      </w:tr>
      <w:tr w:rsidR="00B55538" w:rsidRPr="009F0A50" w14:paraId="21A72C9B" w14:textId="77777777" w:rsidTr="009B5BE1">
        <w:trPr>
          <w:trHeight w:val="360"/>
        </w:trPr>
        <w:tc>
          <w:tcPr>
            <w:tcW w:w="4529" w:type="dxa"/>
          </w:tcPr>
          <w:p w14:paraId="5A134996" w14:textId="77777777" w:rsidR="00CD0FA6" w:rsidRPr="009F0A50" w:rsidRDefault="00372D5C" w:rsidP="003910EE">
            <w:pPr>
              <w:pStyle w:val="Normal6a"/>
              <w:rPr>
                <w:i/>
              </w:rPr>
            </w:pPr>
            <w:r w:rsidRPr="009F0A50">
              <w:rPr>
                <w:i/>
              </w:rPr>
              <w:t>Tekst koji je predložila Komisija</w:t>
            </w:r>
          </w:p>
        </w:tc>
        <w:tc>
          <w:tcPr>
            <w:tcW w:w="4530" w:type="dxa"/>
          </w:tcPr>
          <w:p w14:paraId="30FAD416" w14:textId="77777777" w:rsidR="00CD0FA6" w:rsidRPr="009F0A50" w:rsidRDefault="00372D5C" w:rsidP="003910EE">
            <w:pPr>
              <w:pStyle w:val="Normal6a"/>
              <w:rPr>
                <w:i/>
              </w:rPr>
            </w:pPr>
            <w:r w:rsidRPr="009F0A50">
              <w:rPr>
                <w:i/>
              </w:rPr>
              <w:t>Izmjena</w:t>
            </w:r>
          </w:p>
        </w:tc>
      </w:tr>
      <w:tr w:rsidR="00B55538" w:rsidRPr="009F0A50" w14:paraId="07B60C44" w14:textId="77777777" w:rsidTr="009B5BE1">
        <w:trPr>
          <w:trHeight w:val="360"/>
        </w:trPr>
        <w:tc>
          <w:tcPr>
            <w:tcW w:w="4529" w:type="dxa"/>
          </w:tcPr>
          <w:p w14:paraId="2566FD45" w14:textId="77777777" w:rsidR="00CD0FA6" w:rsidRPr="009F0A50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B0EF410" w14:textId="77777777" w:rsidR="00CD0FA6" w:rsidRPr="009F0A50" w:rsidRDefault="00372D5C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PRILOG</w:t>
            </w:r>
          </w:p>
        </w:tc>
      </w:tr>
      <w:tr w:rsidR="00B55538" w:rsidRPr="009F0A50" w14:paraId="77125DA6" w14:textId="77777777" w:rsidTr="009B5BE1">
        <w:trPr>
          <w:trHeight w:val="360"/>
        </w:trPr>
        <w:tc>
          <w:tcPr>
            <w:tcW w:w="4529" w:type="dxa"/>
          </w:tcPr>
          <w:p w14:paraId="6E014951" w14:textId="77777777" w:rsidR="00942E30" w:rsidRPr="009F0A50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266A69B" w14:textId="77777777" w:rsidR="00942E30" w:rsidRPr="009F0A50" w:rsidRDefault="00372D5C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PROVEDBENE MJERE</w:t>
            </w:r>
          </w:p>
        </w:tc>
      </w:tr>
      <w:tr w:rsidR="00B55538" w:rsidRPr="009F0A50" w14:paraId="6DABC9EA" w14:textId="77777777" w:rsidTr="009B5BE1">
        <w:trPr>
          <w:trHeight w:val="360"/>
        </w:trPr>
        <w:tc>
          <w:tcPr>
            <w:tcW w:w="4529" w:type="dxa"/>
          </w:tcPr>
          <w:p w14:paraId="169FA53D" w14:textId="77777777" w:rsidR="008E290E" w:rsidRPr="009F0A50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592D96C" w14:textId="77777777" w:rsidR="008E290E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1.</w:t>
            </w:r>
            <w:r w:rsidRPr="009F0A50">
              <w:rPr>
                <w:b/>
                <w:i/>
              </w:rPr>
              <w:tab/>
              <w:t xml:space="preserve">Potpora Unije doprinosi ostvarenju cilja iz članka 3. stavka 1. točke (a) usmjeravajući se na sljedeće provedbene mjere: </w:t>
            </w:r>
          </w:p>
        </w:tc>
      </w:tr>
      <w:tr w:rsidR="00B55538" w:rsidRPr="009F0A50" w14:paraId="36830360" w14:textId="77777777" w:rsidTr="009B5BE1">
        <w:trPr>
          <w:trHeight w:val="360"/>
        </w:trPr>
        <w:tc>
          <w:tcPr>
            <w:tcW w:w="4529" w:type="dxa"/>
          </w:tcPr>
          <w:p w14:paraId="726E135C" w14:textId="77777777" w:rsidR="008E290E" w:rsidRPr="009F0A50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3E9AC48" w14:textId="77777777" w:rsidR="008E290E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(a)</w:t>
            </w:r>
            <w:r w:rsidRPr="009F0A50">
              <w:rPr>
                <w:b/>
                <w:i/>
              </w:rPr>
              <w:tab/>
              <w:t>povećanje učestalosti osposobljavanja, vježbi i uzajamnog učenja, specijaliziranih programa razmjene i razmjene najboljih praksi unutar nadležnih tijela država članica i među njima, među ostalim na lokalnoj razini te s trećim zemljama i drugim relevantnim dionicima;</w:t>
            </w:r>
          </w:p>
        </w:tc>
      </w:tr>
      <w:tr w:rsidR="00B55538" w:rsidRPr="009F0A50" w14:paraId="3F096620" w14:textId="77777777" w:rsidTr="009B5BE1">
        <w:trPr>
          <w:trHeight w:val="360"/>
        </w:trPr>
        <w:tc>
          <w:tcPr>
            <w:tcW w:w="4529" w:type="dxa"/>
          </w:tcPr>
          <w:p w14:paraId="5B253CB6" w14:textId="77777777" w:rsidR="008E290E" w:rsidRPr="009F0A50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E96ECDB" w14:textId="77777777" w:rsidR="008E290E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(b)</w:t>
            </w:r>
            <w:r w:rsidRPr="009F0A50">
              <w:rPr>
                <w:b/>
                <w:i/>
              </w:rPr>
              <w:tab/>
              <w:t>iskorištavanje sinergija objedinjavanjem resursa i znanja među državama članicama i drugih relevantnih aktera, uključujući civilno društvo, kao i razmjenom najboljih praksi među državama članicama, primjerice osnivanjem zajedničkih centara izvrsnosti, razvoja zajedničkih procjena rizika ili zajedničkih centara za operativnu potporu za zajedničke operacije;</w:t>
            </w:r>
          </w:p>
        </w:tc>
      </w:tr>
      <w:tr w:rsidR="00B55538" w:rsidRPr="009F0A50" w14:paraId="33249D25" w14:textId="77777777" w:rsidTr="009B5BE1">
        <w:trPr>
          <w:trHeight w:val="360"/>
        </w:trPr>
        <w:tc>
          <w:tcPr>
            <w:tcW w:w="4529" w:type="dxa"/>
          </w:tcPr>
          <w:p w14:paraId="669FA7EC" w14:textId="77777777" w:rsidR="008E290E" w:rsidRPr="009F0A50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5FA01D2" w14:textId="77777777" w:rsidR="008E290E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(c)</w:t>
            </w:r>
            <w:r w:rsidRPr="009F0A50">
              <w:rPr>
                <w:b/>
                <w:i/>
              </w:rPr>
              <w:tab/>
            </w:r>
            <w:r w:rsidRPr="009F0A50">
              <w:rPr>
                <w:b/>
                <w:bCs/>
                <w:i/>
                <w:iCs/>
              </w:rPr>
              <w:t>kupnju odgovarajuće opreme i uspostavu ili nadogradnju specijaliziranih objekata za osposobljavanje i ostale ključne infrastrukture važne za sigurnost u cilju jačanja pripravnosti, otpornosti, javne svijesti i primjerenog odgovora na sigurnosne prijetnje</w:t>
            </w:r>
            <w:bookmarkStart w:id="1" w:name="_Hlk229499808"/>
            <w:r w:rsidRPr="009F0A50">
              <w:rPr>
                <w:b/>
                <w:bCs/>
                <w:i/>
                <w:iCs/>
              </w:rPr>
              <w:t>.</w:t>
            </w:r>
            <w:bookmarkEnd w:id="1"/>
          </w:p>
        </w:tc>
      </w:tr>
      <w:tr w:rsidR="00B55538" w:rsidRPr="009F0A50" w14:paraId="4B5E3E95" w14:textId="77777777" w:rsidTr="009B5BE1">
        <w:trPr>
          <w:trHeight w:val="360"/>
        </w:trPr>
        <w:tc>
          <w:tcPr>
            <w:tcW w:w="4529" w:type="dxa"/>
          </w:tcPr>
          <w:p w14:paraId="1EAD75B3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F892505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2.</w:t>
            </w:r>
            <w:r w:rsidRPr="009F0A50">
              <w:rPr>
                <w:b/>
                <w:i/>
              </w:rPr>
              <w:tab/>
              <w:t>Potpora Unije doprinosi ostvarenju cilja iz članka 3. stavka 1. točke (b) usmjeravajući se na sljedeće provedbene mjere:</w:t>
            </w:r>
          </w:p>
        </w:tc>
      </w:tr>
      <w:tr w:rsidR="00B55538" w:rsidRPr="009F0A50" w14:paraId="5D63CD8C" w14:textId="77777777" w:rsidTr="009B5BE1">
        <w:trPr>
          <w:trHeight w:val="360"/>
        </w:trPr>
        <w:tc>
          <w:tcPr>
            <w:tcW w:w="4529" w:type="dxa"/>
          </w:tcPr>
          <w:p w14:paraId="7993A714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07D9903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(a)</w:t>
            </w:r>
            <w:r w:rsidRPr="009F0A50">
              <w:rPr>
                <w:b/>
                <w:i/>
              </w:rPr>
              <w:tab/>
              <w:t>zaštitu kritičnih subjekata od incidenata povezanih sa sigurnošću otkrivanjem, procjenom i uklanjanjem ranjivosti;</w:t>
            </w:r>
          </w:p>
        </w:tc>
      </w:tr>
      <w:tr w:rsidR="00B55538" w:rsidRPr="009F0A50" w14:paraId="0FB75E19" w14:textId="77777777" w:rsidTr="009B5BE1">
        <w:trPr>
          <w:trHeight w:val="360"/>
        </w:trPr>
        <w:tc>
          <w:tcPr>
            <w:tcW w:w="4529" w:type="dxa"/>
          </w:tcPr>
          <w:p w14:paraId="58D15C4F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2CF247A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(b)</w:t>
            </w:r>
            <w:r w:rsidRPr="009F0A50">
              <w:rPr>
                <w:b/>
                <w:i/>
              </w:rPr>
              <w:tab/>
            </w:r>
            <w:r w:rsidRPr="009F0A50">
              <w:rPr>
                <w:b/>
                <w:bCs/>
                <w:i/>
                <w:iCs/>
              </w:rPr>
              <w:t>kupnju odgovarajuće opreme i uspostavu ili nadogradnju specijaliziranih objekata za osposobljavanje i ostale ključne infrastrukture važne za sigurnost u cilju jačanja pripravnosti, otpornosti i primjerenog odgovora na sigurnosne prijetnje;</w:t>
            </w:r>
          </w:p>
        </w:tc>
      </w:tr>
      <w:tr w:rsidR="00B55538" w:rsidRPr="009F0A50" w14:paraId="34BF4E7A" w14:textId="77777777" w:rsidTr="009B5BE1">
        <w:trPr>
          <w:trHeight w:val="360"/>
        </w:trPr>
        <w:tc>
          <w:tcPr>
            <w:tcW w:w="4529" w:type="dxa"/>
          </w:tcPr>
          <w:p w14:paraId="08A1AFA4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DDBCFCA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(c)</w:t>
            </w:r>
            <w:r w:rsidRPr="009F0A50">
              <w:rPr>
                <w:b/>
                <w:i/>
              </w:rPr>
              <w:tab/>
              <w:t xml:space="preserve">uspostavu, prilagodbu i održavanje informacijskih sustava EU-a i decentraliziranih informacijskih sustava koji su važni za sigurnost, uključujući osiguravanje njihove interoperabilnosti, ako je relevantno za odgovor na krize i strateške komunikacijske sustave; </w:t>
            </w:r>
          </w:p>
        </w:tc>
      </w:tr>
      <w:tr w:rsidR="00B55538" w:rsidRPr="009F0A50" w14:paraId="2239B494" w14:textId="77777777" w:rsidTr="009B5BE1">
        <w:trPr>
          <w:trHeight w:val="360"/>
        </w:trPr>
        <w:tc>
          <w:tcPr>
            <w:tcW w:w="4529" w:type="dxa"/>
          </w:tcPr>
          <w:p w14:paraId="2A326CD9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B868218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(d)</w:t>
            </w:r>
            <w:r w:rsidRPr="009F0A50">
              <w:rPr>
                <w:b/>
                <w:i/>
              </w:rPr>
              <w:tab/>
              <w:t xml:space="preserve">podupiranje razvoja, testiranja, uvođenja i održavanja </w:t>
            </w:r>
            <w:proofErr w:type="spellStart"/>
            <w:r w:rsidRPr="009F0A50">
              <w:rPr>
                <w:b/>
                <w:i/>
              </w:rPr>
              <w:t>interoperabilnih</w:t>
            </w:r>
            <w:proofErr w:type="spellEnd"/>
            <w:r w:rsidRPr="009F0A50">
              <w:rPr>
                <w:b/>
                <w:i/>
              </w:rPr>
              <w:t xml:space="preserve"> sigurnih komunikacijskih sustava i mehanizama za koordinaciju u kriznim situacijama među nadležnim tijelima unutar država članica i među njima, uključujući sustave kojima se osigurava kontinuitet rada tijekom incidenata povezanih sa sigurnošću i kriza velikih razmjera;</w:t>
            </w:r>
          </w:p>
        </w:tc>
      </w:tr>
      <w:tr w:rsidR="00B55538" w:rsidRPr="009F0A50" w14:paraId="3B6CABDF" w14:textId="77777777" w:rsidTr="009B5BE1">
        <w:trPr>
          <w:trHeight w:val="360"/>
        </w:trPr>
        <w:tc>
          <w:tcPr>
            <w:tcW w:w="4529" w:type="dxa"/>
          </w:tcPr>
          <w:p w14:paraId="1AD14DF0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AA79E31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(e)</w:t>
            </w:r>
            <w:r w:rsidRPr="009F0A50">
              <w:rPr>
                <w:b/>
                <w:i/>
              </w:rPr>
              <w:tab/>
              <w:t>jačanje pripravnosti, planiranja otpornosti i koordiniranih kapaciteta nadležnih tijela i kritičnih subjekata za odgovor na krizu putem procjena rizika, planiranja djelovanja u nepredvidivim situacijama, vježbi na temelju scenarija i razvoja zajedničkih operativnih protokola.</w:t>
            </w:r>
          </w:p>
        </w:tc>
      </w:tr>
      <w:tr w:rsidR="00B55538" w:rsidRPr="009F0A50" w14:paraId="7C6CE88C" w14:textId="77777777" w:rsidTr="009B5BE1">
        <w:trPr>
          <w:trHeight w:val="360"/>
        </w:trPr>
        <w:tc>
          <w:tcPr>
            <w:tcW w:w="4529" w:type="dxa"/>
          </w:tcPr>
          <w:p w14:paraId="530A5D55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FAB5F1E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3.</w:t>
            </w:r>
            <w:r w:rsidRPr="009F0A50">
              <w:rPr>
                <w:b/>
                <w:i/>
              </w:rPr>
              <w:tab/>
              <w:t>Potpora Unije doprinosi ostvarenju cilja iz članka 3. stavka 1. točke (c) usmjeravajući se na sljedeće provedbene mjere:</w:t>
            </w:r>
          </w:p>
        </w:tc>
      </w:tr>
      <w:tr w:rsidR="00B55538" w:rsidRPr="009F0A50" w14:paraId="7CBCA0E8" w14:textId="77777777" w:rsidTr="009B5BE1">
        <w:trPr>
          <w:trHeight w:val="360"/>
        </w:trPr>
        <w:tc>
          <w:tcPr>
            <w:tcW w:w="4529" w:type="dxa"/>
          </w:tcPr>
          <w:p w14:paraId="79223D37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19358A6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(a)</w:t>
            </w:r>
            <w:r w:rsidRPr="009F0A50">
              <w:rPr>
                <w:b/>
                <w:i/>
              </w:rPr>
              <w:tab/>
              <w:t xml:space="preserve">osiguravanje ujednačene primjene pravne stečevine Unije u području sigurnosti, i to podupiranjem razmjene relevantnih informacija, primjerice putem okvira iz </w:t>
            </w:r>
            <w:proofErr w:type="spellStart"/>
            <w:r w:rsidRPr="009F0A50">
              <w:rPr>
                <w:b/>
                <w:i/>
              </w:rPr>
              <w:t>Prüma</w:t>
            </w:r>
            <w:proofErr w:type="spellEnd"/>
            <w:r w:rsidRPr="009F0A50">
              <w:rPr>
                <w:b/>
                <w:i/>
              </w:rPr>
              <w:t xml:space="preserve">, evidencije podataka o putnicima u EU-u i sustava SIS II, među ostalim putem provedbe preporuka u okviru mehanizama kontrole kvalitete i mehanizama evaluacije, kao što su mehanizam za evaluaciju i praćenje </w:t>
            </w:r>
            <w:proofErr w:type="spellStart"/>
            <w:r w:rsidRPr="009F0A50">
              <w:rPr>
                <w:b/>
                <w:i/>
              </w:rPr>
              <w:t>schengenske</w:t>
            </w:r>
            <w:proofErr w:type="spellEnd"/>
            <w:r w:rsidRPr="009F0A50">
              <w:rPr>
                <w:b/>
                <w:i/>
              </w:rPr>
              <w:t xml:space="preserve"> pravne stečevine ili drugi mehanizmi kontrole kvalitete i mehanizmi evaluacije;</w:t>
            </w:r>
          </w:p>
        </w:tc>
      </w:tr>
      <w:tr w:rsidR="00B55538" w:rsidRPr="009F0A50" w14:paraId="4AF88FC3" w14:textId="77777777" w:rsidTr="009B5BE1">
        <w:trPr>
          <w:trHeight w:val="360"/>
        </w:trPr>
        <w:tc>
          <w:tcPr>
            <w:tcW w:w="4529" w:type="dxa"/>
          </w:tcPr>
          <w:p w14:paraId="6B75E4DB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4D99A13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(b)</w:t>
            </w:r>
            <w:r w:rsidRPr="009F0A50">
              <w:rPr>
                <w:b/>
                <w:i/>
              </w:rPr>
              <w:tab/>
              <w:t>uspostavu, prilagodbu i održavanje informacijskih sustava EU-a i decentraliziranih informacijskih sustava koji su važni za sigurnost, uključujući osiguravanje njihove interoperabilnosti, te razvoj odgovarajućih alata za uklanjanje utvrđenih nedostataka;</w:t>
            </w:r>
          </w:p>
        </w:tc>
      </w:tr>
      <w:tr w:rsidR="00B55538" w:rsidRPr="009F0A50" w14:paraId="22DF2A8A" w14:textId="77777777" w:rsidTr="009B5BE1">
        <w:trPr>
          <w:trHeight w:val="360"/>
        </w:trPr>
        <w:tc>
          <w:tcPr>
            <w:tcW w:w="4529" w:type="dxa"/>
          </w:tcPr>
          <w:p w14:paraId="3CB002E8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76C5AAB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(c)</w:t>
            </w:r>
            <w:r w:rsidRPr="009F0A50">
              <w:rPr>
                <w:b/>
                <w:i/>
              </w:rPr>
              <w:tab/>
              <w:t xml:space="preserve">povećanje aktivne upotrebe informacijskih sustava EU-a i decentraliziranih informacijskih sustava koji su važni za sigurnost, osiguravajući da se tim sustavima pružaju kvalitetni podaci; </w:t>
            </w:r>
          </w:p>
        </w:tc>
      </w:tr>
      <w:tr w:rsidR="00B55538" w:rsidRPr="009F0A50" w14:paraId="63F9538D" w14:textId="77777777" w:rsidTr="009B5BE1">
        <w:trPr>
          <w:trHeight w:val="360"/>
        </w:trPr>
        <w:tc>
          <w:tcPr>
            <w:tcW w:w="4529" w:type="dxa"/>
          </w:tcPr>
          <w:p w14:paraId="666FB07F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5D2D319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(d)</w:t>
            </w:r>
            <w:r w:rsidRPr="009F0A50">
              <w:rPr>
                <w:b/>
                <w:i/>
              </w:rPr>
              <w:tab/>
              <w:t>podupiranje relevantnih nacionalnih mjera, uključujući međupovezanost nacionalnih baza podataka koje su važne za sigurnost i povezanost tih baza podataka s bazama podataka Unije kada je to predviđeno relevantnim pravnim osnovama, ako je to važno za provedbu ciljeva iz članka 3. stavka 1.;</w:t>
            </w:r>
          </w:p>
        </w:tc>
      </w:tr>
      <w:tr w:rsidR="00B55538" w:rsidRPr="009F0A50" w14:paraId="2399F069" w14:textId="77777777" w:rsidTr="009B5BE1">
        <w:trPr>
          <w:trHeight w:val="360"/>
        </w:trPr>
        <w:tc>
          <w:tcPr>
            <w:tcW w:w="4529" w:type="dxa"/>
          </w:tcPr>
          <w:p w14:paraId="6F073085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1DD5887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(e)</w:t>
            </w:r>
            <w:r w:rsidRPr="009F0A50">
              <w:rPr>
                <w:b/>
                <w:i/>
              </w:rPr>
              <w:tab/>
              <w:t xml:space="preserve">poboljšanje koordinacije i povećanje suradnje nadležnih tijela unutar država članica i među njima te s drugim relevantnim dionicima, primjerice preko mreža specijaliziranih nacionalnih jedinica, mreža i struktura za suradnju Unije i centara Unije; </w:t>
            </w:r>
          </w:p>
        </w:tc>
      </w:tr>
      <w:tr w:rsidR="00B55538" w:rsidRPr="009F0A50" w14:paraId="36B17743" w14:textId="77777777" w:rsidTr="009B5BE1">
        <w:trPr>
          <w:trHeight w:val="360"/>
        </w:trPr>
        <w:tc>
          <w:tcPr>
            <w:tcW w:w="4529" w:type="dxa"/>
          </w:tcPr>
          <w:p w14:paraId="63A8BCEB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B646CDE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(f)</w:t>
            </w:r>
            <w:r w:rsidRPr="009F0A50">
              <w:rPr>
                <w:b/>
                <w:i/>
              </w:rPr>
              <w:tab/>
              <w:t>poboljšanje međuagencijske suradnje na razini Unije između država članica i relevantnih tijela, ureda i agencija Unije te suradnje na nacionalnoj razini među nadležnim tijelima.</w:t>
            </w:r>
          </w:p>
        </w:tc>
      </w:tr>
      <w:tr w:rsidR="00B55538" w:rsidRPr="009F0A50" w14:paraId="59D4F5E7" w14:textId="77777777" w:rsidTr="009B5BE1">
        <w:trPr>
          <w:trHeight w:val="360"/>
        </w:trPr>
        <w:tc>
          <w:tcPr>
            <w:tcW w:w="4529" w:type="dxa"/>
          </w:tcPr>
          <w:p w14:paraId="51390D6C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4C4B809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4.</w:t>
            </w:r>
            <w:r w:rsidRPr="009F0A50">
              <w:rPr>
                <w:b/>
                <w:i/>
              </w:rPr>
              <w:tab/>
              <w:t xml:space="preserve">Potpora Unije doprinosi ostvarenju cilja iz članka 3. stavka 1. točke (d) usmjeravajući se na sljedeće provedbene mjere: </w:t>
            </w:r>
          </w:p>
        </w:tc>
      </w:tr>
      <w:tr w:rsidR="00B55538" w:rsidRPr="009F0A50" w14:paraId="5ABBA9C3" w14:textId="77777777" w:rsidTr="009B5BE1">
        <w:trPr>
          <w:trHeight w:val="360"/>
        </w:trPr>
        <w:tc>
          <w:tcPr>
            <w:tcW w:w="4529" w:type="dxa"/>
          </w:tcPr>
          <w:p w14:paraId="59EA8771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55AE2CE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(a)</w:t>
            </w:r>
            <w:r w:rsidRPr="009F0A50">
              <w:rPr>
                <w:b/>
                <w:i/>
              </w:rPr>
              <w:tab/>
              <w:t>povećanje broja operacija kaznenog progona koje uključuju jednu ili više država članica, među ostalim, prema potrebi, operacije koje uključuju druge relevantne aktere, a posebice olakšavanjem i poboljšanjem upotrebe zajedničkih istražnih timova, zajedničkih patrola, potjera, tajnog praćenja i drugih mehanizama operativne suradnje u kontekstu ciklusa politika EU-a, s posebnim naglaskom na prekograničnim operacijama;</w:t>
            </w:r>
          </w:p>
        </w:tc>
      </w:tr>
      <w:tr w:rsidR="00B55538" w:rsidRPr="009F0A50" w14:paraId="10437259" w14:textId="77777777" w:rsidTr="009B5BE1">
        <w:trPr>
          <w:trHeight w:val="360"/>
        </w:trPr>
        <w:tc>
          <w:tcPr>
            <w:tcW w:w="4529" w:type="dxa"/>
          </w:tcPr>
          <w:p w14:paraId="6C6C8F21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BBBD768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(b)</w:t>
            </w:r>
            <w:r w:rsidRPr="009F0A50">
              <w:rPr>
                <w:b/>
                <w:i/>
              </w:rPr>
              <w:tab/>
              <w:t>poboljšanje koordinacije i povećanje suradnje nadležnih tijela unutar država članica i među njima te s drugim relevantnim dionicima, primjerice preko mreža specijaliziranih nacionalnih jedinica, mreža i struktura za suradnju Unije i centara Unije;</w:t>
            </w:r>
          </w:p>
        </w:tc>
      </w:tr>
      <w:tr w:rsidR="00B55538" w:rsidRPr="009F0A50" w14:paraId="7442A702" w14:textId="77777777" w:rsidTr="009B5BE1">
        <w:trPr>
          <w:trHeight w:val="360"/>
        </w:trPr>
        <w:tc>
          <w:tcPr>
            <w:tcW w:w="4529" w:type="dxa"/>
          </w:tcPr>
          <w:p w14:paraId="06867157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B6C223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(c)</w:t>
            </w:r>
            <w:r w:rsidRPr="009F0A50">
              <w:rPr>
                <w:b/>
                <w:i/>
              </w:rPr>
              <w:tab/>
              <w:t>poboljšanje međuagencijske suradnje na razini Unije među državama članicama te između država članica i relevantnih tijela, ureda i agencija Unije, kao i suradnje na nacionalnoj razini među nadležnim tijelima u svakoj državi članici;</w:t>
            </w:r>
          </w:p>
        </w:tc>
      </w:tr>
      <w:tr w:rsidR="00B55538" w:rsidRPr="009F0A50" w14:paraId="15676F9A" w14:textId="77777777" w:rsidTr="009B5BE1">
        <w:trPr>
          <w:trHeight w:val="360"/>
        </w:trPr>
        <w:tc>
          <w:tcPr>
            <w:tcW w:w="4529" w:type="dxa"/>
          </w:tcPr>
          <w:p w14:paraId="3C0DDFF4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B556097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(d)</w:t>
            </w:r>
            <w:r w:rsidRPr="009F0A50">
              <w:rPr>
                <w:b/>
                <w:i/>
              </w:rPr>
              <w:tab/>
              <w:t>iskorištavanje sinergija objedinjavanjem resursa i znanja među državama članicama i drugih relevantnih aktera, uključujući civilno društvo, kao i razmjenom najboljih praksi među državama članicama, primjerice osnivanjem zajedničkih centara izvrsnosti, razvoja zajedničkih procjena rizika ili zajedničkih centara za operativnu potporu za zajedničke operacije.</w:t>
            </w:r>
          </w:p>
        </w:tc>
      </w:tr>
      <w:tr w:rsidR="00B55538" w:rsidRPr="009F0A50" w14:paraId="0D7B4D6F" w14:textId="77777777" w:rsidTr="009B5BE1">
        <w:trPr>
          <w:trHeight w:val="360"/>
        </w:trPr>
        <w:tc>
          <w:tcPr>
            <w:tcW w:w="4529" w:type="dxa"/>
          </w:tcPr>
          <w:p w14:paraId="3C312C68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58153DE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5.</w:t>
            </w:r>
            <w:r w:rsidRPr="009F0A50">
              <w:rPr>
                <w:b/>
                <w:i/>
              </w:rPr>
              <w:tab/>
              <w:t>Potpora Unije doprinosi ostvarenju specifičnih cilja iz članka 3. stavka 1. točke (e) usmjeravajući se na sljedeće provedbene mjere:</w:t>
            </w:r>
          </w:p>
        </w:tc>
      </w:tr>
      <w:tr w:rsidR="00B55538" w:rsidRPr="009F0A50" w14:paraId="677F7488" w14:textId="77777777" w:rsidTr="009B5BE1">
        <w:trPr>
          <w:trHeight w:val="360"/>
        </w:trPr>
        <w:tc>
          <w:tcPr>
            <w:tcW w:w="4529" w:type="dxa"/>
          </w:tcPr>
          <w:p w14:paraId="4E56505F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0563D6D" w14:textId="77777777" w:rsidR="008E290E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(a)</w:t>
            </w:r>
            <w:r w:rsidRPr="009F0A50">
              <w:rPr>
                <w:b/>
                <w:i/>
              </w:rPr>
              <w:tab/>
              <w:t>promicanje i razvoj mjera, zaštitnih mjera, mehanizama i najboljih praksi za ranu identifikaciju svjedoka, zviždača i žrtava teškog i organiziranog kriminala, njihovu zaštitu i potporu koja im se pruža te razvoj partnerstava između javnih tijela i ostalih relevantnih dionika u tu svrhu;</w:t>
            </w:r>
          </w:p>
        </w:tc>
      </w:tr>
      <w:tr w:rsidR="00B55538" w:rsidRPr="009F0A50" w14:paraId="51DAF1D3" w14:textId="77777777" w:rsidTr="009B5BE1">
        <w:trPr>
          <w:trHeight w:val="360"/>
        </w:trPr>
        <w:tc>
          <w:tcPr>
            <w:tcW w:w="4529" w:type="dxa"/>
          </w:tcPr>
          <w:p w14:paraId="1FA681DD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1D0C9CF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(b)</w:t>
            </w:r>
            <w:r w:rsidRPr="009F0A50">
              <w:rPr>
                <w:b/>
                <w:i/>
              </w:rPr>
              <w:tab/>
              <w:t>podupiranje uspostave, dostupnosti i jačanja specijaliziranih službi za potporu žrtvama teškog i organiziranog kriminala, uključujući psihološku, pravnu i socijalnu pomoć, te osiguravanje pristupa uslugama koje se temelje na informacijama o traumi, među ostalim za ranjive osobe i djecu;</w:t>
            </w:r>
          </w:p>
        </w:tc>
      </w:tr>
      <w:tr w:rsidR="00B55538" w:rsidRPr="009F0A50" w14:paraId="3CB3251B" w14:textId="77777777" w:rsidTr="009B5BE1">
        <w:trPr>
          <w:trHeight w:val="360"/>
        </w:trPr>
        <w:tc>
          <w:tcPr>
            <w:tcW w:w="4529" w:type="dxa"/>
          </w:tcPr>
          <w:p w14:paraId="577C0D82" w14:textId="77777777" w:rsidR="00754581" w:rsidRPr="009F0A50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D1F169B" w14:textId="77777777" w:rsidR="00754581" w:rsidRPr="009F0A50" w:rsidRDefault="00372D5C" w:rsidP="003910EE">
            <w:pPr>
              <w:pStyle w:val="Normal6a"/>
              <w:rPr>
                <w:b/>
                <w:bCs/>
                <w:i/>
                <w:iCs/>
              </w:rPr>
            </w:pPr>
            <w:r w:rsidRPr="009F0A50">
              <w:rPr>
                <w:b/>
                <w:i/>
              </w:rPr>
              <w:t>(c)</w:t>
            </w:r>
            <w:r w:rsidRPr="009F0A50">
              <w:rPr>
                <w:b/>
                <w:i/>
              </w:rPr>
              <w:tab/>
              <w:t>podupiranje aktivnosti informiranja, osposobljavanja i izgradnje kapaciteta nadležnih tijela i relevantnih organizacija u području prava žrtava, pristupa usmjerenih na žrtve i sprečavanja sekundarne viktimizacije.</w:t>
            </w:r>
          </w:p>
        </w:tc>
      </w:tr>
    </w:tbl>
    <w:p w14:paraId="3FA34CC2" w14:textId="77777777" w:rsidR="00CD0FA6" w:rsidRPr="009F0A50" w:rsidRDefault="00372D5C" w:rsidP="00CD0FA6">
      <w:pPr>
        <w:pStyle w:val="Olang"/>
        <w:rPr>
          <w:sz w:val="24"/>
          <w:szCs w:val="24"/>
        </w:rPr>
      </w:pPr>
      <w:proofErr w:type="spellStart"/>
      <w:r w:rsidRPr="009F0A50">
        <w:rPr>
          <w:sz w:val="24"/>
          <w:szCs w:val="24"/>
        </w:rPr>
        <w:t>Or</w:t>
      </w:r>
      <w:proofErr w:type="spellEnd"/>
      <w:r w:rsidRPr="009F0A50">
        <w:rPr>
          <w:sz w:val="24"/>
          <w:szCs w:val="24"/>
        </w:rPr>
        <w:t xml:space="preserve">. </w:t>
      </w:r>
      <w:r w:rsidRPr="009F0A50">
        <w:rPr>
          <w:rStyle w:val="HideTWBExt"/>
        </w:rPr>
        <w:t>&lt;Original&gt;</w:t>
      </w:r>
      <w:r w:rsidRPr="009F0A50">
        <w:rPr>
          <w:rStyle w:val="HideTWBInt"/>
          <w:sz w:val="24"/>
          <w:szCs w:val="24"/>
        </w:rPr>
        <w:t>{EN}</w:t>
      </w:r>
      <w:proofErr w:type="spellStart"/>
      <w:r w:rsidRPr="009F0A50">
        <w:rPr>
          <w:sz w:val="24"/>
          <w:szCs w:val="24"/>
        </w:rPr>
        <w:t>en</w:t>
      </w:r>
      <w:proofErr w:type="spellEnd"/>
      <w:r w:rsidRPr="009F0A50">
        <w:rPr>
          <w:rStyle w:val="HideTWBExt"/>
        </w:rPr>
        <w:t>&lt;/Original&gt;</w:t>
      </w:r>
    </w:p>
    <w:p w14:paraId="76C4810B" w14:textId="77777777" w:rsidR="00CD0FA6" w:rsidRPr="009F0A50" w:rsidRDefault="00372D5C" w:rsidP="00CD0FA6">
      <w:pPr>
        <w:pStyle w:val="JustificationTitle"/>
      </w:pPr>
      <w:r w:rsidRPr="009F0A50">
        <w:rPr>
          <w:rStyle w:val="HideTWBExt"/>
          <w:i w:val="0"/>
        </w:rPr>
        <w:t>&lt;TitreJust&gt;</w:t>
      </w:r>
      <w:r w:rsidRPr="009F0A50">
        <w:t>Obrazloženje</w:t>
      </w:r>
      <w:r w:rsidRPr="009F0A50">
        <w:rPr>
          <w:rStyle w:val="HideTWBExt"/>
          <w:i w:val="0"/>
        </w:rPr>
        <w:t>&lt;/TitreJust&gt;</w:t>
      </w:r>
    </w:p>
    <w:p w14:paraId="6B9789A4" w14:textId="77777777" w:rsidR="00CD0FA6" w:rsidRPr="009F0A50" w:rsidRDefault="00372D5C" w:rsidP="00CD0FA6">
      <w:pPr>
        <w:pStyle w:val="Normal12Italic"/>
        <w:jc w:val="both"/>
        <w:rPr>
          <w:szCs w:val="24"/>
        </w:rPr>
      </w:pPr>
      <w:r w:rsidRPr="009F0A50">
        <w:t xml:space="preserve">Države članice imat će koristi od izrade ovog Priloga I., koji će pružiti smjernice za izradu njihovih planova za nacionalna i regionalna partnerstva te financiranje tih planova u okviru VFO-a, čime će se osigurati da Unija upotrebljava svoja sredstva za djelovanja koja su najpotrebnija za uklanjanje trenutačnih prijetnji unutarnjoj sigurnosti Unije i povećanje prekogranične suradnje. </w:t>
      </w:r>
      <w:r w:rsidRPr="009F0A50">
        <w:rPr>
          <w:rStyle w:val="HideTWBExt"/>
        </w:rPr>
        <w:t>&lt;/Amend&gt;</w:t>
      </w:r>
    </w:p>
    <w:p w14:paraId="2F884227" w14:textId="77777777" w:rsidR="00CD0FA6" w:rsidRPr="009F0A50" w:rsidRDefault="00372D5C" w:rsidP="00CD0FA6">
      <w:pPr>
        <w:rPr>
          <w:rStyle w:val="HideTWBExt"/>
          <w:noProof w:val="0"/>
        </w:rPr>
      </w:pPr>
      <w:bookmarkStart w:id="2" w:name="EndA"/>
      <w:r w:rsidRPr="009F0A50">
        <w:rPr>
          <w:rStyle w:val="HideTWBExt"/>
        </w:rPr>
        <w:t>&lt;/RepeatBlock-Amend&gt;</w:t>
      </w:r>
      <w:bookmarkEnd w:id="2"/>
    </w:p>
    <w:p w14:paraId="195EA976" w14:textId="77777777" w:rsidR="00CD0FA6" w:rsidRPr="009F0A50" w:rsidRDefault="00CD0FA6" w:rsidP="00BF4068"/>
    <w:sectPr w:rsidR="00CD0FA6" w:rsidRPr="009F0A50" w:rsidSect="009F0A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21C8F" w14:textId="77777777" w:rsidR="00372D5C" w:rsidRPr="009F0A50" w:rsidRDefault="00372D5C">
      <w:r w:rsidRPr="009F0A50">
        <w:separator/>
      </w:r>
    </w:p>
  </w:endnote>
  <w:endnote w:type="continuationSeparator" w:id="0">
    <w:p w14:paraId="7C1BF6F2" w14:textId="77777777" w:rsidR="00372D5C" w:rsidRPr="009F0A50" w:rsidRDefault="00372D5C">
      <w:r w:rsidRPr="009F0A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4A31" w14:textId="77777777" w:rsidR="009F0A50" w:rsidRPr="009F0A50" w:rsidRDefault="009F0A50" w:rsidP="009F0A50">
    <w:pPr>
      <w:pStyle w:val="EPFooter"/>
    </w:pPr>
    <w:r w:rsidRPr="009F0A50">
      <w:t>PE</w:t>
    </w:r>
    <w:r w:rsidRPr="009F0A50">
      <w:rPr>
        <w:rStyle w:val="HideTWBExt"/>
      </w:rPr>
      <w:t>&lt;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</w:t>
    </w:r>
    <w:r w:rsidRPr="009F0A50">
      <w:t>790.179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&gt;&lt;Version&gt;</w:t>
    </w:r>
    <w:r w:rsidRPr="009F0A50">
      <w:t>v01-00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Version</w:t>
    </w:r>
    <w:proofErr w:type="spellEnd"/>
    <w:r w:rsidRPr="009F0A50">
      <w:rPr>
        <w:rStyle w:val="HideTWBExt"/>
      </w:rPr>
      <w:t>&gt;</w:t>
    </w:r>
    <w:r w:rsidRPr="009F0A50">
      <w:tab/>
    </w:r>
    <w:r w:rsidRPr="009F0A50">
      <w:fldChar w:fldCharType="begin"/>
    </w:r>
    <w:r w:rsidRPr="009F0A50">
      <w:instrText xml:space="preserve"> PAGE  \* MERGEFORMAT </w:instrText>
    </w:r>
    <w:r w:rsidRPr="009F0A50">
      <w:fldChar w:fldCharType="separate"/>
    </w:r>
    <w:r w:rsidRPr="009F0A50">
      <w:rPr>
        <w:noProof/>
      </w:rPr>
      <w:t>6</w:t>
    </w:r>
    <w:r w:rsidRPr="009F0A50">
      <w:fldChar w:fldCharType="end"/>
    </w:r>
    <w:r w:rsidRPr="009F0A50">
      <w:t>/</w:t>
    </w:r>
    <w:fldSimple w:instr=" NUMPAGES  \* MERGEFORMAT ">
      <w:r w:rsidRPr="009F0A50">
        <w:rPr>
          <w:noProof/>
        </w:rPr>
        <w:t>7</w:t>
      </w:r>
    </w:fldSimple>
    <w:r w:rsidRPr="009F0A50">
      <w:tab/>
    </w:r>
    <w:r w:rsidRPr="009F0A50">
      <w:rPr>
        <w:rStyle w:val="HideTWBExt"/>
      </w:rPr>
      <w:t>&lt;PathFdR&gt;</w:t>
    </w:r>
    <w:r w:rsidRPr="009F0A50">
      <w:t>AM\1346525HR.docx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PathFdR</w:t>
    </w:r>
    <w:proofErr w:type="spellEnd"/>
    <w:r w:rsidRPr="009F0A50">
      <w:rPr>
        <w:rStyle w:val="HideTWBExt"/>
      </w:rPr>
      <w:t>&gt;</w:t>
    </w:r>
  </w:p>
  <w:p w14:paraId="4D54A96B" w14:textId="2A6E056D" w:rsidR="00D82FCC" w:rsidRPr="009F0A50" w:rsidRDefault="009F0A50" w:rsidP="009F0A50">
    <w:pPr>
      <w:pStyle w:val="EPFooter2"/>
    </w:pPr>
    <w:r w:rsidRPr="009F0A50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E764" w14:textId="77777777" w:rsidR="009F0A50" w:rsidRPr="009F0A50" w:rsidRDefault="009F0A50" w:rsidP="009F0A50">
    <w:pPr>
      <w:pStyle w:val="EPFooter"/>
    </w:pPr>
    <w:r w:rsidRPr="009F0A50">
      <w:rPr>
        <w:rStyle w:val="HideTWBExt"/>
      </w:rPr>
      <w:t>&lt;PathFdR&gt;</w:t>
    </w:r>
    <w:r w:rsidRPr="009F0A50">
      <w:t>AM\1346525HR.docx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PathFdR</w:t>
    </w:r>
    <w:proofErr w:type="spellEnd"/>
    <w:r w:rsidRPr="009F0A50">
      <w:rPr>
        <w:rStyle w:val="HideTWBExt"/>
      </w:rPr>
      <w:t>&gt;</w:t>
    </w:r>
    <w:r w:rsidRPr="009F0A50">
      <w:tab/>
    </w:r>
    <w:r w:rsidRPr="009F0A50">
      <w:fldChar w:fldCharType="begin"/>
    </w:r>
    <w:r w:rsidRPr="009F0A50">
      <w:instrText xml:space="preserve"> PAGE  \* MERGEFORMAT </w:instrText>
    </w:r>
    <w:r w:rsidRPr="009F0A50">
      <w:fldChar w:fldCharType="separate"/>
    </w:r>
    <w:r w:rsidRPr="009F0A50">
      <w:rPr>
        <w:noProof/>
      </w:rPr>
      <w:t>7</w:t>
    </w:r>
    <w:r w:rsidRPr="009F0A50">
      <w:fldChar w:fldCharType="end"/>
    </w:r>
    <w:r w:rsidRPr="009F0A50">
      <w:t>/</w:t>
    </w:r>
    <w:fldSimple w:instr=" NUMPAGES  \* MERGEFORMAT ">
      <w:r w:rsidRPr="009F0A50">
        <w:rPr>
          <w:noProof/>
        </w:rPr>
        <w:t>7</w:t>
      </w:r>
    </w:fldSimple>
    <w:r w:rsidRPr="009F0A50">
      <w:tab/>
      <w:t>PE</w:t>
    </w:r>
    <w:r w:rsidRPr="009F0A50">
      <w:rPr>
        <w:rStyle w:val="HideTWBExt"/>
      </w:rPr>
      <w:t>&lt;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</w:t>
    </w:r>
    <w:r w:rsidRPr="009F0A50">
      <w:t>790.179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&gt;&lt;Version&gt;</w:t>
    </w:r>
    <w:r w:rsidRPr="009F0A50">
      <w:t>v01-00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Version</w:t>
    </w:r>
    <w:proofErr w:type="spellEnd"/>
    <w:r w:rsidRPr="009F0A50">
      <w:rPr>
        <w:rStyle w:val="HideTWBExt"/>
      </w:rPr>
      <w:t>&gt;</w:t>
    </w:r>
  </w:p>
  <w:p w14:paraId="06C1BFC6" w14:textId="3FB0D6D0" w:rsidR="00D82FCC" w:rsidRPr="009F0A50" w:rsidRDefault="009F0A50" w:rsidP="009F0A50">
    <w:pPr>
      <w:pStyle w:val="EPFooter2"/>
    </w:pPr>
    <w:r w:rsidRPr="009F0A50">
      <w:tab/>
    </w:r>
    <w:r w:rsidRPr="009F0A50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B088" w14:textId="77777777" w:rsidR="009F0A50" w:rsidRPr="009F0A50" w:rsidRDefault="009F0A50" w:rsidP="009F0A50">
    <w:pPr>
      <w:pStyle w:val="EPFooter"/>
    </w:pPr>
    <w:r w:rsidRPr="009F0A50">
      <w:rPr>
        <w:rStyle w:val="HideTWBExt"/>
      </w:rPr>
      <w:t>&lt;PathFdR&gt;</w:t>
    </w:r>
    <w:r w:rsidRPr="009F0A50">
      <w:t>AM\1346525HR.docx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PathFdR</w:t>
    </w:r>
    <w:proofErr w:type="spellEnd"/>
    <w:r w:rsidRPr="009F0A50">
      <w:rPr>
        <w:rStyle w:val="HideTWBExt"/>
      </w:rPr>
      <w:t>&gt;</w:t>
    </w:r>
    <w:r w:rsidRPr="009F0A50">
      <w:tab/>
    </w:r>
    <w:r w:rsidRPr="009F0A50">
      <w:tab/>
      <w:t>PE</w:t>
    </w:r>
    <w:r w:rsidRPr="009F0A50">
      <w:rPr>
        <w:rStyle w:val="HideTWBExt"/>
      </w:rPr>
      <w:t>&lt;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</w:t>
    </w:r>
    <w:r w:rsidRPr="009F0A50">
      <w:t>790.179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NoPE</w:t>
    </w:r>
    <w:proofErr w:type="spellEnd"/>
    <w:r w:rsidRPr="009F0A50">
      <w:rPr>
        <w:rStyle w:val="HideTWBExt"/>
      </w:rPr>
      <w:t>&gt;&lt;Version&gt;</w:t>
    </w:r>
    <w:r w:rsidRPr="009F0A50">
      <w:t>v01-00</w:t>
    </w:r>
    <w:r w:rsidRPr="009F0A50">
      <w:rPr>
        <w:rStyle w:val="HideTWBExt"/>
      </w:rPr>
      <w:t>&lt;/</w:t>
    </w:r>
    <w:proofErr w:type="spellStart"/>
    <w:r w:rsidRPr="009F0A50">
      <w:rPr>
        <w:rStyle w:val="HideTWBExt"/>
      </w:rPr>
      <w:t>Version</w:t>
    </w:r>
    <w:proofErr w:type="spellEnd"/>
    <w:r w:rsidRPr="009F0A50">
      <w:rPr>
        <w:rStyle w:val="HideTWBExt"/>
      </w:rPr>
      <w:t>&gt;</w:t>
    </w:r>
  </w:p>
  <w:p w14:paraId="0C2FFE43" w14:textId="6BF886AC" w:rsidR="00D82FCC" w:rsidRPr="009F0A50" w:rsidRDefault="009F0A50" w:rsidP="009F0A50">
    <w:pPr>
      <w:pStyle w:val="EPFooter2"/>
    </w:pPr>
    <w:r w:rsidRPr="009F0A50">
      <w:t>HR</w:t>
    </w:r>
    <w:r w:rsidRPr="009F0A50">
      <w:tab/>
    </w:r>
    <w:r w:rsidRPr="009F0A50">
      <w:rPr>
        <w:b w:val="0"/>
        <w:i/>
        <w:color w:val="C0C0C0"/>
        <w:sz w:val="22"/>
      </w:rPr>
      <w:t>Ujedinjena u raznolikosti</w:t>
    </w:r>
    <w:r w:rsidRPr="009F0A50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EFC9" w14:textId="77777777" w:rsidR="00372D5C" w:rsidRPr="009F0A50" w:rsidRDefault="00372D5C">
      <w:r w:rsidRPr="009F0A50">
        <w:separator/>
      </w:r>
    </w:p>
  </w:footnote>
  <w:footnote w:type="continuationSeparator" w:id="0">
    <w:p w14:paraId="2E1BEF31" w14:textId="77777777" w:rsidR="00372D5C" w:rsidRPr="009F0A50" w:rsidRDefault="00372D5C">
      <w:r w:rsidRPr="009F0A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84431" w14:textId="77777777" w:rsidR="00372D5C" w:rsidRDefault="00372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9D6F" w14:textId="77777777" w:rsidR="00372D5C" w:rsidRDefault="00372D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EA5D" w14:textId="77777777" w:rsidR="00372D5C" w:rsidRDefault="00372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09DA2D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A4C0D2F4" w:tentative="1">
      <w:start w:val="1"/>
      <w:numFmt w:val="lowerLetter"/>
      <w:lvlText w:val="%2."/>
      <w:lvlJc w:val="left"/>
      <w:pPr>
        <w:ind w:left="1440" w:hanging="360"/>
      </w:pPr>
    </w:lvl>
    <w:lvl w:ilvl="2" w:tplc="7EDEA560" w:tentative="1">
      <w:start w:val="1"/>
      <w:numFmt w:val="lowerRoman"/>
      <w:lvlText w:val="%3."/>
      <w:lvlJc w:val="right"/>
      <w:pPr>
        <w:ind w:left="2160" w:hanging="180"/>
      </w:pPr>
    </w:lvl>
    <w:lvl w:ilvl="3" w:tplc="DDEAFBE2" w:tentative="1">
      <w:start w:val="1"/>
      <w:numFmt w:val="decimal"/>
      <w:lvlText w:val="%4."/>
      <w:lvlJc w:val="left"/>
      <w:pPr>
        <w:ind w:left="2880" w:hanging="360"/>
      </w:pPr>
    </w:lvl>
    <w:lvl w:ilvl="4" w:tplc="A0C6341C" w:tentative="1">
      <w:start w:val="1"/>
      <w:numFmt w:val="lowerLetter"/>
      <w:lvlText w:val="%5."/>
      <w:lvlJc w:val="left"/>
      <w:pPr>
        <w:ind w:left="3600" w:hanging="360"/>
      </w:pPr>
    </w:lvl>
    <w:lvl w:ilvl="5" w:tplc="984413AC" w:tentative="1">
      <w:start w:val="1"/>
      <w:numFmt w:val="lowerRoman"/>
      <w:lvlText w:val="%6."/>
      <w:lvlJc w:val="right"/>
      <w:pPr>
        <w:ind w:left="4320" w:hanging="180"/>
      </w:pPr>
    </w:lvl>
    <w:lvl w:ilvl="6" w:tplc="EB70BF62" w:tentative="1">
      <w:start w:val="1"/>
      <w:numFmt w:val="decimal"/>
      <w:lvlText w:val="%7."/>
      <w:lvlJc w:val="left"/>
      <w:pPr>
        <w:ind w:left="5040" w:hanging="360"/>
      </w:pPr>
    </w:lvl>
    <w:lvl w:ilvl="7" w:tplc="B56A15C4" w:tentative="1">
      <w:start w:val="1"/>
      <w:numFmt w:val="lowerLetter"/>
      <w:lvlText w:val="%8."/>
      <w:lvlJc w:val="left"/>
      <w:pPr>
        <w:ind w:left="5760" w:hanging="360"/>
      </w:pPr>
    </w:lvl>
    <w:lvl w:ilvl="8" w:tplc="4C26C3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HR"/>
    <w:docVar w:name="TXTLANGUEMIN" w:val="hr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HR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2D5C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770F6"/>
    <w:rsid w:val="00984981"/>
    <w:rsid w:val="009A65D8"/>
    <w:rsid w:val="009B0305"/>
    <w:rsid w:val="009B3D31"/>
    <w:rsid w:val="009C1DC1"/>
    <w:rsid w:val="009F0A50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55538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D750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C30A5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7FE59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7</Pages>
  <Words>967</Words>
  <Characters>6438</Characters>
  <Application>Microsoft Office Word</Application>
  <DocSecurity>0</DocSecurity>
  <Lines>247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2026-06-23T10:09:00Z</cp:lastPrinted>
  <dcterms:created xsi:type="dcterms:W3CDTF">2026-07-01T14:51:00Z</dcterms:created>
  <dcterms:modified xsi:type="dcterms:W3CDTF">2026-07-01T14:51:00Z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AM\1346525HR.docx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OK - 2026/07/01 16:51</vt:lpwstr>
  </property>
</Properties>
</file>