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31AE4" w14:paraId="6214BBCB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5178BE" w14:textId="77777777" w:rsidR="00BE5062" w:rsidRPr="00E17201" w:rsidRDefault="00176C42" w:rsidP="00C85D0F">
            <w:pPr>
              <w:pStyle w:val="EPName"/>
            </w:pPr>
            <w:r>
              <w:t>Parlamento europeo</w:t>
            </w:r>
          </w:p>
          <w:p w14:paraId="7791EC0F" w14:textId="77777777" w:rsidR="00BE5062" w:rsidRPr="00E17201" w:rsidRDefault="00176C42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419EFE4" w14:textId="77777777" w:rsidR="00BE5062" w:rsidRPr="00E17201" w:rsidRDefault="00176C42" w:rsidP="00C85D0F">
            <w:pPr>
              <w:pStyle w:val="EPLogo"/>
            </w:pPr>
            <w:r w:rsidRPr="00E17201">
              <w:rPr>
                <w:noProof/>
              </w:rPr>
              <w:drawing>
                <wp:inline distT="0" distB="0" distL="0" distR="0" wp14:anchorId="23D34A3E" wp14:editId="7BD3F5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53CE7" w14:textId="77777777" w:rsidR="000E7234" w:rsidRPr="00E17201" w:rsidRDefault="000E7234" w:rsidP="000E7234">
      <w:pPr>
        <w:pStyle w:val="LineTop"/>
      </w:pPr>
    </w:p>
    <w:p w14:paraId="3CAE41CF" w14:textId="77777777" w:rsidR="000E7234" w:rsidRPr="00E17201" w:rsidRDefault="00176C42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Commissione per le libertà civili, la giustizia e gli affari interni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041F7E84" w14:textId="77777777" w:rsidR="000E7234" w:rsidRPr="00E17201" w:rsidRDefault="000E7234" w:rsidP="000E7234">
      <w:pPr>
        <w:pStyle w:val="LineBottom"/>
      </w:pPr>
    </w:p>
    <w:p w14:paraId="47453909" w14:textId="77777777" w:rsidR="00B85286" w:rsidRPr="00E17201" w:rsidRDefault="00176C42">
      <w:pPr>
        <w:pStyle w:val="CoverReference"/>
      </w:pPr>
      <w:r>
        <w:rPr>
          <w:rStyle w:val="HideTWBExt"/>
          <w:b w:val="0"/>
        </w:rPr>
        <w:t>&lt;RefProc&gt;</w:t>
      </w:r>
      <w:r>
        <w:t>2025/0542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45A9F91E" w14:textId="77777777" w:rsidR="00B85286" w:rsidRPr="00E17201" w:rsidRDefault="00176C42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{24/06/2026}</w:t>
      </w:r>
      <w:r>
        <w:t>24.6.2026</w:t>
      </w:r>
      <w:r>
        <w:rPr>
          <w:rStyle w:val="HideTWBExt"/>
        </w:rPr>
        <w:t>&lt;/Date&gt;</w:t>
      </w:r>
    </w:p>
    <w:p w14:paraId="24C6CE7D" w14:textId="77777777" w:rsidR="009B0305" w:rsidRPr="00E17201" w:rsidRDefault="00176C42" w:rsidP="009B0305">
      <w:pPr>
        <w:pStyle w:val="CoverDocType"/>
      </w:pPr>
      <w:r>
        <w:rPr>
          <w:rStyle w:val="HideTWBExt"/>
          <w:b w:val="0"/>
        </w:rPr>
        <w:t>&lt;TypeAM&gt;</w:t>
      </w:r>
      <w:r>
        <w:t>EMENDAMENTO</w:t>
      </w:r>
      <w:r>
        <w:rPr>
          <w:rStyle w:val="HideTWBExt"/>
          <w:b w:val="0"/>
        </w:rPr>
        <w:t>&lt;/TypeAM&gt;</w:t>
      </w:r>
    </w:p>
    <w:p w14:paraId="79EC5C09" w14:textId="77777777" w:rsidR="00B85286" w:rsidRPr="00E17201" w:rsidRDefault="00176C42" w:rsidP="001C2054">
      <w:pPr>
        <w:pStyle w:val="CoverDocType24a"/>
      </w:pPr>
      <w:r>
        <w:rPr>
          <w:rStyle w:val="HideTWBExt"/>
          <w:b w:val="0"/>
        </w:rPr>
        <w:t>&lt;RangeAM&gt;</w:t>
      </w:r>
      <w:r>
        <w:t>212</w:t>
      </w:r>
      <w:r>
        <w:rPr>
          <w:rStyle w:val="HideTWBExt"/>
          <w:b w:val="0"/>
        </w:rPr>
        <w:t>&lt;/RangeAM&gt;</w:t>
      </w:r>
    </w:p>
    <w:p w14:paraId="7B93C22C" w14:textId="77777777" w:rsidR="001C2054" w:rsidRPr="00E17201" w:rsidRDefault="00176C42" w:rsidP="00A93F8C">
      <w:pPr>
        <w:pStyle w:val="CoverBold"/>
      </w:pPr>
      <w:r>
        <w:rPr>
          <w:rStyle w:val="HideTWBExt"/>
          <w:b w:val="0"/>
        </w:rPr>
        <w:t>&lt;TitreType&gt;</w:t>
      </w:r>
      <w:r>
        <w:t>Progetto di relazione</w:t>
      </w:r>
      <w:r>
        <w:rPr>
          <w:rStyle w:val="HideTWBExt"/>
          <w:b w:val="0"/>
        </w:rPr>
        <w:t>&lt;/TitreType&gt;</w:t>
      </w:r>
    </w:p>
    <w:p w14:paraId="6E8D0A64" w14:textId="77777777" w:rsidR="00B85286" w:rsidRPr="00E17201" w:rsidRDefault="00176C42" w:rsidP="00A93F8C">
      <w:pPr>
        <w:pStyle w:val="CoverBold"/>
      </w:pPr>
      <w:r>
        <w:rPr>
          <w:rStyle w:val="HideTWBExt"/>
          <w:b w:val="0"/>
        </w:rPr>
        <w:t>&lt;Rapporteur&gt;</w:t>
      </w:r>
      <w:proofErr w:type="spellStart"/>
      <w:r>
        <w:t>Assita</w:t>
      </w:r>
      <w:proofErr w:type="spellEnd"/>
      <w:r>
        <w:t xml:space="preserve"> </w:t>
      </w:r>
      <w:proofErr w:type="spellStart"/>
      <w:r>
        <w:t>Kanko</w:t>
      </w:r>
      <w:proofErr w:type="spellEnd"/>
      <w:r>
        <w:rPr>
          <w:rStyle w:val="HideTWBExt"/>
          <w:b w:val="0"/>
        </w:rPr>
        <w:t>&lt;/Rapporteur&gt;</w:t>
      </w:r>
    </w:p>
    <w:p w14:paraId="33D49AA3" w14:textId="77777777" w:rsidR="00B85286" w:rsidRPr="00E17201" w:rsidRDefault="00176C42">
      <w:pPr>
        <w:pStyle w:val="CoverNormal24a"/>
      </w:pPr>
      <w:r>
        <w:rPr>
          <w:rStyle w:val="HideTWBExt"/>
        </w:rPr>
        <w:t>&lt;DocRefPE&gt;</w:t>
      </w:r>
      <w:r>
        <w:t>(PE788.869v01-00)</w:t>
      </w:r>
      <w:r>
        <w:rPr>
          <w:rStyle w:val="HideTWBExt"/>
        </w:rPr>
        <w:t>&lt;/DocRefPE&gt;</w:t>
      </w:r>
    </w:p>
    <w:p w14:paraId="7E3D1FE0" w14:textId="77777777" w:rsidR="00B85286" w:rsidRPr="00E17201" w:rsidRDefault="00176C42">
      <w:pPr>
        <w:pStyle w:val="CoverNormal24a"/>
      </w:pPr>
      <w:r>
        <w:rPr>
          <w:rStyle w:val="HideTWBExt"/>
        </w:rPr>
        <w:t>&lt;Titre&gt;</w:t>
      </w:r>
      <w:r>
        <w:t xml:space="preserve">Proposta di regolamento del Parlamento europeo e del Consiglio che </w:t>
      </w:r>
      <w:r>
        <w:t>istituisce il sostegno dell'Unione per la sicurezza interna per il periodo dal 2028 al 2034</w:t>
      </w:r>
      <w:r>
        <w:rPr>
          <w:rStyle w:val="HideTWBExt"/>
        </w:rPr>
        <w:t>&lt;/Titre&gt;</w:t>
      </w:r>
    </w:p>
    <w:p w14:paraId="09FCCB37" w14:textId="77777777" w:rsidR="006337D4" w:rsidRPr="00E17201" w:rsidRDefault="00176C42" w:rsidP="006337D4">
      <w:pPr>
        <w:pStyle w:val="CoverNormal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 w14:paraId="420CB3C1" w14:textId="77777777" w:rsidR="00B85286" w:rsidRPr="00E17201" w:rsidRDefault="00176C42">
      <w:pPr>
        <w:pStyle w:val="CoverNormal24a"/>
      </w:pPr>
      <w:r>
        <w:rPr>
          <w:rStyle w:val="HideTWBExt"/>
        </w:rPr>
        <w:t>&lt;DocRef&gt;</w:t>
      </w:r>
      <w:r>
        <w:t>(COM(2025)0542 – C10</w:t>
      </w:r>
      <w:r>
        <w:noBreakHyphen/>
        <w:t>0178/2025 – 2025/0542(COD))</w:t>
      </w:r>
      <w:r>
        <w:rPr>
          <w:rStyle w:val="HideTWBExt"/>
        </w:rPr>
        <w:t>&lt;/DocRef&gt;</w:t>
      </w:r>
    </w:p>
    <w:p w14:paraId="7C58C47B" w14:textId="77777777" w:rsidR="00B85286" w:rsidRPr="00E17201" w:rsidRDefault="00176C42" w:rsidP="00E660E2">
      <w:pPr>
        <w:widowControl/>
        <w:tabs>
          <w:tab w:val="center" w:pos="4677"/>
        </w:tabs>
      </w:pPr>
      <w:r>
        <w:br w:type="page"/>
      </w:r>
      <w:proofErr w:type="spellStart"/>
      <w:r>
        <w:lastRenderedPageBreak/>
        <w:t>AM_Com_LegReport</w:t>
      </w:r>
      <w:proofErr w:type="spellEnd"/>
    </w:p>
    <w:p w14:paraId="7476ACEC" w14:textId="77777777" w:rsidR="00CD0FA6" w:rsidRPr="00E17201" w:rsidRDefault="00176C42" w:rsidP="00DB4942">
      <w:pPr>
        <w:pStyle w:val="AmNumberTabs"/>
        <w:keepNext/>
        <w:rPr>
          <w:color w:val="000000"/>
        </w:rPr>
      </w:pPr>
      <w:r>
        <w:br w:type="page"/>
      </w:r>
      <w:bookmarkStart w:id="0" w:name="IntroA"/>
      <w:r>
        <w:rPr>
          <w:rStyle w:val="HideTWBExt"/>
          <w:b w:val="0"/>
        </w:rPr>
        <w:lastRenderedPageBreak/>
        <w:t>&lt;RepeatBlock-Amend&gt;</w:t>
      </w:r>
      <w:bookmarkEnd w:id="0"/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212</w:t>
      </w:r>
      <w:r>
        <w:rPr>
          <w:rStyle w:val="HideTWBExt"/>
          <w:b w:val="0"/>
        </w:rPr>
        <w:t>&lt;/NumAm&gt;</w:t>
      </w:r>
    </w:p>
    <w:p w14:paraId="07D4DEE3" w14:textId="77777777" w:rsidR="009B3D31" w:rsidRPr="00E17201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0C775567" w14:textId="77777777" w:rsidR="00CD0FA6" w:rsidRPr="00E17201" w:rsidRDefault="00176C42" w:rsidP="00CD0FA6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Assita</w:t>
      </w:r>
      <w:proofErr w:type="spellEnd"/>
      <w:r>
        <w:t xml:space="preserve"> </w:t>
      </w:r>
      <w:proofErr w:type="spellStart"/>
      <w:r>
        <w:t>Kanko</w:t>
      </w:r>
      <w:proofErr w:type="spellEnd"/>
      <w:r>
        <w:rPr>
          <w:rStyle w:val="HideTWBExt"/>
          <w:b w:val="0"/>
        </w:rPr>
        <w:t>&lt;/Members&gt;</w:t>
      </w:r>
    </w:p>
    <w:p w14:paraId="591406F7" w14:textId="77777777" w:rsidR="00CD0FA6" w:rsidRPr="00E17201" w:rsidRDefault="00176C42" w:rsidP="00CD0FA6">
      <w:r>
        <w:rPr>
          <w:rStyle w:val="HideTWBExt"/>
        </w:rPr>
        <w:t>&lt;/RepeatBlock-By&gt;</w:t>
      </w:r>
    </w:p>
    <w:p w14:paraId="705C148F" w14:textId="77777777" w:rsidR="00CD0FA6" w:rsidRPr="00E17201" w:rsidRDefault="00176C42" w:rsidP="00CD0FA6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178DA232" w14:textId="77777777" w:rsidR="00CD0FA6" w:rsidRPr="00E17201" w:rsidRDefault="00176C42" w:rsidP="00CD0FA6">
      <w:pPr>
        <w:pStyle w:val="NormalBold"/>
        <w:rPr>
          <w:rStyle w:val="HideTWBExt"/>
          <w:b w:val="0"/>
        </w:rPr>
      </w:pPr>
      <w:r>
        <w:rPr>
          <w:rStyle w:val="HideTWBExt"/>
          <w:b w:val="0"/>
        </w:rPr>
        <w:t>&lt;Article&gt;</w:t>
      </w:r>
      <w:r>
        <w:t>Allegato (nuovo)</w:t>
      </w:r>
      <w:r>
        <w:rPr>
          <w:rStyle w:val="HideTWBExt"/>
          <w:b w:val="0"/>
        </w:rPr>
        <w:t>&lt;/Article&gt;</w:t>
      </w:r>
    </w:p>
    <w:p w14:paraId="2F940F8A" w14:textId="77777777" w:rsidR="00CD0FA6" w:rsidRPr="00E17201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531AE4" w14:paraId="475346F4" w14:textId="77777777" w:rsidTr="009B5BE1">
        <w:trPr>
          <w:trHeight w:val="360"/>
        </w:trPr>
        <w:tc>
          <w:tcPr>
            <w:tcW w:w="9059" w:type="dxa"/>
            <w:gridSpan w:val="2"/>
          </w:tcPr>
          <w:p w14:paraId="5E24DD86" w14:textId="77777777" w:rsidR="00CD0FA6" w:rsidRPr="00E17201" w:rsidRDefault="00CD0FA6" w:rsidP="003910EE">
            <w:pPr>
              <w:pStyle w:val="Normal6a"/>
            </w:pPr>
          </w:p>
        </w:tc>
      </w:tr>
      <w:tr w:rsidR="00531AE4" w14:paraId="6434C2F7" w14:textId="77777777" w:rsidTr="009B5BE1">
        <w:trPr>
          <w:trHeight w:val="360"/>
        </w:trPr>
        <w:tc>
          <w:tcPr>
            <w:tcW w:w="4529" w:type="dxa"/>
          </w:tcPr>
          <w:p w14:paraId="60D5E058" w14:textId="77777777" w:rsidR="00CD0FA6" w:rsidRPr="00E17201" w:rsidRDefault="00176C42" w:rsidP="003910EE">
            <w:pPr>
              <w:pStyle w:val="Normal6a"/>
              <w:rPr>
                <w:i/>
              </w:rPr>
            </w:pPr>
            <w:r>
              <w:rPr>
                <w:i/>
              </w:rPr>
              <w:t>Testo della Commissione</w:t>
            </w:r>
          </w:p>
        </w:tc>
        <w:tc>
          <w:tcPr>
            <w:tcW w:w="4530" w:type="dxa"/>
          </w:tcPr>
          <w:p w14:paraId="080C8AC8" w14:textId="77777777" w:rsidR="00CD0FA6" w:rsidRPr="00E17201" w:rsidRDefault="00176C42" w:rsidP="003910EE">
            <w:pPr>
              <w:pStyle w:val="Normal6a"/>
              <w:rPr>
                <w:i/>
              </w:rPr>
            </w:pPr>
            <w:r>
              <w:rPr>
                <w:i/>
              </w:rPr>
              <w:t>Emendamento</w:t>
            </w:r>
          </w:p>
        </w:tc>
      </w:tr>
      <w:tr w:rsidR="00531AE4" w14:paraId="1EDB240E" w14:textId="77777777" w:rsidTr="009B5BE1">
        <w:trPr>
          <w:trHeight w:val="360"/>
        </w:trPr>
        <w:tc>
          <w:tcPr>
            <w:tcW w:w="4529" w:type="dxa"/>
          </w:tcPr>
          <w:p w14:paraId="5728734B" w14:textId="77777777" w:rsidR="00CD0FA6" w:rsidRPr="00E17201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5DBDDDC" w14:textId="77777777" w:rsidR="00CD0FA6" w:rsidRPr="00E17201" w:rsidRDefault="00176C42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ALLEGATO</w:t>
            </w:r>
          </w:p>
        </w:tc>
      </w:tr>
      <w:tr w:rsidR="00531AE4" w14:paraId="690CF28D" w14:textId="77777777" w:rsidTr="009B5BE1">
        <w:trPr>
          <w:trHeight w:val="360"/>
        </w:trPr>
        <w:tc>
          <w:tcPr>
            <w:tcW w:w="4529" w:type="dxa"/>
          </w:tcPr>
          <w:p w14:paraId="5802EC79" w14:textId="77777777" w:rsidR="00942E30" w:rsidRPr="00E17201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336D16D" w14:textId="77777777" w:rsidR="00942E30" w:rsidRPr="00E17201" w:rsidRDefault="00176C42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MISURE DI </w:t>
            </w:r>
            <w:r>
              <w:rPr>
                <w:b/>
                <w:i/>
              </w:rPr>
              <w:t>ATTUAZIONE</w:t>
            </w:r>
          </w:p>
        </w:tc>
      </w:tr>
      <w:tr w:rsidR="00531AE4" w14:paraId="21C5A0BE" w14:textId="77777777" w:rsidTr="009B5BE1">
        <w:trPr>
          <w:trHeight w:val="360"/>
        </w:trPr>
        <w:tc>
          <w:tcPr>
            <w:tcW w:w="4529" w:type="dxa"/>
          </w:tcPr>
          <w:p w14:paraId="30C1EEA8" w14:textId="77777777" w:rsidR="008E290E" w:rsidRPr="00E1720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AED6EF0" w14:textId="77777777" w:rsidR="008E290E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 xml:space="preserve">Il sostegno dell'Unione contribuisce al conseguimento dell'obiettivo specifico di cui all'articolo 3, paragrafo 1, lettera a), tramite le seguenti misure di attuazione: </w:t>
            </w:r>
          </w:p>
        </w:tc>
      </w:tr>
      <w:tr w:rsidR="00531AE4" w14:paraId="4BF87F1F" w14:textId="77777777" w:rsidTr="009B5BE1">
        <w:trPr>
          <w:trHeight w:val="360"/>
        </w:trPr>
        <w:tc>
          <w:tcPr>
            <w:tcW w:w="4529" w:type="dxa"/>
          </w:tcPr>
          <w:p w14:paraId="35B44B4D" w14:textId="77777777" w:rsidR="008E290E" w:rsidRPr="00E1720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0B99E3D" w14:textId="77777777" w:rsidR="008E290E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aumentando la formazione, le esercitazioni e l'apprendimento reciproco, i programmi di scambio specializzati e lo scambio delle migliori prassi negli Stati membri e tra gli Stati membri, anche a livello locale e con i paesi terzi e gli altri soggetti pertinenti;</w:t>
            </w:r>
          </w:p>
        </w:tc>
      </w:tr>
      <w:tr w:rsidR="00531AE4" w14:paraId="76109900" w14:textId="77777777" w:rsidTr="009B5BE1">
        <w:trPr>
          <w:trHeight w:val="360"/>
        </w:trPr>
        <w:tc>
          <w:tcPr>
            <w:tcW w:w="4529" w:type="dxa"/>
          </w:tcPr>
          <w:p w14:paraId="1731B6DC" w14:textId="77777777" w:rsidR="008E290E" w:rsidRPr="00E1720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940CD4B" w14:textId="77777777" w:rsidR="008E290E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 xml:space="preserve">sfruttando le sinergie mettendo in comune </w:t>
            </w:r>
            <w:r>
              <w:rPr>
                <w:b/>
                <w:i/>
              </w:rPr>
              <w:t xml:space="preserve">risorse e conoscenze e scambiando le migliori prassi tra gli Stati membri e gli altri soggetti pertinenti, compresa la società civile, ad esempio creando centri di eccellenza comuni o sviluppando </w:t>
            </w:r>
            <w:proofErr w:type="spellStart"/>
            <w:r>
              <w:rPr>
                <w:b/>
                <w:i/>
              </w:rPr>
              <w:t>valutazioni</w:t>
            </w:r>
            <w:proofErr w:type="spellEnd"/>
            <w:r>
              <w:rPr>
                <w:b/>
                <w:i/>
              </w:rPr>
              <w:t xml:space="preserve"> del rischio comuni o centri di sostegno operativo comuni per le operazioni congiunte;</w:t>
            </w:r>
          </w:p>
        </w:tc>
      </w:tr>
      <w:tr w:rsidR="00531AE4" w14:paraId="67AF641A" w14:textId="77777777" w:rsidTr="009B5BE1">
        <w:trPr>
          <w:trHeight w:val="360"/>
        </w:trPr>
        <w:tc>
          <w:tcPr>
            <w:tcW w:w="4529" w:type="dxa"/>
          </w:tcPr>
          <w:p w14:paraId="75CA7E45" w14:textId="77777777" w:rsidR="008E290E" w:rsidRPr="00E1720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45B2535" w14:textId="77777777" w:rsidR="008E290E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acquisendo le attrezzature pertinenti e istituendo o migliorando le strutture di formazione specializzata e altre infrastrutture di sicurezza essenziali al fine di aumentare la preparazione, la </w:t>
            </w:r>
            <w:r>
              <w:rPr>
                <w:b/>
                <w:i/>
              </w:rPr>
              <w:t>resilienza, la sensibilizzazione del pubblico e la risposta adeguata alle minacce per la sicurezza</w:t>
            </w:r>
            <w:bookmarkStart w:id="1" w:name="_Hlk229499808"/>
            <w:r>
              <w:rPr>
                <w:b/>
                <w:i/>
              </w:rPr>
              <w:t>.</w:t>
            </w:r>
            <w:bookmarkEnd w:id="1"/>
          </w:p>
        </w:tc>
      </w:tr>
      <w:tr w:rsidR="00531AE4" w14:paraId="3AC9DE3D" w14:textId="77777777" w:rsidTr="009B5BE1">
        <w:trPr>
          <w:trHeight w:val="360"/>
        </w:trPr>
        <w:tc>
          <w:tcPr>
            <w:tcW w:w="4529" w:type="dxa"/>
          </w:tcPr>
          <w:p w14:paraId="4EA03168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2943533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Il sostegno dell'Unione contribuisce al conseguimento dell'obiettivo specifico di cui all'articolo 3, paragrafo 1, lettera b), tramite le seguenti misure di attuazione:</w:t>
            </w:r>
          </w:p>
        </w:tc>
      </w:tr>
      <w:tr w:rsidR="00531AE4" w14:paraId="7930E603" w14:textId="77777777" w:rsidTr="009B5BE1">
        <w:trPr>
          <w:trHeight w:val="360"/>
        </w:trPr>
        <w:tc>
          <w:tcPr>
            <w:tcW w:w="4529" w:type="dxa"/>
          </w:tcPr>
          <w:p w14:paraId="6D5F959C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6FB7E82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proteggendo i soggetti critici da incidenti di sicurezza individuando, valutando e correggendo le vulnerabilità;</w:t>
            </w:r>
          </w:p>
        </w:tc>
      </w:tr>
      <w:tr w:rsidR="00531AE4" w14:paraId="0D42FB1E" w14:textId="77777777" w:rsidTr="009B5BE1">
        <w:trPr>
          <w:trHeight w:val="360"/>
        </w:trPr>
        <w:tc>
          <w:tcPr>
            <w:tcW w:w="4529" w:type="dxa"/>
          </w:tcPr>
          <w:p w14:paraId="63F50869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A507FC8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acquisendo le attrezzature pertinenti e istituendo o migliorando le strutture di formazione specializzata e altre infrastrutture di sicurezza essenziali al fine di aumentare la preparazione, la resilienza e la risposta adeguata alle minacce per la sicurezza;</w:t>
            </w:r>
          </w:p>
        </w:tc>
      </w:tr>
      <w:tr w:rsidR="00531AE4" w14:paraId="2B4FBE4A" w14:textId="77777777" w:rsidTr="009B5BE1">
        <w:trPr>
          <w:trHeight w:val="360"/>
        </w:trPr>
        <w:tc>
          <w:tcPr>
            <w:tcW w:w="4529" w:type="dxa"/>
          </w:tcPr>
          <w:p w14:paraId="5DA8711C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2081664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istituendo, adattando e mantenendo sistemi di informazione dell'UE e decentralizzati pertinenti per la sicurezza, anche assicurandone l'interoperabilità, ove pertinente per i sistemi di risposta alle crisi e i sistemi di comunicazione critica; </w:t>
            </w:r>
          </w:p>
        </w:tc>
      </w:tr>
      <w:tr w:rsidR="00531AE4" w14:paraId="2CE37D3C" w14:textId="77777777" w:rsidTr="009B5BE1">
        <w:trPr>
          <w:trHeight w:val="360"/>
        </w:trPr>
        <w:tc>
          <w:tcPr>
            <w:tcW w:w="4529" w:type="dxa"/>
          </w:tcPr>
          <w:p w14:paraId="2D43ED0F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1EA1990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sostenendo lo sviluppo, il collaudo, la diffusione e la manutenzione di sistemi di comunicazione sicuri interoperabili e di meccanismi di coordinamento in caso di crisi tra le autorità competenti, negli Stati membri e tra gli Stati membri, compresi i sistemi che garantiscono la continuità delle operazioni durante gli incidenti di sicurezza e le crisi su vasta scala;</w:t>
            </w:r>
          </w:p>
        </w:tc>
      </w:tr>
      <w:tr w:rsidR="00531AE4" w14:paraId="5DAD8358" w14:textId="77777777" w:rsidTr="009B5BE1">
        <w:trPr>
          <w:trHeight w:val="360"/>
        </w:trPr>
        <w:tc>
          <w:tcPr>
            <w:tcW w:w="4529" w:type="dxa"/>
          </w:tcPr>
          <w:p w14:paraId="2E482B0F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1A8A422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 xml:space="preserve">rafforzando la preparazione, la pianificazione della resilienza e le capacità coordinate di risposta alle crisi delle autorità competenti e dei soggetti critici attraverso </w:t>
            </w:r>
            <w:proofErr w:type="spellStart"/>
            <w:r>
              <w:rPr>
                <w:b/>
                <w:i/>
              </w:rPr>
              <w:t>valutazioni</w:t>
            </w:r>
            <w:proofErr w:type="spellEnd"/>
            <w:r>
              <w:rPr>
                <w:b/>
                <w:i/>
              </w:rPr>
              <w:t xml:space="preserve"> dei rischi, piani di emergenza, esercitazioni basate su </w:t>
            </w:r>
            <w:r>
              <w:rPr>
                <w:b/>
                <w:i/>
              </w:rPr>
              <w:t>scenari e lo sviluppo di protocolli operativi comuni.</w:t>
            </w:r>
          </w:p>
        </w:tc>
      </w:tr>
      <w:tr w:rsidR="00531AE4" w14:paraId="24763ADB" w14:textId="77777777" w:rsidTr="009B5BE1">
        <w:trPr>
          <w:trHeight w:val="360"/>
        </w:trPr>
        <w:tc>
          <w:tcPr>
            <w:tcW w:w="4529" w:type="dxa"/>
          </w:tcPr>
          <w:p w14:paraId="64949C63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4405E81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Il sostegno dell'Unione contribuisce al conseguimento dell'obiettivo specifico di cui all'articolo 3, paragrafo 1, lettera c), tramite le seguenti misure di attuazione:</w:t>
            </w:r>
          </w:p>
        </w:tc>
      </w:tr>
      <w:tr w:rsidR="00531AE4" w14:paraId="4D2D6D29" w14:textId="77777777" w:rsidTr="009B5BE1">
        <w:trPr>
          <w:trHeight w:val="360"/>
        </w:trPr>
        <w:tc>
          <w:tcPr>
            <w:tcW w:w="4529" w:type="dxa"/>
          </w:tcPr>
          <w:p w14:paraId="66BC9BAE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CAD3DEC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 xml:space="preserve">garantendo l'applicazione uniforme dell'acquis dell'Unione in materia di sicurezza, sostenendo lo scambio di informazioni pertinenti, ad esempio nel quadro di </w:t>
            </w:r>
            <w:proofErr w:type="spellStart"/>
            <w:r>
              <w:rPr>
                <w:b/>
                <w:i/>
              </w:rPr>
              <w:t>Prüm</w:t>
            </w:r>
            <w:proofErr w:type="spellEnd"/>
            <w:r>
              <w:rPr>
                <w:b/>
                <w:i/>
              </w:rPr>
              <w:t xml:space="preserve">, del PNR dell'UE e del SIS II, anche tramite l'attuazione delle raccomandazioni risultanti dai meccanismi di controllo della qualità e di valutazione, quali il meccanismo di valutazione </w:t>
            </w:r>
            <w:r>
              <w:rPr>
                <w:b/>
                <w:i/>
              </w:rPr>
              <w:lastRenderedPageBreak/>
              <w:t>Schengen e altri meccanismi di controllo e sorveglianza della qualità e di valutazione;</w:t>
            </w:r>
          </w:p>
        </w:tc>
      </w:tr>
      <w:tr w:rsidR="00531AE4" w14:paraId="6107026D" w14:textId="77777777" w:rsidTr="009B5BE1">
        <w:trPr>
          <w:trHeight w:val="360"/>
        </w:trPr>
        <w:tc>
          <w:tcPr>
            <w:tcW w:w="4529" w:type="dxa"/>
          </w:tcPr>
          <w:p w14:paraId="62C1A36C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9A744CB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istituendo, adattando e mantenendo sistemi di informazione dell'UE e decentralizzati pertinenti per la sicurezza, anche assicurandone l'interoperabilità, e sviluppando strumenti appropriati per colmare le lacune individuate;</w:t>
            </w:r>
          </w:p>
        </w:tc>
      </w:tr>
      <w:tr w:rsidR="00531AE4" w14:paraId="721C4374" w14:textId="77777777" w:rsidTr="009B5BE1">
        <w:trPr>
          <w:trHeight w:val="360"/>
        </w:trPr>
        <w:tc>
          <w:tcPr>
            <w:tcW w:w="4529" w:type="dxa"/>
          </w:tcPr>
          <w:p w14:paraId="64F4F1E7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3F110BF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potenziando l'uso attivo dei sistemi e degli strumenti di informazione decentralizzati e dell'UE pertinenti per la sicurezza garantendo che siano alimentati con dati di qualità elevata; </w:t>
            </w:r>
          </w:p>
        </w:tc>
      </w:tr>
      <w:tr w:rsidR="00531AE4" w14:paraId="3ECCB9FE" w14:textId="77777777" w:rsidTr="009B5BE1">
        <w:trPr>
          <w:trHeight w:val="360"/>
        </w:trPr>
        <w:tc>
          <w:tcPr>
            <w:tcW w:w="4529" w:type="dxa"/>
          </w:tcPr>
          <w:p w14:paraId="4154B1B3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93203E8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sostenendo le pertinenti misure nazionali, compresa l'interconnessione delle banche dati nazionali pertinenti per la sicurezza e la loro connessione alle banche dati dell'Unione ove previsto nelle pertinenti basi giuridiche, se utili per l'attuazione degli obiettivi di cui all'articolo 3, paragrafo 1;</w:t>
            </w:r>
          </w:p>
        </w:tc>
      </w:tr>
      <w:tr w:rsidR="00531AE4" w14:paraId="109A5A63" w14:textId="77777777" w:rsidTr="009B5BE1">
        <w:trPr>
          <w:trHeight w:val="360"/>
        </w:trPr>
        <w:tc>
          <w:tcPr>
            <w:tcW w:w="4529" w:type="dxa"/>
          </w:tcPr>
          <w:p w14:paraId="4F080F87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348881C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 xml:space="preserve">migliorando il coordinamento e incrementando la cooperazione delle autorità competenti, negli Stati membri e tra gli Stati </w:t>
            </w:r>
            <w:r>
              <w:rPr>
                <w:b/>
                <w:i/>
              </w:rPr>
              <w:t xml:space="preserve">membri, e con altri soggetti pertinenti, ad esempio mediante reti di unità nazionali specializzate, reti e strutture di cooperazione dell'Unione, e centri dell'Unione; </w:t>
            </w:r>
          </w:p>
        </w:tc>
      </w:tr>
      <w:tr w:rsidR="00531AE4" w14:paraId="31CC2A9C" w14:textId="77777777" w:rsidTr="009B5BE1">
        <w:trPr>
          <w:trHeight w:val="360"/>
        </w:trPr>
        <w:tc>
          <w:tcPr>
            <w:tcW w:w="4529" w:type="dxa"/>
          </w:tcPr>
          <w:p w14:paraId="0C8A54FF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1EB7AA0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migliorando la cooperazione inter-agenzia a livello dell'Unione tra gli Stati membri e i pertinenti organi e organismi dell'Unione nonché a livello nazionale tra le autorità competenti.</w:t>
            </w:r>
          </w:p>
        </w:tc>
      </w:tr>
      <w:tr w:rsidR="00531AE4" w14:paraId="77E35DFE" w14:textId="77777777" w:rsidTr="009B5BE1">
        <w:trPr>
          <w:trHeight w:val="360"/>
        </w:trPr>
        <w:tc>
          <w:tcPr>
            <w:tcW w:w="4529" w:type="dxa"/>
          </w:tcPr>
          <w:p w14:paraId="008B7E63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27C5C08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 xml:space="preserve">Il sostegno dell'Unione contribuisce al conseguimento dell'obiettivo specifico di cui all'articolo 3, paragrafo 1, lettera d), tramite le seguenti misure di attuazione: </w:t>
            </w:r>
          </w:p>
        </w:tc>
      </w:tr>
      <w:tr w:rsidR="00531AE4" w14:paraId="5FBC6CCC" w14:textId="77777777" w:rsidTr="009B5BE1">
        <w:trPr>
          <w:trHeight w:val="360"/>
        </w:trPr>
        <w:tc>
          <w:tcPr>
            <w:tcW w:w="4529" w:type="dxa"/>
          </w:tcPr>
          <w:p w14:paraId="6899E2BA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29BD80D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 xml:space="preserve">aumentando il numero delle operazioni di contrasto che coinvolgono due o più Stati membri, compreso, se del caso, operazioni che coinvolgono altri soggetti pertinenti, in particolare agevolando e migliorando l'uso delle </w:t>
            </w:r>
            <w:r>
              <w:rPr>
                <w:b/>
                <w:i/>
              </w:rPr>
              <w:lastRenderedPageBreak/>
              <w:t>squadre investigative comuni, dei pattugliamenti congiunti, degli inseguimenti, della sorveglianza discreta e degli altri meccanismi di cooperazione operativa nel contesto del ciclo programmatico dell'UE, con particolare riguardo alle operazioni transfrontaliere;</w:t>
            </w:r>
          </w:p>
        </w:tc>
      </w:tr>
      <w:tr w:rsidR="00531AE4" w14:paraId="782F4F4C" w14:textId="77777777" w:rsidTr="009B5BE1">
        <w:trPr>
          <w:trHeight w:val="360"/>
        </w:trPr>
        <w:tc>
          <w:tcPr>
            <w:tcW w:w="4529" w:type="dxa"/>
          </w:tcPr>
          <w:p w14:paraId="5AA6B489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868D139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migliorando il coordinamento e incrementando la cooperazione delle autorità competenti, negli Stati membri e tra gli Stati membri, e con altri soggetti pertinenti, ad esempio mediante reti di unità nazionali specializzate, reti e strutture di cooperazione dell'Unione, e centri dell'Unione;</w:t>
            </w:r>
          </w:p>
        </w:tc>
      </w:tr>
      <w:tr w:rsidR="00531AE4" w14:paraId="0A41CD41" w14:textId="77777777" w:rsidTr="009B5BE1">
        <w:trPr>
          <w:trHeight w:val="360"/>
        </w:trPr>
        <w:tc>
          <w:tcPr>
            <w:tcW w:w="4529" w:type="dxa"/>
          </w:tcPr>
          <w:p w14:paraId="4A01FD69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9638713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migliorando la cooperazione inter-agenzia a livello dell'Unione tra gli Stati membri e tra gli Stati membri e i pertinenti organi e organismi dell'Unione nonché a livello nazionale tra le autorità nazionali di ciascuno Stato membro;</w:t>
            </w:r>
          </w:p>
        </w:tc>
      </w:tr>
      <w:tr w:rsidR="00531AE4" w14:paraId="5C013A48" w14:textId="77777777" w:rsidTr="009B5BE1">
        <w:trPr>
          <w:trHeight w:val="360"/>
        </w:trPr>
        <w:tc>
          <w:tcPr>
            <w:tcW w:w="4529" w:type="dxa"/>
          </w:tcPr>
          <w:p w14:paraId="196BF8ED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E396C6B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 xml:space="preserve">sfruttando le sinergie mettendo in comune risorse e conoscenze e scambiando le migliori prassi tra gli Stati membri e gli altri soggetti pertinenti, compresa la società civile, ad esempio creando centri di eccellenza comuni o sviluppando </w:t>
            </w:r>
            <w:proofErr w:type="spellStart"/>
            <w:r>
              <w:rPr>
                <w:b/>
                <w:i/>
              </w:rPr>
              <w:t>valutazioni</w:t>
            </w:r>
            <w:proofErr w:type="spellEnd"/>
            <w:r>
              <w:rPr>
                <w:b/>
                <w:i/>
              </w:rPr>
              <w:t xml:space="preserve"> del rischio comuni o centri di sostegno operativo comuni per le operazioni congiunte.</w:t>
            </w:r>
          </w:p>
        </w:tc>
      </w:tr>
      <w:tr w:rsidR="00531AE4" w14:paraId="17E64FC7" w14:textId="77777777" w:rsidTr="009B5BE1">
        <w:trPr>
          <w:trHeight w:val="360"/>
        </w:trPr>
        <w:tc>
          <w:tcPr>
            <w:tcW w:w="4529" w:type="dxa"/>
          </w:tcPr>
          <w:p w14:paraId="3625CE33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3643F89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 xml:space="preserve">Il sostegno dell'Unione contribuisce al conseguimento dell'obiettivo di cui all'articolo 3, paragrafo 1, lettera e), tramite le seguenti </w:t>
            </w:r>
            <w:r>
              <w:rPr>
                <w:b/>
                <w:i/>
              </w:rPr>
              <w:t>misure di attuazione:</w:t>
            </w:r>
          </w:p>
        </w:tc>
      </w:tr>
      <w:tr w:rsidR="00531AE4" w14:paraId="7B452101" w14:textId="77777777" w:rsidTr="009B5BE1">
        <w:trPr>
          <w:trHeight w:val="360"/>
        </w:trPr>
        <w:tc>
          <w:tcPr>
            <w:tcW w:w="4529" w:type="dxa"/>
          </w:tcPr>
          <w:p w14:paraId="798F3312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5A73912" w14:textId="77777777" w:rsidR="008E290E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promuovendo e sviluppando misure, garanzie, meccanismi e migliori prassi per la tempestiva identificazione, la protezione e il sostegno dei testimoni, degli informatori e delle vittime di reati gravi e criminalità organizzata, e sviluppando partenariati tra le autorità pubbliche e gli altri soggetti pertinenti a tale scopo;</w:t>
            </w:r>
          </w:p>
        </w:tc>
      </w:tr>
      <w:tr w:rsidR="00531AE4" w14:paraId="37CCB2A4" w14:textId="77777777" w:rsidTr="009B5BE1">
        <w:trPr>
          <w:trHeight w:val="360"/>
        </w:trPr>
        <w:tc>
          <w:tcPr>
            <w:tcW w:w="4529" w:type="dxa"/>
          </w:tcPr>
          <w:p w14:paraId="26102FC8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605CE6B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 xml:space="preserve">sostenendo la creazione, l'accessibilità e il rafforzamento di servizi di sostegno specializzati per le vittime di </w:t>
            </w:r>
            <w:r>
              <w:rPr>
                <w:b/>
                <w:i/>
              </w:rPr>
              <w:lastRenderedPageBreak/>
              <w:t>reati gravi e criminalità organizzata, compresa l'assistenza psicologica, legale e sociale, nonché garantendo l'accesso a servizi che tengano conto dei traumi subiti, anche per le persone vulnerabili e i minori;</w:t>
            </w:r>
          </w:p>
        </w:tc>
      </w:tr>
      <w:tr w:rsidR="00531AE4" w14:paraId="1857A6BC" w14:textId="77777777" w:rsidTr="009B5BE1">
        <w:trPr>
          <w:trHeight w:val="360"/>
        </w:trPr>
        <w:tc>
          <w:tcPr>
            <w:tcW w:w="4529" w:type="dxa"/>
          </w:tcPr>
          <w:p w14:paraId="42EE1A44" w14:textId="77777777" w:rsidR="00754581" w:rsidRPr="00E1720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37270A1" w14:textId="77777777" w:rsidR="00754581" w:rsidRPr="00E17201" w:rsidRDefault="00176C42" w:rsidP="003910E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sostenendo attività di sensibilizzazione, formazione e sviluppo delle capacità per le autorità competenti e le organizzazioni pertinenti in materia di diritti delle vittime, approcci incentrati sulle vittime e prevenzione della vittimizzazione secondaria.</w:t>
            </w:r>
          </w:p>
        </w:tc>
      </w:tr>
    </w:tbl>
    <w:p w14:paraId="75A43064" w14:textId="77777777" w:rsidR="00CD0FA6" w:rsidRPr="00E17201" w:rsidRDefault="00176C42" w:rsidP="00CD0FA6">
      <w:pPr>
        <w:pStyle w:val="Olang"/>
        <w:rPr>
          <w:sz w:val="24"/>
          <w:szCs w:val="24"/>
        </w:rPr>
      </w:pPr>
      <w:r w:rsidRPr="00E17201">
        <w:rPr>
          <w:sz w:val="24"/>
          <w:szCs w:val="24"/>
        </w:rPr>
        <w:t xml:space="preserve">Or. </w:t>
      </w:r>
      <w:r w:rsidRPr="00E17201">
        <w:rPr>
          <w:rStyle w:val="HideTWBExt"/>
        </w:rPr>
        <w:t>&lt;Original&gt;</w:t>
      </w:r>
      <w:r w:rsidRPr="00E17201">
        <w:rPr>
          <w:rStyle w:val="HideTWBInt"/>
          <w:sz w:val="24"/>
          <w:szCs w:val="24"/>
        </w:rPr>
        <w:t>{EN}</w:t>
      </w:r>
      <w:r w:rsidRPr="00E17201">
        <w:rPr>
          <w:sz w:val="24"/>
          <w:szCs w:val="24"/>
        </w:rPr>
        <w:t>en</w:t>
      </w:r>
      <w:r w:rsidRPr="00E17201">
        <w:rPr>
          <w:rStyle w:val="HideTWBExt"/>
        </w:rPr>
        <w:t>&lt;/Original&gt;</w:t>
      </w:r>
    </w:p>
    <w:p w14:paraId="36E17213" w14:textId="77777777" w:rsidR="00CD0FA6" w:rsidRPr="00E17201" w:rsidRDefault="00176C42" w:rsidP="00CD0FA6">
      <w:pPr>
        <w:pStyle w:val="JustificationTitle"/>
      </w:pPr>
      <w:r>
        <w:rPr>
          <w:rStyle w:val="HideTWBExt"/>
          <w:i w:val="0"/>
        </w:rPr>
        <w:t>&lt;TitreJust&gt;</w:t>
      </w:r>
      <w:r>
        <w:t>Motivazione</w:t>
      </w:r>
      <w:r>
        <w:rPr>
          <w:rStyle w:val="HideTWBExt"/>
          <w:i w:val="0"/>
        </w:rPr>
        <w:t>&lt;/TitreJust&gt;</w:t>
      </w:r>
    </w:p>
    <w:p w14:paraId="01E22596" w14:textId="77777777" w:rsidR="00CD0FA6" w:rsidRPr="00E17201" w:rsidRDefault="00176C42" w:rsidP="00CD0FA6">
      <w:pPr>
        <w:pStyle w:val="Normal12Italic"/>
        <w:jc w:val="both"/>
        <w:rPr>
          <w:szCs w:val="24"/>
        </w:rPr>
      </w:pPr>
      <w:r>
        <w:t xml:space="preserve">Gli Stati membri trarranno vantaggio dalla creazione dell'allegato I, che fungerà da orientamento per l'elaborazione dei loro piani di partenariato nazionale e regionale e per il finanziamento di tali piani nell'ambito del QFP, garantendo che l'Unione utilizzi i suoi fondi per le azioni più necessarie per affrontare le attuali minacce alla sicurezza interna dell'Unione e per aumentare la cooperazione transfrontaliera. </w:t>
      </w:r>
      <w:r>
        <w:rPr>
          <w:rStyle w:val="HideTWBExt"/>
        </w:rPr>
        <w:t>&lt;/Amend&gt;</w:t>
      </w:r>
    </w:p>
    <w:p w14:paraId="5BC8A76F" w14:textId="77777777" w:rsidR="00CD0FA6" w:rsidRPr="00E17201" w:rsidRDefault="00176C42" w:rsidP="00CD0FA6">
      <w:pPr>
        <w:rPr>
          <w:rStyle w:val="HideTWBExt"/>
          <w:noProof w:val="0"/>
        </w:rPr>
      </w:pPr>
      <w:bookmarkStart w:id="2" w:name="EndA"/>
      <w:r>
        <w:rPr>
          <w:rStyle w:val="HideTWBExt"/>
        </w:rPr>
        <w:t>&lt;/RepeatBlock-Amend&gt;</w:t>
      </w:r>
      <w:bookmarkEnd w:id="2"/>
    </w:p>
    <w:p w14:paraId="3BCC3328" w14:textId="77777777" w:rsidR="00CD0FA6" w:rsidRPr="00E17201" w:rsidRDefault="00CD0FA6" w:rsidP="00BF4068"/>
    <w:sectPr w:rsidR="00CD0FA6" w:rsidRPr="00E17201" w:rsidSect="00EE0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AC41" w14:textId="77777777" w:rsidR="00176C42" w:rsidRDefault="00176C42">
      <w:r>
        <w:separator/>
      </w:r>
    </w:p>
  </w:endnote>
  <w:endnote w:type="continuationSeparator" w:id="0">
    <w:p w14:paraId="6F3ED026" w14:textId="77777777" w:rsidR="00176C42" w:rsidRDefault="0017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1D9D" w14:textId="77777777" w:rsidR="00EE01D0" w:rsidRPr="00176C42" w:rsidRDefault="00176C42" w:rsidP="00EE01D0">
    <w:pPr>
      <w:pStyle w:val="EPFooter"/>
      <w:rPr>
        <w:lang w:val="de-DE"/>
      </w:rPr>
    </w:pPr>
    <w:r w:rsidRPr="00176C42">
      <w:rPr>
        <w:lang w:val="de-DE"/>
      </w:rPr>
      <w:t>PE</w:t>
    </w:r>
    <w:r w:rsidRPr="00176C42">
      <w:rPr>
        <w:rStyle w:val="HideTWBExt"/>
        <w:lang w:val="de-DE"/>
      </w:rPr>
      <w:t>&lt;NoPE&gt;</w:t>
    </w:r>
    <w:r w:rsidRPr="00176C42">
      <w:rPr>
        <w:lang w:val="de-DE"/>
      </w:rPr>
      <w:t>790.179</w:t>
    </w:r>
    <w:r w:rsidRPr="00176C42">
      <w:rPr>
        <w:rStyle w:val="HideTWBExt"/>
        <w:lang w:val="de-DE"/>
      </w:rPr>
      <w:t>&lt;/NoPE&gt;&lt;Version&gt;</w:t>
    </w:r>
    <w:r w:rsidRPr="00176C42">
      <w:rPr>
        <w:lang w:val="de-DE"/>
      </w:rPr>
      <w:t>v01-00</w:t>
    </w:r>
    <w:r w:rsidRPr="00176C42">
      <w:rPr>
        <w:rStyle w:val="HideTWBExt"/>
        <w:lang w:val="de-DE"/>
      </w:rPr>
      <w:t>&lt;/Version&gt;</w:t>
    </w:r>
    <w:r w:rsidRPr="00176C42">
      <w:rPr>
        <w:lang w:val="de-DE"/>
      </w:rPr>
      <w:tab/>
    </w:r>
    <w:r w:rsidRPr="00E17201">
      <w:fldChar w:fldCharType="begin"/>
    </w:r>
    <w:r w:rsidRPr="00176C42">
      <w:rPr>
        <w:lang w:val="de-DE"/>
      </w:rPr>
      <w:instrText xml:space="preserve"> PAGE  \* MERGEFORMAT </w:instrText>
    </w:r>
    <w:r w:rsidRPr="00E17201">
      <w:fldChar w:fldCharType="separate"/>
    </w:r>
    <w:r w:rsidRPr="00176C42">
      <w:rPr>
        <w:noProof/>
        <w:lang w:val="de-DE"/>
      </w:rPr>
      <w:t>2</w:t>
    </w:r>
    <w:r w:rsidRPr="00E17201">
      <w:fldChar w:fldCharType="end"/>
    </w:r>
    <w:r w:rsidRPr="00176C42">
      <w:rPr>
        <w:lang w:val="de-DE"/>
      </w:rPr>
      <w:t>/</w:t>
    </w:r>
    <w:r w:rsidRPr="00E17201">
      <w:fldChar w:fldCharType="begin"/>
    </w:r>
    <w:r w:rsidRPr="00176C42">
      <w:rPr>
        <w:lang w:val="de-DE"/>
      </w:rPr>
      <w:instrText xml:space="preserve"> NUMPAGES  \* MERGEFORMAT </w:instrText>
    </w:r>
    <w:r w:rsidRPr="00E17201">
      <w:fldChar w:fldCharType="separate"/>
    </w:r>
    <w:r w:rsidRPr="00176C42">
      <w:rPr>
        <w:noProof/>
        <w:lang w:val="de-DE"/>
      </w:rPr>
      <w:t>7</w:t>
    </w:r>
    <w:r w:rsidRPr="00E17201">
      <w:rPr>
        <w:noProof/>
      </w:rPr>
      <w:fldChar w:fldCharType="end"/>
    </w:r>
    <w:r w:rsidRPr="00176C42">
      <w:rPr>
        <w:lang w:val="de-DE"/>
      </w:rPr>
      <w:tab/>
    </w:r>
    <w:r w:rsidRPr="00176C42">
      <w:rPr>
        <w:rStyle w:val="HideTWBExt"/>
        <w:lang w:val="de-DE"/>
      </w:rPr>
      <w:t>&lt;PathFdR&gt;</w:t>
    </w:r>
    <w:r w:rsidRPr="00176C42">
      <w:rPr>
        <w:lang w:val="de-DE"/>
      </w:rPr>
      <w:t>AM\1346525IT.docx</w:t>
    </w:r>
    <w:r w:rsidRPr="00176C42">
      <w:rPr>
        <w:rStyle w:val="HideTWBExt"/>
        <w:lang w:val="de-DE"/>
      </w:rPr>
      <w:t>&lt;/PathFdR&gt;</w:t>
    </w:r>
  </w:p>
  <w:p w14:paraId="69BEC3BC" w14:textId="77777777" w:rsidR="00D82FCC" w:rsidRPr="00E17201" w:rsidRDefault="00176C42" w:rsidP="00EE01D0">
    <w:pPr>
      <w:pStyle w:val="EPFooter2"/>
    </w:pPr>
    <w:r w:rsidRPr="00E17201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0366" w14:textId="77777777" w:rsidR="00EE01D0" w:rsidRPr="00176C42" w:rsidRDefault="00176C42" w:rsidP="00EE01D0">
    <w:pPr>
      <w:pStyle w:val="EPFooter"/>
      <w:rPr>
        <w:lang w:val="en-GB"/>
      </w:rPr>
    </w:pPr>
    <w:r w:rsidRPr="00176C42">
      <w:rPr>
        <w:rStyle w:val="HideTWBExt"/>
        <w:lang w:val="en-GB"/>
      </w:rPr>
      <w:t>&lt;PathFdR&gt;</w:t>
    </w:r>
    <w:r w:rsidRPr="00176C42">
      <w:rPr>
        <w:lang w:val="en-GB"/>
      </w:rPr>
      <w:t>AM\1346525IT.docx</w:t>
    </w:r>
    <w:r w:rsidRPr="00176C42">
      <w:rPr>
        <w:rStyle w:val="HideTWBExt"/>
        <w:lang w:val="en-GB"/>
      </w:rPr>
      <w:t>&lt;/PathFdR&gt;</w:t>
    </w:r>
    <w:r w:rsidRPr="00176C42">
      <w:rPr>
        <w:lang w:val="en-GB"/>
      </w:rPr>
      <w:tab/>
    </w:r>
    <w:r w:rsidRPr="00E17201">
      <w:fldChar w:fldCharType="begin"/>
    </w:r>
    <w:r w:rsidRPr="00176C42">
      <w:rPr>
        <w:lang w:val="en-GB"/>
      </w:rPr>
      <w:instrText xml:space="preserve"> PAGE  \* MERGEFORMAT </w:instrText>
    </w:r>
    <w:r w:rsidRPr="00E17201">
      <w:fldChar w:fldCharType="separate"/>
    </w:r>
    <w:r w:rsidRPr="00176C42">
      <w:rPr>
        <w:noProof/>
        <w:lang w:val="en-GB"/>
      </w:rPr>
      <w:t>3</w:t>
    </w:r>
    <w:r w:rsidRPr="00E17201">
      <w:fldChar w:fldCharType="end"/>
    </w:r>
    <w:r w:rsidRPr="00176C42">
      <w:rPr>
        <w:lang w:val="en-GB"/>
      </w:rPr>
      <w:t>/</w:t>
    </w:r>
    <w:r w:rsidRPr="00E17201">
      <w:fldChar w:fldCharType="begin"/>
    </w:r>
    <w:r w:rsidRPr="00176C42">
      <w:rPr>
        <w:lang w:val="en-GB"/>
      </w:rPr>
      <w:instrText xml:space="preserve"> NUMPAGES  \* MERGEFORMAT </w:instrText>
    </w:r>
    <w:r w:rsidRPr="00E17201">
      <w:fldChar w:fldCharType="separate"/>
    </w:r>
    <w:r w:rsidRPr="00176C42">
      <w:rPr>
        <w:noProof/>
        <w:lang w:val="en-GB"/>
      </w:rPr>
      <w:t>7</w:t>
    </w:r>
    <w:r w:rsidRPr="00E17201">
      <w:rPr>
        <w:noProof/>
      </w:rPr>
      <w:fldChar w:fldCharType="end"/>
    </w:r>
    <w:r w:rsidRPr="00176C42">
      <w:rPr>
        <w:lang w:val="en-GB"/>
      </w:rPr>
      <w:tab/>
      <w:t>PE</w:t>
    </w:r>
    <w:r w:rsidRPr="00176C42">
      <w:rPr>
        <w:rStyle w:val="HideTWBExt"/>
        <w:lang w:val="en-GB"/>
      </w:rPr>
      <w:t>&lt;NoPE&gt;</w:t>
    </w:r>
    <w:r w:rsidRPr="00176C42">
      <w:rPr>
        <w:lang w:val="en-GB"/>
      </w:rPr>
      <w:t>790.179</w:t>
    </w:r>
    <w:r w:rsidRPr="00176C42">
      <w:rPr>
        <w:rStyle w:val="HideTWBExt"/>
        <w:lang w:val="en-GB"/>
      </w:rPr>
      <w:t>&lt;/NoPE&gt;&lt;Version&gt;</w:t>
    </w:r>
    <w:r w:rsidRPr="00176C42">
      <w:rPr>
        <w:lang w:val="en-GB"/>
      </w:rPr>
      <w:t>v01-00</w:t>
    </w:r>
    <w:r w:rsidRPr="00176C42">
      <w:rPr>
        <w:rStyle w:val="HideTWBExt"/>
        <w:lang w:val="en-GB"/>
      </w:rPr>
      <w:t>&lt;/Version&gt;</w:t>
    </w:r>
  </w:p>
  <w:p w14:paraId="428355C4" w14:textId="77777777" w:rsidR="00D82FCC" w:rsidRPr="00176C42" w:rsidRDefault="00176C42" w:rsidP="00EE01D0">
    <w:pPr>
      <w:pStyle w:val="EPFooter2"/>
      <w:rPr>
        <w:lang w:val="en-GB"/>
      </w:rPr>
    </w:pPr>
    <w:r w:rsidRPr="00176C42">
      <w:rPr>
        <w:lang w:val="en-GB"/>
      </w:rPr>
      <w:tab/>
    </w:r>
    <w:r w:rsidRPr="00176C42">
      <w:rPr>
        <w:lang w:val="en-GB"/>
      </w:rPr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6FB21" w14:textId="77777777" w:rsidR="00EE01D0" w:rsidRPr="00E17201" w:rsidRDefault="00176C42" w:rsidP="00EE01D0">
    <w:pPr>
      <w:pStyle w:val="EPFooter"/>
    </w:pPr>
    <w:r w:rsidRPr="00E17201">
      <w:rPr>
        <w:rStyle w:val="HideTWBExt"/>
      </w:rPr>
      <w:t>&lt;PathFdR&gt;</w:t>
    </w:r>
    <w:r w:rsidRPr="00E17201">
      <w:t>AM\1346525IT.docx</w:t>
    </w:r>
    <w:r w:rsidRPr="00E17201">
      <w:rPr>
        <w:rStyle w:val="HideTWBExt"/>
      </w:rPr>
      <w:t>&lt;/PathFdR&gt;</w:t>
    </w:r>
    <w:r w:rsidRPr="00E17201">
      <w:tab/>
    </w:r>
    <w:r w:rsidRPr="00E17201">
      <w:tab/>
      <w:t>PE</w:t>
    </w:r>
    <w:r w:rsidRPr="00E17201">
      <w:rPr>
        <w:rStyle w:val="HideTWBExt"/>
      </w:rPr>
      <w:t>&lt;NoPE&gt;</w:t>
    </w:r>
    <w:r w:rsidRPr="00E17201">
      <w:t>790.179</w:t>
    </w:r>
    <w:r w:rsidRPr="00E17201">
      <w:rPr>
        <w:rStyle w:val="HideTWBExt"/>
      </w:rPr>
      <w:t>&lt;/NoPE&gt;&lt;Version&gt;</w:t>
    </w:r>
    <w:r w:rsidRPr="00E17201">
      <w:t>v01-00</w:t>
    </w:r>
    <w:r w:rsidRPr="00E17201">
      <w:rPr>
        <w:rStyle w:val="HideTWBExt"/>
      </w:rPr>
      <w:t>&lt;/Version&gt;</w:t>
    </w:r>
  </w:p>
  <w:p w14:paraId="093CCA94" w14:textId="77777777" w:rsidR="00D82FCC" w:rsidRPr="00E17201" w:rsidRDefault="00176C42" w:rsidP="00EE01D0">
    <w:pPr>
      <w:pStyle w:val="EPFooter2"/>
    </w:pPr>
    <w:r w:rsidRPr="00E17201">
      <w:t>IT</w:t>
    </w:r>
    <w:r w:rsidRPr="00E17201">
      <w:tab/>
    </w:r>
    <w:r w:rsidRPr="00E17201">
      <w:rPr>
        <w:b w:val="0"/>
        <w:i/>
        <w:color w:val="C0C0C0"/>
        <w:sz w:val="22"/>
      </w:rPr>
      <w:t>Unita nella diversità</w:t>
    </w:r>
    <w:r w:rsidRPr="00E17201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F75A" w14:textId="77777777" w:rsidR="00176C42" w:rsidRDefault="00176C42">
      <w:r>
        <w:separator/>
      </w:r>
    </w:p>
  </w:footnote>
  <w:footnote w:type="continuationSeparator" w:id="0">
    <w:p w14:paraId="6147BA3A" w14:textId="77777777" w:rsidR="00176C42" w:rsidRDefault="00176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8B69" w14:textId="77777777" w:rsidR="00176C42" w:rsidRDefault="00176C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07D4" w14:textId="77777777" w:rsidR="00176C42" w:rsidRDefault="00176C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D1DF" w14:textId="77777777" w:rsidR="00176C42" w:rsidRDefault="00176C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FB7203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12200DE" w:tentative="1">
      <w:start w:val="1"/>
      <w:numFmt w:val="lowerLetter"/>
      <w:lvlText w:val="%2."/>
      <w:lvlJc w:val="left"/>
      <w:pPr>
        <w:ind w:left="1440" w:hanging="360"/>
      </w:pPr>
    </w:lvl>
    <w:lvl w:ilvl="2" w:tplc="9A38D198" w:tentative="1">
      <w:start w:val="1"/>
      <w:numFmt w:val="lowerRoman"/>
      <w:lvlText w:val="%3."/>
      <w:lvlJc w:val="right"/>
      <w:pPr>
        <w:ind w:left="2160" w:hanging="180"/>
      </w:pPr>
    </w:lvl>
    <w:lvl w:ilvl="3" w:tplc="2D4E6EB6" w:tentative="1">
      <w:start w:val="1"/>
      <w:numFmt w:val="decimal"/>
      <w:lvlText w:val="%4."/>
      <w:lvlJc w:val="left"/>
      <w:pPr>
        <w:ind w:left="2880" w:hanging="360"/>
      </w:pPr>
    </w:lvl>
    <w:lvl w:ilvl="4" w:tplc="A170C2F8" w:tentative="1">
      <w:start w:val="1"/>
      <w:numFmt w:val="lowerLetter"/>
      <w:lvlText w:val="%5."/>
      <w:lvlJc w:val="left"/>
      <w:pPr>
        <w:ind w:left="3600" w:hanging="360"/>
      </w:pPr>
    </w:lvl>
    <w:lvl w:ilvl="5" w:tplc="54A0D602" w:tentative="1">
      <w:start w:val="1"/>
      <w:numFmt w:val="lowerRoman"/>
      <w:lvlText w:val="%6."/>
      <w:lvlJc w:val="right"/>
      <w:pPr>
        <w:ind w:left="4320" w:hanging="180"/>
      </w:pPr>
    </w:lvl>
    <w:lvl w:ilvl="6" w:tplc="8FDC9492" w:tentative="1">
      <w:start w:val="1"/>
      <w:numFmt w:val="decimal"/>
      <w:lvlText w:val="%7."/>
      <w:lvlJc w:val="left"/>
      <w:pPr>
        <w:ind w:left="5040" w:hanging="360"/>
      </w:pPr>
    </w:lvl>
    <w:lvl w:ilvl="7" w:tplc="1BFCD6B6" w:tentative="1">
      <w:start w:val="1"/>
      <w:numFmt w:val="lowerLetter"/>
      <w:lvlText w:val="%8."/>
      <w:lvlJc w:val="left"/>
      <w:pPr>
        <w:ind w:left="5760" w:hanging="360"/>
      </w:pPr>
    </w:lvl>
    <w:lvl w:ilvl="8" w:tplc="B996421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IT"/>
    <w:docVar w:name="TXTLANGUEMIN" w:val="it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IT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F2A80"/>
    <w:rsid w:val="000F7815"/>
    <w:rsid w:val="0011400A"/>
    <w:rsid w:val="00126BC4"/>
    <w:rsid w:val="001375B8"/>
    <w:rsid w:val="00150057"/>
    <w:rsid w:val="00166CCB"/>
    <w:rsid w:val="00176C42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25D26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31AE4"/>
    <w:rsid w:val="00547F73"/>
    <w:rsid w:val="00557617"/>
    <w:rsid w:val="00571479"/>
    <w:rsid w:val="005A2254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84981"/>
    <w:rsid w:val="009A65D8"/>
    <w:rsid w:val="009B0305"/>
    <w:rsid w:val="009B3D31"/>
    <w:rsid w:val="009C1DC1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E672F"/>
    <w:rsid w:val="00E15A86"/>
    <w:rsid w:val="00E17201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01D0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D7817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2</TotalTime>
  <Pages>7</Pages>
  <Words>1111</Words>
  <Characters>6872</Characters>
  <Application>Microsoft Office Word</Application>
  <DocSecurity>0</DocSecurity>
  <Lines>244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2026-06-23T10:09:00Z</cp:lastPrinted>
  <dcterms:created xsi:type="dcterms:W3CDTF">2026-07-08T14:28:00Z</dcterms:created>
  <dcterms:modified xsi:type="dcterms:W3CDTF">2026-07-08T14:28:00Z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AM\1346525IT.docx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OK - 2026/07/08 16:27</vt:lpwstr>
  </property>
</Properties>
</file>