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BE5062" w:rsidRPr="007355AE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7355AE" w:rsidRDefault="007355AE" w:rsidP="00C85D0F">
            <w:pPr>
              <w:pStyle w:val="EPName"/>
            </w:pPr>
            <w:r w:rsidRPr="007355AE">
              <w:t>Parlamento Europeu</w:t>
            </w:r>
          </w:p>
          <w:p w:rsidR="00BE5062" w:rsidRPr="00555066" w:rsidRDefault="00555066" w:rsidP="00555066">
            <w:pPr>
              <w:pStyle w:val="EPTerm"/>
            </w:pPr>
            <w:r>
              <w:t>2024</w:t>
            </w:r>
            <w:r w:rsidR="004C6A1C">
              <w:noBreakHyphen/>
            </w:r>
            <w:r>
              <w:t>2029</w:t>
            </w:r>
          </w:p>
        </w:tc>
        <w:tc>
          <w:tcPr>
            <w:tcW w:w="2268" w:type="dxa"/>
            <w:shd w:val="clear" w:color="auto" w:fill="auto"/>
          </w:tcPr>
          <w:p w:rsidR="00BE5062" w:rsidRPr="007355AE" w:rsidRDefault="00BE5062" w:rsidP="00C85D0F">
            <w:pPr>
              <w:pStyle w:val="EPLogo"/>
            </w:pPr>
            <w:r w:rsidRPr="007355AE">
              <w:rPr>
                <w:noProof/>
                <w:lang w:val="en-GB"/>
              </w:rPr>
              <w:drawing>
                <wp:inline distT="0" distB="0" distL="0" distR="0" wp14:anchorId="4B8BE00E" wp14:editId="501F4E6E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7355AE" w:rsidRDefault="000E7234" w:rsidP="000E7234">
      <w:pPr>
        <w:pStyle w:val="LineTop"/>
      </w:pPr>
    </w:p>
    <w:p w:rsidR="000E7234" w:rsidRPr="007355AE" w:rsidRDefault="000E7234" w:rsidP="000E7234">
      <w:pPr>
        <w:pStyle w:val="EPBody"/>
      </w:pPr>
      <w:r w:rsidRPr="007355AE">
        <w:rPr>
          <w:rStyle w:val="HideTWBExt"/>
        </w:rPr>
        <w:t>&lt;</w:t>
      </w:r>
      <w:r w:rsidRPr="007355AE">
        <w:rPr>
          <w:rStyle w:val="HideTWBExt"/>
          <w:i w:val="0"/>
        </w:rPr>
        <w:t>Commission</w:t>
      </w:r>
      <w:r w:rsidRPr="007355AE">
        <w:rPr>
          <w:rStyle w:val="HideTWBExt"/>
        </w:rPr>
        <w:t>&gt;</w:t>
      </w:r>
      <w:r w:rsidR="00555066" w:rsidRPr="00555066">
        <w:rPr>
          <w:rStyle w:val="HideTWBInt"/>
        </w:rPr>
        <w:t>{PECH}</w:t>
      </w:r>
      <w:r w:rsidR="00555066">
        <w:t>Comissão das Pescas</w:t>
      </w:r>
      <w:r w:rsidRPr="007355AE">
        <w:rPr>
          <w:rStyle w:val="HideTWBExt"/>
        </w:rPr>
        <w:t>&lt;/</w:t>
      </w:r>
      <w:r w:rsidRPr="007355AE">
        <w:rPr>
          <w:rStyle w:val="HideTWBExt"/>
          <w:i w:val="0"/>
        </w:rPr>
        <w:t>Commission</w:t>
      </w:r>
      <w:r w:rsidRPr="007355AE">
        <w:rPr>
          <w:rStyle w:val="HideTWBExt"/>
        </w:rPr>
        <w:t>&gt;</w:t>
      </w:r>
    </w:p>
    <w:p w:rsidR="000E7234" w:rsidRPr="007355AE" w:rsidRDefault="000E7234" w:rsidP="000E7234">
      <w:pPr>
        <w:pStyle w:val="LineBottom"/>
      </w:pPr>
    </w:p>
    <w:p w:rsidR="00B85286" w:rsidRPr="007355AE" w:rsidRDefault="00B85286">
      <w:pPr>
        <w:pStyle w:val="CoverReference"/>
      </w:pPr>
      <w:r w:rsidRPr="007355AE">
        <w:rPr>
          <w:rStyle w:val="HideTWBExt"/>
          <w:b w:val="0"/>
          <w:noProof w:val="0"/>
        </w:rPr>
        <w:t>&lt;RefProc&gt;</w:t>
      </w:r>
      <w:r w:rsidR="00555066" w:rsidRPr="00555066">
        <w:t>2024/0224</w:t>
      </w:r>
      <w:r w:rsidRPr="007355AE">
        <w:rPr>
          <w:rStyle w:val="HideTWBExt"/>
          <w:b w:val="0"/>
          <w:noProof w:val="0"/>
        </w:rPr>
        <w:t>&lt;/RefProc&gt;&lt;RefTypeProc&gt;</w:t>
      </w:r>
      <w:r w:rsidR="007355AE" w:rsidRPr="007355AE">
        <w:t>(</w:t>
      </w:r>
      <w:r w:rsidR="00555066">
        <w:t>COD</w:t>
      </w:r>
      <w:r w:rsidR="007355AE" w:rsidRPr="007355AE">
        <w:t>)</w:t>
      </w:r>
      <w:r w:rsidRPr="007355AE">
        <w:rPr>
          <w:rStyle w:val="HideTWBExt"/>
          <w:b w:val="0"/>
          <w:noProof w:val="0"/>
        </w:rPr>
        <w:t>&lt;/RefTypeProc&gt;</w:t>
      </w:r>
    </w:p>
    <w:p w:rsidR="00B85286" w:rsidRPr="007355AE" w:rsidRDefault="00B85286">
      <w:pPr>
        <w:pStyle w:val="CoverDate"/>
      </w:pPr>
      <w:r w:rsidRPr="007355AE">
        <w:rPr>
          <w:rStyle w:val="HideTWBExt"/>
          <w:noProof w:val="0"/>
        </w:rPr>
        <w:t>&lt;Date&gt;</w:t>
      </w:r>
      <w:r w:rsidR="00555066" w:rsidRPr="00555066">
        <w:rPr>
          <w:rStyle w:val="HideTWBInt"/>
        </w:rPr>
        <w:t>{07/03/2025}</w:t>
      </w:r>
      <w:r w:rsidR="00555066">
        <w:t>7.3.2025</w:t>
      </w:r>
      <w:r w:rsidRPr="007355AE">
        <w:rPr>
          <w:rStyle w:val="HideTWBExt"/>
          <w:noProof w:val="0"/>
        </w:rPr>
        <w:t>&lt;/Date&gt;</w:t>
      </w:r>
    </w:p>
    <w:p w:rsidR="009B0305" w:rsidRPr="007355AE" w:rsidRDefault="009B0305" w:rsidP="009B0305">
      <w:pPr>
        <w:pStyle w:val="CoverDocType"/>
      </w:pPr>
      <w:r w:rsidRPr="007355AE">
        <w:rPr>
          <w:rStyle w:val="HideTWBExt"/>
          <w:b w:val="0"/>
          <w:noProof w:val="0"/>
        </w:rPr>
        <w:t>&lt;TypeAM&gt;</w:t>
      </w:r>
      <w:bookmarkStart w:id="0" w:name="_GoBack"/>
      <w:r w:rsidR="00555066">
        <w:t>ALTERAÇÕES</w:t>
      </w:r>
      <w:bookmarkEnd w:id="0"/>
      <w:r w:rsidRPr="007355AE">
        <w:rPr>
          <w:rStyle w:val="HideTWBExt"/>
          <w:b w:val="0"/>
          <w:noProof w:val="0"/>
        </w:rPr>
        <w:t>&lt;/TypeAM&gt;</w:t>
      </w:r>
    </w:p>
    <w:p w:rsidR="00B85286" w:rsidRPr="007355AE" w:rsidRDefault="00E25DC5" w:rsidP="001C2054">
      <w:pPr>
        <w:pStyle w:val="CoverDocType24a"/>
      </w:pPr>
      <w:r w:rsidRPr="007355AE">
        <w:rPr>
          <w:rStyle w:val="HideTWBExt"/>
          <w:b w:val="0"/>
          <w:noProof w:val="0"/>
        </w:rPr>
        <w:t>&lt;RangeAM&gt;</w:t>
      </w:r>
      <w:r w:rsidR="00555066" w:rsidRPr="00555066">
        <w:t>22</w:t>
      </w:r>
      <w:r w:rsidR="00555066">
        <w:t xml:space="preserve"> </w:t>
      </w:r>
      <w:r w:rsidR="004C6A1C">
        <w:noBreakHyphen/>
      </w:r>
      <w:r w:rsidR="00555066">
        <w:t xml:space="preserve"> </w:t>
      </w:r>
      <w:r w:rsidR="00555066" w:rsidRPr="00555066">
        <w:t>47</w:t>
      </w:r>
      <w:r w:rsidRPr="007355AE">
        <w:rPr>
          <w:rStyle w:val="HideTWBExt"/>
          <w:b w:val="0"/>
          <w:noProof w:val="0"/>
        </w:rPr>
        <w:t>&lt;/RangeAM&gt;</w:t>
      </w:r>
    </w:p>
    <w:p w:rsidR="001C2054" w:rsidRPr="007355AE" w:rsidRDefault="00A15973" w:rsidP="00A93F8C">
      <w:pPr>
        <w:pStyle w:val="CoverBold"/>
      </w:pPr>
      <w:r w:rsidRPr="007355AE">
        <w:rPr>
          <w:rStyle w:val="HideTWBExt"/>
          <w:b w:val="0"/>
          <w:noProof w:val="0"/>
        </w:rPr>
        <w:t>&lt;TitreType&gt;</w:t>
      </w:r>
      <w:r w:rsidR="007355AE" w:rsidRPr="007355AE">
        <w:t>Projeto de relatório</w:t>
      </w:r>
      <w:r w:rsidRPr="007355AE">
        <w:rPr>
          <w:rStyle w:val="HideTWBExt"/>
          <w:b w:val="0"/>
          <w:noProof w:val="0"/>
        </w:rPr>
        <w:t>&lt;/TitreType&gt;</w:t>
      </w:r>
    </w:p>
    <w:p w:rsidR="00B85286" w:rsidRPr="007355AE" w:rsidRDefault="00E25DC5" w:rsidP="00A93F8C">
      <w:pPr>
        <w:pStyle w:val="CoverBold"/>
      </w:pPr>
      <w:r w:rsidRPr="007355AE">
        <w:rPr>
          <w:rStyle w:val="HideTWBExt"/>
          <w:b w:val="0"/>
          <w:noProof w:val="0"/>
        </w:rPr>
        <w:t>&lt;Rapporteur&gt;</w:t>
      </w:r>
      <w:r w:rsidR="00555066" w:rsidRPr="00555066">
        <w:t>Thomas Bajada</w:t>
      </w:r>
      <w:r w:rsidRPr="007355AE">
        <w:rPr>
          <w:rStyle w:val="HideTWBExt"/>
          <w:b w:val="0"/>
          <w:noProof w:val="0"/>
        </w:rPr>
        <w:t>&lt;/Rapporteur&gt;</w:t>
      </w:r>
    </w:p>
    <w:p w:rsidR="00B85286" w:rsidRPr="007355AE" w:rsidRDefault="00075DBE">
      <w:pPr>
        <w:pStyle w:val="CoverNormal24a"/>
      </w:pPr>
      <w:r w:rsidRPr="007355AE">
        <w:rPr>
          <w:rStyle w:val="HideTWBExt"/>
          <w:noProof w:val="0"/>
        </w:rPr>
        <w:t>&lt;DocRefPE&gt;</w:t>
      </w:r>
      <w:r w:rsidR="007355AE" w:rsidRPr="007355AE">
        <w:t>(PE</w:t>
      </w:r>
      <w:r w:rsidR="00555066" w:rsidRPr="00555066">
        <w:t>766.000</w:t>
      </w:r>
      <w:r w:rsidR="007355AE" w:rsidRPr="007355AE">
        <w:t>v</w:t>
      </w:r>
      <w:r w:rsidR="00555066" w:rsidRPr="00555066">
        <w:t>01</w:t>
      </w:r>
      <w:r w:rsidR="004C6A1C">
        <w:noBreakHyphen/>
      </w:r>
      <w:r w:rsidR="00555066" w:rsidRPr="00555066">
        <w:t>00</w:t>
      </w:r>
      <w:r w:rsidR="007355AE" w:rsidRPr="007355AE">
        <w:t>)</w:t>
      </w:r>
      <w:r w:rsidRPr="007355AE">
        <w:rPr>
          <w:rStyle w:val="HideTWBExt"/>
          <w:noProof w:val="0"/>
        </w:rPr>
        <w:t>&lt;/DocRefPE&gt;</w:t>
      </w:r>
    </w:p>
    <w:p w:rsidR="00B85286" w:rsidRPr="007355AE" w:rsidRDefault="00A15973" w:rsidP="00555066">
      <w:pPr>
        <w:pStyle w:val="CoverNormal24a"/>
      </w:pPr>
      <w:r w:rsidRPr="007355AE">
        <w:rPr>
          <w:rStyle w:val="HideTWBExt"/>
          <w:noProof w:val="0"/>
        </w:rPr>
        <w:t>&lt;Titre&gt;</w:t>
      </w:r>
      <w:r w:rsidR="00555066">
        <w:t>Proposta de regulamento do Parlamento Europeu e do Conselho que altera o Regulamento (UE) n.º 1026/2012 relativo a certas medidas para efeitos da conservação das unidades populacionais de peixes em relação aos países que permitem a pesca não sustentável</w:t>
      </w:r>
      <w:r w:rsidRPr="007355AE">
        <w:rPr>
          <w:rStyle w:val="HideTWBExt"/>
          <w:noProof w:val="0"/>
        </w:rPr>
        <w:t>&lt;/Titre&gt;</w:t>
      </w:r>
    </w:p>
    <w:p w:rsidR="006337D4" w:rsidRPr="007355AE" w:rsidRDefault="00E25DC5" w:rsidP="006337D4">
      <w:pPr>
        <w:pStyle w:val="CoverNormal"/>
      </w:pPr>
      <w:r w:rsidRPr="007355AE">
        <w:rPr>
          <w:rStyle w:val="HideTWBExt"/>
          <w:noProof w:val="0"/>
        </w:rPr>
        <w:t>&lt;DocAmend&gt;</w:t>
      </w:r>
      <w:r w:rsidR="00555066">
        <w:t>Proposta de regulamento</w:t>
      </w:r>
      <w:r w:rsidRPr="007355AE">
        <w:rPr>
          <w:rStyle w:val="HideTWBExt"/>
          <w:noProof w:val="0"/>
        </w:rPr>
        <w:t>&lt;/DocAmend&gt;</w:t>
      </w:r>
    </w:p>
    <w:p w:rsidR="00B85286" w:rsidRPr="007355AE" w:rsidRDefault="00A15973">
      <w:pPr>
        <w:pStyle w:val="CoverNormal24a"/>
      </w:pPr>
      <w:r w:rsidRPr="007355AE">
        <w:rPr>
          <w:rStyle w:val="HideTWBExt"/>
          <w:noProof w:val="0"/>
        </w:rPr>
        <w:t>&lt;DocRef&gt;</w:t>
      </w:r>
      <w:r w:rsidR="007355AE" w:rsidRPr="007355AE">
        <w:t>(</w:t>
      </w:r>
      <w:r w:rsidR="00555066">
        <w:t>COM</w:t>
      </w:r>
      <w:r w:rsidR="00555066" w:rsidRPr="00555066">
        <w:t>(2024)0407</w:t>
      </w:r>
      <w:r w:rsidR="007355AE" w:rsidRPr="007355AE">
        <w:t xml:space="preserve"> </w:t>
      </w:r>
      <w:r w:rsidR="00555066">
        <w:t>–</w:t>
      </w:r>
      <w:r w:rsidR="007355AE" w:rsidRPr="007355AE">
        <w:t xml:space="preserve"> </w:t>
      </w:r>
      <w:r w:rsidR="00555066">
        <w:t>C10</w:t>
      </w:r>
      <w:r w:rsidR="004C6A1C">
        <w:noBreakHyphen/>
      </w:r>
      <w:r w:rsidR="00555066" w:rsidRPr="00555066">
        <w:t>0098/2024</w:t>
      </w:r>
      <w:r w:rsidR="007355AE" w:rsidRPr="007355AE">
        <w:t xml:space="preserve"> </w:t>
      </w:r>
      <w:r w:rsidR="00555066">
        <w:t>–</w:t>
      </w:r>
      <w:r w:rsidR="007355AE" w:rsidRPr="007355AE">
        <w:t xml:space="preserve"> </w:t>
      </w:r>
      <w:r w:rsidR="00555066" w:rsidRPr="00555066">
        <w:t>2024/0224</w:t>
      </w:r>
      <w:r w:rsidR="007355AE" w:rsidRPr="007355AE">
        <w:t>(</w:t>
      </w:r>
      <w:r w:rsidR="00555066">
        <w:t>COD</w:t>
      </w:r>
      <w:r w:rsidR="007355AE" w:rsidRPr="007355AE">
        <w:t>))</w:t>
      </w:r>
      <w:r w:rsidRPr="007355AE">
        <w:rPr>
          <w:rStyle w:val="HideTWBExt"/>
          <w:noProof w:val="0"/>
        </w:rPr>
        <w:t>&lt;/DocRef&gt;</w:t>
      </w:r>
    </w:p>
    <w:p w:rsidR="00B85286" w:rsidRPr="007355AE" w:rsidRDefault="00B85286" w:rsidP="00E660E2">
      <w:pPr>
        <w:widowControl/>
        <w:tabs>
          <w:tab w:val="center" w:pos="4677"/>
        </w:tabs>
      </w:pPr>
      <w:r w:rsidRPr="007355AE">
        <w:br w:type="page"/>
      </w:r>
      <w:r w:rsidR="007355AE" w:rsidRPr="007355AE">
        <w:lastRenderedPageBreak/>
        <w:t>AM_Com_LegReport</w:t>
      </w:r>
    </w:p>
    <w:p w:rsidR="00555066" w:rsidRPr="007355AE" w:rsidRDefault="00B85286" w:rsidP="00555066">
      <w:pPr>
        <w:pStyle w:val="AmNumberTabs"/>
        <w:keepNext/>
      </w:pPr>
      <w:r w:rsidRPr="007355AE">
        <w:br w:type="page"/>
      </w:r>
      <w:bookmarkStart w:id="1" w:name="EndA"/>
    </w:p>
    <w:p w:rsidR="004C6A1C" w:rsidRPr="00032BD6" w:rsidRDefault="004C6A1C" w:rsidP="004C6A1C">
      <w:pPr>
        <w:pStyle w:val="AMNumberTabs0"/>
        <w:keepNext/>
      </w:pPr>
      <w:r w:rsidRPr="004C6A1C">
        <w:rPr>
          <w:rStyle w:val="HideTWBExt"/>
          <w:b w:val="0"/>
        </w:rPr>
        <w:lastRenderedPageBreak/>
        <w:t>&lt;RepeatBlock-Amend&gt;</w:t>
      </w:r>
      <w:r w:rsidR="00555066" w:rsidRPr="00032BD6">
        <w:rPr>
          <w:rStyle w:val="HideTWBExt"/>
          <w:b w:val="0"/>
          <w:lang w:val="en-GB"/>
        </w:rPr>
        <w:t>&lt;Amend&gt;</w:t>
      </w:r>
      <w:bookmarkEnd w:id="1"/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22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Eric Sargiacomo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Considerando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(1)</w:t>
            </w:r>
            <w:r>
              <w:tab/>
              <w:t>Em conformidade com a Convenção das Nações Unidas sobre o Direito do Mar, de 10 de dezembro de 1982</w:t>
            </w:r>
            <w:r>
              <w:rPr>
                <w:vertAlign w:val="superscript"/>
              </w:rPr>
              <w:t>1</w:t>
            </w:r>
            <w:r>
              <w:t xml:space="preserve"> («UNCLOS») e com o Acordo relativo à Aplicação das Disposições da Convenção das Nações Unidas sobre o Direito do Mar, de 10 de dezembro de 1982, respeitantes à Conservação e Gestão das Populações de Peixes Transzonais e das Populações de Peixes altamente Migradores, de 4 de agosto de 1995</w:t>
            </w:r>
            <w:r>
              <w:rPr>
                <w:vertAlign w:val="superscript"/>
              </w:rPr>
              <w:t>2</w:t>
            </w:r>
            <w:r>
              <w:t xml:space="preserve"> («UNFSA»), a gestão de determinadas unidades populacionais de peixes transzonais e altamente migradores exige a cooperação de todos os países cujas frotas explorem essas unidades populacionais.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(1)</w:t>
            </w:r>
            <w:r>
              <w:tab/>
              <w:t>Em conformidade com a Convenção das Nações Unidas sobre o Direito do Mar, de 10 de dezembro de 1982</w:t>
            </w:r>
            <w:r>
              <w:rPr>
                <w:vertAlign w:val="superscript"/>
              </w:rPr>
              <w:t>1</w:t>
            </w:r>
            <w:r>
              <w:t xml:space="preserve"> («UNCLOS») e com o Acordo relativo à Aplicação das Disposições da Convenção das Nações Unidas sobre o Direito do Mar, de 10 de dezembro de 1982, respeitantes à Conservação e Gestão das Populações de Peixes Transzonais e das Populações de Peixes altamente Migradores, de 4 de agosto de 1995</w:t>
            </w:r>
            <w:r>
              <w:rPr>
                <w:vertAlign w:val="superscript"/>
              </w:rPr>
              <w:t>2</w:t>
            </w:r>
            <w:r>
              <w:t xml:space="preserve"> («UNFSA»), a gestão de determinadas unidades populacionais de peixes transzonais e altamente migradores exige a cooperação de todos os países cujas frotas explorem essas unidades populacionais. </w:t>
            </w:r>
            <w:r>
              <w:rPr>
                <w:b/>
                <w:i/>
              </w:rPr>
              <w:t>Essa cooperação pode igualmente ser estabele</w:t>
            </w:r>
            <w:r>
              <w:rPr>
                <w:b/>
                <w:i/>
              </w:rPr>
              <w:t>cida no âmbito do Acordo da FAO</w:t>
            </w:r>
            <w:r>
              <w:rPr>
                <w:b/>
                <w:i/>
              </w:rPr>
              <w:t>, de 5 de junho de 2016, sobre medidas dos Estados do porto destinadas a prevenir, impedir e eliminar a pesca ilegal, não declarada e não regulamentada (AMEP).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rPr>
                <w:vertAlign w:val="superscript"/>
              </w:rPr>
              <w:t>1</w:t>
            </w:r>
            <w:r>
              <w:t xml:space="preserve"> Convenção das Nações Unidas sobre o Direito do Mar</w:t>
            </w:r>
            <w:r>
              <w:rPr>
                <w:b/>
                <w:i/>
              </w:rPr>
              <w:t>,</w:t>
            </w:r>
            <w:r>
              <w:t xml:space="preserve"> JO L 179 de 23.6.1998, p. 3, ELI: http://data.europa.eu/eli/convention/1998/392/oj.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</w:t>
            </w:r>
            <w:r>
              <w:t xml:space="preserve"> Convenção das Nações Unidas sobre o Direito do Mar </w:t>
            </w:r>
            <w:r>
              <w:rPr>
                <w:b/>
                <w:i/>
              </w:rPr>
              <w:t>(</w:t>
            </w:r>
            <w:r>
              <w:t>JO L 179 de 23.6.1998, p. 3, ELI: http://data.europa.eu/eli/convention/1998/392/oj</w:t>
            </w:r>
            <w:r>
              <w:rPr>
                <w:b/>
                <w:i/>
              </w:rPr>
              <w:t>)</w:t>
            </w:r>
            <w:r>
              <w:t>.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rPr>
                <w:vertAlign w:val="superscript"/>
              </w:rPr>
              <w:t>2</w:t>
            </w:r>
            <w:r>
              <w:t xml:space="preserve"> Acordo relativo à aplicação das disposições da Convenção das Nações Unidas sobre o direito do mar, de 10 de dezembro de 1982, respeitantes à conservação e gestão das populações de peixes transzonais e das populações de peixes altamente migradores</w:t>
            </w:r>
            <w:r>
              <w:rPr>
                <w:b/>
                <w:i/>
              </w:rPr>
              <w:t>,</w:t>
            </w:r>
            <w:r>
              <w:t xml:space="preserve"> JO L 189 de 3.7.1998, p. 17.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2</w:t>
            </w:r>
            <w:r>
              <w:t xml:space="preserve"> Acordo relativo à aplicação das disposições da Convenção das Nações Unidas sobre o direito do mar, de 10 de dezembro de 1982, respeitantes à conservação e gestão das populações de peixes transzonais e das populações de peixes altamente migradores </w:t>
            </w:r>
            <w:r>
              <w:rPr>
                <w:b/>
                <w:i/>
              </w:rPr>
              <w:t>(</w:t>
            </w:r>
            <w:r>
              <w:t>JO L 189 de 3.7.1998, p. 17</w:t>
            </w:r>
            <w:r>
              <w:rPr>
                <w:b/>
                <w:i/>
              </w:rPr>
              <w:t>)</w:t>
            </w:r>
            <w:r>
              <w:t>.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{FR}</w:t>
      </w:r>
      <w:r w:rsidRPr="00032BD6">
        <w:rPr>
          <w:sz w:val="24"/>
          <w:szCs w:val="24"/>
        </w:rPr>
        <w:t>fr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23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Considerando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(2)</w:t>
            </w:r>
            <w:r>
              <w:tab/>
              <w:t>O Regulamento (UE) n.º 1026/2012 do Parlamento Europeu e do Conselho</w:t>
            </w:r>
            <w:r>
              <w:rPr>
                <w:vertAlign w:val="superscript"/>
              </w:rPr>
              <w:t>3</w:t>
            </w:r>
            <w:r>
              <w:t xml:space="preserve"> estabelece um quadro para possibilitar a identificação dos países terceiros que não cooperam e que permitem a pesca não sustentável de uma unidade populacional de interesse comum para a União, bem como a adoção de medidas em relação a tais países.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i/>
              </w:rPr>
              <w:t>(Não se aplica à versão portuguesa.)</w:t>
            </w:r>
            <w:r>
              <w:tab/>
              <w:t xml:space="preserve"> 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 xml:space="preserve"> 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rPr>
                <w:vertAlign w:val="superscript"/>
              </w:rPr>
              <w:t>3</w:t>
            </w:r>
            <w:r>
              <w:t xml:space="preserve"> Regulamento (UE) n.º 1026/2012 do Parlamento Europeu e do Conselho, de 25 de outubro de 2012, relativo a certas medidas para efeitos da conservação das unidades populacionais de peixes em relação aos países que permitem a pesca não sustentável (JO L 316 de 14.11.2012, p. 34, ELI: http://data.europa.eu/eli/reg/2012/1026/oj.)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 xml:space="preserve">   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  <w:lang w:val="es-ES"/>
        </w:rPr>
      </w:pPr>
      <w:r w:rsidRPr="00032BD6">
        <w:rPr>
          <w:sz w:val="24"/>
          <w:szCs w:val="24"/>
          <w:lang w:val="es-ES"/>
        </w:rPr>
        <w:t xml:space="preserve">Or. </w:t>
      </w:r>
      <w:r w:rsidRPr="00032BD6">
        <w:rPr>
          <w:rStyle w:val="HideTWBExt"/>
          <w:lang w:val="es-ES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  <w:lang w:val="es-ES"/>
        </w:rPr>
        <w:t>{EN}</w:t>
      </w:r>
      <w:r w:rsidRPr="00032BD6">
        <w:rPr>
          <w:sz w:val="24"/>
          <w:szCs w:val="24"/>
          <w:lang w:val="es-ES"/>
        </w:rPr>
        <w:t>en</w:t>
      </w:r>
      <w:r w:rsidRPr="00032BD6">
        <w:rPr>
          <w:rStyle w:val="HideTWBExt"/>
          <w:lang w:val="es-ES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  <w:lang w:val="es-ES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s-ES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s-ES"/>
        </w:rPr>
        <w:t>&lt;NumAm&gt;</w:t>
      </w:r>
      <w:r>
        <w:t>24</w:t>
      </w:r>
      <w:r>
        <w:rPr>
          <w:rStyle w:val="HideTWBExt"/>
          <w:b w:val="0"/>
          <w:lang w:val="es-ES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  <w:lang w:val="es-ES"/>
        </w:rPr>
        <w:t>&lt;RepeatBlock-By&gt;&lt;Members&gt;</w:t>
      </w:r>
      <w:r>
        <w:t>Marco Falcone</w:t>
      </w:r>
      <w:r>
        <w:rPr>
          <w:rStyle w:val="HideTWBExt"/>
          <w:b w:val="0"/>
          <w:lang w:val="es-ES"/>
        </w:rPr>
        <w:t>&lt;/Members&gt;</w:t>
      </w:r>
    </w:p>
    <w:p w:rsidR="004C6A1C" w:rsidRPr="00032BD6" w:rsidRDefault="004C6A1C" w:rsidP="004C6A1C">
      <w:r>
        <w:rPr>
          <w:rStyle w:val="HideTWBExt"/>
          <w:lang w:val="es-ES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Considerando 2</w:t>
      </w:r>
      <w:r>
        <w:noBreakHyphen/>
      </w:r>
      <w:r>
        <w:t>A (novo)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(2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>Em especial, a bacia do Mediterrâneo apresenta desafios específicos, relacionados com a gestão sustentável das unidades populacionais de peixes. A ausência de medidas adequadas em matéria de sustentabilidade por parte das frotas dos países do Norte de África conduz a uma distorção significativa da concorrência, penalizando os operadores europeus que cumprem elevadas normas de conservação, como acontece, por exemplo, no estreito da Sicília, onde a competitividade e a sustentabilidade das unidades populacionais de peixes estão particularmente em risco, devido às práticas de pesca não regulamentada, levadas a cabo por estas frotas do Norte de África.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{IT}</w:t>
      </w:r>
      <w:r w:rsidRPr="00032BD6">
        <w:rPr>
          <w:sz w:val="24"/>
          <w:szCs w:val="24"/>
        </w:rPr>
        <w:t>it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25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Eric Sargiacomo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Considerando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(3)</w:t>
            </w:r>
            <w:r>
              <w:tab/>
              <w:t xml:space="preserve">Em conformidade com o Regulamento (UE) n.º 1026/2012, um país pode ser identificado como país que permite a pesca não sustentável se, nomeadamente, não cooperar na gestão de uma unidade populacional de interesse comum cumprindo integralmente as disposições da UNCLOS e do </w:t>
            </w:r>
            <w:r>
              <w:rPr>
                <w:b/>
                <w:i/>
              </w:rPr>
              <w:t>UNFSA</w:t>
            </w:r>
            <w:r>
              <w:t xml:space="preserve"> ou de quaisquer outros acordos internacionais ou normas do direito internacional, e se não adotar as medidas necessárias de gestão da pesca.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(3)</w:t>
            </w:r>
            <w:r>
              <w:tab/>
              <w:t>Em conformidade com o Regulamento (UE) n.º 1026/2012, um país pode ser identificado como país que permite a pesca não sustentável se, nomeadamente, não cooperar na gestão de uma unidade populacional de interesse comum cumprindo integralmente as disposições da UNCLOS</w:t>
            </w:r>
            <w:r>
              <w:rPr>
                <w:b/>
                <w:i/>
              </w:rPr>
              <w:t>, do UNFSA</w:t>
            </w:r>
            <w:r>
              <w:t xml:space="preserve"> e do </w:t>
            </w:r>
            <w:r>
              <w:rPr>
                <w:b/>
                <w:i/>
              </w:rPr>
              <w:t>AMEP</w:t>
            </w:r>
            <w:r>
              <w:t xml:space="preserve"> ou de quaisquer outros acordos internacionais ou normas do direito internacional, e se não adotar as medidas necessárias de gestão da pesca.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{FR}</w:t>
      </w:r>
      <w:r w:rsidRPr="00032BD6">
        <w:rPr>
          <w:sz w:val="24"/>
          <w:szCs w:val="24"/>
        </w:rPr>
        <w:t>fr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26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Considerando 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(4)</w:t>
            </w:r>
            <w:r>
              <w:tab/>
              <w:t xml:space="preserve">É conveniente introduzir </w:t>
            </w:r>
            <w:r>
              <w:rPr>
                <w:b/>
                <w:i/>
              </w:rPr>
              <w:t>uma definição</w:t>
            </w:r>
            <w:r>
              <w:t xml:space="preserve"> de «não cooperação», a fim de melhor definir, para efeitos do Regulamento (UE) n.º 1026/2012, o âmbito e o significado do requisito de cooperação nos termos da UNCLOS e do UNFSA.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(4)</w:t>
            </w:r>
            <w:r>
              <w:tab/>
              <w:t xml:space="preserve">É conveniente introduzir </w:t>
            </w:r>
            <w:r>
              <w:rPr>
                <w:b/>
                <w:i/>
              </w:rPr>
              <w:t>definições</w:t>
            </w:r>
            <w:r>
              <w:t xml:space="preserve"> de «não cooperação»</w:t>
            </w:r>
            <w:r>
              <w:rPr>
                <w:b/>
                <w:i/>
              </w:rPr>
              <w:t xml:space="preserve"> e de «abordagem de precaução à gestão das pescas»</w:t>
            </w:r>
            <w:r>
              <w:t>, a fim de melhor definir, para efeitos do Regulamento (UE) n.º 1026/2012, o âmbito e o significado do requisito de cooperação nos termos da UNCLOS e do UNFSA.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27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Considerando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(5)</w:t>
            </w:r>
            <w:r>
              <w:tab/>
              <w:t>Há igualmente que clarificar que os países que não aplicam as medidas necessárias de gestão da pesca podem ser considerados como países que permitem a pesca não sustentável e que tais medidas incluem medidas de controlo.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(5)</w:t>
            </w:r>
            <w:r>
              <w:tab/>
              <w:t>Há igualmente que clarificar que os países que não aplicam</w:t>
            </w:r>
            <w:r>
              <w:rPr>
                <w:b/>
                <w:i/>
              </w:rPr>
              <w:t>, cumprem ou implementam</w:t>
            </w:r>
            <w:r>
              <w:t xml:space="preserve"> as medidas necessárias de gestão da pesca podem ser considerados como países que permitem a pesca não sustentável e que tais medidas incluem medidas de controlo</w:t>
            </w:r>
            <w:r>
              <w:rPr>
                <w:b/>
                <w:i/>
              </w:rPr>
              <w:t xml:space="preserve"> e conservação, incluindo medidas adotadas no quadro de uma ORGP</w:t>
            </w:r>
            <w:r>
              <w:t>.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28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Eric Sargiacomo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Considerando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(5)</w:t>
            </w:r>
            <w:r>
              <w:tab/>
              <w:t>Há igualmente que clarificar que os países que não aplicam as medidas necessárias de gestão da pesca podem ser considerados como países que permitem a pesca não sustentável</w:t>
            </w:r>
            <w:r>
              <w:rPr>
                <w:b/>
                <w:i/>
              </w:rPr>
              <w:t xml:space="preserve"> e que tais</w:t>
            </w:r>
            <w:r>
              <w:t xml:space="preserve"> medidas </w:t>
            </w:r>
            <w:r>
              <w:rPr>
                <w:b/>
                <w:i/>
              </w:rPr>
              <w:t>incluem medidas de controlo</w:t>
            </w:r>
            <w:r>
              <w:t>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(5)</w:t>
            </w:r>
            <w:r>
              <w:tab/>
              <w:t xml:space="preserve">Há igualmente que clarificar que os países que não aplicam as medidas necessárias de gestão </w:t>
            </w:r>
            <w:r>
              <w:rPr>
                <w:b/>
                <w:i/>
              </w:rPr>
              <w:t xml:space="preserve">e de controlo </w:t>
            </w:r>
            <w:r>
              <w:t>da pesca podem ser considerados como países que permitem a pesca não sustentável</w:t>
            </w:r>
            <w:r>
              <w:rPr>
                <w:b/>
                <w:i/>
              </w:rPr>
              <w:t>, nomeadamente no âmbito das ORGP ou do Acordo sobre</w:t>
            </w:r>
            <w:r>
              <w:t xml:space="preserve"> Medidas </w:t>
            </w:r>
            <w:r>
              <w:rPr>
                <w:b/>
                <w:i/>
              </w:rPr>
              <w:t>dos Estados do Porto</w:t>
            </w:r>
            <w:r>
              <w:t>.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{FR}</w:t>
      </w:r>
      <w:r w:rsidRPr="00032BD6">
        <w:rPr>
          <w:sz w:val="24"/>
          <w:szCs w:val="24"/>
        </w:rPr>
        <w:t>fr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29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 xml:space="preserve">Artigo 1 – parágrafo 1 – ponto </w:t>
      </w:r>
      <w:r>
        <w:noBreakHyphen/>
      </w:r>
      <w:r>
        <w:t>1 (novo)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2 – parágrafo 1 – alínea f)</w:t>
      </w:r>
      <w:r>
        <w:rPr>
          <w:rStyle w:val="HideTWBExt"/>
          <w:lang w:val="fr-FR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em vigor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1)</w:t>
            </w:r>
            <w:r>
              <w:rPr>
                <w:b/>
                <w:i/>
              </w:rPr>
              <w:tab/>
              <w:t>No artigo 2.º, a alínea f) passa a ter a seguinte redação: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rPr>
                <w:b/>
                <w:i/>
              </w:rPr>
              <w:t>f</w:t>
            </w:r>
            <w:r>
              <w:t>) «Estado não sustentável», uma situação em que uma unidade populacional não é mantida continuamente a níveis iguais ou superiores aos que podem produzir o rendimento máximo sustentável ou, se esses níveis não puderem ser estimados, numa situação em que uma unidade populacional não é mantida continuamente dentro de limites biológicos seguros. Os níveis que determinam se a unidade populacional se encontra num estado não sustentável devem ser estabelecidos com base nos melhores pareceres científicos disponíveis;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«f</w:t>
            </w:r>
            <w:r>
              <w:t>) «Estado não sustentável», uma situação em que uma unidade populacional não é mantida continuamente a níveis iguais ou superiores aos que podem produzir o rendimento máximo sustentável ou, se esses níveis não puderem ser estimados, numa situação em que uma unidade populacional não é mantida continuamente dentro de limites biológicos seguros</w:t>
            </w:r>
            <w:r>
              <w:rPr>
                <w:b/>
                <w:i/>
              </w:rPr>
              <w:t>, em conformidade com a abordagem de precaução à gestão das pescas</w:t>
            </w:r>
            <w:r>
              <w:t>. Os níveis que determinam se a unidade populacional se encontra num estado não sustentável devem ser estabelecidos com base nos melhores pareceres científicos disponíveis;</w:t>
            </w:r>
            <w:r>
              <w:rPr>
                <w:b/>
                <w:i/>
              </w:rPr>
              <w:t>»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pStyle w:val="CrossRef"/>
      </w:pPr>
      <w:r>
        <w:t>(32012R1026)</w:t>
      </w:r>
    </w:p>
    <w:p w:rsidR="004C6A1C" w:rsidRPr="00032BD6" w:rsidRDefault="004C6A1C" w:rsidP="004C6A1C"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30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parte introdutória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(1)</w:t>
            </w:r>
            <w:r>
              <w:tab/>
              <w:t xml:space="preserve">Ao artigo 2.°, </w:t>
            </w:r>
            <w:r>
              <w:rPr>
                <w:b/>
                <w:i/>
              </w:rPr>
              <w:t>é aditada a seguinte alínea i)</w:t>
            </w:r>
            <w:r>
              <w:t>: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(1)</w:t>
            </w:r>
            <w:r>
              <w:tab/>
              <w:t xml:space="preserve">Ao artigo 2.°, </w:t>
            </w:r>
            <w:r>
              <w:rPr>
                <w:b/>
                <w:i/>
              </w:rPr>
              <w:t>são aditadas as seguintes alíneas</w:t>
            </w:r>
            <w:r>
              <w:t>: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31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Artigo 1 – parágrafo 1 – ponto 1</w:t>
      </w:r>
      <w:r>
        <w:rPr>
          <w:rStyle w:val="HideTWBExt"/>
          <w:b w:val="0"/>
          <w:lang w:val="fr-FR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  <w:lang w:val="fr-FR"/>
        </w:rPr>
        <w:t>&lt;DocAmend2&gt;</w:t>
      </w:r>
      <w:r>
        <w:t>Regulamento (UE) n.º 1026/2012</w:t>
      </w:r>
      <w:r>
        <w:rPr>
          <w:rStyle w:val="HideTWBExt"/>
          <w:lang w:val="fr-FR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2 – parágrafo 1 – alínea h</w:t>
      </w:r>
      <w:r>
        <w:noBreakHyphen/>
      </w:r>
      <w:r>
        <w:t>A) (nova)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h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A) «Abordagem de precaução à gestão das pescas», tal como referido no artigo 6.º do Acordo das Nações Unidas relativo às populações de peixes e como definido no artigo 4.º do Regulamento n.º 1380/2013, uma abordagem segundo a qual a ausência de informações científicas adequadas não deve servir de justificação para adiar ou não adotar medidas de gestão destinadas a conservar as espécies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alvo, as espécies associadas ou dependentes e as espécies não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alvo e o seu ambiente;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pStyle w:val="JustificationTitle"/>
        <w:rPr>
          <w:noProof w:val="0"/>
        </w:rPr>
      </w:pPr>
      <w:r>
        <w:rPr>
          <w:rStyle w:val="HideTWBExt"/>
          <w:i w:val="0"/>
          <w:lang w:val="en-GB"/>
        </w:rPr>
        <w:t>&lt;TitreJust&gt;</w:t>
      </w:r>
      <w:r>
        <w:t>Justificação</w:t>
      </w:r>
      <w:r>
        <w:rPr>
          <w:rStyle w:val="HideTWBExt"/>
          <w:i w:val="0"/>
          <w:lang w:val="en-GB"/>
        </w:rPr>
        <w:t>&lt;/TitreJust&gt;</w:t>
      </w:r>
    </w:p>
    <w:p w:rsidR="004C6A1C" w:rsidRPr="00032BD6" w:rsidRDefault="004C6A1C" w:rsidP="004C6A1C">
      <w:pPr>
        <w:pStyle w:val="Normal12Italic"/>
        <w:rPr>
          <w:noProof w:val="0"/>
        </w:rPr>
      </w:pPr>
      <w:r>
        <w:t>Esta definição da abordagem de precaução está em linha com o Acordo das Nações Unidas relativo às populações de peixes e o regulamento de base da PCP.https://www.un.org/depts/los/convention_agreements/texts/fish_stocks_agreement/CONF164_37.htm</w:t>
      </w:r>
    </w:p>
    <w:p w:rsidR="004C6A1C" w:rsidRPr="00032BD6" w:rsidRDefault="004C6A1C" w:rsidP="004C6A1C"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32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1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2 – parágrafo 1 – alínea i) – ponto 4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(4)</w:t>
            </w:r>
            <w:r>
              <w:tab/>
              <w:t>Atrasos injustificados;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(4)</w:t>
            </w:r>
            <w:r>
              <w:tab/>
              <w:t>Atrasos injustificados</w:t>
            </w:r>
            <w:r>
              <w:rPr>
                <w:b/>
                <w:i/>
              </w:rPr>
              <w:t>, nomeadamente na resposta aos pedidos e/ou na realização de consultas</w:t>
            </w:r>
            <w:r>
              <w:t>;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33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Sander Smit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1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</w:rPr>
        <w:t>&lt;Article2&gt;</w:t>
      </w:r>
      <w:r>
        <w:t>Artigo 2 – parágrafo 1 – alínea i) – ponto 8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(8)</w:t>
            </w:r>
            <w:r>
              <w:tab/>
            </w:r>
            <w:r>
              <w:rPr>
                <w:b/>
                <w:i/>
              </w:rPr>
              <w:t>Reiteração</w:t>
            </w:r>
            <w:r>
              <w:t xml:space="preserve"> sistemática das suas próprias posições;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(8)</w:t>
            </w:r>
            <w:r>
              <w:tab/>
            </w:r>
            <w:r>
              <w:rPr>
                <w:b/>
                <w:i/>
              </w:rPr>
              <w:t>Manutenção</w:t>
            </w:r>
            <w:r>
              <w:t xml:space="preserve"> sistemática das suas próprias posições</w:t>
            </w:r>
            <w:r>
              <w:rPr>
                <w:b/>
                <w:i/>
              </w:rPr>
              <w:t xml:space="preserve"> durante um período alargado, independentemente das flexibilidades e concessões oferecidas por outras partes durante as consultas</w:t>
            </w:r>
            <w:r>
              <w:t>;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34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Artigo 1 – parágrafo 1 – ponto 1</w:t>
      </w:r>
      <w:r>
        <w:rPr>
          <w:rStyle w:val="HideTWBExt"/>
          <w:b w:val="0"/>
          <w:lang w:val="fr-FR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  <w:lang w:val="fr-FR"/>
        </w:rPr>
        <w:t>&lt;DocAmend2&gt;</w:t>
      </w:r>
      <w:r>
        <w:t>Regulamento (UE) n.º 1026/2012</w:t>
      </w:r>
      <w:r>
        <w:rPr>
          <w:rStyle w:val="HideTWBExt"/>
          <w:lang w:val="fr-FR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2 – parágrafo 1 – alínea i) – ponto 8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(8)</w:t>
            </w:r>
            <w:r>
              <w:tab/>
              <w:t>Reiteração sistemática das suas próprias posições;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i/>
              </w:rPr>
              <w:t>(Não se aplica à versão portuguesa.)</w:t>
            </w:r>
            <w:r>
              <w:tab/>
              <w:t xml:space="preserve"> 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35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Artigo 1 – parágrafo 1 – ponto 1</w:t>
      </w:r>
      <w:r>
        <w:rPr>
          <w:rStyle w:val="HideTWBExt"/>
          <w:b w:val="0"/>
          <w:lang w:val="fr-FR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  <w:lang w:val="fr-FR"/>
        </w:rPr>
        <w:t>&lt;DocAmend2&gt;</w:t>
      </w:r>
      <w:r>
        <w:t>Regulamento (UE) n.º 1026/2012</w:t>
      </w:r>
      <w:r>
        <w:rPr>
          <w:rStyle w:val="HideTWBExt"/>
          <w:lang w:val="fr-FR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2 – parágrafo 1 – alínea i) – ponto 9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(9)</w:t>
            </w:r>
            <w:r>
              <w:tab/>
              <w:t>Recusa da tomada em consideração dos melhores pareceres científicos disponíveis</w:t>
            </w:r>
            <w:r>
              <w:rPr>
                <w:b/>
                <w:i/>
              </w:rPr>
              <w:t xml:space="preserve"> sobre a ou as unidades populacionais em causa</w:t>
            </w:r>
            <w:r>
              <w:t>;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(9)</w:t>
            </w:r>
            <w:r>
              <w:tab/>
              <w:t>Recusa da tomada em consideração dos melhores pareceres científicos disponíveis;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36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Sander Smit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1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2 – parágrafo 1 – alínea i) – ponto 10</w:t>
      </w:r>
      <w:r>
        <w:noBreakHyphen/>
      </w:r>
      <w:r>
        <w:t>B (novo)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(10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B)</w:t>
            </w:r>
            <w:r>
              <w:rPr>
                <w:b/>
                <w:i/>
              </w:rPr>
              <w:tab/>
              <w:t>Aplicação de medidas discriminatórias que afetam as frotas de países terceiros, concedendo simultaneamente uma isenção parcial ou total dessas medidas à sua própria frota;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  <w:lang w:val="nl-NL"/>
        </w:rPr>
      </w:pPr>
      <w:r w:rsidRPr="00032BD6">
        <w:rPr>
          <w:sz w:val="24"/>
          <w:szCs w:val="24"/>
          <w:lang w:val="nl-NL"/>
        </w:rPr>
        <w:t xml:space="preserve">Or. </w:t>
      </w:r>
      <w:r w:rsidRPr="00032BD6">
        <w:rPr>
          <w:rStyle w:val="HideTWBExt"/>
          <w:lang w:val="nl-NL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  <w:lang w:val="nl-NL"/>
        </w:rPr>
        <w:t>{EN}</w:t>
      </w:r>
      <w:r w:rsidRPr="00032BD6">
        <w:rPr>
          <w:sz w:val="24"/>
          <w:szCs w:val="24"/>
          <w:lang w:val="nl-NL"/>
        </w:rPr>
        <w:t>en</w:t>
      </w:r>
      <w:r w:rsidRPr="00032BD6">
        <w:rPr>
          <w:rStyle w:val="HideTWBExt"/>
          <w:lang w:val="nl-NL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  <w:lang w:val="nl-NL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nl-NL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nl-NL"/>
        </w:rPr>
        <w:t>&lt;NumAm&gt;</w:t>
      </w:r>
      <w:r>
        <w:t>37</w:t>
      </w:r>
      <w:r>
        <w:rPr>
          <w:rStyle w:val="HideTWBExt"/>
          <w:b w:val="0"/>
          <w:lang w:val="nl-NL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  <w:lang w:val="nl-NL"/>
        </w:rPr>
        <w:t>&lt;RepeatBlock-By&gt;&lt;Members&gt;</w:t>
      </w:r>
      <w:r>
        <w:t>Bert</w:t>
      </w:r>
      <w:r>
        <w:noBreakHyphen/>
      </w:r>
      <w:r>
        <w:t>Jan Ruissen</w:t>
      </w:r>
      <w:r>
        <w:rPr>
          <w:rStyle w:val="HideTWBExt"/>
          <w:b w:val="0"/>
          <w:lang w:val="nl-NL"/>
        </w:rPr>
        <w:t>&lt;/Members&gt;</w:t>
      </w:r>
    </w:p>
    <w:p w:rsidR="004C6A1C" w:rsidRPr="00032BD6" w:rsidRDefault="004C6A1C" w:rsidP="004C6A1C">
      <w:r>
        <w:rPr>
          <w:rStyle w:val="HideTWBExt"/>
          <w:lang w:val="nl-NL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1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2 – parágrafo 1 – alínea i) – ponto 10</w:t>
      </w:r>
      <w:r>
        <w:noBreakHyphen/>
      </w:r>
      <w:r>
        <w:t>C (novo)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(10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C)</w:t>
            </w:r>
            <w:r>
              <w:rPr>
                <w:b/>
                <w:i/>
              </w:rPr>
              <w:tab/>
              <w:t>Adoção de medidas ou quotas unilaterais não razoáveis nem justificadas que não estejam em conformidade com as medidas ou quotas acordadas a nível bilateral ou multilateral;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38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Artigo 1 – parágrafo 1 – ponto 1</w:t>
      </w:r>
      <w:r>
        <w:rPr>
          <w:rStyle w:val="HideTWBExt"/>
          <w:b w:val="0"/>
          <w:lang w:val="fr-FR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  <w:lang w:val="fr-FR"/>
        </w:rPr>
        <w:t>&lt;DocAmend2&gt;</w:t>
      </w:r>
      <w:r>
        <w:t>Regulamento (UE) n.º 1026/2012</w:t>
      </w:r>
      <w:r>
        <w:rPr>
          <w:rStyle w:val="HideTWBExt"/>
          <w:lang w:val="fr-FR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2 – parágrafo 1 – alínea i) – ponto 10</w:t>
      </w:r>
      <w:r>
        <w:noBreakHyphen/>
      </w:r>
      <w:r>
        <w:t>D (novo)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(10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D)</w:t>
            </w:r>
            <w:r>
              <w:rPr>
                <w:b/>
                <w:i/>
              </w:rPr>
              <w:tab/>
              <w:t>Falta de transparência;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pStyle w:val="JustificationTitle"/>
        <w:rPr>
          <w:noProof w:val="0"/>
        </w:rPr>
      </w:pPr>
      <w:r>
        <w:rPr>
          <w:rStyle w:val="HideTWBExt"/>
          <w:i w:val="0"/>
          <w:lang w:val="en-GB"/>
        </w:rPr>
        <w:t>&lt;TitreJust&gt;</w:t>
      </w:r>
      <w:r>
        <w:t>Justificação</w:t>
      </w:r>
      <w:r>
        <w:rPr>
          <w:rStyle w:val="HideTWBExt"/>
          <w:i w:val="0"/>
          <w:lang w:val="en-GB"/>
        </w:rPr>
        <w:t>&lt;/TitreJust&gt;</w:t>
      </w:r>
    </w:p>
    <w:p w:rsidR="004C6A1C" w:rsidRPr="00032BD6" w:rsidRDefault="004C6A1C" w:rsidP="004C6A1C">
      <w:pPr>
        <w:pStyle w:val="Normal12Italic"/>
        <w:rPr>
          <w:noProof w:val="0"/>
        </w:rPr>
      </w:pPr>
      <w:r>
        <w:t>O artigo 12.º do UNFSA exige que os Estados assegurem a transparência do processo de tomada de decisão e de outras atividades das organizações e convénios sub</w:t>
      </w:r>
      <w:r>
        <w:noBreakHyphen/>
      </w:r>
      <w:r>
        <w:t>regionais e regionais de gestão das pescas. É necessário assegurar a cooperação e a pesca sustentável.</w:t>
      </w:r>
    </w:p>
    <w:p w:rsidR="004C6A1C" w:rsidRPr="00032BD6" w:rsidRDefault="004C6A1C" w:rsidP="004C6A1C"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39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Eric Sargiacomo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1</w:t>
      </w:r>
      <w:r>
        <w:noBreakHyphen/>
      </w:r>
      <w:r>
        <w:t>A (novo)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  <w:lang w:val="fr-FR"/>
        </w:rPr>
        <w:t>&lt;DocAmend2&gt;</w:t>
      </w:r>
      <w:r>
        <w:t>Regulamento (UE) n.º 1026/2012</w:t>
      </w:r>
      <w:r>
        <w:rPr>
          <w:rStyle w:val="HideTWBExt"/>
          <w:lang w:val="fr-FR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3 – parágrafo 1 – alínea a)</w:t>
      </w:r>
      <w:r>
        <w:rPr>
          <w:rStyle w:val="HideTWBExt"/>
          <w:lang w:val="fr-FR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em vigor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>No artigo 3.º, a alínea a) passa a ter a seguinte redação: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rPr>
                <w:b/>
                <w:i/>
              </w:rPr>
              <w:t>a</w:t>
            </w:r>
            <w:r>
              <w:t xml:space="preserve">) Não cooperar na gestão de uma unidade populacional de interesse comum cumprindo integralmente as disposições da UNCLOS e do </w:t>
            </w:r>
            <w:r>
              <w:rPr>
                <w:b/>
                <w:i/>
              </w:rPr>
              <w:t>UNFSA</w:t>
            </w:r>
            <w:r>
              <w:t xml:space="preserve"> ou de quaisquer outros acordos internacionais ou normas do direito internacional; </w:t>
            </w:r>
            <w:r>
              <w:rPr>
                <w:b/>
                <w:i/>
              </w:rPr>
              <w:t xml:space="preserve">e 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«a</w:t>
            </w:r>
            <w:r>
              <w:t>) Não cooperar na gestão de uma unidade populacional de interesse comum cumprindo integralmente as disposições da UNCLOS</w:t>
            </w:r>
            <w:r>
              <w:rPr>
                <w:b/>
                <w:i/>
              </w:rPr>
              <w:t>, do UNFSA</w:t>
            </w:r>
            <w:r>
              <w:t xml:space="preserve"> e do </w:t>
            </w:r>
            <w:r>
              <w:rPr>
                <w:b/>
                <w:i/>
              </w:rPr>
              <w:t>AMEP</w:t>
            </w:r>
            <w:r>
              <w:t xml:space="preserve"> ou de quaisquer outros acordos internacionais ou normas do direito internacional; </w:t>
            </w:r>
            <w:r>
              <w:rPr>
                <w:b/>
                <w:i/>
              </w:rPr>
              <w:t>e»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{FR}</w:t>
      </w:r>
      <w:r w:rsidRPr="00032BD6">
        <w:rPr>
          <w:sz w:val="24"/>
          <w:szCs w:val="24"/>
        </w:rPr>
        <w:t>fr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pStyle w:val="CrossRef"/>
      </w:pPr>
      <w:r>
        <w:t>(32012R1026)</w:t>
      </w:r>
    </w:p>
    <w:p w:rsidR="004C6A1C" w:rsidRPr="00032BD6" w:rsidRDefault="004C6A1C" w:rsidP="004C6A1C"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40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2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3 – parágrafo 1 – alínea b) – subalínea i)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i)</w:t>
            </w:r>
            <w:r>
              <w:tab/>
              <w:t>não adotar</w:t>
            </w:r>
            <w:r>
              <w:rPr>
                <w:b/>
                <w:i/>
              </w:rPr>
              <w:t xml:space="preserve"> ou não</w:t>
            </w:r>
            <w:r>
              <w:t xml:space="preserve"> aplicar as medidas necessárias de gestão da pesca, incluindo medidas de controlo para assegurar a conservação e gestão eficazes das unidades populacionais de interesse comum; ou;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i)</w:t>
            </w:r>
            <w:r>
              <w:tab/>
              <w:t>não adotar</w:t>
            </w:r>
            <w:r>
              <w:rPr>
                <w:b/>
                <w:i/>
              </w:rPr>
              <w:t>, implementar, cumprir ou</w:t>
            </w:r>
            <w:r>
              <w:t xml:space="preserve"> aplicar as medidas necessárias de gestão da pesca, incluindo medidas de controlo </w:t>
            </w:r>
            <w:r>
              <w:rPr>
                <w:b/>
                <w:i/>
              </w:rPr>
              <w:t xml:space="preserve">e conservação </w:t>
            </w:r>
            <w:r>
              <w:t>para assegurar a conservação e gestão eficazes das unidades populacionais de interesse comum</w:t>
            </w:r>
            <w:r>
              <w:rPr>
                <w:b/>
                <w:i/>
              </w:rPr>
              <w:t xml:space="preserve"> e espécies associadas, incluindo medidas adotadas no quadro de uma ORGP</w:t>
            </w:r>
            <w:r>
              <w:t>; ou;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41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Sander Smit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2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3 – parágrafo 1 – alínea b) – subalínea i)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i)</w:t>
            </w:r>
            <w:r>
              <w:tab/>
              <w:t>não adotar ou não aplicar as medidas necessárias de gestão da pesca, incluindo medidas de controlo para assegurar a conservação e gestão eficazes das unidades populacionais de interesse comum; ou;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i)</w:t>
            </w:r>
            <w:r>
              <w:tab/>
              <w:t xml:space="preserve">não adotar ou não aplicar as medidas necessárias de gestão da pesca, incluindo medidas de controlo </w:t>
            </w:r>
            <w:r>
              <w:rPr>
                <w:b/>
                <w:i/>
              </w:rPr>
              <w:t xml:space="preserve">e aplicação </w:t>
            </w:r>
            <w:r>
              <w:t>para assegurar a conservação e gestão eficazes das unidades populacionais de interesse comum; ou;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  <w:lang w:val="nl-NL"/>
        </w:rPr>
      </w:pPr>
      <w:r w:rsidRPr="00032BD6">
        <w:rPr>
          <w:sz w:val="24"/>
          <w:szCs w:val="24"/>
          <w:lang w:val="nl-NL"/>
        </w:rPr>
        <w:t xml:space="preserve">Or. </w:t>
      </w:r>
      <w:r w:rsidRPr="00032BD6">
        <w:rPr>
          <w:rStyle w:val="HideTWBExt"/>
          <w:lang w:val="nl-NL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  <w:lang w:val="nl-NL"/>
        </w:rPr>
        <w:t>{EN}</w:t>
      </w:r>
      <w:r w:rsidRPr="00032BD6">
        <w:rPr>
          <w:sz w:val="24"/>
          <w:szCs w:val="24"/>
          <w:lang w:val="nl-NL"/>
        </w:rPr>
        <w:t>en</w:t>
      </w:r>
      <w:r w:rsidRPr="00032BD6">
        <w:rPr>
          <w:rStyle w:val="HideTWBExt"/>
          <w:lang w:val="nl-NL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  <w:lang w:val="nl-NL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nl-NL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nl-NL"/>
        </w:rPr>
        <w:t>&lt;NumAm&gt;</w:t>
      </w:r>
      <w:r>
        <w:t>42</w:t>
      </w:r>
      <w:r>
        <w:rPr>
          <w:rStyle w:val="HideTWBExt"/>
          <w:b w:val="0"/>
          <w:lang w:val="nl-NL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  <w:lang w:val="nl-NL"/>
        </w:rPr>
        <w:t>&lt;RepeatBlock-By&gt;&lt;Members&gt;</w:t>
      </w:r>
      <w:r>
        <w:t>Bert</w:t>
      </w:r>
      <w:r>
        <w:noBreakHyphen/>
      </w:r>
      <w:r>
        <w:t>Jan Ruissen</w:t>
      </w:r>
      <w:r>
        <w:rPr>
          <w:rStyle w:val="HideTWBExt"/>
          <w:b w:val="0"/>
          <w:lang w:val="nl-NL"/>
        </w:rPr>
        <w:t>&lt;/Members&gt;</w:t>
      </w:r>
    </w:p>
    <w:p w:rsidR="004C6A1C" w:rsidRPr="00032BD6" w:rsidRDefault="004C6A1C" w:rsidP="004C6A1C">
      <w:r>
        <w:rPr>
          <w:rStyle w:val="HideTWBExt"/>
          <w:lang w:val="nl-NL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2</w:t>
      </w:r>
      <w:r>
        <w:noBreakHyphen/>
      </w:r>
      <w:r>
        <w:t>A (novo)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3 – parágrafo 1 – alínea b) – subalínea ii</w:t>
      </w:r>
      <w:r>
        <w:noBreakHyphen/>
      </w:r>
      <w:r>
        <w:t>A) (nova)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(2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>Ao artigo 3.º, alínea b), é aditada a seguinte subalínea: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«ii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>violar sistematicamente os acordos bilaterais ou multilaterais, não tomando medidas eficazes ou atempadas contra os seus nacionais ou navios que arvorem o seu pavilhão, que se considere terem exercido pesca ilegal, não declarada e não regulamentada ou terem agido de forma contrária às medidas de gestão da pesca estabelecidas por esses acordos, resultando que as unidades populacionais ficam num estado não sustentável;»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43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Emma Wiesner, Stéphanie Yon</w:t>
      </w:r>
      <w:r>
        <w:noBreakHyphen/>
      </w:r>
      <w:r>
        <w:t>Courtin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3 – alínea a</w:t>
      </w:r>
      <w:r>
        <w:noBreakHyphen/>
      </w:r>
      <w:r>
        <w:t>A) (nova)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 xml:space="preserve">Artigo 6 – n.º </w:t>
      </w:r>
      <w:r>
        <w:noBreakHyphen/>
      </w:r>
      <w:r>
        <w:t>1 (novo)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a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>É inserido o seguinte número: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«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1.</w:t>
            </w:r>
            <w:r>
              <w:rPr>
                <w:b/>
                <w:i/>
              </w:rPr>
              <w:tab/>
              <w:t>A Comissão deve responder no prazo de 90 dias a contar da receção de um pedido de identificação de um país como país que permite a pesca não sustentável apresentado por um Estado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Membro ou pelo Parlamento Europeu e indicar as medidas que tenciona tomar, se for caso disso.»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44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Sander Smit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3 – alínea a</w:t>
      </w:r>
      <w:r>
        <w:noBreakHyphen/>
      </w:r>
      <w:r>
        <w:t>A) (nova)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</w:rPr>
        <w:t>&lt;Article2&gt;</w:t>
      </w:r>
      <w:r>
        <w:t>Artigo 6 – n.º 1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em vigor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4C6A1C" w:rsidRPr="00032BD6" w:rsidRDefault="004C6A1C" w:rsidP="003F0749">
            <w:pPr>
              <w:pStyle w:val="Normal6"/>
            </w:pPr>
            <w:r>
              <w:rPr>
                <w:b/>
                <w:i/>
              </w:rPr>
              <w:t>a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A)</w:t>
            </w:r>
            <w:r>
              <w:tab/>
            </w:r>
            <w:r>
              <w:rPr>
                <w:b/>
                <w:i/>
              </w:rPr>
              <w:t>O n.º 1 passa a ter a seguinte redação: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1.</w:t>
            </w:r>
            <w:r>
              <w:tab/>
              <w:t>Caso considere necessário adotar medidas referidas no artigo 4.º, a Comissão deve notificar o país em causa da intenção de o identificar como país que permite a pesca não sustentável. Nesse caso, o Parlamento Europeu e o Conselho devem ser imediatamente informados.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«</w:t>
            </w:r>
            <w:r>
              <w:t>1.</w:t>
            </w:r>
            <w:r>
              <w:tab/>
              <w:t xml:space="preserve">Caso considere necessário adotar medidas referidas no artigo 4.º, a Comissão deve notificar o país em causa da intenção de o identificar como país que permite a pesca não sustentável. </w:t>
            </w:r>
            <w:r>
              <w:rPr>
                <w:b/>
                <w:i/>
              </w:rPr>
              <w:t>Antes dessa notificação, a Comissão também deve registar, tal como estabelecido no Regulamento (UE) 2016/1036 e no Regulamento (UE) 2016/1037, todas as importações de produtos do país objeto de inquérito que possam ser objeto de inquérito nos termos do artigo 4.º.</w:t>
            </w:r>
            <w:r>
              <w:t xml:space="preserve"> Nesse caso, o Parlamento Europeu e o Conselho devem ser imediatamente informados.</w:t>
            </w:r>
            <w:r>
              <w:rPr>
                <w:b/>
                <w:i/>
              </w:rPr>
              <w:t>»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pStyle w:val="CrossRef"/>
      </w:pPr>
      <w:r>
        <w:t>((32012R1026))</w:t>
      </w:r>
    </w:p>
    <w:p w:rsidR="004C6A1C" w:rsidRPr="00032BD6" w:rsidRDefault="004C6A1C" w:rsidP="004C6A1C">
      <w:pPr>
        <w:pStyle w:val="JustificationTitle"/>
        <w:rPr>
          <w:noProof w:val="0"/>
        </w:rPr>
      </w:pPr>
      <w:r>
        <w:rPr>
          <w:rStyle w:val="HideTWBExt"/>
          <w:i w:val="0"/>
          <w:lang w:val="en-GB"/>
        </w:rPr>
        <w:t>&lt;TitreJust&gt;</w:t>
      </w:r>
      <w:r>
        <w:t>Justificação</w:t>
      </w:r>
      <w:r>
        <w:rPr>
          <w:rStyle w:val="HideTWBExt"/>
          <w:i w:val="0"/>
          <w:lang w:val="en-GB"/>
        </w:rPr>
        <w:t>&lt;/TitreJust&gt;</w:t>
      </w:r>
    </w:p>
    <w:p w:rsidR="004C6A1C" w:rsidRPr="00032BD6" w:rsidRDefault="004C6A1C" w:rsidP="004C6A1C">
      <w:pPr>
        <w:pStyle w:val="Normal12Italic"/>
        <w:rPr>
          <w:noProof w:val="0"/>
        </w:rPr>
      </w:pPr>
      <w:r>
        <w:t>Em setembro de 2024, a Comissão registou todas as importações de produtos alvo de inquéritos anti</w:t>
      </w:r>
      <w:r>
        <w:noBreakHyphen/>
      </w:r>
      <w:r>
        <w:t>dumping ou antissubvenções, incluindo em inquéritos em curso em que ainda não foram efetuadas determinações provisórias. Tal destinava</w:t>
      </w:r>
      <w:r>
        <w:noBreakHyphen/>
      </w:r>
      <w:r>
        <w:t>se a permitir a cobrança retroativa de direitos anti</w:t>
      </w:r>
      <w:r>
        <w:noBreakHyphen/>
      </w:r>
      <w:r>
        <w:t>dumping e de compensação, caso estivessem preenchidas as condições jurídicas, e a evitar aumentos acentuados das importações dos produtos objeto de inquérito antes da adoção das medidas. A presente alteração contribui para uma abordagem coerente nomeadamente em relação aos produtos da pesca que devem beneficiar da abordagem de defesa comercial.</w:t>
      </w:r>
    </w:p>
    <w:p w:rsidR="004C6A1C" w:rsidRPr="00032BD6" w:rsidRDefault="004C6A1C" w:rsidP="004C6A1C"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45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Bert</w:t>
      </w:r>
      <w:r>
        <w:noBreakHyphen/>
      </w:r>
      <w:r>
        <w:t>Jan Ruissen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3 – alínea a</w:t>
      </w:r>
      <w:r>
        <w:noBreakHyphen/>
      </w:r>
      <w:r>
        <w:t>A) (nova)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  <w:lang w:val="fr-FR"/>
        </w:rPr>
        <w:t>&lt;Article2&gt;</w:t>
      </w:r>
      <w:r>
        <w:t>Artigo 6 – n.º 2</w:t>
      </w:r>
      <w:r>
        <w:noBreakHyphen/>
      </w:r>
      <w:r>
        <w:t>A (novo)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  <w:rPr>
                <w:lang w:val="fr-FR"/>
              </w:rPr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a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>É inserido o seguinte número: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</w:tcPr>
          <w:p w:rsidR="004C6A1C" w:rsidRPr="00032BD6" w:rsidRDefault="004C6A1C" w:rsidP="003F0749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«2</w:t>
            </w:r>
            <w:r>
              <w:rPr>
                <w:b/>
                <w:i/>
              </w:rPr>
              <w:noBreakHyphen/>
            </w:r>
            <w:r>
              <w:rPr>
                <w:b/>
                <w:i/>
              </w:rPr>
              <w:t>A.</w:t>
            </w:r>
            <w:r>
              <w:rPr>
                <w:b/>
                <w:i/>
              </w:rPr>
              <w:tab/>
              <w:t>Se a unidade populacional de interesse comum for abrangida pelo âmbito de aplicação de uma ORGP e o não cumprimento por parte de um país terceiro resultar em unidades populacionais ficarem num estado não sustentável, antes de adotar as medidas a que se refere o artigo 4.º, a Comissão deve levantar a questão do país terceiro que autoriza práticas de pesca não sustentáveis junto do organismo competente, para solicitar a retificação atempada do incumprimento.»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46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Luke Ming Flanagan, Emma Fourreau, Sebastian Everding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3 – alínea c)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</w:rPr>
        <w:t>&lt;Article2&gt;</w:t>
      </w:r>
      <w:r>
        <w:t>Artigo 6 – n.º 5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5.</w:t>
            </w:r>
            <w:r>
              <w:tab/>
              <w:t>Após a adoção de medidas nos termos do artigo 4.º, a Comissão deve continuar a colaborar com o país em causa para que este deixe de permitir uma pesca não sustentável.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5.</w:t>
            </w:r>
            <w:r>
              <w:tab/>
              <w:t>Após a adoção de medidas nos termos do artigo 4.º, a Comissão deve continuar a colaborar com o país em causa</w:t>
            </w:r>
            <w:r>
              <w:rPr>
                <w:b/>
                <w:i/>
              </w:rPr>
              <w:t>, deve manter um diálogo aberto e deve promover a cooperação em contextos multilaterais,</w:t>
            </w:r>
            <w:r>
              <w:t xml:space="preserve"> para que este deixe de permitir uma pesca não sustentável.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Pr="00032BD6" w:rsidRDefault="004C6A1C" w:rsidP="004C6A1C">
      <w:pPr>
        <w:rPr>
          <w:szCs w:val="24"/>
        </w:rPr>
      </w:pPr>
      <w:r>
        <w:rPr>
          <w:rStyle w:val="HideTWBExt"/>
        </w:rPr>
        <w:t>&lt;/Amend&gt;</w:t>
      </w:r>
    </w:p>
    <w:p w:rsidR="004C6A1C" w:rsidRPr="00032BD6" w:rsidRDefault="004C6A1C" w:rsidP="004C6A1C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Alteração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>
        <w:t>47</w:t>
      </w:r>
      <w:r>
        <w:rPr>
          <w:rStyle w:val="HideTWBExt"/>
          <w:b w:val="0"/>
          <w:lang w:val="en-GB"/>
        </w:rPr>
        <w:t>&lt;/NumAm&gt;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&lt;RepeatBlock-By&gt;&lt;Members&gt;</w:t>
      </w:r>
      <w:r>
        <w:t>Sander Smit</w:t>
      </w:r>
      <w:r>
        <w:rPr>
          <w:rStyle w:val="HideTWBExt"/>
          <w:b w:val="0"/>
        </w:rPr>
        <w:t>&lt;/Members&gt;</w:t>
      </w:r>
    </w:p>
    <w:p w:rsidR="004C6A1C" w:rsidRPr="00032BD6" w:rsidRDefault="004C6A1C" w:rsidP="004C6A1C">
      <w:r>
        <w:rPr>
          <w:rStyle w:val="HideTWBExt"/>
        </w:rPr>
        <w:t>&lt;/RepeatBlock-By&gt;</w:t>
      </w:r>
    </w:p>
    <w:p w:rsidR="004C6A1C" w:rsidRPr="00032BD6" w:rsidRDefault="004C6A1C" w:rsidP="004C6A1C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de regulamento</w:t>
      </w:r>
      <w:r>
        <w:rPr>
          <w:rStyle w:val="HideTWBExt"/>
          <w:b w:val="0"/>
        </w:rPr>
        <w:t>&lt;/DocAmend&gt;</w:t>
      </w:r>
    </w:p>
    <w:p w:rsidR="004C6A1C" w:rsidRPr="00032BD6" w:rsidRDefault="004C6A1C" w:rsidP="004C6A1C">
      <w:pPr>
        <w:pStyle w:val="NormalBold"/>
      </w:pPr>
      <w:r>
        <w:rPr>
          <w:rStyle w:val="HideTWBExt"/>
          <w:b w:val="0"/>
        </w:rPr>
        <w:t>&lt;Article&gt;</w:t>
      </w:r>
      <w:r>
        <w:t>Artigo 1 – parágrafo 1 – ponto 3 – alínea c)</w:t>
      </w:r>
      <w:r>
        <w:rPr>
          <w:rStyle w:val="HideTWBExt"/>
          <w:b w:val="0"/>
        </w:rPr>
        <w:t>&lt;/Article&gt;</w:t>
      </w:r>
    </w:p>
    <w:p w:rsidR="004C6A1C" w:rsidRPr="00032BD6" w:rsidRDefault="004C6A1C" w:rsidP="004C6A1C">
      <w:pPr>
        <w:keepNext/>
      </w:pPr>
      <w:r>
        <w:rPr>
          <w:rStyle w:val="HideTWBExt"/>
        </w:rPr>
        <w:t>&lt;DocAmend2&gt;</w:t>
      </w:r>
      <w:r>
        <w:t>Regulamento (UE) n.º 1026/2012</w:t>
      </w:r>
      <w:r>
        <w:rPr>
          <w:rStyle w:val="HideTWBExt"/>
        </w:rPr>
        <w:t>&lt;/DocAmend2&gt;</w:t>
      </w:r>
    </w:p>
    <w:p w:rsidR="004C6A1C" w:rsidRPr="00032BD6" w:rsidRDefault="004C6A1C" w:rsidP="004C6A1C">
      <w:r>
        <w:rPr>
          <w:rStyle w:val="HideTWBExt"/>
        </w:rPr>
        <w:t>&lt;Article2&gt;</w:t>
      </w:r>
      <w:r>
        <w:t>Artigo 6 – n.º 6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C6A1C" w:rsidTr="003F0749">
        <w:trPr>
          <w:jc w:val="center"/>
        </w:trPr>
        <w:tc>
          <w:tcPr>
            <w:tcW w:w="9752" w:type="dxa"/>
            <w:gridSpan w:val="2"/>
          </w:tcPr>
          <w:p w:rsidR="004C6A1C" w:rsidRPr="00032BD6" w:rsidRDefault="004C6A1C" w:rsidP="003F0749">
            <w:pPr>
              <w:keepNext/>
            </w:pP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Texto da Comissão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ColumnHeading"/>
              <w:keepNext/>
            </w:pPr>
            <w:r>
              <w:t>Alteração</w:t>
            </w:r>
          </w:p>
        </w:tc>
      </w:tr>
      <w:tr w:rsidR="004C6A1C" w:rsidTr="003F0749">
        <w:trPr>
          <w:jc w:val="center"/>
        </w:trPr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</w:pPr>
            <w:r>
              <w:t>6.</w:t>
            </w:r>
            <w:r>
              <w:tab/>
              <w:t>Se o país em causa iniciar consultas com a União de boa</w:t>
            </w:r>
            <w:r>
              <w:noBreakHyphen/>
            </w:r>
            <w:r>
              <w:t xml:space="preserve">fé, a Comissão deve </w:t>
            </w:r>
            <w:r>
              <w:rPr>
                <w:b/>
                <w:i/>
              </w:rPr>
              <w:t>proceder às mesmas de forma expedita</w:t>
            </w:r>
            <w:r>
              <w:t>.</w:t>
            </w:r>
          </w:p>
        </w:tc>
        <w:tc>
          <w:tcPr>
            <w:tcW w:w="4876" w:type="dxa"/>
            <w:hideMark/>
          </w:tcPr>
          <w:p w:rsidR="004C6A1C" w:rsidRPr="00032BD6" w:rsidRDefault="004C6A1C" w:rsidP="003F0749">
            <w:pPr>
              <w:pStyle w:val="Normal6"/>
              <w:rPr>
                <w:szCs w:val="24"/>
              </w:rPr>
            </w:pPr>
            <w:r>
              <w:t>6.</w:t>
            </w:r>
            <w:r>
              <w:tab/>
              <w:t>Se o país em causa iniciar consultas com a União de boa</w:t>
            </w:r>
            <w:r>
              <w:noBreakHyphen/>
            </w:r>
            <w:r>
              <w:t xml:space="preserve">fé, a Comissão deve </w:t>
            </w:r>
            <w:r>
              <w:rPr>
                <w:b/>
                <w:i/>
              </w:rPr>
              <w:t>encetar imediatamente essas consultas</w:t>
            </w:r>
            <w:r>
              <w:t>.</w:t>
            </w:r>
          </w:p>
        </w:tc>
      </w:tr>
    </w:tbl>
    <w:p w:rsidR="004C6A1C" w:rsidRPr="00032BD6" w:rsidRDefault="004C6A1C" w:rsidP="004C6A1C">
      <w:pPr>
        <w:pStyle w:val="Olang"/>
        <w:rPr>
          <w:sz w:val="24"/>
          <w:szCs w:val="24"/>
        </w:rPr>
      </w:pPr>
      <w:r w:rsidRPr="00032BD6">
        <w:rPr>
          <w:sz w:val="24"/>
          <w:szCs w:val="24"/>
        </w:rPr>
        <w:t xml:space="preserve">Or. </w:t>
      </w:r>
      <w:r w:rsidRPr="00032BD6">
        <w:rPr>
          <w:rStyle w:val="HideTWBExt"/>
        </w:rPr>
        <w:t>&lt;Original&gt;</w:t>
      </w:r>
      <w:r w:rsidRPr="00032BD6">
        <w:rPr>
          <w:rStyle w:val="HideTWBInt"/>
          <w:rFonts w:eastAsiaTheme="majorEastAsia"/>
          <w:sz w:val="24"/>
          <w:szCs w:val="24"/>
        </w:rPr>
        <w:t>{EN}</w:t>
      </w:r>
      <w:r w:rsidRPr="00032BD6">
        <w:rPr>
          <w:sz w:val="24"/>
          <w:szCs w:val="24"/>
        </w:rPr>
        <w:t>en</w:t>
      </w:r>
      <w:r w:rsidRPr="00032BD6">
        <w:rPr>
          <w:rStyle w:val="HideTWBExt"/>
        </w:rPr>
        <w:t>&lt;/Original&gt;</w:t>
      </w:r>
    </w:p>
    <w:p w:rsidR="004C6A1C" w:rsidRDefault="004C6A1C" w:rsidP="004C6A1C">
      <w:pPr>
        <w:rPr>
          <w:rStyle w:val="HideTWBExt"/>
          <w:lang w:val="en-GB"/>
        </w:rPr>
      </w:pPr>
      <w:r>
        <w:rPr>
          <w:rStyle w:val="HideTWBExt"/>
        </w:rPr>
        <w:t>&lt;/Amend&gt;</w:t>
      </w:r>
      <w:r w:rsidRPr="004C6A1C">
        <w:rPr>
          <w:rStyle w:val="HideTWBExt"/>
        </w:rPr>
        <w:t>&lt;/RepeatBlock-Amend&gt;</w:t>
      </w:r>
    </w:p>
    <w:p w:rsidR="008363E4" w:rsidRPr="007355AE" w:rsidRDefault="008363E4" w:rsidP="004C6A1C"/>
    <w:sectPr w:rsidR="008363E4" w:rsidRPr="007355AE" w:rsidSect="000F78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5AE" w:rsidRPr="007355AE" w:rsidRDefault="007355AE">
      <w:r w:rsidRPr="007355AE">
        <w:separator/>
      </w:r>
    </w:p>
  </w:endnote>
  <w:endnote w:type="continuationSeparator" w:id="0">
    <w:p w:rsidR="007355AE" w:rsidRPr="007355AE" w:rsidRDefault="007355AE">
      <w:r w:rsidRPr="007355A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7355AE" w:rsidRDefault="00D82FCC" w:rsidP="00EA25AE">
    <w:pPr>
      <w:pStyle w:val="EPFooter"/>
    </w:pPr>
    <w:r w:rsidRPr="007355AE">
      <w:t>PE</w:t>
    </w:r>
    <w:r w:rsidRPr="007355AE">
      <w:rPr>
        <w:rStyle w:val="HideTWBExt"/>
      </w:rPr>
      <w:t>&lt;NoPE&gt;</w:t>
    </w:r>
    <w:r w:rsidR="00555066" w:rsidRPr="00555066">
      <w:t>770.158</w:t>
    </w:r>
    <w:r w:rsidRPr="007355AE">
      <w:rPr>
        <w:rStyle w:val="HideTWBExt"/>
      </w:rPr>
      <w:t>&lt;/NoPE&gt;&lt;Version&gt;</w:t>
    </w:r>
    <w:r w:rsidR="007355AE" w:rsidRPr="007355AE">
      <w:t>v</w:t>
    </w:r>
    <w:r w:rsidR="00555066" w:rsidRPr="00555066">
      <w:t>01</w:t>
    </w:r>
    <w:r w:rsidR="004C6A1C">
      <w:noBreakHyphen/>
    </w:r>
    <w:r w:rsidR="00555066" w:rsidRPr="00555066">
      <w:t>00</w:t>
    </w:r>
    <w:r w:rsidRPr="007355AE">
      <w:rPr>
        <w:rStyle w:val="HideTWBExt"/>
      </w:rPr>
      <w:t>&lt;/Version&gt;</w:t>
    </w:r>
    <w:r w:rsidRPr="007355AE">
      <w:tab/>
    </w:r>
    <w:r w:rsidR="008B251A" w:rsidRPr="007355AE">
      <w:fldChar w:fldCharType="begin"/>
    </w:r>
    <w:r w:rsidR="008B251A" w:rsidRPr="007355AE">
      <w:instrText xml:space="preserve"> PAGE </w:instrText>
    </w:r>
    <w:r w:rsidR="008B251A" w:rsidRPr="007355AE">
      <w:fldChar w:fldCharType="separate"/>
    </w:r>
    <w:r w:rsidR="00C8526C">
      <w:rPr>
        <w:noProof/>
      </w:rPr>
      <w:t>2</w:t>
    </w:r>
    <w:r w:rsidR="008B251A" w:rsidRPr="007355AE">
      <w:fldChar w:fldCharType="end"/>
    </w:r>
    <w:r w:rsidR="008B251A" w:rsidRPr="007355AE">
      <w:t>/</w:t>
    </w:r>
    <w:r w:rsidR="00555066" w:rsidRPr="007355AE">
      <w:fldChar w:fldCharType="begin"/>
    </w:r>
    <w:r w:rsidR="00555066" w:rsidRPr="007355AE">
      <w:instrText xml:space="preserve"> NUMPAGES </w:instrText>
    </w:r>
    <w:r w:rsidR="00555066" w:rsidRPr="007355AE">
      <w:fldChar w:fldCharType="separate"/>
    </w:r>
    <w:r w:rsidR="00C8526C">
      <w:rPr>
        <w:noProof/>
      </w:rPr>
      <w:t>15</w:t>
    </w:r>
    <w:r w:rsidR="00555066" w:rsidRPr="007355AE">
      <w:rPr>
        <w:noProof/>
      </w:rPr>
      <w:fldChar w:fldCharType="end"/>
    </w:r>
    <w:r w:rsidRPr="007355AE">
      <w:tab/>
    </w:r>
    <w:r w:rsidRPr="007355AE">
      <w:rPr>
        <w:rStyle w:val="HideTWBExt"/>
      </w:rPr>
      <w:t>&lt;PathFdR&gt;</w:t>
    </w:r>
    <w:r w:rsidR="00555066" w:rsidRPr="00555066">
      <w:t>AM\1316600PT.docx</w:t>
    </w:r>
    <w:r w:rsidRPr="007355AE">
      <w:rPr>
        <w:rStyle w:val="HideTWBExt"/>
      </w:rPr>
      <w:t>&lt;/PathFdR&gt;</w:t>
    </w:r>
  </w:p>
  <w:p w:rsidR="00D82FCC" w:rsidRPr="007355AE" w:rsidRDefault="00BE5062">
    <w:pPr>
      <w:pStyle w:val="EPFooter2"/>
    </w:pPr>
    <w:r w:rsidRPr="007355AE">
      <w:fldChar w:fldCharType="begin"/>
    </w:r>
    <w:r w:rsidRPr="007355AE">
      <w:instrText xml:space="preserve"> DOCPROPERTY "&lt;Extension&gt;" </w:instrText>
    </w:r>
    <w:r w:rsidRPr="007355AE">
      <w:fldChar w:fldCharType="separate"/>
    </w:r>
    <w:r w:rsidR="00C8526C">
      <w:t>PT</w:t>
    </w:r>
    <w:r w:rsidRPr="007355AE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7355AE" w:rsidRDefault="00D82FCC" w:rsidP="00EA25AE">
    <w:pPr>
      <w:pStyle w:val="EPFooter"/>
    </w:pPr>
    <w:r w:rsidRPr="007355AE">
      <w:rPr>
        <w:rStyle w:val="HideTWBExt"/>
      </w:rPr>
      <w:t>&lt;PathFdR&gt;</w:t>
    </w:r>
    <w:r w:rsidR="00555066" w:rsidRPr="00555066">
      <w:t>AM\1316600PT.docx</w:t>
    </w:r>
    <w:r w:rsidRPr="007355AE">
      <w:rPr>
        <w:rStyle w:val="HideTWBExt"/>
      </w:rPr>
      <w:t>&lt;/PathFdR&gt;</w:t>
    </w:r>
    <w:r w:rsidRPr="007355AE">
      <w:tab/>
    </w:r>
    <w:r w:rsidR="008B251A" w:rsidRPr="007355AE">
      <w:fldChar w:fldCharType="begin"/>
    </w:r>
    <w:r w:rsidR="008B251A" w:rsidRPr="007355AE">
      <w:instrText xml:space="preserve"> PAGE </w:instrText>
    </w:r>
    <w:r w:rsidR="008B251A" w:rsidRPr="007355AE">
      <w:fldChar w:fldCharType="separate"/>
    </w:r>
    <w:r w:rsidR="00C8526C">
      <w:rPr>
        <w:noProof/>
      </w:rPr>
      <w:t>15</w:t>
    </w:r>
    <w:r w:rsidR="008B251A" w:rsidRPr="007355AE">
      <w:fldChar w:fldCharType="end"/>
    </w:r>
    <w:r w:rsidR="008B251A" w:rsidRPr="007355AE">
      <w:t>/</w:t>
    </w:r>
    <w:r w:rsidR="00555066" w:rsidRPr="007355AE">
      <w:fldChar w:fldCharType="begin"/>
    </w:r>
    <w:r w:rsidR="00555066" w:rsidRPr="007355AE">
      <w:instrText xml:space="preserve"> NUMPAGES </w:instrText>
    </w:r>
    <w:r w:rsidR="00555066" w:rsidRPr="007355AE">
      <w:fldChar w:fldCharType="separate"/>
    </w:r>
    <w:r w:rsidR="00C8526C">
      <w:rPr>
        <w:noProof/>
      </w:rPr>
      <w:t>15</w:t>
    </w:r>
    <w:r w:rsidR="00555066" w:rsidRPr="007355AE">
      <w:rPr>
        <w:noProof/>
      </w:rPr>
      <w:fldChar w:fldCharType="end"/>
    </w:r>
    <w:r w:rsidRPr="007355AE">
      <w:tab/>
      <w:t>PE</w:t>
    </w:r>
    <w:r w:rsidRPr="007355AE">
      <w:rPr>
        <w:rStyle w:val="HideTWBExt"/>
      </w:rPr>
      <w:t>&lt;NoPE&gt;</w:t>
    </w:r>
    <w:r w:rsidR="00555066" w:rsidRPr="00555066">
      <w:t>770.158</w:t>
    </w:r>
    <w:r w:rsidRPr="007355AE">
      <w:rPr>
        <w:rStyle w:val="HideTWBExt"/>
      </w:rPr>
      <w:t>&lt;/NoPE&gt;&lt;Version&gt;</w:t>
    </w:r>
    <w:r w:rsidR="007355AE" w:rsidRPr="007355AE">
      <w:t>v</w:t>
    </w:r>
    <w:r w:rsidR="00555066" w:rsidRPr="00555066">
      <w:t>01</w:t>
    </w:r>
    <w:r w:rsidR="004C6A1C">
      <w:noBreakHyphen/>
    </w:r>
    <w:r w:rsidR="00555066" w:rsidRPr="00555066">
      <w:t>00</w:t>
    </w:r>
    <w:r w:rsidRPr="007355AE">
      <w:rPr>
        <w:rStyle w:val="HideTWBExt"/>
      </w:rPr>
      <w:t>&lt;/Version&gt;</w:t>
    </w:r>
  </w:p>
  <w:p w:rsidR="00D82FCC" w:rsidRPr="007355AE" w:rsidRDefault="008B251A">
    <w:pPr>
      <w:pStyle w:val="EPFooter2"/>
    </w:pPr>
    <w:r w:rsidRPr="007355AE">
      <w:tab/>
    </w:r>
    <w:r w:rsidR="00D82FCC" w:rsidRPr="007355AE">
      <w:tab/>
    </w:r>
    <w:r w:rsidR="00BE5062" w:rsidRPr="007355AE">
      <w:fldChar w:fldCharType="begin"/>
    </w:r>
    <w:r w:rsidR="00BE5062" w:rsidRPr="007355AE">
      <w:instrText xml:space="preserve"> DOCPROPERTY "&lt;Extension&gt;" </w:instrText>
    </w:r>
    <w:r w:rsidR="00BE5062" w:rsidRPr="007355AE">
      <w:fldChar w:fldCharType="separate"/>
    </w:r>
    <w:r w:rsidR="00C8526C">
      <w:t>PT</w:t>
    </w:r>
    <w:r w:rsidR="00BE5062" w:rsidRPr="007355A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7355AE" w:rsidRDefault="00D82FCC" w:rsidP="00EA25AE">
    <w:pPr>
      <w:pStyle w:val="EPFooter"/>
    </w:pPr>
    <w:r w:rsidRPr="007355AE">
      <w:rPr>
        <w:rStyle w:val="HideTWBExt"/>
      </w:rPr>
      <w:t>&lt;PathFdR&gt;</w:t>
    </w:r>
    <w:r w:rsidR="00555066" w:rsidRPr="00555066">
      <w:t>AM\1316600PT.docx</w:t>
    </w:r>
    <w:r w:rsidRPr="007355AE">
      <w:rPr>
        <w:rStyle w:val="HideTWBExt"/>
      </w:rPr>
      <w:t>&lt;/PathFdR&gt;</w:t>
    </w:r>
    <w:r w:rsidRPr="007355AE">
      <w:tab/>
    </w:r>
    <w:r w:rsidRPr="007355AE">
      <w:tab/>
      <w:t>PE</w:t>
    </w:r>
    <w:r w:rsidRPr="007355AE">
      <w:rPr>
        <w:rStyle w:val="HideTWBExt"/>
      </w:rPr>
      <w:t>&lt;NoPE&gt;</w:t>
    </w:r>
    <w:r w:rsidR="00555066" w:rsidRPr="00555066">
      <w:t>770.158</w:t>
    </w:r>
    <w:r w:rsidRPr="007355AE">
      <w:rPr>
        <w:rStyle w:val="HideTWBExt"/>
      </w:rPr>
      <w:t>&lt;/NoPE&gt;&lt;Version&gt;</w:t>
    </w:r>
    <w:r w:rsidR="007355AE" w:rsidRPr="007355AE">
      <w:t>v</w:t>
    </w:r>
    <w:r w:rsidR="00555066" w:rsidRPr="00555066">
      <w:t>01</w:t>
    </w:r>
    <w:r w:rsidR="004C6A1C">
      <w:noBreakHyphen/>
    </w:r>
    <w:r w:rsidR="00555066" w:rsidRPr="00555066">
      <w:t>00</w:t>
    </w:r>
    <w:r w:rsidRPr="007355AE">
      <w:rPr>
        <w:rStyle w:val="HideTWBExt"/>
      </w:rPr>
      <w:t>&lt;/Version&gt;</w:t>
    </w:r>
  </w:p>
  <w:p w:rsidR="00D82FCC" w:rsidRPr="007355AE" w:rsidRDefault="00BE5062" w:rsidP="00CC3983">
    <w:pPr>
      <w:pStyle w:val="EPFooter2"/>
      <w:tabs>
        <w:tab w:val="clear" w:pos="4535"/>
        <w:tab w:val="center" w:pos="4536"/>
      </w:tabs>
    </w:pPr>
    <w:r w:rsidRPr="007355AE">
      <w:fldChar w:fldCharType="begin"/>
    </w:r>
    <w:r w:rsidRPr="007355AE">
      <w:instrText xml:space="preserve"> DOCPROPERTY "&lt;Extension&gt;" </w:instrText>
    </w:r>
    <w:r w:rsidRPr="007355AE">
      <w:fldChar w:fldCharType="separate"/>
    </w:r>
    <w:r w:rsidR="00C8526C">
      <w:t>PT</w:t>
    </w:r>
    <w:r w:rsidRPr="007355AE">
      <w:fldChar w:fldCharType="end"/>
    </w:r>
    <w:r w:rsidR="00D82FCC" w:rsidRPr="007355AE">
      <w:tab/>
    </w:r>
    <w:r w:rsidR="00555066">
      <w:rPr>
        <w:b w:val="0"/>
        <w:i/>
        <w:color w:val="C0C0C0"/>
        <w:sz w:val="22"/>
        <w:szCs w:val="22"/>
      </w:rPr>
      <w:t>Unida na diversidade</w:t>
    </w:r>
    <w:r w:rsidR="00D82FCC" w:rsidRPr="007355AE">
      <w:tab/>
    </w:r>
    <w:r w:rsidRPr="007355AE">
      <w:fldChar w:fldCharType="begin"/>
    </w:r>
    <w:r w:rsidRPr="007355AE">
      <w:instrText xml:space="preserve"> DOCPROPERTY "&lt;Extension&gt;" </w:instrText>
    </w:r>
    <w:r w:rsidRPr="007355AE">
      <w:fldChar w:fldCharType="separate"/>
    </w:r>
    <w:r w:rsidR="00C8526C">
      <w:t>PT</w:t>
    </w:r>
    <w:r w:rsidRPr="007355AE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5AE" w:rsidRPr="007355AE" w:rsidRDefault="007355AE">
      <w:r w:rsidRPr="007355AE">
        <w:separator/>
      </w:r>
    </w:p>
  </w:footnote>
  <w:footnote w:type="continuationSeparator" w:id="0">
    <w:p w:rsidR="007355AE" w:rsidRPr="007355AE" w:rsidRDefault="007355AE">
      <w:r w:rsidRPr="007355A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A1C" w:rsidRDefault="004C6A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A1C" w:rsidRDefault="004C6A1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A1C" w:rsidRDefault="004C6A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1"/>
    <w:docVar w:name="CODEMNU" w:val=" 1"/>
    <w:docVar w:name="COMMKEY" w:val="PECH"/>
    <w:docVar w:name="DOCCODMNU" w:val=" 1"/>
    <w:docVar w:name="DOCDT" w:val="07/03/2025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P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5\fbidi \froman\fcharset238\fprq2 Times New Roman CE;}{\f336\fbidi \froman\fcharset204\fprq2 Times New Roman Cyr;}_x000d__x000a_{\f338\fbidi \froman\fcharset161\fprq2 Times New Roman Greek;}{\f339\fbidi \froman\fcharset162\fprq2 Times New Roman Tur;}{\f340\fbidi \froman\fcharset177\fprq2 Times New Roman (Hebrew);}{\f341\fbidi \froman\fcharset178\fprq2 Times New Roman (Arabic);}_x000d__x000a_{\f342\fbidi \froman\fcharset186\fprq2 Times New Roman Baltic;}{\f343\fbidi \froman\fcharset163\fprq2 Times New Roman (Vietnamese);}{\f345\fbidi \fswiss\fcharset238\fprq2 Arial CE;}{\f346\fbidi \fswiss\fcharset204\fprq2 Arial Cyr;}_x000d__x000a_{\f348\fbidi \fswiss\fcharset161\fprq2 Arial Greek;}{\f349\fbidi \fswiss\fcharset162\fprq2 Arial Tur;}{\f350\fbidi \fswiss\fcharset177\fprq2 Arial (Hebrew);}{\f351\fbidi \fswiss\fcharset178\fprq2 Arial (Arabic);}_x000d__x000a_{\f352\fbidi \fswiss\fcharset186\fprq2 Arial Baltic;}{\f353\fbidi \fswiss\fcharset163\fprq2 Arial (Vietnamese);}{\f675\fbidi \froman\fcharset238\fprq2 Cambria Math CE;}{\f676\fbidi \froman\fcharset204\fprq2 Cambria Math Cyr;}_x000d__x000a_{\f678\fbidi \froman\fcharset161\fprq2 Cambria Math Greek;}{\f679\fbidi \froman\fcharset162\fprq2 Cambria Math Tur;}{\f682\fbidi \froman\fcharset186\fprq2 Cambria Math Baltic;}{\f68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3591998 HideTWBExt;}{\*\cs18 \additive \v\f1\fs20\cf15 _x000d__x000a_\spriority0 \styrsid13591998 HideTWBInt;}{\s19\ql \li0\ri0\sa120\nowidctlpar\wrapdefault\aspalpha\aspnum\faauto\adjustright\rin0\lin0\itap0 \rtlch\fcs1 \af0\afs20\alang1025 \ltrch\fcs0 \fs24\lang2070\langfe2057\cgrid\langnp2070\langfenp2057 _x000d__x000a_\sbasedon0 \snext19 \spriority0 \styrsid13591998 Normal6a;}{\s20\ql \li0\ri0\nowidctlpar\wrapdefault\aspalpha\aspnum\faauto\adjustright\rin0\lin0\itap0 \rtlch\fcs1 \af0\afs20\alang1025 \ltrch\fcs0 \b\fs24\lang2070\langfe2057\cgrid\langnp2070\langfenp2057 _x000d__x000a_\sbasedon0 \snext20 \spriority0 \styrsid13591998 NormalBold;}{\s21\qr \li0\ri0\sb240\sa240\nowidctlpar\wrapdefault\aspalpha\aspnum\faauto\adjustright\rin0\lin0\itap0 \rtlch\fcs1 \af0\afs20\alang1025 \ltrch\fcs0 _x000d__x000a_\fs24\lang2070\langfe2057\cgrid\langnp2070\langfenp2057 \sbasedon0 \snext21 \spriority0 \styrsid13591998 AmOrLang;}{\s22\qc \li0\ri0\sa240\nowidctlpar\wrapdefault\aspalpha\aspnum\faauto\adjustright\rin0\lin0\itap0 \rtlch\fcs1 \af0\afs20\alang1025 _x000d__x000a_\ltrch\fcs0 \i\fs24\lang2070\langfe2057\cgrid\langnp2070\langfenp2057 \sbasedon0 \snext22 \spriority0 \styrsid13591998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70\langfe2057\cgrid\langnp2070\langfenp2057 \sbasedon0 \snext23 \spriority0 \styrsid13591998 AmNumberTabs;}}{\*\rsidtbl \rsid24658\rsid223860\rsid735077\rsid1718133\rsid2892074\rsid3565327\rsid4666813\rsid6641733\rsid6774967_x000d__x000a_\rsid7823322\rsid9636012\rsid10377208\rsid11215221\rsid11549030\rsid12154954\rsid13591998\rsid14382809\rsid14424199\rsid15204470\rsid15285974\rsid15950462\rsid16324206\rsid16662270}{\mmathPr\mmathFont34\mbrkBin0\mbrkBinSub0\msmallFrac0\mdispDef1\mlMargin0_x000d__x000a_\mrMargin0\mdefJc1\mwrapIndent1440\mintLim0\mnaryLim1}{\info{\author CORISCO Vasco}{\operator CORISCO Vasco}{\creatim\yr2025\mo3\dy10\hr11\min40}{\revtim\yr2025\mo3\dy10\hr11\min40}{\version1}{\edmins0}{\nofpages1}{\nofwords76}{\nofchars406}_x000d__x000a_{\nofcharsws481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359199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vcorisco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677496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677496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677496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677496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3591998 \rtlch\fcs1 _x000d__x000a_\af0\afs20\alang1025 \ltrch\fcs0 \b\fs24\lang2070\langfe2057\cgrid\langnp2070\langfenp2057 {\rtlch\fcs1 \af0 \ltrch\fcs0 \cs17\b0\v\fs20\cf9\lang1024\langfe1024\loch\af1\hich\af1\dbch\af31501\noproof\insrsid13591998\charrsid7558574 {\*\bkmkstart restartA}_x000d__x000a_\hich\af1\dbch\af31501\loch\f1 &lt;AmendA&gt;}{\rtlch\fcs1 \af0 \ltrch\fcs0 \insrsid13591998\charrsid7558574 Altera\'e7\'e3o\tab \tab }{\rtlch\fcs1 \af0 \ltrch\fcs0 _x000d__x000a_\cs17\b0\v\fs20\cf9\lang1024\langfe1024\loch\af1\hich\af1\dbch\af31501\noproof\insrsid13591998\charrsid7558574 \hich\af1\dbch\af31501\loch\f1 &lt;NumAmA&gt;}{\rtlch\fcs1 \af0 \ltrch\fcs0 \insrsid13591998\charrsid7558574 #}{\rtlch\fcs1 \af1 \ltrch\fcs0 _x000d__x000a_\cs18\v\f1\fs20\cf15\insrsid13591998\charrsid7558574 ENMIENDA@NRAM@}{\rtlch\fcs1 \af0 \ltrch\fcs0 \insrsid13591998\charrsid7558574 #}{\rtlch\fcs1 \af0 \ltrch\fcs0 _x000d__x000a_\cs17\b0\v\fs20\cf9\lang1024\langfe1024\loch\af1\hich\af1\dbch\af31501\noproof\insrsid13591998\charrsid7558574 \hich\af1\dbch\af31501\loch\f1 &lt;/NumAmA&gt;}{\rtlch\fcs1 \af0 \ltrch\fcs0 \insrsid13591998\charrsid7558574 _x000d__x000a_\par }\pard\plain \ltrpar\s20\ql \li0\ri0\nowidctlpar\wrapdefault\aspalpha\aspnum\faauto\adjustright\rin0\lin0\itap0\pararsid13591998 \rtlch\fcs1 \af0\afs20\alang1025 \ltrch\fcs0 \b\fs24\lang2070\langfe2057\cgrid\langnp2070\langfenp2057 {\rtlch\fcs1 \af0 _x000d__x000a_\ltrch\fcs0 \cs17\b0\v\fs20\cf9\lang1024\langfe1024\loch\af1\hich\af1\dbch\af31501\noproof\insrsid13591998\charrsid7558574 \hich\af1\dbch\af31501\loch\f1 &lt;RepeatBlock-By&gt;}{\rtlch\fcs1 \af0 \ltrch\fcs0 \insrsid13591998\charrsid7558574 #}{\rtlch\fcs1 \af1 _x000d__x000a_\ltrch\fcs0 \cs18\v\f1\fs20\cf15\insrsid13591998\charrsid7558574 (MOD@InsideLoop()}{\rtlch\fcs1 \af0 \ltrch\fcs0 \insrsid13591998\charrsid7558574 ##}{\rtlch\fcs1 \af1 \ltrch\fcs0 \cs18\v\f1\fs20\cf15\insrsid13591998\charrsid7558574 &gt;&gt;&gt;@[ZMEMBERSMSG]@}{_x000d__x000a_\rtlch\fcs1 \af0 \ltrch\fcs0 \insrsid13591998\charrsid7558574 #}{\rtlch\fcs1 \af0 \ltrch\fcs0 \cs17\b0\v\fs20\cf9\lang1024\langfe1024\loch\af1\hich\af1\dbch\af31501\noproof\insrsid13591998\charrsid7558574 \hich\af1\dbch\af31501\loch\f1 &lt;Members&gt;}{_x000d__x000a_\rtlch\fcs1 \af0 \ltrch\fcs0 \insrsid13591998\charrsid7558574 #}{\rtlch\fcs1 \af1 \ltrch\fcs0 \cs18\v\f1\fs20\cf15\insrsid13591998\charrsid7558574 (MOD@InsideLoop(\'a7)}{\rtlch\fcs1 \af0 \ltrch\fcs0 \insrsid13591998\charrsid7558574 #}{\rtlch\fcs1 \af0 _x000d__x000a_\ltrch\fcs0 \cf10\insrsid13591998\charrsid7558574 \u9668\'3f}{\rtlch\fcs1 \af0 \ltrch\fcs0 \insrsid13591998\charrsid7558574 #}{\rtlch\fcs1 \af1 \ltrch\fcs0 \cs18\v\f1\fs20\cf15\insrsid13591998\charrsid7558574 TVTMEMBERS\'a7@MEMBERS@}{\rtlch\fcs1 \af0 _x000d__x000a_\ltrch\fcs0 \insrsid13591998\charrsid7558574 #}{\rtlch\fcs1 \af0 \ltrch\fcs0 \cf10\insrsid13591998\charrsid7558574 \u9658\'3f}{\rtlch\fcs1 \af0 \ltrch\fcs0 _x000d__x000a_\cs17\b0\v\fs20\cf9\lang1024\langfe1024\loch\af1\hich\af1\dbch\af31501\noproof\insrsid13591998\charrsid7558574 \hich\af1\dbch\af31501\loch\f1 &lt;/Members&gt;}{\rtlch\fcs1 \af0 \ltrch\fcs0 \insrsid13591998\charrsid7558574 _x000d__x000a_\par }\pard\plain \ltrpar\ql \li0\ri0\widctlpar\wrapdefault\aspalpha\aspnum\faauto\adjustright\rin0\lin0\itap0\pararsid13591998 \rtlch\fcs1 \af0\afs20\alang1025 \ltrch\fcs0 \fs24\lang2057\langfe2057\cgrid\langnp2057\langfenp2057 {\rtlch\fcs1 \af0 \ltrch\fcs0 _x000d__x000a_\cs17\v\fs20\cf9\lang1024\langfe1024\loch\af1\hich\af1\dbch\af31501\noproof\langnp2070\insrsid13591998\charrsid7558574 \hich\af1\dbch\af31501\loch\f1 &lt;AuNomDe&gt;&lt;OptDel&gt;}{\rtlch\fcs1 \af0 \ltrch\fcs0 _x000d__x000a_\lang2070\langfe2057\langnp2070\insrsid13591998\charrsid7558574 #}{\rtlch\fcs1 \af1 \ltrch\fcs0 \cs18\v\f1\fs20\cf15\lang2070\langfe2057\langnp2070\insrsid13591998\charrsid7558574 MNU[ONBEHALFYES][NOTAPP]@CHOICE@}{\rtlch\fcs1 \af0 \ltrch\fcs0 _x000d__x000a_\lang2070\langfe2057\langnp2070\insrsid13591998\charrsid7558574 #}{\rtlch\fcs1 \af0 \ltrch\fcs0 \cs17\v\fs20\cf9\lang1024\langfe1024\loch\af1\hich\af1\dbch\af31501\noproof\langnp2070\insrsid13591998\charrsid7558574 \hich\af1\dbch\af31501\loch\f1 _x000d__x000a_&lt;/OptDel&gt;&lt;/AuNomDe&gt;}{\rtlch\fcs1 \af0 \ltrch\fcs0 \lang2070\langfe2057\langnp2070\insrsid13591998\charrsid7558574 _x000d__x000a_\par &lt;&lt;&lt;}{\rtlch\fcs1 \af0 \ltrch\fcs0 \cs17\v\fs20\cf9\lang1024\langfe1024\loch\af1\hich\af1\dbch\af31501\noproof\langnp2070\insrsid13591998\charrsid7558574 \hich\af1\dbch\af31501\loch\f1 &lt;/RepeatBlock-By&gt;}{\rtlch\fcs1 \af0 \ltrch\fcs0 _x000d__x000a_\lang2070\langfe2057\langnp2070\insrsid13591998\charrsid7558574 _x000d__x000a_\par }\pard\plain \ltrpar\s20\ql \li0\ri0\nowidctlpar\wrapdefault\aspalpha\aspnum\faauto\adjustright\rin0\lin0\itap0\pararsid13591998 \rtlch\fcs1 \af0\afs20\alang1025 \ltrch\fcs0 \b\fs24\lang2070\langfe2057\cgrid\langnp2070\langfenp2057 {\rtlch\fcs1 \af0 _x000d__x000a_\ltrch\fcs0 \cs17\b0\v\fs20\cf9\lang1024\langfe1024\loch\af1\hich\af1\dbch\af31501\noproof\insrsid13591998\charrsid7558574 \hich\af1\dbch\af31501\loch\f1 &lt;DocAmend&gt;}{\rtlch\fcs1 \af0 \ltrch\fcs0 \insrsid13591998\charrsid7558574 Projeto de resolu\'e7\'e3_x000d__x000a_o legislativa}{\rtlch\fcs1 \af0 \ltrch\fcs0 \cs17\b0\v\fs20\cf9\lang1024\langfe1024\loch\af1\hich\af1\dbch\af31501\noproof\insrsid13591998\charrsid7558574 \hich\af1\dbch\af31501\loch\f1 &lt;/DocAmend&gt;}{\rtlch\fcs1 \af0 \ltrch\fcs0 _x000d__x000a_\insrsid13591998\charrsid7558574 _x000d__x000a_\par }{\rtlch\fcs1 \af0 \ltrch\fcs0 \cs17\b0\v\fs20\cf9\lang1024\langfe1024\loch\af1\hich\af1\dbch\af31501\noproof\insrsid13591998\charrsid7558574 \hich\af1\dbch\af31501\loch\f1 &lt;Article&gt;}{\rtlch\fcs1 \af0 \ltrch\fcs0 \cf10\insrsid13591998\charrsid7558574 _x000d__x000a_\u9668\'3f}{\rtlch\fcs1 \af0 \ltrch\fcs0 \insrsid13591998\charrsid7558574 #}{\rtlch\fcs1 \af1 \ltrch\fcs0 \cs18\v\f1\fs20\cf15\insrsid13591998\charrsid7558574 TVTRESPART@RESPART@}{\rtlch\fcs1 \af0 \ltrch\fcs0 \insrsid13591998\charrsid7558574 #}{_x000d__x000a_\rtlch\fcs1 \af0 \ltrch\fcs0 \cf10\insrsid13591998\charrsid7558574 \u9658\'3f}{\rtlch\fcs1 \af0 \ltrch\fcs0 \cs17\b0\v\fs20\cf9\lang1024\langfe1024\loch\af1\hich\af1\dbch\af31501\noproof\insrsid13591998\charrsid7558574 \hich\af1\dbch\af31501\loch\f1 _x000d__x000a_&lt;/Article&gt;}{\rtlch\fcs1 \af0 \ltrch\fcs0 \insrsid13591998\charrsid7558574 _x000d__x000a_\par \ltrrow}\trowd \irow0\irowband0\ltrrow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lang2070\langfe2057\langnp2070\insrsid13591998\charrsid7558574 \cell }\pard\plain \ltrpar_x000d__x000a_\ql \li0\ri0\widctlpar\intbl\wrapdefault\aspalpha\aspnum\faauto\adjustright\rin0\lin0 \rtlch\fcs1 \af0\afs20\alang1025 \ltrch\fcs0 \fs24\lang2057\langfe2057\cgrid\langnp2057\langfenp2057 {\rtlch\fcs1 \af0 \ltrch\fcs0 _x000d__x000a_\lang2070\langfe2057\langnp2070\insrsid13591998\charrsid7558574 \trowd \irow0\irowband0\ltrrow\ts11\trqc\trgaph340\trleft0\trftsWidth1\trftsWidthB3\trpaddl340\trpaddr340\trpaddfl3\trpaddft3\trpaddfb3\trpaddfr3\tblind0\tblindtype3 \clvertalt\clbrdrt_x000d__x000a_\brdrtbl \clbrdrl\brdrtbl \clbrdrb\brdrtbl \clbrdrr\brdrtbl \cltxlrtb\clftsWidth3\clwWidth9752\clshdrawnil \cellx9752\row \ltrrow}\trowd \irow1\irowband1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2\qc \li0\ri0\sa240\keepn\nowidctlpar\intbl\wrapdefault\aspalpha\aspnum\faauto\adjustright\rin0\lin0\pararsid10630121 \rtlch\fcs1 \af0\afs20\alang1025 \ltrch\fcs0 \i\fs24\lang2070\langfe2057\cgrid\langnp2070\langfenp2057 {\rtlch\fcs1 \af0 \ltrch\fcs0 _x000d__x000a_\insrsid13591998\charrsid7558574 Projeto de resolu\'e7\'e3o legislativa\cell Altera\'e7\'e3o\cell }\pard\plain \ltrpar\ql \li0\ri0\widctlpar\intbl\wrapdefault\aspalpha\aspnum\faauto\adjustright\rin0\lin0 \rtlch\fcs1 \af0\afs20\alang1025 \ltrch\fcs0 _x000d__x000a_\fs24\lang2057\langfe2057\cgrid\langnp2057\langfenp2057 {\rtlch\fcs1 \af0 \ltrch\fcs0 \lang2070\langfe2057\langnp2070\insrsid13591998\charrsid7558574 \trowd \irow1\irowband1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70\langfe2057\cgrid\langnp2070\langfenp2057 {\rtlch\fcs1 \af0 \ltrch\fcs0 _x000d__x000a_\insrsid13591998\charrsid7558574 ##\cell ##}{\rtlch\fcs1 \af0\afs24 \ltrch\fcs0 \insrsid13591998\charrsid7558574 \cell }\pard\plain \ltrpar\ql \li0\ri0\widctlpar\intbl\wrapdefault\aspalpha\aspnum\faauto\adjustright\rin0\lin0 \rtlch\fcs1 _x000d__x000a_\af0\afs20\alang1025 \ltrch\fcs0 \fs24\lang2057\langfe2057\cgrid\langnp2057\langfenp2057 {\rtlch\fcs1 \af0 \ltrch\fcs0 \lang2070\langfe2057\langnp2070\insrsid13591998\charrsid7558574 \trowd \irow2\irowband2\lastrow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13591998 \rtlch\fcs1 \af0\afs20\alang1025 \ltrch\fcs0 \fs24\lang2070\langfe2057\cgrid\langnp2070\langfenp2057 {\rtlch\fcs1 \af0 \ltrch\fcs0 _x000d__x000a_\insrsid13591998\charrsid7558574 Or. }{\rtlch\fcs1 \af0 \ltrch\fcs0 \cs17\v\fs20\cf9\lang1024\langfe1024\loch\af1\hich\af1\dbch\af31501\noproof\insrsid13591998\charrsid7558574 \hich\af1\dbch\af31501\loch\f1 &lt;Original&gt;}{\rtlch\fcs1 \af0 \ltrch\fcs0 _x000d__x000a_\insrsid13591998\charrsid7558574 #}{\rtlch\fcs1 \af1 \ltrch\fcs0 \cs18\v\f1\fs20\cf15\insrsid13591998\charrsid7558574 KEY(MAIN/LANGMIN)sh@ORLANGMSG@}{\rtlch\fcs1 \af0 \ltrch\fcs0 \insrsid13591998\charrsid7558574 #}{\rtlch\fcs1 \af0 \ltrch\fcs0 _x000d__x000a_\cs17\v\fs20\cf9\lang1024\langfe1024\loch\af1\hich\af1\dbch\af31501\noproof\insrsid13591998\charrsid7558574 \hich\af1\dbch\af31501\loch\f1 &lt;/Original&gt;}{\rtlch\fcs1 \af0 \ltrch\fcs0 \insrsid13591998\charrsid7558574 _x000d__x000a_\par }\pard\plain \ltrpar\ql \li0\ri0\widctlpar\wrapdefault\aspalpha\aspnum\faauto\adjustright\rin0\lin0\itap0\pararsid13591998 \rtlch\fcs1 \af0\afs20\alang1025 \ltrch\fcs0 \fs24\lang2057\langfe2057\cgrid\langnp2057\langfenp2057 {\rtlch\fcs1 \af0 \ltrch\fcs0 _x000d__x000a_\cs17\v\fs20\cf9\lang1024\langfe1024\loch\af1\hich\af1\dbch\af31501\noproof\langnp2070\insrsid13591998\charrsid7558574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4b_x000d__x000a_33e1a8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P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5\fbidi \froman\fcharset238\fprq2 Times New Roman CE;}{\f336\fbidi \froman\fcharset204\fprq2 Times New Roman Cyr;}_x000d__x000a_{\f338\fbidi \froman\fcharset161\fprq2 Times New Roman Greek;}{\f339\fbidi \froman\fcharset162\fprq2 Times New Roman Tur;}{\f340\fbidi \froman\fcharset177\fprq2 Times New Roman (Hebrew);}{\f341\fbidi \froman\fcharset178\fprq2 Times New Roman (Arabic);}_x000d__x000a_{\f342\fbidi \froman\fcharset186\fprq2 Times New Roman Baltic;}{\f343\fbidi \froman\fcharset163\fprq2 Times New Roman (Vietnamese);}{\f345\fbidi \fswiss\fcharset238\fprq2 Arial CE;}{\f346\fbidi \fswiss\fcharset204\fprq2 Arial Cyr;}_x000d__x000a_{\f348\fbidi \fswiss\fcharset161\fprq2 Arial Greek;}{\f349\fbidi \fswiss\fcharset162\fprq2 Arial Tur;}{\f350\fbidi \fswiss\fcharset177\fprq2 Arial (Hebrew);}{\f351\fbidi \fswiss\fcharset178\fprq2 Arial (Arabic);}_x000d__x000a_{\f352\fbidi \fswiss\fcharset186\fprq2 Arial Baltic;}{\f353\fbidi \fswiss\fcharset163\fprq2 Arial (Vietnamese);}{\f675\fbidi \froman\fcharset238\fprq2 Cambria Math CE;}{\f676\fbidi \froman\fcharset204\fprq2 Cambria Math Cyr;}_x000d__x000a_{\f678\fbidi \froman\fcharset161\fprq2 Cambria Math Greek;}{\f679\fbidi \froman\fcharset162\fprq2 Cambria Math Tur;}{\f682\fbidi \froman\fcharset186\fprq2 Cambria Math Baltic;}{\f68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3347752 HideTWBExt;}{\*\cs18 \additive \v\f1\fs20\cf15 _x000d__x000a_\spriority0 \styrsid3347752 HideTWBInt;}{\s19\ql \li0\ri0\sa120\nowidctlpar\wrapdefault\aspalpha\aspnum\faauto\adjustright\rin0\lin0\itap0 \rtlch\fcs1 \af0\afs20\alang1025 \ltrch\fcs0 \fs24\lang2070\langfe2057\cgrid\langnp2070\langfenp2057 _x000d__x000a_\sbasedon0 \snext19 \spriority0 \styrsid3347752 Normal6a;}{\s20\ql \li0\ri0\nowidctlpar\wrapdefault\aspalpha\aspnum\faauto\adjustright\rin0\lin0\itap0 \rtlch\fcs1 \af0\afs20\alang1025 \ltrch\fcs0 \b\fs24\lang2070\langfe2057\cgrid\langnp2070\langfenp2057 _x000d__x000a_\sbasedon0 \snext20 \spriority0 \styrsid3347752 NormalBold;}{\s21\ql \li0\ri0\sa240\nowidctlpar\wrapdefault\aspalpha\aspnum\faauto\adjustright\rin0\lin0\itap0 \rtlch\fcs1 \af0\afs20\alang1025 \ltrch\fcs0 _x000d__x000a_\i\fs24\lang2070\langfe2057\cgrid\langnp2070\langfenp2057 \sbasedon0 \snext21 \spriority0 \styrsid3347752 AmJustText;}{\s22\qc \li0\ri0\sb240\sa240\nowidctlpar\wrapdefault\aspalpha\aspnum\faauto\adjustright\rin0\lin0\itap0 \rtlch\fcs1 _x000d__x000a_\af0\afs20\alang1025 \ltrch\fcs0 \i\fs24\lang2070\langfe2057\cgrid\langnp2070\langfenp2057 \sbasedon0 \snext22 \spriority0 \styrsid3347752 AmCrossRef;}{_x000d__x000a_\s23\qc \li0\ri0\sb240\sa240\keepn\nowidctlpar\wrapdefault\aspalpha\aspnum\faauto\adjustright\rin0\lin0\itap0 \rtlch\fcs1 \af0\afs20\alang1025 \ltrch\fcs0 \i\fs24\lang2070\langfe2057\cgrid\langnp2070\langfenp2057 _x000d__x000a_\sbasedon0 \snext21 \spriority0 \styrsid3347752 AmJustTitle;}{\s24\qr \li0\ri0\sb240\sa240\nowidctlpar\wrapdefault\aspalpha\aspnum\faauto\adjustright\rin0\lin0\itap0 \rtlch\fcs1 \af0\afs20\alang1025 \ltrch\fcs0 _x000d__x000a_\fs24\lang2070\langfe2057\cgrid\langnp2070\langfenp2057 \sbasedon0 \snext24 \spriority0 \styrsid3347752 AmOrLang;}{\s25\qc \li0\ri0\sa240\nowidctlpar\wrapdefault\aspalpha\aspnum\faauto\adjustright\rin0\lin0\itap0 \rtlch\fcs1 \af0\afs20\alang1025 _x000d__x000a_\ltrch\fcs0 \i\fs24\lang2070\langfe2057\cgrid\langnp2070\langfenp2057 \sbasedon0 \snext25 \spriority0 \styrsid3347752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70\langfe2057\cgrid\langnp2070\langfenp2057 \sbasedon0 \snext26 \spriority0 \styrsid3347752 AmNumberTabs;}}{\*\rsidtbl \rsid24658\rsid223860\rsid735077\rsid1718133\rsid2892074\rsid3347752\rsid3565327\rsid4666813\rsid4799485_x000d__x000a_\rsid6641733\rsid7823322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CORISCO Vasco}{\operator CORISCO Vasco}{\creatim\yr2025\mo3\dy10\hr11\min40}{\revtim\yr2025\mo3\dy10\hr11\min40}{\version1}{\edmins0}{\nofpages1}{\nofwords138}{\nofchars740}_x000d__x000a_{\nofcharsws876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334775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vcorisco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79948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79948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79948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79948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3347752 \rtlch\fcs1 _x000d__x000a_\af0\afs20\alang1025 \ltrch\fcs0 \b\fs24\lang2070\langfe2057\cgrid\langnp2070\langfenp2057 {\rtlch\fcs1 \af0 \ltrch\fcs0 \cs17\b0\v\fs20\cf9\lang1024\langfe1024\loch\af1\hich\af1\dbch\af31501\noproof\insrsid3347752\charrsid7558574 {\*\bkmkstart restartB}_x000d__x000a_\hich\af1\dbch\af31501\loch\f1 &lt;AmendB&gt;}{\rtlch\fcs1 \af0 \ltrch\fcs0 \insrsid3347752\charrsid7558574 Altera\'e7\'e3o\tab \tab }{\rtlch\fcs1 \af0 \ltrch\fcs0 _x000d__x000a_\cs17\b0\v\fs20\cf9\lang1024\langfe1024\loch\af1\hich\af1\dbch\af31501\noproof\insrsid3347752\charrsid7558574 \hich\af1\dbch\af31501\loch\f1 &lt;NumAmB&gt;}{\rtlch\fcs1 \af0 \ltrch\fcs0 \insrsid3347752\charrsid7558574 #}{\rtlch\fcs1 \af1 \ltrch\fcs0 _x000d__x000a_\cs18\v\f1\fs20\cf15\insrsid3347752\charrsid7558574 ENMIENDA@NRAM@}{\rtlch\fcs1 \af0 \ltrch\fcs0 \insrsid3347752\charrsid7558574 #}{\rtlch\fcs1 \af0 \ltrch\fcs0 _x000d__x000a_\cs17\b0\v\fs20\cf9\lang1024\langfe1024\loch\af1\hich\af1\dbch\af31501\noproof\insrsid3347752\charrsid7558574 \hich\af1\dbch\af31501\loch\f1 &lt;/NumAmB&gt;}{\rtlch\fcs1 \af0 \ltrch\fcs0 \insrsid3347752\charrsid7558574 _x000d__x000a_\par }\pard\plain \ltrpar\s20\ql \li0\ri0\nowidctlpar\wrapdefault\aspalpha\aspnum\faauto\adjustright\rin0\lin0\itap0\pararsid3347752 \rtlch\fcs1 \af0\afs20\alang1025 \ltrch\fcs0 \b\fs24\lang2070\langfe2057\cgrid\langnp2070\langfenp2057 {\rtlch\fcs1 \af0 _x000d__x000a_\ltrch\fcs0 \cs17\b0\v\fs20\cf9\lang1024\langfe1024\loch\af1\hich\af1\dbch\af31501\noproof\insrsid3347752\charrsid7558574 \hich\af1\dbch\af31501\loch\f1 &lt;RepeatBlock-By&gt;}{\rtlch\fcs1 \af0 \ltrch\fcs0 \insrsid3347752\charrsid7558574 #}{\rtlch\fcs1 \af1 _x000d__x000a_\ltrch\fcs0 \cs18\v\f1\fs20\cf15\insrsid3347752\charrsid7558574 (MOD@InsideLoop()}{\rtlch\fcs1 \af0 \ltrch\fcs0 \insrsid3347752\charrsid7558574 ##}{\rtlch\fcs1 \af1 \ltrch\fcs0 \cs18\v\f1\fs20\cf15\insrsid3347752\charrsid7558574 &gt;&gt;&gt;@[ZMEMBERSMSG]@}{_x000d__x000a_\rtlch\fcs1 \af0 \ltrch\fcs0 \insrsid3347752\charrsid7558574 #}{\rtlch\fcs1 \af0 \ltrch\fcs0 \cs17\b0\v\fs20\cf9\lang1024\langfe1024\loch\af1\hich\af1\dbch\af31501\noproof\insrsid3347752\charrsid7558574 \hich\af1\dbch\af31501\loch\f1 &lt;Members&gt;}{_x000d__x000a_\rtlch\fcs1 \af0 \ltrch\fcs0 \insrsid3347752\charrsid7558574 #}{\rtlch\fcs1 \af1 \ltrch\fcs0 \cs18\v\f1\fs20\cf15\insrsid3347752\charrsid7558574 (MOD@InsideLoop(\'a7)}{\rtlch\fcs1 \af0 \ltrch\fcs0 \insrsid3347752\charrsid7558574 #}{\rtlch\fcs1 \af0 _x000d__x000a_\ltrch\fcs0 \cf10\insrsid3347752\charrsid7558574 \u9668\'3f}{\rtlch\fcs1 \af0 \ltrch\fcs0 \insrsid3347752\charrsid7558574 #}{\rtlch\fcs1 \af1 \ltrch\fcs0 \cs18\v\f1\fs20\cf15\insrsid3347752\charrsid7558574 TVTMEMBERS\'a7@MEMBERS@}{\rtlch\fcs1 \af0 _x000d__x000a_\ltrch\fcs0 \insrsid3347752\charrsid7558574 #}{\rtlch\fcs1 \af0 \ltrch\fcs0 \cf10\insrsid3347752\charrsid7558574 \u9658\'3f}{\rtlch\fcs1 \af0 \ltrch\fcs0 _x000d__x000a_\cs17\b0\v\fs20\cf9\lang1024\langfe1024\loch\af1\hich\af1\dbch\af31501\noproof\insrsid3347752\charrsid7558574 \hich\af1\dbch\af31501\loch\f1 &lt;/Members&gt;}{\rtlch\fcs1 \af0 \ltrch\fcs0 \insrsid3347752\charrsid7558574 _x000d__x000a_\par }\pard\plain \ltrpar\ql \li0\ri0\widctlpar\wrapdefault\aspalpha\aspnum\faauto\adjustright\rin0\lin0\itap0\pararsid3347752 \rtlch\fcs1 \af0\afs20\alang1025 \ltrch\fcs0 \fs24\lang2057\langfe2057\cgrid\langnp2057\langfenp2057 {\rtlch\fcs1 \af0 \ltrch\fcs0 _x000d__x000a_\cs17\v\fs20\cf9\lang1024\langfe1024\loch\af1\hich\af1\dbch\af31501\noproof\langnp2070\insrsid3347752\charrsid7558574 \hich\af1\dbch\af31501\loch\f1 &lt;AuNomDe&gt;&lt;OptDel&gt;}{\rtlch\fcs1 \af0 \ltrch\fcs0 _x000d__x000a_\lang2070\langfe2057\langnp2070\insrsid3347752\charrsid7558574 #}{\rtlch\fcs1 \af1 \ltrch\fcs0 \cs18\v\f1\fs20\cf15\lang2070\langfe2057\langnp2070\insrsid3347752\charrsid7558574 MNU[ONBEHALFYES][NOTAPP]@CHOICE@}{\rtlch\fcs1 \af0 \ltrch\fcs0 _x000d__x000a_\lang2070\langfe2057\langnp2070\insrsid3347752\charrsid7558574 #}{\rtlch\fcs1 \af0 \ltrch\fcs0 \cs17\v\fs20\cf9\lang1024\langfe1024\loch\af1\hich\af1\dbch\af31501\noproof\langnp2070\insrsid3347752\charrsid7558574 \hich\af1\dbch\af31501\loch\f1 _x000d__x000a_&lt;/OptDel&gt;&lt;/AuNomDe&gt;}{\rtlch\fcs1 \af0 \ltrch\fcs0 \lang2070\langfe2057\langnp2070\insrsid3347752\charrsid7558574 _x000d__x000a_\par &lt;&lt;&lt;}{\rtlch\fcs1 \af0 \ltrch\fcs0 \cs17\v\fs20\cf9\lang1024\langfe1024\loch\af1\hich\af1\dbch\af31501\noproof\langnp2070\insrsid3347752\charrsid7558574 \hich\af1\dbch\af31501\loch\f1 &lt;/RepeatBlock-By&gt;}{\rtlch\fcs1 \af0 \ltrch\fcs0 _x000d__x000a_\lang2070\langfe2057\langnp2070\insrsid3347752\charrsid7558574 _x000d__x000a_\par }\pard\plain \ltrpar\s20\ql \li0\ri0\nowidctlpar\wrapdefault\aspalpha\aspnum\faauto\adjustright\rin0\lin0\itap0\pararsid3347752 \rtlch\fcs1 \af0\afs20\alang1025 \ltrch\fcs0 \b\fs24\lang2070\langfe2057\cgrid\langnp2070\langfenp2057 {\rtlch\fcs1 \af0 _x000d__x000a_\ltrch\fcs0 \cs17\b0\v\fs20\cf9\lang1024\langfe1024\loch\af1\hich\af1\dbch\af31501\noproof\insrsid3347752\charrsid7558574 \hich\af1\dbch\af31501\loch\f1 &lt;DocAmend&gt;}{\rtlch\fcs1 \af0 \ltrch\fcs0 \insrsid3347752\charrsid7558574 #}{\rtlch\fcs1 \af1 _x000d__x000a_\ltrch\fcs0 \cs18\v\f1\fs20\cf15\insrsid3347752\charrsid7558574 MNU[OPTPROPOSALCOD][OPTPROPOSALCNS][OPTPROPOSALNLE]@CHOICE@CODEMNU}{\rtlch\fcs1 \af0 \ltrch\fcs0 \insrsid3347752\charrsid7558574 #}{\rtlch\fcs1 \af0 \ltrch\fcs0 _x000d__x000a_\cs17\b0\v\fs20\cf9\lang1024\langfe1024\loch\af1\hich\af1\dbch\af31501\noproof\insrsid3347752\charrsid7558574 \hich\af1\dbch\af31501\loch\f1 &lt;/DocAmend&gt;}{\rtlch\fcs1 \af0 \ltrch\fcs0 \insrsid3347752\charrsid7558574 _x000d__x000a_\par }\pard \ltrpar\s20\ql \li0\ri0\keepn\nowidctlpar\wrapdefault\aspalpha\aspnum\faauto\adjustright\rin0\lin0\itap0\pararsid3347752 {\rtlch\fcs1 \af0 \ltrch\fcs0 _x000d__x000a_\cs17\b0\v\fs20\cf9\lang1024\langfe1024\loch\af1\hich\af1\dbch\af31501\noproof\insrsid3347752\charrsid7558574 \hich\af1\dbch\af31501\loch\f1 &lt;Article&gt;}{\rtlch\fcs1 \af0 \ltrch\fcs0 \insrsid3347752\charrsid7558574 #}{\rtlch\fcs1 \af1 \ltrch\fcs0 _x000d__x000a_\cs18\v\f1\fs20\cf15\insrsid3347752\charrsid7558574 MNU[AMACTPARTYES][AMACTPARTNO]@CHOICE@AMACTMNU}{\rtlch\fcs1 \af0 \ltrch\fcs0 \insrsid3347752\charrsid7558574 #}{\rtlch\fcs1 \af0 \ltrch\fcs0 _x000d__x000a_\cs17\b0\v\fs20\cf9\lang1024\langfe1024\loch\af1\hich\af1\dbch\af31501\noproof\insrsid3347752\charrsid7558574 \hich\af1\dbch\af31501\loch\f1 &lt;/Article&gt;}{\rtlch\fcs1 \af0 \ltrch\fcs0 \insrsid3347752\charrsid7558574 _x000d__x000a_\par }\pard\plain \ltrpar\ql \li0\ri0\keepn\widctlpar\wrapdefault\aspalpha\aspnum\faauto\adjustright\rin0\lin0\itap0\pararsid3347752 \rtlch\fcs1 \af0\afs20\alang1025 \ltrch\fcs0 \fs24\lang2057\langfe2057\cgrid\langnp2057\langfenp2057 {\rtlch\fcs1 \af0 _x000d__x000a_\ltrch\fcs0 \cs17\v\fs20\cf9\lang1024\langfe1024\loch\af1\hich\af1\dbch\af31501\noproof\langnp2070\insrsid3347752\charrsid7558574 \hich\af1\dbch\af31501\loch\f1 &lt;DocAmend2&gt;&lt;OptDel&gt;}{\rtlch\fcs1 \af0 \ltrch\fcs0 _x000d__x000a_\lang2070\langfe2057\langnp2070\insrsid3347752\charrsid7558574 #}{\rtlch\fcs1 \af1 \ltrch\fcs0 \cs18\v\f1\fs20\cf15\lang2070\langfe2057\langnp2070\insrsid3347752\charrsid7558574 MNU[OPTNRACTYES][NOTAPP]@CHOICE@AMACTMNU}{\rtlch\fcs1 \af0 \ltrch\fcs0 _x000d__x000a_\lang2070\langfe2057\langnp2070\insrsid3347752\charrsid7558574 #}{\rtlch\fcs1 \af0 \ltrch\fcs0 \cs17\v\fs20\cf9\lang1024\langfe1024\loch\af1\hich\af1\dbch\af31501\noproof\langnp2070\insrsid3347752\charrsid7558574 \hich\af1\dbch\af31501\loch\f1 _x000d__x000a_&lt;/OptDel&gt;&lt;/DocAmend2&gt;}{\rtlch\fcs1 \af0 \ltrch\fcs0 \lang2070\langfe2057\langnp2070\insrsid3347752\charrsid7558574 _x000d__x000a_\par }\pard \ltrpar\ql \li0\ri0\widctlpar\wrapdefault\aspalpha\aspnum\faauto\adjustright\rin0\lin0\itap0\pararsid3347752 {\rtlch\fcs1 \af0 \ltrch\fcs0 _x000d__x000a_\cs17\v\fs20\cf9\lang1024\langfe1024\loch\af1\hich\af1\dbch\af31501\noproof\langnp2070\insrsid3347752\charrsid7558574 \hich\af1\dbch\af31501\loch\f1 &lt;Article2&gt;&lt;OptDel&gt;}{\rtlch\fcs1 \af0 \ltrch\fcs0 _x000d__x000a_\lang2070\langfe2057\langnp2070\insrsid3347752\charrsid7558574 #}{\rtlch\fcs1 \af1 \ltrch\fcs0 \cs18\v\f1\fs20\cf15\lang2070\langfe2057\langnp2070\insrsid3347752\charrsid7558574 MNU[OPTACTPARTYES][NOTAPP]@CHOICE@AMACTMNU}{\rtlch\fcs1 \af0 \ltrch\fcs0 _x000d__x000a_\lang2070\langfe2057\langnp2070\insrsid3347752\charrsid7558574 #}{\rtlch\fcs1 \af0 \ltrch\fcs0 \cs17\v\fs20\cf9\lang1024\langfe1024\loch\af1\hich\af1\dbch\af31501\noproof\langnp2070\insrsid3347752\charrsid7558574 \hich\af1\dbch\af31501\loch\f1 _x000d__x000a_&lt;/OptDel&gt;&lt;/Article2&gt;}{\rtlch\fcs1 \af0 \ltrch\fcs0 \lang2070\langfe2057\langnp2070\insrsid3347752\charrsid7558574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lang2070\langfe2057\langnp2070\insrsid3347752\charrsid7558574 \cell }\pard\plain \ltrpar_x000d__x000a_\ql \li0\ri0\widctlpar\intbl\wrapdefault\aspalpha\aspnum\faauto\adjustright\rin0\lin0 \rtlch\fcs1 \af0\afs20\alang1025 \ltrch\fcs0 \fs24\lang2057\langfe2057\cgrid\langnp2057\langfenp2057 {\rtlch\fcs1 \af0 \ltrch\fcs0 _x000d__x000a_\lang2070\langfe2057\langnp2070\insrsid3347752\charrsid7558574 \trowd \irow0\irowband0\ltrrow\ts11\trqc\trgaph340\trleft0\trftsWidth3\trwWidth9752\trftsWidthB3\trpaddl340\trpaddr340\trpaddfl3\trpaddft3\trpaddfb3\trpaddfr3\tblind0\tblindtype3 \clvertalt_x000d__x000a_\clbrdrt\brdrtbl \clbrdrl\brdrtbl \clbrdrb\brdrtbl \clbrdrr\brdrtbl \cltxlrtb\clftsWidth3\clwWidth9752\clshdrawnil \cellx9752\row \ltrrow}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0630121 \rtlch\fcs1 \af0\afs20\alang1025 \ltrch\fcs0 \i\fs24\lang2070\langfe2057\cgrid\langnp2070\langfenp2057 {\rtlch\fcs1 \af0 \ltrch\fcs0 _x000d__x000a_\insrsid3347752\charrsid7558574 #}{\rtlch\fcs1 \af1 \ltrch\fcs0 \cs18\v\f1\fs20\cf15\insrsid3347752\charrsid7558574 MNU[OPTLEFTAMACT][LEFTPROP]@CHOICE@AMACTMNU}{\rtlch\fcs1 \af0 \ltrch\fcs0 \insrsid3347752\charrsid7558574 #\cell Altera\'e7\'e3o\cell _x000d__x000a_}\pard\plain \ltrpar\ql \li0\ri0\widctlpar\intbl\wrapdefault\aspalpha\aspnum\faauto\adjustright\rin0\lin0 \rtlch\fcs1 \af0\afs20\alang1025 \ltrch\fcs0 \fs24\lang2057\langfe2057\cgrid\langnp2057\langfenp2057 {\rtlch\fcs1 \af0 \ltrch\fcs0 _x000d__x000a_\lang2070\langfe2057\langnp2070\insrsid3347752\charrsid7558574 \trowd \irow1\irowband1\ltrrow\ts11\trqc\trgaph340\trleft0\trftsWidth3\trwWidth9752\trftsWidthB3\trpaddl340\trpaddr340\trpaddfl3\trpaddft3\trpaddfb3\trpaddfr3\tblind0\tblindtype3 \clvertalt_x000d__x000a_\clbrdrt\brdrtbl \clbrdrl\brdrtbl \clbrdrb\brdrtbl \clbrdrr\brdrtbl \cltxlrtb\clftsWidth3\clwWidth4876\clshdrawnil \cellx4876\clvertalt\clbrdrt\brdrtbl \clbrdrl\brdrtbl \clbrdrb\brdrtbl \clbrdrr\brdrtbl \cltxlrtb\clftsWidth3\clwWidth4876\clshdrawnil _x000d__x000a_\cellx9752\row \ltrrow}\pard\plain \ltrpar\s19\ql \li0\ri0\sa120\nowidctlpar\intbl\wrapdefault\aspalpha\aspnum\faauto\adjustright\rin0\lin0\pararsid12024389 \rtlch\fcs1 \af0\afs20\alang1025 \ltrch\fcs0 _x000d__x000a_\fs24\lang2070\langfe2057\cgrid\langnp2070\langfenp2057 {\rtlch\fcs1 \af0 \ltrch\fcs0 \insrsid3347752\charrsid7558574 ##\cell ##}{\rtlch\fcs1 \af0\afs24 \ltrch\fcs0 \insrsid3347752\charrsid7558574 \cell }\pard\plain \ltrpar_x000d__x000a_\ql \li0\ri0\widctlpar\intbl\wrapdefault\aspalpha\aspnum\faauto\adjustright\rin0\lin0 \rtlch\fcs1 \af0\afs20\alang1025 \ltrch\fcs0 \fs24\lang2057\langfe2057\cgrid\langnp2057\langfenp2057 {\rtlch\fcs1 \af0 \ltrch\fcs0 _x000d__x000a_\lang2070\langfe2057\langnp2070\insrsid3347752\charrsid7558574 \trowd \irow2\irowband2\lastrow 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row }\pard\plain \ltrpar\s24\qr \li0\ri0\sb240\sa240\nowidctlpar\wrapdefault\aspalpha\aspnum\faauto\adjustright\rin0\lin0\itap0\pararsid3347752 \rtlch\fcs1 \af0\afs20\alang1025 \ltrch\fcs0 _x000d__x000a_\fs24\lang2070\langfe2057\cgrid\langnp2070\langfenp2057 {\rtlch\fcs1 \af0 \ltrch\fcs0 \insrsid3347752\charrsid7558574 Or. }{\rtlch\fcs1 \af0 \ltrch\fcs0 _x000d__x000a_\cs17\v\fs20\cf9\lang1024\langfe1024\loch\af1\hich\af1\dbch\af31501\noproof\insrsid3347752\charrsid7558574 \hich\af1\dbch\af31501\loch\f1 &lt;Original&gt;}{\rtlch\fcs1 \af0 \ltrch\fcs0 \insrsid3347752\charrsid7558574 #}{\rtlch\fcs1 \af1 \ltrch\fcs0 _x000d__x000a_\cs18\v\f1\fs20\cf15\insrsid3347752\charrsid7558574 KEY(MAIN/LANGMIN)sh@ORLANGMSG@}{\rtlch\fcs1 \af0 \ltrch\fcs0 \insrsid3347752\charrsid7558574 #}{\rtlch\fcs1 \af0 \ltrch\fcs0 _x000d__x000a_\cs17\v\fs20\cf9\lang1024\langfe1024\loch\af1\hich\af1\dbch\af31501\noproof\insrsid3347752\charrsid7558574 \hich\af1\dbch\af31501\loch\f1 &lt;/Original&gt;}{\rtlch\fcs1 \af0 \ltrch\fcs0 \insrsid3347752\charrsid7558574 _x000d__x000a_\par }\pard\plain \ltrpar\s22\qc \li0\ri0\sb240\sa240\nowidctlpar\wrapdefault\aspalpha\aspnum\faauto\adjustright\rin0\lin0\itap0\pararsid3347752 \rtlch\fcs1 \af0\afs20\alang1025 \ltrch\fcs0 \i\fs24\lang2070\langfe2057\cgrid\langnp2070\langfenp2057 {_x000d__x000a_\rtlch\fcs1 \af0 \ltrch\fcs0 \cs17\i0\v\fs20\cf9\lang1024\langfe1024\loch\af1\hich\af1\dbch\af31501\noproof\insrsid3347752\charrsid7558574 \hich\af1\dbch\af31501\loch\f1 &lt;OptDel&gt;}{\rtlch\fcs1 \af0 \ltrch\fcs0 \insrsid3347752\charrsid7558574 #}{_x000d__x000a_\rtlch\fcs1 \af1 \ltrch\fcs0 \cs18\v\f1\fs20\cf15\insrsid3347752\charrsid7558574 MNU[CROSSREFNO][CROSSREFYES]@CHOICE@}{\rtlch\fcs1 \af0 \ltrch\fcs0 \insrsid3347752\charrsid7558574 #}{\rtlch\fcs1 \af0 \ltrch\fcs0 _x000d__x000a_\cs17\i0\v\fs20\cf9\lang1024\langfe1024\loch\af1\hich\af1\dbch\af31501\noproof\insrsid3347752\charrsid7558574 \hich\af1\dbch\af31501\loch\f1 &lt;/OptDel&gt;}{\rtlch\fcs1 \af0 \ltrch\fcs0 \insrsid3347752\charrsid7558574 _x000d__x000a_\par }\pard\plain \ltrpar\s23\qc \li0\ri0\sb240\sa240\keepn\nowidctlpar\wrapdefault\aspalpha\aspnum\faauto\adjustright\rin0\lin0\itap0\pararsid3347752 \rtlch\fcs1 \af0\afs20\alang1025 \ltrch\fcs0 \i\fs24\lang2070\langfe2057\cgrid\langnp2070\langfenp2057 {_x000d__x000a_\rtlch\fcs1 \af0 \ltrch\fcs0 \cs17\i0\v\fs20\cf9\lang1024\langfe1024\loch\af1\hich\af1\dbch\af31501\noproof\insrsid3347752\charrsid7558574 \hich\af1\dbch\af31501\loch\f1 &lt;TitreJust&gt;}{\rtlch\fcs1 \af0 \ltrch\fcs0 \insrsid3347752\charrsid7558574 Justifica_x000d__x000a_\'e7\'e3o}{\rtlch\fcs1 \af0 \ltrch\fcs0 \cs17\i0\v\fs20\cf9\lang1024\langfe1024\loch\af1\hich\af1\dbch\af31501\noproof\insrsid3347752\charrsid7558574 \hich\af1\dbch\af31501\loch\f1 &lt;/TitreJust&gt;}{\rtlch\fcs1 \af0 \ltrch\fcs0 _x000d__x000a_\insrsid3347752\charrsid7558574 _x000d__x000a_\par }\pard\plain \ltrpar\s21\ql \li0\ri0\sa240\nowidctlpar\wrapdefault\aspalpha\aspnum\faauto\adjustright\rin0\lin0\itap0\pararsid3347752 \rtlch\fcs1 \af0\afs20\alang1025 \ltrch\fcs0 \i\fs24\lang2070\langfe2057\cgrid\langnp2070\langfenp2057 {\rtlch\fcs1 \af0 _x000d__x000a_\ltrch\fcs0 \cs17\i0\v\fs20\cf9\lang1024\langfe1024\loch\af1\hich\af1\dbch\af31501\noproof\insrsid3347752\charrsid7558574 \hich\af1\dbch\af31501\loch\f1 &lt;OptDelPrev&gt;}{\rtlch\fcs1 \af0 \ltrch\fcs0 \insrsid3347752\charrsid7558574 #}{\rtlch\fcs1 \af1 _x000d__x000a_\ltrch\fcs0 \cs18\v\f1\fs20\cf15\insrsid3347752\charrsid7558574 MNU[TEXTJUSTYES][TEXTJUSTNO]@CHOICE@}{\rtlch\fcs1 \af0 \ltrch\fcs0 \insrsid3347752\charrsid7558574 #}{\rtlch\fcs1 \af0 \ltrch\fcs0 _x000d__x000a_\cs17\i0\v\fs20\cf9\lang1024\langfe1024\loch\af1\hich\af1\dbch\af31501\noproof\insrsid3347752\charrsid7558574 \hich\af1\dbch\af31501\loch\f1 &lt;/OptDelPrev&gt;}{\rtlch\fcs1 \af0 \ltrch\fcs0 \insrsid3347752\charrsid7558574 _x000d__x000a_\par }\pard\plain \ltrpar\ql \li0\ri0\widctlpar\wrapdefault\aspalpha\aspnum\faauto\adjustright\rin0\lin0\itap0\pararsid3347752 \rtlch\fcs1 \af0\afs20\alang1025 \ltrch\fcs0 \fs24\lang2057\langfe2057\cgrid\langnp2057\langfenp2057 {\rtlch\fcs1 \af0 \ltrch\fcs0 _x000d__x000a_\cs17\v\fs20\cf9\lang1024\langfe1024\loch\af1\hich\af1\dbch\af31501\noproof\langnp2070\insrsid3347752\charrsid7558574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55_x000d__x000a_9ae2a8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316"/>
    <w:docVar w:name="TXTAUTHOR" w:val="Thomas Bajada"/>
    <w:docVar w:name="TXTLANGUE" w:val="PT"/>
    <w:docVar w:name="TXTLANGUEMIN" w:val="pt"/>
    <w:docVar w:name="TXTNRC" w:val="0098/2024"/>
    <w:docVar w:name="TXTNRCOM" w:val="(2024)0407"/>
    <w:docVar w:name="TXTNRFIRSTAM" w:val="22"/>
    <w:docVar w:name="TXTNRLASTAM" w:val="47"/>
    <w:docVar w:name="TXTNRPE" w:val="770.158"/>
    <w:docVar w:name="TXTNRPE2" w:val="766.000"/>
    <w:docVar w:name="TXTNRPROC" w:val="2024/0224"/>
    <w:docVar w:name="TXTPEorAP" w:val="PE"/>
    <w:docVar w:name="TXTROUTE" w:val="AM\1316600PT.docx"/>
    <w:docVar w:name="TXTTITLE" w:val="Proposal for a regulation of the European Parliament and of the Council amending Regulation (EU) No 1026/2012 on certain measures for the purpose of the conservation of fish stocks in relation to countries allowing non-sustainable fishing"/>
    <w:docVar w:name="TXTVERSION" w:val="01-00"/>
    <w:docVar w:name="TXTVERSION2" w:val="01-00"/>
  </w:docVars>
  <w:rsids>
    <w:rsidRoot w:val="007355AE"/>
    <w:rsid w:val="000111BD"/>
    <w:rsid w:val="00073830"/>
    <w:rsid w:val="00075DBE"/>
    <w:rsid w:val="000B0781"/>
    <w:rsid w:val="000D446F"/>
    <w:rsid w:val="000E7234"/>
    <w:rsid w:val="000F2A80"/>
    <w:rsid w:val="000F7815"/>
    <w:rsid w:val="00126BC4"/>
    <w:rsid w:val="00150057"/>
    <w:rsid w:val="00166CCB"/>
    <w:rsid w:val="001809DD"/>
    <w:rsid w:val="001A4802"/>
    <w:rsid w:val="001B761C"/>
    <w:rsid w:val="001C2054"/>
    <w:rsid w:val="001C502E"/>
    <w:rsid w:val="001D13C9"/>
    <w:rsid w:val="001D5CC4"/>
    <w:rsid w:val="001D7A49"/>
    <w:rsid w:val="001F0FDD"/>
    <w:rsid w:val="0020367C"/>
    <w:rsid w:val="00222325"/>
    <w:rsid w:val="00231EA7"/>
    <w:rsid w:val="00236619"/>
    <w:rsid w:val="002574CB"/>
    <w:rsid w:val="00280EA6"/>
    <w:rsid w:val="002A1C82"/>
    <w:rsid w:val="002B6A7B"/>
    <w:rsid w:val="002C5761"/>
    <w:rsid w:val="002E3F68"/>
    <w:rsid w:val="002E4311"/>
    <w:rsid w:val="003003A7"/>
    <w:rsid w:val="00315664"/>
    <w:rsid w:val="00322475"/>
    <w:rsid w:val="00363AD3"/>
    <w:rsid w:val="003743DE"/>
    <w:rsid w:val="0037660F"/>
    <w:rsid w:val="00384E84"/>
    <w:rsid w:val="0038706C"/>
    <w:rsid w:val="003923F7"/>
    <w:rsid w:val="003931E4"/>
    <w:rsid w:val="003A5102"/>
    <w:rsid w:val="003C6E39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61E32"/>
    <w:rsid w:val="00464338"/>
    <w:rsid w:val="00495E20"/>
    <w:rsid w:val="004C6A1C"/>
    <w:rsid w:val="004E0AAC"/>
    <w:rsid w:val="004E1C4C"/>
    <w:rsid w:val="004F03F0"/>
    <w:rsid w:val="004F2903"/>
    <w:rsid w:val="005246D8"/>
    <w:rsid w:val="00547F73"/>
    <w:rsid w:val="00555066"/>
    <w:rsid w:val="00557617"/>
    <w:rsid w:val="00571479"/>
    <w:rsid w:val="005A7205"/>
    <w:rsid w:val="005A7EB4"/>
    <w:rsid w:val="005B32E3"/>
    <w:rsid w:val="005E50C2"/>
    <w:rsid w:val="00607ABE"/>
    <w:rsid w:val="006337D4"/>
    <w:rsid w:val="00637384"/>
    <w:rsid w:val="0066168A"/>
    <w:rsid w:val="00665DDA"/>
    <w:rsid w:val="00672807"/>
    <w:rsid w:val="006746CD"/>
    <w:rsid w:val="00687070"/>
    <w:rsid w:val="00695CC1"/>
    <w:rsid w:val="006965BE"/>
    <w:rsid w:val="006A2838"/>
    <w:rsid w:val="006B4B58"/>
    <w:rsid w:val="006B6438"/>
    <w:rsid w:val="006D6B15"/>
    <w:rsid w:val="006F3F81"/>
    <w:rsid w:val="006F4B73"/>
    <w:rsid w:val="00702F62"/>
    <w:rsid w:val="007059E9"/>
    <w:rsid w:val="00706049"/>
    <w:rsid w:val="007152AF"/>
    <w:rsid w:val="007355AE"/>
    <w:rsid w:val="00736FBA"/>
    <w:rsid w:val="0074160E"/>
    <w:rsid w:val="007659AC"/>
    <w:rsid w:val="0079060C"/>
    <w:rsid w:val="007A42AB"/>
    <w:rsid w:val="007C71DE"/>
    <w:rsid w:val="00822C94"/>
    <w:rsid w:val="008363E4"/>
    <w:rsid w:val="00851460"/>
    <w:rsid w:val="0087052C"/>
    <w:rsid w:val="00870CF2"/>
    <w:rsid w:val="00874862"/>
    <w:rsid w:val="00875A9C"/>
    <w:rsid w:val="00887FDC"/>
    <w:rsid w:val="008B251A"/>
    <w:rsid w:val="008D6D06"/>
    <w:rsid w:val="008F0DDD"/>
    <w:rsid w:val="00900CAE"/>
    <w:rsid w:val="00904AD5"/>
    <w:rsid w:val="00907CCA"/>
    <w:rsid w:val="009154FF"/>
    <w:rsid w:val="00917A85"/>
    <w:rsid w:val="00966038"/>
    <w:rsid w:val="009A65D8"/>
    <w:rsid w:val="009B0305"/>
    <w:rsid w:val="009F230F"/>
    <w:rsid w:val="00A15973"/>
    <w:rsid w:val="00A233E9"/>
    <w:rsid w:val="00A46736"/>
    <w:rsid w:val="00A507FC"/>
    <w:rsid w:val="00A5426B"/>
    <w:rsid w:val="00A845EF"/>
    <w:rsid w:val="00A84E16"/>
    <w:rsid w:val="00A93389"/>
    <w:rsid w:val="00A93F8C"/>
    <w:rsid w:val="00AA0426"/>
    <w:rsid w:val="00AB74D6"/>
    <w:rsid w:val="00AC7149"/>
    <w:rsid w:val="00AD730A"/>
    <w:rsid w:val="00AE4459"/>
    <w:rsid w:val="00AF25FC"/>
    <w:rsid w:val="00AF2819"/>
    <w:rsid w:val="00B0638A"/>
    <w:rsid w:val="00B10564"/>
    <w:rsid w:val="00B41B4D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C10F61"/>
    <w:rsid w:val="00C22CC4"/>
    <w:rsid w:val="00C2336C"/>
    <w:rsid w:val="00C35E35"/>
    <w:rsid w:val="00C41E32"/>
    <w:rsid w:val="00C8526C"/>
    <w:rsid w:val="00C92798"/>
    <w:rsid w:val="00CB34F1"/>
    <w:rsid w:val="00CB7B07"/>
    <w:rsid w:val="00CC3983"/>
    <w:rsid w:val="00D00CC7"/>
    <w:rsid w:val="00D100D1"/>
    <w:rsid w:val="00D14FCE"/>
    <w:rsid w:val="00D15308"/>
    <w:rsid w:val="00D1583C"/>
    <w:rsid w:val="00D15D1E"/>
    <w:rsid w:val="00D42398"/>
    <w:rsid w:val="00D44842"/>
    <w:rsid w:val="00D677D5"/>
    <w:rsid w:val="00D755F1"/>
    <w:rsid w:val="00D767AC"/>
    <w:rsid w:val="00D82FCC"/>
    <w:rsid w:val="00D87B31"/>
    <w:rsid w:val="00DB429F"/>
    <w:rsid w:val="00DB65C2"/>
    <w:rsid w:val="00DC4160"/>
    <w:rsid w:val="00DC6A1B"/>
    <w:rsid w:val="00DE672F"/>
    <w:rsid w:val="00E15A86"/>
    <w:rsid w:val="00E25DC5"/>
    <w:rsid w:val="00E44BB0"/>
    <w:rsid w:val="00E471BE"/>
    <w:rsid w:val="00E57F50"/>
    <w:rsid w:val="00E660E2"/>
    <w:rsid w:val="00EA25AE"/>
    <w:rsid w:val="00EB3A71"/>
    <w:rsid w:val="00EE011D"/>
    <w:rsid w:val="00EE3E0D"/>
    <w:rsid w:val="00EF03A3"/>
    <w:rsid w:val="00EF11AD"/>
    <w:rsid w:val="00F27170"/>
    <w:rsid w:val="00F459F7"/>
    <w:rsid w:val="00F92B49"/>
    <w:rsid w:val="00FA192C"/>
    <w:rsid w:val="00FC1B08"/>
    <w:rsid w:val="00FD05BD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BCFC78"/>
  <w15:chartTrackingRefBased/>
  <w15:docId w15:val="{239BD055-5491-4A5D-8F94-6B8C3A89D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  <w:lang w:val="pt-PT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character" w:customStyle="1" w:styleId="Normal6Char">
    <w:name w:val="Normal6 Char"/>
    <w:basedOn w:val="DefaultParagraphFont"/>
    <w:link w:val="Normal6"/>
    <w:locked/>
    <w:rsid w:val="00555066"/>
    <w:rPr>
      <w:sz w:val="24"/>
      <w:lang w:val="fr-FR"/>
    </w:rPr>
  </w:style>
  <w:style w:type="paragraph" w:customStyle="1" w:styleId="Normal6">
    <w:name w:val="Normal6"/>
    <w:basedOn w:val="Normal"/>
    <w:link w:val="Normal6Char"/>
    <w:rsid w:val="00555066"/>
    <w:pPr>
      <w:spacing w:after="120"/>
    </w:pPr>
    <w:rPr>
      <w:lang w:val="fr-FR"/>
    </w:rPr>
  </w:style>
  <w:style w:type="character" w:customStyle="1" w:styleId="NormalBoldChar">
    <w:name w:val="NormalBold Char"/>
    <w:basedOn w:val="DefaultParagraphFont"/>
    <w:link w:val="NormalBold"/>
    <w:locked/>
    <w:rsid w:val="00555066"/>
    <w:rPr>
      <w:b/>
      <w:sz w:val="24"/>
      <w:lang w:val="pt-PT"/>
    </w:rPr>
  </w:style>
  <w:style w:type="paragraph" w:customStyle="1" w:styleId="Normal12Italic">
    <w:name w:val="Normal12Italic"/>
    <w:basedOn w:val="Normal"/>
    <w:rsid w:val="00555066"/>
    <w:pPr>
      <w:spacing w:after="240"/>
    </w:pPr>
    <w:rPr>
      <w:i/>
      <w:noProof/>
      <w:lang w:val="fr-FR"/>
    </w:rPr>
  </w:style>
  <w:style w:type="paragraph" w:customStyle="1" w:styleId="JustificationTitle">
    <w:name w:val="JustificationTitle"/>
    <w:basedOn w:val="Normal"/>
    <w:next w:val="Normal"/>
    <w:rsid w:val="00555066"/>
    <w:pPr>
      <w:keepNext/>
      <w:spacing w:before="240" w:after="240"/>
      <w:jc w:val="center"/>
    </w:pPr>
    <w:rPr>
      <w:i/>
      <w:noProof/>
      <w:lang w:val="fr-FR"/>
    </w:rPr>
  </w:style>
  <w:style w:type="paragraph" w:customStyle="1" w:styleId="ColumnHeading">
    <w:name w:val="ColumnHeading"/>
    <w:basedOn w:val="Normal"/>
    <w:rsid w:val="00555066"/>
    <w:pPr>
      <w:spacing w:after="240"/>
      <w:jc w:val="center"/>
    </w:pPr>
    <w:rPr>
      <w:i/>
      <w:lang w:val="fr-FR"/>
    </w:rPr>
  </w:style>
  <w:style w:type="paragraph" w:customStyle="1" w:styleId="AMNumberTabs0">
    <w:name w:val="AMNumberTabs"/>
    <w:basedOn w:val="Normal"/>
    <w:rsid w:val="00555066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lang w:val="fr-FR"/>
    </w:rPr>
  </w:style>
  <w:style w:type="paragraph" w:customStyle="1" w:styleId="CrossRef">
    <w:name w:val="CrossRef"/>
    <w:basedOn w:val="Normal"/>
    <w:rsid w:val="00555066"/>
    <w:pPr>
      <w:spacing w:before="240"/>
      <w:jc w:val="center"/>
    </w:pPr>
    <w:rPr>
      <w:i/>
      <w:lang w:val="fr-FR"/>
    </w:rPr>
  </w:style>
  <w:style w:type="paragraph" w:customStyle="1" w:styleId="Olang">
    <w:name w:val="Olang"/>
    <w:rsid w:val="00555066"/>
    <w:pPr>
      <w:jc w:val="right"/>
    </w:pPr>
  </w:style>
  <w:style w:type="paragraph" w:styleId="Footer">
    <w:name w:val="footer"/>
    <w:basedOn w:val="Normal"/>
    <w:link w:val="FooterChar"/>
    <w:semiHidden/>
    <w:rsid w:val="005550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555066"/>
    <w:rPr>
      <w:sz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3848</Words>
  <Characters>21049</Characters>
  <Application>Microsoft Office Word</Application>
  <DocSecurity>0</DocSecurity>
  <Lines>956</Lines>
  <Paragraphs>444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24453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subject/>
  <dc:creator>European Parliament</dc:creator>
  <cp:keywords/>
  <dc:description/>
  <cp:lastModifiedBy>European Parliament</cp:lastModifiedBy>
  <cp:revision>2</cp:revision>
  <cp:lastPrinted>2007-06-22T14:02:00Z</cp:lastPrinted>
  <dcterms:created xsi:type="dcterms:W3CDTF">2025-03-21T18:53:00Z</dcterms:created>
  <dcterms:modified xsi:type="dcterms:W3CDTF">2025-03-21T18:53:00Z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Created with">
    <vt:lpwstr>10.0.1 Build [20250114]</vt:lpwstr>
  </property>
  <property fmtid="{D5CDD505-2E9C-101B-9397-08002B2CF9AE}" pid="4" name="LastEdited with">
    <vt:lpwstr>10.0.1 Build [20250114]</vt:lpwstr>
  </property>
  <property fmtid="{D5CDD505-2E9C-101B-9397-08002B2CF9AE}" pid="5" name="&lt;FdR&gt;">
    <vt:lpwstr>1316600</vt:lpwstr>
  </property>
  <property fmtid="{D5CDD505-2E9C-101B-9397-08002B2CF9AE}" pid="6" name="&lt;Type&gt;">
    <vt:lpwstr>AM</vt:lpwstr>
  </property>
  <property fmtid="{D5CDD505-2E9C-101B-9397-08002B2CF9AE}" pid="7" name="&lt;ModelCod&gt;">
    <vt:lpwstr>\\eiciLUXpr1\pdocep$\DocEP\DOCS\General\AM\AM_Leg\AM_Com_Leg\AM_Com_LegReport.dotx(17/04/2020 18:26:13)</vt:lpwstr>
  </property>
  <property fmtid="{D5CDD505-2E9C-101B-9397-08002B2CF9AE}" pid="8" name="&lt;ModelTra&gt;">
    <vt:lpwstr>\\eiciLUXpr1\pdocep$\DocEP\TRANSFIL\PT\AM_Com_LegReport.PT(16/08/2024 15:58:08)</vt:lpwstr>
  </property>
  <property fmtid="{D5CDD505-2E9C-101B-9397-08002B2CF9AE}" pid="9" name="&lt;Model&gt;">
    <vt:lpwstr>AM_Com_LegReport</vt:lpwstr>
  </property>
  <property fmtid="{D5CDD505-2E9C-101B-9397-08002B2CF9AE}" pid="10" name="FooterPath">
    <vt:lpwstr>AM\1316600PT.docx</vt:lpwstr>
  </property>
  <property fmtid="{D5CDD505-2E9C-101B-9397-08002B2CF9AE}" pid="11" name="PE number">
    <vt:lpwstr>770.158</vt:lpwstr>
  </property>
  <property fmtid="{D5CDD505-2E9C-101B-9397-08002B2CF9AE}" pid="12" name="Bookout">
    <vt:lpwstr>NOK(TYPAM) - 2025/03/21 19:52</vt:lpwstr>
  </property>
</Properties>
</file>