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750B" w:rsidRPr="00D8691E" w:rsidTr="00203D96">
        <w:trPr>
          <w:trHeight w:hRule="exact" w:val="1418"/>
        </w:trPr>
        <w:tc>
          <w:tcPr>
            <w:tcW w:w="6804" w:type="dxa"/>
            <w:shd w:val="clear" w:color="auto" w:fill="auto"/>
            <w:vAlign w:val="center"/>
          </w:tcPr>
          <w:p w:rsidR="00BE5062" w:rsidRPr="00D8691E" w:rsidRDefault="00BD7D87" w:rsidP="00203D96">
            <w:pPr>
              <w:pStyle w:val="EPName"/>
            </w:pPr>
            <w:r w:rsidRPr="00D8691E">
              <w:t>Europa-Parlamentet</w:t>
            </w:r>
          </w:p>
          <w:p w:rsidR="00BE5062" w:rsidRPr="00D8691E" w:rsidRDefault="00BD7D87" w:rsidP="00203D96">
            <w:pPr>
              <w:pStyle w:val="EPTerm"/>
            </w:pPr>
            <w:r w:rsidRPr="00D8691E">
              <w:t>2024-2029</w:t>
            </w:r>
          </w:p>
        </w:tc>
        <w:tc>
          <w:tcPr>
            <w:tcW w:w="2268" w:type="dxa"/>
            <w:shd w:val="clear" w:color="auto" w:fill="auto"/>
          </w:tcPr>
          <w:p w:rsidR="00BE5062" w:rsidRPr="00D8691E" w:rsidRDefault="00BD7D87" w:rsidP="00203D96">
            <w:pPr>
              <w:pStyle w:val="EPLogo"/>
            </w:pPr>
            <w:r w:rsidRPr="00D8691E">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8691E" w:rsidRDefault="000E7234" w:rsidP="000E7234">
      <w:pPr>
        <w:pStyle w:val="LineTop"/>
      </w:pPr>
    </w:p>
    <w:p w:rsidR="000E7234" w:rsidRPr="00D8691E" w:rsidRDefault="00BD7D87" w:rsidP="000E7234">
      <w:pPr>
        <w:pStyle w:val="EPBody"/>
      </w:pPr>
      <w:r w:rsidRPr="00D8691E">
        <w:rPr>
          <w:rStyle w:val="HideTWBExt"/>
        </w:rPr>
        <w:t>&lt;</w:t>
      </w:r>
      <w:r w:rsidRPr="00D8691E">
        <w:rPr>
          <w:rStyle w:val="HideTWBExt"/>
          <w:i w:val="0"/>
        </w:rPr>
        <w:t>Commission</w:t>
      </w:r>
      <w:r w:rsidRPr="00D8691E">
        <w:rPr>
          <w:rStyle w:val="HideTWBExt"/>
        </w:rPr>
        <w:t>&gt;</w:t>
      </w:r>
      <w:r w:rsidRPr="00D8691E">
        <w:rPr>
          <w:rStyle w:val="HideTWBInt"/>
          <w:color w:val="auto"/>
        </w:rPr>
        <w:t>{PECH}</w:t>
      </w:r>
      <w:r w:rsidRPr="00D8691E">
        <w:t>Fiskeriudvalget</w:t>
      </w:r>
      <w:r w:rsidRPr="00D8691E">
        <w:rPr>
          <w:rStyle w:val="HideTWBExt"/>
        </w:rPr>
        <w:t>&lt;/</w:t>
      </w:r>
      <w:r w:rsidRPr="00D8691E">
        <w:rPr>
          <w:rStyle w:val="HideTWBExt"/>
          <w:i w:val="0"/>
        </w:rPr>
        <w:t>Commission</w:t>
      </w:r>
      <w:r w:rsidRPr="00D8691E">
        <w:rPr>
          <w:rStyle w:val="HideTWBExt"/>
        </w:rPr>
        <w:t>&gt;</w:t>
      </w:r>
    </w:p>
    <w:p w:rsidR="000E7234" w:rsidRPr="00D8691E" w:rsidRDefault="000E7234" w:rsidP="000E7234">
      <w:pPr>
        <w:pStyle w:val="LineBottom"/>
      </w:pPr>
    </w:p>
    <w:p w:rsidR="00B85286" w:rsidRPr="00D8691E" w:rsidRDefault="00BD7D87">
      <w:pPr>
        <w:pStyle w:val="CoverReference"/>
      </w:pPr>
      <w:r w:rsidRPr="00D8691E">
        <w:rPr>
          <w:rStyle w:val="HideTWBExt"/>
          <w:b w:val="0"/>
        </w:rPr>
        <w:t>&lt;RefProc&gt;</w:t>
      </w:r>
      <w:r w:rsidRPr="00D8691E">
        <w:t>2024/0098</w:t>
      </w:r>
      <w:r w:rsidRPr="00D8691E">
        <w:rPr>
          <w:rStyle w:val="HideTWBExt"/>
          <w:b w:val="0"/>
        </w:rPr>
        <w:t>&lt;/RefProc&gt;&lt;RefTypeProc&gt;</w:t>
      </w:r>
      <w:r w:rsidRPr="00D8691E">
        <w:t>(COD)</w:t>
      </w:r>
      <w:r w:rsidRPr="00D8691E">
        <w:rPr>
          <w:rStyle w:val="HideTWBExt"/>
          <w:b w:val="0"/>
        </w:rPr>
        <w:t>&lt;/RefTypeProc&gt;</w:t>
      </w:r>
    </w:p>
    <w:p w:rsidR="00B85286" w:rsidRPr="00D8691E" w:rsidRDefault="00BD7D87">
      <w:pPr>
        <w:pStyle w:val="CoverDate"/>
      </w:pPr>
      <w:r w:rsidRPr="00D8691E">
        <w:rPr>
          <w:rStyle w:val="HideTWBExt"/>
        </w:rPr>
        <w:t>&lt;Date&gt;</w:t>
      </w:r>
      <w:r w:rsidRPr="00D8691E">
        <w:rPr>
          <w:rStyle w:val="HideTWBInt"/>
          <w:color w:val="auto"/>
        </w:rPr>
        <w:t>{09/04/2025}</w:t>
      </w:r>
      <w:r w:rsidRPr="00D8691E">
        <w:t>16.4.2025</w:t>
      </w:r>
      <w:r w:rsidRPr="00D8691E">
        <w:rPr>
          <w:rStyle w:val="HideTWBExt"/>
        </w:rPr>
        <w:t>&lt;/Date&gt;</w:t>
      </w:r>
    </w:p>
    <w:p w:rsidR="009B0305" w:rsidRPr="00D8691E" w:rsidRDefault="00BD7D87" w:rsidP="009B0305">
      <w:pPr>
        <w:pStyle w:val="CoverDocType"/>
      </w:pPr>
      <w:r w:rsidRPr="00D8691E">
        <w:rPr>
          <w:rStyle w:val="HideTWBExt"/>
          <w:b w:val="0"/>
        </w:rPr>
        <w:t>&lt;TypeAM&gt;</w:t>
      </w:r>
      <w:r w:rsidRPr="00D8691E">
        <w:t>ÆNDRINGSFORSLAG</w:t>
      </w:r>
      <w:r w:rsidRPr="00D8691E">
        <w:rPr>
          <w:rStyle w:val="HideTWBExt"/>
          <w:b w:val="0"/>
        </w:rPr>
        <w:t>&lt;/TypeAM&gt;</w:t>
      </w:r>
    </w:p>
    <w:p w:rsidR="00B85286" w:rsidRPr="00D8691E" w:rsidRDefault="00BD7D87" w:rsidP="001C2054">
      <w:pPr>
        <w:pStyle w:val="CoverDocType24a"/>
      </w:pPr>
      <w:r w:rsidRPr="00D8691E">
        <w:rPr>
          <w:rStyle w:val="HideTWBExt"/>
          <w:b w:val="0"/>
        </w:rPr>
        <w:t>&lt;RangeAM&gt;</w:t>
      </w:r>
      <w:r w:rsidRPr="00D8691E">
        <w:t>127 - 244</w:t>
      </w:r>
      <w:r w:rsidRPr="00D8691E">
        <w:rPr>
          <w:rStyle w:val="HideTWBExt"/>
          <w:b w:val="0"/>
        </w:rPr>
        <w:t>&lt;/RangeAM&gt;</w:t>
      </w:r>
    </w:p>
    <w:p w:rsidR="001C2054" w:rsidRPr="00D8691E" w:rsidRDefault="00BD7D87" w:rsidP="00A93F8C">
      <w:pPr>
        <w:pStyle w:val="CoverBold"/>
      </w:pPr>
      <w:r w:rsidRPr="00D8691E">
        <w:rPr>
          <w:rStyle w:val="HideTWBExt"/>
          <w:b w:val="0"/>
        </w:rPr>
        <w:t>&lt;TitreType&gt;</w:t>
      </w:r>
      <w:r w:rsidRPr="00D8691E">
        <w:t>Udkast til betænkning</w:t>
      </w:r>
      <w:r w:rsidRPr="00D8691E">
        <w:rPr>
          <w:rStyle w:val="HideTWBExt"/>
          <w:b w:val="0"/>
        </w:rPr>
        <w:t>&lt;/TitreType&gt;</w:t>
      </w:r>
    </w:p>
    <w:p w:rsidR="00B85286" w:rsidRPr="00D8691E" w:rsidRDefault="00BD7D87" w:rsidP="00A93F8C">
      <w:pPr>
        <w:pStyle w:val="CoverBold"/>
      </w:pPr>
      <w:r w:rsidRPr="00D8691E">
        <w:rPr>
          <w:rStyle w:val="HideTWBExt"/>
          <w:b w:val="0"/>
        </w:rPr>
        <w:t>&lt;Rapporteur&gt;</w:t>
      </w:r>
      <w:r w:rsidRPr="00D8691E">
        <w:t>Željana Zovko</w:t>
      </w:r>
      <w:r w:rsidRPr="00D8691E">
        <w:rPr>
          <w:rStyle w:val="HideTWBExt"/>
          <w:b w:val="0"/>
        </w:rPr>
        <w:t>&lt;/Rapporteur&gt;</w:t>
      </w:r>
    </w:p>
    <w:p w:rsidR="00B85286" w:rsidRPr="00D8691E" w:rsidRDefault="00BD7D87">
      <w:pPr>
        <w:pStyle w:val="CoverNormal24a"/>
      </w:pPr>
      <w:r w:rsidRPr="00D8691E">
        <w:rPr>
          <w:rStyle w:val="HideTWBExt"/>
        </w:rPr>
        <w:t>&lt;DocRefPE&gt;</w:t>
      </w:r>
      <w:r w:rsidRPr="00D8691E">
        <w:t>(PE765.292v01-00)</w:t>
      </w:r>
      <w:r w:rsidRPr="00D8691E">
        <w:rPr>
          <w:rStyle w:val="HideTWBExt"/>
        </w:rPr>
        <w:t>&lt;/DocRefPE&gt;</w:t>
      </w:r>
    </w:p>
    <w:p w:rsidR="00B85286" w:rsidRPr="00D8691E" w:rsidRDefault="00BD7D87">
      <w:pPr>
        <w:pStyle w:val="CoverNormal24a"/>
      </w:pPr>
      <w:r w:rsidRPr="00D8691E">
        <w:rPr>
          <w:rStyle w:val="HideTWBExt"/>
        </w:rPr>
        <w:t>&lt;Titre&gt;</w:t>
      </w:r>
      <w:r w:rsidRPr="00D8691E">
        <w:t xml:space="preserve">Forslag til Europa-Parlamentets og Rådets forordning om ændring af Europa-Parlamentets og Rådets forordning (EU) 2023/2124 af 4. oktober </w:t>
      </w:r>
      <w:r w:rsidRPr="00D8691E">
        <w:t>2023 om visse bestemmelser for fiskeri i aftaleområdet for Den Almindelige Kommission for Fiskeri i Middelhavet (GFCM)</w:t>
      </w:r>
      <w:r w:rsidRPr="00D8691E">
        <w:rPr>
          <w:rStyle w:val="HideTWBExt"/>
        </w:rPr>
        <w:t>&lt;/Titre&gt;</w:t>
      </w:r>
    </w:p>
    <w:p w:rsidR="006337D4" w:rsidRPr="00D8691E" w:rsidRDefault="00BD7D87" w:rsidP="006337D4">
      <w:pPr>
        <w:pStyle w:val="CoverNormal"/>
      </w:pPr>
      <w:r w:rsidRPr="00D8691E">
        <w:rPr>
          <w:rStyle w:val="HideTWBExt"/>
        </w:rPr>
        <w:t>&lt;DocAmend&gt;</w:t>
      </w:r>
      <w:r w:rsidRPr="00D8691E">
        <w:t>Forslag til forordning</w:t>
      </w:r>
      <w:r w:rsidRPr="00D8691E">
        <w:rPr>
          <w:rStyle w:val="HideTWBExt"/>
        </w:rPr>
        <w:t>&lt;/DocAmend&gt;</w:t>
      </w:r>
    </w:p>
    <w:p w:rsidR="00B85286" w:rsidRPr="00D8691E" w:rsidRDefault="00BD7D87">
      <w:pPr>
        <w:pStyle w:val="CoverNormal24a"/>
      </w:pPr>
      <w:r w:rsidRPr="00D8691E">
        <w:rPr>
          <w:rStyle w:val="HideTWBExt"/>
        </w:rPr>
        <w:t>&lt;DocRef&gt;</w:t>
      </w:r>
      <w:r w:rsidRPr="00D8691E">
        <w:t>(COM(2024)0183 – C10</w:t>
      </w:r>
      <w:r w:rsidRPr="00D8691E">
        <w:noBreakHyphen/>
        <w:t>0006/2024 – 2024/0</w:t>
      </w:r>
      <w:bookmarkStart w:id="0" w:name="_GoBack"/>
      <w:bookmarkEnd w:id="0"/>
      <w:r w:rsidRPr="00D8691E">
        <w:t>098(COD))</w:t>
      </w:r>
      <w:r w:rsidRPr="00D8691E">
        <w:rPr>
          <w:rStyle w:val="HideTWBExt"/>
        </w:rPr>
        <w:t>&lt;/DocRef&gt;</w:t>
      </w:r>
    </w:p>
    <w:p w:rsidR="00B85286" w:rsidRPr="00D8691E" w:rsidRDefault="00BD7D87" w:rsidP="00E660E2">
      <w:pPr>
        <w:widowControl/>
        <w:tabs>
          <w:tab w:val="center" w:pos="4677"/>
        </w:tabs>
      </w:pPr>
      <w:r w:rsidRPr="00D8691E">
        <w:br w:type="page"/>
      </w:r>
      <w:r w:rsidRPr="00D8691E">
        <w:lastRenderedPageBreak/>
        <w:t>AM_Com_LegReport</w:t>
      </w:r>
    </w:p>
    <w:p w:rsidR="00DD5018" w:rsidRPr="00D8691E" w:rsidRDefault="00BD7D87" w:rsidP="00DD5018">
      <w:pPr>
        <w:pStyle w:val="AmNumberTabs"/>
      </w:pPr>
      <w:r w:rsidRPr="00D8691E">
        <w:br w:type="page"/>
      </w:r>
      <w:r w:rsidRPr="00D8691E">
        <w:rPr>
          <w:rStyle w:val="HideTWBExt"/>
          <w:b w:val="0"/>
        </w:rPr>
        <w:lastRenderedPageBreak/>
        <w:t>&lt;RepeatBlock-Amend&gt;</w:t>
      </w:r>
      <w:r w:rsidRPr="00D8691E">
        <w:rPr>
          <w:rStyle w:val="HideTWBExt"/>
        </w:rPr>
        <w:t>&lt;Amend&gt;</w:t>
      </w:r>
      <w:r w:rsidRPr="00D8691E">
        <w:t>Ændringsforslag</w:t>
      </w:r>
      <w:r w:rsidRPr="00D8691E">
        <w:tab/>
      </w:r>
      <w:r w:rsidRPr="00D8691E">
        <w:tab/>
      </w:r>
      <w:r w:rsidRPr="00D8691E">
        <w:rPr>
          <w:rStyle w:val="HideTWBExt"/>
        </w:rPr>
        <w:t>&lt;NumAm&gt;</w:t>
      </w:r>
      <w:r w:rsidRPr="00D8691E">
        <w:t>127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Stephen Nikola Bartulica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1</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 aftalen om oprettelse af Den Almindelige Kommission for Fiskeri i Middelhavet ("GFCM-aftalen") er der skabt en passende ramme for multilateralt samarbejde med henblik på at fremme udvikling, bevarelse, rationel forvaltning og den bedst mulige </w:t>
            </w:r>
            <w:r w:rsidRPr="00D8691E">
              <w:t>udnyttelse af de levende marine ressourcer i Middelhavet og Sortehavet på niveauer, der betragtes som bæredygtige og med lav risiko for sammenbrud.</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Med aftalen om oprettelse af Den Almindelige Kommission for Fiskeri i Middelhavet ("GFCM-aftalen") er de</w:t>
            </w:r>
            <w:r w:rsidRPr="00D8691E">
              <w:t>r skabt en passende ramme for multilateralt samarbejde med henblik på at fremme udvikling, bevarelse, rationel forvaltning og den bedst mulige udnyttelse af de levende marine ressourcer i Middelhavet og Sortehavet på niveauer, der betragtes som bæredygtige</w:t>
            </w:r>
            <w:r w:rsidRPr="00D8691E">
              <w:t xml:space="preserve"> og med lav risiko for sammenbrud</w:t>
            </w:r>
            <w:r w:rsidRPr="00D8691E">
              <w:rPr>
                <w:b/>
                <w:i/>
              </w:rPr>
              <w:t>, og som er i overensstemmelse med videnskabelig rådgivning og tager hensyn til en socioøkonomisk analyse</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{HR}</w:t>
      </w:r>
      <w:r w:rsidRPr="00D8691E">
        <w:t>hr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128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w:t>
      </w:r>
      <w:r w:rsidRPr="00D8691E">
        <w:t xml:space="preserve"> Jamet,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1</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 aftalen om oprettelse af Den Almindelige Kommission for </w:t>
            </w:r>
            <w:r w:rsidRPr="00D8691E">
              <w:t>Fiskeri i Middelhavet ("GFCM-aftalen") er der skabt en passende ramme for multilateralt samarbejde med henblik på at fremme udvikling, bevarelse, rationel forvaltning og den bedst mulige udnyttelse af de levende marine ressourcer i Middelhavet og Sortehave</w:t>
            </w:r>
            <w:r w:rsidRPr="00D8691E">
              <w:t>t</w:t>
            </w:r>
            <w:r w:rsidRPr="00D8691E">
              <w:rPr>
                <w:b/>
                <w:i/>
              </w:rPr>
              <w:t xml:space="preserve"> på niveauer, der betragtes som bæredygtige og med lav risiko for sammenbrud</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Med aftalen om oprettelse af Den Almindelige Kommission for Fiskeri i Middelhavet ("GFCM-aftalen") er der skabt en passende ramme for multilateralt samarbejde med henblik på</w:t>
            </w:r>
            <w:r w:rsidRPr="00D8691E">
              <w:t xml:space="preserve"> at fremme udvikling, bevarelse, rationel forvaltning og den bedst mulige udnyttelse af de levende marine ressourcer i Middelhavet og Sortehavet.</w:t>
            </w:r>
          </w:p>
        </w:tc>
      </w:tr>
    </w:tbl>
    <w:p w:rsidR="00DD5018" w:rsidRPr="00D8691E" w:rsidRDefault="00BD7D87" w:rsidP="00DD5018">
      <w:pPr>
        <w:pStyle w:val="AmOrLang"/>
        <w:rPr>
          <w:lang w:eastAsia="en-US"/>
        </w:rPr>
      </w:pPr>
      <w:r w:rsidRPr="00D8691E">
        <w:lastRenderedPageBreak/>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129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Giuseppe Milazzo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1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(1a)</w:t>
            </w:r>
            <w:r w:rsidRPr="00D8691E">
              <w:tab/>
            </w:r>
            <w:r w:rsidRPr="00D8691E">
              <w:rPr>
                <w:b/>
                <w:i/>
              </w:rPr>
              <w:t xml:space="preserve">Foreslå vedtagelse af bevarelses-, forvaltnings- og kontrolforanstaltninger for </w:t>
            </w:r>
            <w:r w:rsidRPr="00D8691E">
              <w:rPr>
                <w:b/>
                <w:i/>
              </w:rPr>
              <w:t>vigtige bestande i Middelhavet og Sortehavet, som er i overensstemmelse med den videnskabelige rådgivning, samtidig med at der tages hensyn til de socioøkonomiske virkninger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1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(1a)</w:t>
            </w:r>
            <w:r w:rsidRPr="00D8691E">
              <w:tab/>
            </w:r>
            <w:r w:rsidRPr="00D8691E">
              <w:rPr>
                <w:b/>
                <w:i/>
              </w:rPr>
              <w:t xml:space="preserve">Den </w:t>
            </w:r>
            <w:r w:rsidRPr="00D8691E">
              <w:rPr>
                <w:b/>
                <w:i/>
              </w:rPr>
              <w:t>europæiske fiskerflåde i Middelhavet har gjort en betydelig indsats i forbindelse med flere forvaltningsplaner.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Stephen Nikola Bartulica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3</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lastRenderedPageBreak/>
              <w:t>(3)</w:t>
            </w:r>
            <w:r w:rsidRPr="00D8691E">
              <w:tab/>
              <w:t xml:space="preserve">Henstillinger vedtaget af Den Almindelige Kommission for Fiskeri i Middelhavet (GFCM) er bindende for de </w:t>
            </w:r>
            <w:r w:rsidRPr="00D8691E">
              <w:t>kontraherende parter. Disse henstillinger således bindende for Unionen og bør derfor gennemføres i EU-retten, medmindre deres indhold allerede er omfattet heraf. Unionen skal sikre, at EU-fiskeri uden for EU-farvande er baseret på de samme principper og st</w:t>
            </w:r>
            <w:r w:rsidRPr="00D8691E">
              <w:t>andarder som dem, der gælder i henhold til EU-retten, og samtidig fremme rimelig konkurrence mellem EU-operatører og tredjelandsoperatører.</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Henstillinger vedtaget af Den Almindelige Kommission for Fiskeri i Middelhavet (GFCM) er bindende for de kontrah</w:t>
            </w:r>
            <w:r w:rsidRPr="00D8691E">
              <w:t xml:space="preserve">erende parter. Disse henstillinger </w:t>
            </w:r>
            <w:r w:rsidRPr="00D8691E">
              <w:rPr>
                <w:b/>
                <w:i/>
              </w:rPr>
              <w:t xml:space="preserve">er </w:t>
            </w:r>
            <w:r w:rsidRPr="00D8691E">
              <w:t>således bindende for Unionen og bør derfor gennemføres i EU-retten, medmindre deres indhold allerede er omfattet heraf. Unionen skal sikre, at EU-fiskeri uden for EU-farvande er baseret på de samme principper og standa</w:t>
            </w:r>
            <w:r w:rsidRPr="00D8691E">
              <w:t xml:space="preserve">rder som dem, der gælder i henhold til EU-retten, og samtidig fremme rimelig konkurrence mellem EU-operatører og tredjelandsoperatører. </w:t>
            </w:r>
            <w:r w:rsidRPr="00D8691E">
              <w:rPr>
                <w:b/>
                <w:i/>
              </w:rPr>
              <w:t>GFCM-henstillingerne skal gennemføres strengt for at skabe lige vilkår for alle operatører uden at belaste dem ud over d</w:t>
            </w:r>
            <w:r w:rsidRPr="00D8691E">
              <w:rPr>
                <w:b/>
                <w:i/>
              </w:rPr>
              <w:t>e retlige grænser, der er fastsat i GFCM's henstillinger.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{HR}</w:t>
      </w:r>
      <w:r w:rsidRPr="00D8691E">
        <w:t>hr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Giuseppe Milazzo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3</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Henstillinger vedtaget af Den Almindelige Kommission for Fiskeri i Middelhavet (GFCM) er bindende for de kontraherende parter. Disse henstillinger således bindende for Unionen </w:t>
            </w:r>
            <w:r w:rsidRPr="00D8691E">
              <w:t>og bør derfor gennemføres i EU-retten, medmindre deres indhold allerede er omfattet heraf. Unionen skal sikre, at EU-fiskeri uden for EU-farvande er baseret på de samme principper og standarder som dem, der gælder i henhold til EU-retten, og samtidig fremm</w:t>
            </w:r>
            <w:r w:rsidRPr="00D8691E">
              <w:t>e rimelig konkurrence mellem EU-operatører og tredjelandsoperatører.</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Henstillinger vedtaget af Den Almindelige Kommission for Fiskeri i Middelhavet (GFCM) er bindende for de kontraherende parter. Disse henstillinger </w:t>
            </w:r>
            <w:r w:rsidRPr="00D8691E">
              <w:rPr>
                <w:b/>
                <w:i/>
              </w:rPr>
              <w:t xml:space="preserve">er </w:t>
            </w:r>
            <w:r w:rsidRPr="00D8691E">
              <w:t>således bindende for Unionen og b</w:t>
            </w:r>
            <w:r w:rsidRPr="00D8691E">
              <w:t>ør derfor gennemføres i EU-retten</w:t>
            </w:r>
            <w:r w:rsidRPr="00D8691E">
              <w:rPr>
                <w:b/>
                <w:i/>
              </w:rPr>
              <w:t xml:space="preserve"> på en sådan måde, at der sikres lige vilkår for EU-operatører i forhold til operatører fra andre kontraherende parter i GFCM-aftalen</w:t>
            </w:r>
            <w:r w:rsidRPr="00D8691E">
              <w:t>, medmindre deres indhold allerede er omfattet heraf. Unionen skal sikre, at EU-fiskeri ud</w:t>
            </w:r>
            <w:r w:rsidRPr="00D8691E">
              <w:t>en for EU-farvande er baseret på de samme principper og standarder som dem, der gælder i henhold til EU-retten, og samtidig fremme rimelig konkurrence mellem EU-operatører og tredjelandsoperatører.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{IT}</w:t>
      </w:r>
      <w:r w:rsidRPr="00D8691E">
        <w:t>it</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Giuseppe Milazzo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3</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Henstillinger vedtaget af </w:t>
            </w:r>
            <w:r w:rsidRPr="00D8691E">
              <w:t>Den Almindelige Kommission for Fiskeri i Middelhavet (GFCM) er bindende for de kontraherende parter. Disse henstillinger således bindende for Unionen og bør derfor gennemføres i EU-retten, medmindre deres indhold allerede er omfattet heraf. Unionen skal si</w:t>
            </w:r>
            <w:r w:rsidRPr="00D8691E">
              <w:t>kre, at EU-fiskeri uden for EU-farvande er baseret på de samme principper og standarder som dem, der gælder i henhold til EU-retten, og samtidig fremme rimelig konkurrence mellem EU-operatører og tredjelandsoperatører.</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Henstillinger vedtaget af Den Alm</w:t>
            </w:r>
            <w:r w:rsidRPr="00D8691E">
              <w:t>indelige Kommission for Fiskeri i Middelhavet (GFCM) er bindende for de kontraherende parter</w:t>
            </w:r>
            <w:r w:rsidRPr="00D8691E">
              <w:rPr>
                <w:b/>
                <w:i/>
              </w:rPr>
              <w:t xml:space="preserve"> og sikrer, at der fastsættes tekniske foranstaltninger i en ånd af lige vilkår for alle kontraherende parter</w:t>
            </w:r>
            <w:r w:rsidRPr="00D8691E">
              <w:t>. Disse henstillinger</w:t>
            </w:r>
            <w:r w:rsidRPr="00D8691E">
              <w:rPr>
                <w:b/>
                <w:i/>
              </w:rPr>
              <w:t xml:space="preserve"> er</w:t>
            </w:r>
            <w:r w:rsidRPr="00D8691E">
              <w:t xml:space="preserve"> således bindende for Unionen o</w:t>
            </w:r>
            <w:r w:rsidRPr="00D8691E">
              <w:t>g bør derfor gennemføres i EU-retten, medmindre deres indhold allerede er omfattet heraf. Unionen skal sikre, at EU-fiskeri uden for EU-farvande er baseret på de samme principper og standarder som dem, der gælder i henhold til EU-retten, og samtidig fremme</w:t>
            </w:r>
            <w:r w:rsidRPr="00D8691E">
              <w:t xml:space="preserve"> rimelig konkurrence mellem EU-operatører og tredjelandsoperatører.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3</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Henstillinger vedtaget af Den Almindelige Kommission for Fiskeri i Middelhavet (GFCM) er bindende for de kontraherende parter. Disse </w:t>
            </w:r>
            <w:r w:rsidRPr="00D8691E">
              <w:t>henstillinger således bindende for Unionen og bør derfor gennemføres i EU-retten, medmindre deres indhold allerede er omfattet heraf. Unionen skal sikre, at EU-fiskeri uden for EU-farvande er baseret på de samme principper og standarder som dem, der gælder</w:t>
            </w:r>
            <w:r w:rsidRPr="00D8691E">
              <w:t xml:space="preserve"> i henhold til EU-retten, og samtidig fremme rimelig konkurrence mellem EU-operatører og tredjelandsoperatører.</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Henstillinger vedtaget af Den Almindelige Kommission for Fiskeri i Middelhavet (GFCM) er bindende for de kontraherende parter. Disse henstil</w:t>
            </w:r>
            <w:r w:rsidRPr="00D8691E">
              <w:t xml:space="preserve">linger </w:t>
            </w:r>
            <w:r w:rsidRPr="00D8691E">
              <w:rPr>
                <w:b/>
                <w:i/>
              </w:rPr>
              <w:t xml:space="preserve">er </w:t>
            </w:r>
            <w:r w:rsidRPr="00D8691E">
              <w:t>således bindende for Unionen og bør derfor gennemføres i EU-retten, medmindre deres indhold allerede er omfattet heraf</w:t>
            </w:r>
            <w:r w:rsidRPr="00D8691E">
              <w:rPr>
                <w:b/>
                <w:i/>
              </w:rPr>
              <w:t>, samtidig med at overregulering undgås</w:t>
            </w:r>
            <w:r w:rsidRPr="00D8691E">
              <w:t>. Unionen skal sikre, at EU-fiskeri uden for EU-farvande er baseret på de samme princippe</w:t>
            </w:r>
            <w:r w:rsidRPr="00D8691E">
              <w:t>r og standarder som dem, der gælder i henhold til EU-retten, og samtidig fremme rimelig konkurrence mellem EU-operatører og tredjelandsoperatører.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Emma Wiesner, Oihane Agirregoitia Martínez</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3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(3a)</w:t>
            </w:r>
            <w:r w:rsidRPr="00D8691E">
              <w:tab/>
            </w:r>
            <w:r w:rsidRPr="00D8691E">
              <w:rPr>
                <w:b/>
                <w:i/>
              </w:rPr>
              <w:t xml:space="preserve">Det er vigtigt, at Unionen </w:t>
            </w:r>
            <w:r w:rsidRPr="00D8691E">
              <w:rPr>
                <w:b/>
                <w:i/>
              </w:rPr>
              <w:t>gennemfører sin internationale forpligtelse rettidigt og korrekt. Dette for at skabe forudsigelighed for operatørerne og sikre lige vilkår og sikre, at vi er en pålidelig international partner. For at sikre dette er det af stor betydning, at de relevante i</w:t>
            </w:r>
            <w:r w:rsidRPr="00D8691E">
              <w:rPr>
                <w:b/>
                <w:i/>
              </w:rPr>
              <w:t>nstitutioner i EU udvikler et velfungerende samarbejde, der sikrer stærke forhandlingspositioner, som efter vedtagelsen i GFCM hurtigt kan gennemføres i EU-retten. Nedbringelse af den nuværende forsinkelse af vores internationale forpligtelser er et proble</w:t>
            </w:r>
            <w:r w:rsidRPr="00D8691E">
              <w:rPr>
                <w:b/>
                <w:i/>
              </w:rPr>
              <w:t>m, der skal tackles hurtigere.</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Stephen Nikola Bartulica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3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(3a)</w:t>
            </w:r>
            <w:r w:rsidRPr="00D8691E">
              <w:tab/>
            </w:r>
            <w:r w:rsidRPr="00D8691E">
              <w:rPr>
                <w:b/>
                <w:i/>
              </w:rPr>
              <w:t>EU-fiskerfartøjer må ikke være omfattet af andre eller strengere foranstaltninger end dem, der gælder for andre kontraherende parter i GFCM.</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{HR}</w:t>
      </w:r>
      <w:r w:rsidRPr="00D8691E">
        <w:t>hr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6</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(6)</w:t>
            </w:r>
            <w:r w:rsidRPr="00D8691E">
              <w:tab/>
              <w:t xml:space="preserve">Denne forordning bør gennemføre i EU-retten </w:t>
            </w:r>
            <w:r w:rsidRPr="00D8691E">
              <w:rPr>
                <w:b/>
                <w:i/>
              </w:rPr>
              <w:t>de foranstaltninger</w:t>
            </w:r>
            <w:r w:rsidRPr="00D8691E">
              <w:t xml:space="preserve"> i følgende henstillinger, </w:t>
            </w:r>
            <w:r w:rsidRPr="00D8691E">
              <w:rPr>
                <w:b/>
                <w:i/>
              </w:rPr>
              <w:t>der</w:t>
            </w:r>
            <w:r w:rsidRPr="00D8691E">
              <w:t xml:space="preserve"> endnu ikke er omfattet af EU-retten.</w:t>
            </w:r>
          </w:p>
        </w:tc>
        <w:tc>
          <w:tcPr>
            <w:tcW w:w="4876" w:type="dxa"/>
            <w:tcBorders>
              <w:top w:val="nil"/>
              <w:left w:val="nil"/>
              <w:bottom w:val="nil"/>
              <w:right w:val="nil"/>
            </w:tcBorders>
            <w:hideMark/>
          </w:tcPr>
          <w:p w:rsidR="00DD5018" w:rsidRPr="00D8691E" w:rsidRDefault="00BD7D87" w:rsidP="00F37D8F">
            <w:pPr>
              <w:pStyle w:val="Normal6a"/>
            </w:pPr>
            <w:r w:rsidRPr="00D8691E">
              <w:t>(6)</w:t>
            </w:r>
            <w:r w:rsidRPr="00D8691E">
              <w:tab/>
              <w:t xml:space="preserve">Denne forordning bør </w:t>
            </w:r>
            <w:r w:rsidRPr="00D8691E">
              <w:rPr>
                <w:b/>
                <w:i/>
              </w:rPr>
              <w:t xml:space="preserve">uden overregulering </w:t>
            </w:r>
            <w:r w:rsidRPr="00D8691E">
              <w:t xml:space="preserve">gennemføre i EU-retten </w:t>
            </w:r>
            <w:r w:rsidRPr="00D8691E">
              <w:rPr>
                <w:b/>
                <w:i/>
              </w:rPr>
              <w:t>foranstaltningerne</w:t>
            </w:r>
            <w:r w:rsidRPr="00D8691E">
              <w:t xml:space="preserve"> i følgende henst</w:t>
            </w:r>
            <w:r w:rsidRPr="00D8691E">
              <w:t xml:space="preserve">illinger, </w:t>
            </w:r>
            <w:r w:rsidRPr="00D8691E">
              <w:rPr>
                <w:b/>
                <w:i/>
              </w:rPr>
              <w:t>hvis de</w:t>
            </w:r>
            <w:r w:rsidRPr="00D8691E">
              <w:t xml:space="preserve"> endnu ikke er omfattet af EU-retten.</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6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(6a)</w:t>
            </w:r>
            <w:r w:rsidRPr="00D8691E">
              <w:tab/>
            </w:r>
            <w:r w:rsidRPr="00D8691E">
              <w:rPr>
                <w:b/>
                <w:i/>
              </w:rPr>
              <w:t>En korrekt gennemførelse af GFCM-aftalens bestemmelser bør tage hensyn til de socioøkonomiske virkninger.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139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7</w:t>
      </w:r>
      <w:r w:rsidRPr="00D8691E">
        <w:rPr>
          <w:rStyle w:val="HideTWBExt"/>
        </w:rPr>
        <w:t>&lt;/Ar</w:t>
      </w:r>
      <w:r w:rsidRPr="00D8691E">
        <w:rPr>
          <w:rStyle w:val="HideTWBExt"/>
        </w:rPr>
        <w:t>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(7)</w:t>
            </w:r>
            <w:r w:rsidRPr="00D8691E">
              <w:tab/>
              <w:t>GFCM vedtog på sit årlige møde i 2021 henstilling GFCM/44/2021/2 om etablering af et område med fiskeribegrænsninger ved Jabuka-/Pomograven i Adriaterhavet og om ændring af henstilling GFCM/41/2017/3 samt</w:t>
            </w:r>
            <w:r w:rsidRPr="00D8691E">
              <w:t xml:space="preserve"> henstilling GFCM/44/2021/5 om etablering af et område med fiskeribegrænsning i Lionbugten for at beskytte gydestimer og følsomme dybhavslevesteder og om ophævelse af henstilling GFCM/33/2009/1.</w:t>
            </w:r>
          </w:p>
        </w:tc>
        <w:tc>
          <w:tcPr>
            <w:tcW w:w="4876" w:type="dxa"/>
            <w:tcBorders>
              <w:top w:val="nil"/>
              <w:left w:val="nil"/>
              <w:bottom w:val="nil"/>
              <w:right w:val="nil"/>
            </w:tcBorders>
            <w:hideMark/>
          </w:tcPr>
          <w:p w:rsidR="00DD5018" w:rsidRPr="00D8691E" w:rsidRDefault="00BD7D87" w:rsidP="00F37D8F">
            <w:pPr>
              <w:pStyle w:val="Normal6a"/>
            </w:pPr>
            <w:r w:rsidRPr="00D8691E">
              <w:t>(7)</w:t>
            </w:r>
            <w:r w:rsidRPr="00D8691E">
              <w:tab/>
              <w:t>GFCM vedtog på sit årlige møde i 2021 henstilling GFCM/44</w:t>
            </w:r>
            <w:r w:rsidRPr="00D8691E">
              <w:t>/2021/2 om etablering af et område med fiskeribegrænsninger ved Jabuka-/Pomograven i Adriaterhavet og om ændring af henstilling GFCM/41/2017/3 samt henstilling GFCM/44/2021/5 om etablering af et område med fiskeribegrænsning i Lionbugten for at beskytte gy</w:t>
            </w:r>
            <w:r w:rsidRPr="00D8691E">
              <w:t xml:space="preserve">destimer og følsomme dybhavslevesteder og om ophævelse af henstilling GFCM/33/2009/1. </w:t>
            </w:r>
            <w:r w:rsidRPr="00D8691E">
              <w:rPr>
                <w:b/>
                <w:i/>
              </w:rPr>
              <w:t>Unionen bør øge sin indsats i de kommende år for at styrke beskyttelsesniveauet for området med fiskeribegrænsninger i Lionbugten ved at indføre et permanent forbud mod b</w:t>
            </w:r>
            <w:r w:rsidRPr="00D8691E">
              <w:rPr>
                <w:b/>
                <w:i/>
              </w:rPr>
              <w:t>undslæbende redskaber for at sikre, at der opnås genopretning af fiskebestandene og de marine økosystemer, og for at det betragtes som et prioriteret bevaringsområde i Middelhavet.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9</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(9)</w:t>
            </w:r>
            <w:r w:rsidRPr="00D8691E">
              <w:tab/>
            </w:r>
            <w:r w:rsidRPr="00D8691E">
              <w:t>GFCM vedtog på sit årlige møde i 2021 også henstilling GFCM/44/2021/13 om mindskelse af fiskeriets indvirkninger på bevarelsen af havfugle i Middelhavet, henstilling GFCM/44/2021/14 om mindskelse af fiskeriets indvirkninger på bevarelsen af havskildpadder,</w:t>
            </w:r>
            <w:r w:rsidRPr="00D8691E">
              <w:t xml:space="preserve"> henstilling GFCM/44/2021/15 om mindskelse af fiskeriets indvirkninger på bevarelsen af hvaler og henstilling GFCM/44/2021/16 om yderligere afhjælpende foranstaltninger til bevarelse af elasmobranchii (hajer, rokker osv.) i Middelhavet.</w:t>
            </w:r>
          </w:p>
        </w:tc>
        <w:tc>
          <w:tcPr>
            <w:tcW w:w="4876" w:type="dxa"/>
            <w:tcBorders>
              <w:top w:val="nil"/>
              <w:left w:val="nil"/>
              <w:bottom w:val="nil"/>
              <w:right w:val="nil"/>
            </w:tcBorders>
            <w:hideMark/>
          </w:tcPr>
          <w:p w:rsidR="00DD5018" w:rsidRPr="00D8691E" w:rsidRDefault="00BD7D87" w:rsidP="00F37D8F">
            <w:pPr>
              <w:pStyle w:val="Normal6a"/>
            </w:pPr>
            <w:r w:rsidRPr="00D8691E">
              <w:t>(9)</w:t>
            </w:r>
            <w:r w:rsidRPr="00D8691E">
              <w:tab/>
              <w:t xml:space="preserve">GFCM vedtog på </w:t>
            </w:r>
            <w:r w:rsidRPr="00D8691E">
              <w:t>sit årlige møde i 2021 også henstilling GFCM/44/2021/13 om mindskelse af fiskeriets indvirkninger på bevarelsen af havfugle i Middelhavet, henstilling GFCM/44/2021/14 om mindskelse af fiskeriets indvirkninger på bevarelsen af havskildpadder, henstilling GF</w:t>
            </w:r>
            <w:r w:rsidRPr="00D8691E">
              <w:t xml:space="preserve">CM/44/2021/15 om mindskelse af fiskeriets indvirkninger på bevarelsen af hvaler og henstilling GFCM/44/2021/16 om yderligere afhjælpende foranstaltninger til bevarelse af elasmobranchii (hajer, rokker osv.) i Middelhavet. </w:t>
            </w:r>
            <w:r w:rsidRPr="00D8691E">
              <w:rPr>
                <w:b/>
                <w:i/>
              </w:rPr>
              <w:t>Et af målene med forordningen om t</w:t>
            </w:r>
            <w:r w:rsidRPr="00D8691E">
              <w:rPr>
                <w:b/>
                <w:i/>
              </w:rPr>
              <w:t>ekniske foranstaltninger (forordning (EU) 2019/1241) er at minimere og om muligt eliminere utilsigtede fangster af følsomme marine arter. Medlemsstaterne bør derfor intensivere deres indsats og vedtage foranstaltninger til at reducere eller, hvor det er mu</w:t>
            </w:r>
            <w:r w:rsidRPr="00D8691E">
              <w:rPr>
                <w:b/>
                <w:i/>
              </w:rPr>
              <w:t>ligt, eliminere bifangster af følsomme arter.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13</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(13)</w:t>
            </w:r>
            <w:r w:rsidRPr="00D8691E">
              <w:tab/>
            </w:r>
            <w:r w:rsidRPr="00D8691E">
              <w:rPr>
                <w:b/>
                <w:i/>
              </w:rPr>
              <w:t>GFCM vedtog på sit årsmøde i 2022 henstilling GFCM/45/2022/1 om en flerårig forvaltningsplan for europæisk ål i Middelhavet og om ændring af henstilling GFCM/42/2018/1.</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Ophævet ved ny henstilling GFCM/46/2023/16, der er medtaget i den nye betragtning 23A</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w:t>
      </w:r>
      <w:r w:rsidRPr="00D8691E">
        <w:rPr>
          <w:rStyle w:val="HideTWBExt"/>
        </w:rPr>
        <w:t>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14</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(14)</w:t>
            </w:r>
            <w:r w:rsidRPr="00D8691E">
              <w:tab/>
            </w:r>
            <w:r w:rsidRPr="00D8691E">
              <w:rPr>
                <w:b/>
                <w:i/>
              </w:rPr>
              <w:t xml:space="preserve">GFCM vedtog på sit årsmøde i 2022 også henstilling GFCM/45/2022/2 om en forvaltningsplan for bæredygtig udnyttelse af </w:t>
            </w:r>
            <w:r w:rsidRPr="00D8691E">
              <w:rPr>
                <w:b/>
                <w:i/>
              </w:rPr>
              <w:t>ædelkoral i Middelhavet og om ændring af henstilling GFCM/43/2019/4.</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Erstattet af GFCM/47/2024/2 og indføjes som ny betragtning 23B.</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21</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(21)</w:t>
            </w:r>
            <w:r w:rsidRPr="00D8691E">
              <w:tab/>
            </w:r>
            <w:r w:rsidRPr="00D8691E">
              <w:t>GFCM vedtog på sit årlige møde i 2022 også henstilling GFCM/45/2022/11 om etablering af en række minimumsstandarder for områder med fiskeribegrænsninger i GFCM-anvendelsesområdet.</w:t>
            </w:r>
          </w:p>
        </w:tc>
        <w:tc>
          <w:tcPr>
            <w:tcW w:w="4876" w:type="dxa"/>
            <w:tcBorders>
              <w:top w:val="nil"/>
              <w:left w:val="nil"/>
              <w:bottom w:val="nil"/>
              <w:right w:val="nil"/>
            </w:tcBorders>
            <w:hideMark/>
          </w:tcPr>
          <w:p w:rsidR="00DD5018" w:rsidRPr="00D8691E" w:rsidRDefault="00BD7D87" w:rsidP="00F37D8F">
            <w:pPr>
              <w:pStyle w:val="Normal6a"/>
            </w:pPr>
            <w:r w:rsidRPr="00D8691E">
              <w:t>(21)</w:t>
            </w:r>
            <w:r w:rsidRPr="00D8691E">
              <w:tab/>
              <w:t xml:space="preserve">GFCM vedtog på sit årlige møde i 2022 også henstilling GFCM/45/2022/11 </w:t>
            </w:r>
            <w:r w:rsidRPr="00D8691E">
              <w:t xml:space="preserve">om etablering af en række minimumsstandarder for områder med fiskeribegrænsninger i GFCM-anvendelsesområdet. </w:t>
            </w:r>
            <w:r w:rsidRPr="00D8691E">
              <w:rPr>
                <w:b/>
                <w:i/>
              </w:rPr>
              <w:t>Når områder med fiskeribegrænsninger i Middelhavet har et tilstrækkeligt beskyttelsesniveau, minimeres de utilsigtede fangster, gyde- og opvækstomr</w:t>
            </w:r>
            <w:r w:rsidRPr="00D8691E">
              <w:rPr>
                <w:b/>
                <w:i/>
              </w:rPr>
              <w:t>åder og ungfisk beskyttes, og indvirkningen på følsomme levesteder, navnlig havbunden, mindskes. Unionen skal derfor øge netværket af områder med fiskeribegrænsninger og hæve deres beskyttelsesniveau.</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23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(23a)</w:t>
            </w:r>
            <w:r w:rsidRPr="00D8691E">
              <w:tab/>
            </w:r>
            <w:r w:rsidRPr="00D8691E">
              <w:rPr>
                <w:b/>
                <w:i/>
              </w:rPr>
              <w:t xml:space="preserve">GFCM vedtog på sit </w:t>
            </w:r>
            <w:r w:rsidRPr="00D8691E">
              <w:rPr>
                <w:b/>
                <w:i/>
              </w:rPr>
              <w:t>årlige møde i 2023 også henstilling GFCM/46/2023/16 om en langsigtet forvaltningsplan for europæisk ål i Middelhavet og om ophævelse af henstilling GFCM/45/2022/1 og GFCM/42/2018/1.</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23 b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(23b)</w:t>
            </w:r>
            <w:r w:rsidRPr="00D8691E">
              <w:tab/>
            </w:r>
            <w:r w:rsidRPr="00D8691E">
              <w:rPr>
                <w:b/>
                <w:i/>
              </w:rPr>
              <w:t xml:space="preserve">GFCM vedtog på sit årsmøde i 2024 også </w:t>
            </w:r>
            <w:r w:rsidRPr="00D8691E">
              <w:rPr>
                <w:b/>
                <w:i/>
              </w:rPr>
              <w:t>henstilling GFCM/47/2024/2 om en langsigtet forvaltningsplan for bæredygtig udnyttelse af ædelkoral, om ændring af henstilling GFCM/43/2019/4 og om ophævelse af henstilling GFCM/45/2022/2 og GFCM/46/2023/13.</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24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(24a)</w:t>
            </w:r>
            <w:r w:rsidRPr="00D8691E">
              <w:tab/>
            </w:r>
            <w:r w:rsidRPr="00D8691E">
              <w:rPr>
                <w:b/>
                <w:i/>
              </w:rPr>
              <w:t xml:space="preserve">GFCM vedtog </w:t>
            </w:r>
            <w:r w:rsidRPr="00D8691E">
              <w:rPr>
                <w:b/>
                <w:i/>
              </w:rPr>
              <w:t>på sit årsmøde i 2024 også henstilling GFCM/47/2024/5 om gennemførelse af en fiskeriindsatsordning for vigtige demersale bestande i Adriaterhavet (geografiske underområder 17 og 18) i 2025, som stammer fra henstilling GFCM/43/2019/5.</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Betragtning 25 a (ny)</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(25a)</w:t>
            </w:r>
            <w:r w:rsidRPr="00D8691E">
              <w:tab/>
            </w:r>
            <w:r w:rsidRPr="00D8691E">
              <w:rPr>
                <w:b/>
                <w:i/>
              </w:rPr>
              <w:t>GFCM vedtog på sit årsmøde i 2024 også henstilling GFCM/47/2024/6 om etablering af et område med fiskeribegrænsninger ved Otrantostrædet (geografisk underområde 18), som stammer fra henstilling GFCM/43/2019/5 og resolution GFCM/44/2021/3.</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 – litra b</w:t>
      </w:r>
      <w:r w:rsidRPr="00D8691E">
        <w:rPr>
          <w:rStyle w:val="HideTWBExt"/>
        </w:rPr>
        <w:t>&lt;/Ar</w:t>
      </w:r>
      <w:r w:rsidRPr="00D8691E">
        <w:rPr>
          <w:rStyle w:val="HideTWBExt"/>
        </w:rPr>
        <w:t>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 – punkt 9</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9)</w:t>
            </w:r>
            <w:r w:rsidRPr="00D8691E">
              <w:tab/>
            </w:r>
            <w:r w:rsidRPr="00D8691E">
              <w:rPr>
                <w:b/>
                <w:i/>
              </w:rPr>
              <w:t xml:space="preserve">"område med fiskeribegrænsninger": et geografisk afgrænset område, hvor nogle specifikke fiskeriaktiviteter er </w:t>
            </w:r>
            <w:r w:rsidRPr="00D8691E">
              <w:rPr>
                <w:b/>
                <w:i/>
              </w:rPr>
              <w:t>midlertidigt forbudt eller begrænset for forbedre bevarelsen og den bæredygtige anvendelse af levende marine ressourcer i GFCM-anvendelsesområdet</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149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 – punkt 10</w:t>
      </w:r>
      <w:r w:rsidRPr="00D8691E">
        <w:rPr>
          <w:rStyle w:val="HideTWBExt"/>
        </w:rPr>
        <w:t>&lt;/Ar</w:t>
      </w:r>
      <w:r w:rsidRPr="00D8691E">
        <w:rPr>
          <w:rStyle w:val="HideTWBExt"/>
        </w:rPr>
        <w:t>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10)</w:t>
            </w:r>
            <w:r w:rsidRPr="00D8691E">
              <w:tab/>
            </w:r>
            <w:r w:rsidRPr="00D8691E">
              <w:t>"udpeget landingssted": havne eller steder tæt på kysten, offshoreterminaler og andre anlæg til landing, omladning, emballering, forarbejdning, bunkring eller anden forsyning af fiskerfartøjer, hvor landing, omladning, emballering og/eller forarbejdning af</w:t>
            </w:r>
            <w:r w:rsidRPr="00D8691E">
              <w:t xml:space="preserve"> fiskevarer og havnetjenester er tilladt, som er udpeget af de kontraherende parter og samarbejdende ikkekontraherende parter </w:t>
            </w:r>
            <w:r w:rsidRPr="00D8691E">
              <w:rPr>
                <w:b/>
                <w:i/>
              </w:rPr>
              <w:t>i overensstemmelse med henstilling GFCM/40/2016/1 om</w:t>
            </w:r>
            <w:r w:rsidRPr="00D8691E">
              <w:t xml:space="preserve"> en regional ordning vedrørende havnestatsforanstaltninger til bekæmpelse af u</w:t>
            </w:r>
            <w:r w:rsidRPr="00D8691E">
              <w:t>lovligt, urapporteret og ureguleret fiskeri i GFCM-anvendelsesområdet</w:t>
            </w:r>
          </w:p>
        </w:tc>
        <w:tc>
          <w:tcPr>
            <w:tcW w:w="4876" w:type="dxa"/>
            <w:tcBorders>
              <w:top w:val="nil"/>
              <w:left w:val="nil"/>
              <w:bottom w:val="nil"/>
              <w:right w:val="nil"/>
            </w:tcBorders>
            <w:hideMark/>
          </w:tcPr>
          <w:p w:rsidR="00DD5018" w:rsidRPr="00D8691E" w:rsidRDefault="00BD7D87" w:rsidP="00F37D8F">
            <w:pPr>
              <w:pStyle w:val="Normal6a"/>
            </w:pPr>
            <w:r w:rsidRPr="00D8691E">
              <w:t>10)</w:t>
            </w:r>
            <w:r w:rsidRPr="00D8691E">
              <w:tab/>
              <w:t>"udpeget landingssted": havne eller steder tæt på kysten, offshoreterminaler og andre anlæg til landing, omladning, emballering, forarbejdning, bunkring eller anden forsyning af fisk</w:t>
            </w:r>
            <w:r w:rsidRPr="00D8691E">
              <w:t xml:space="preserve">erfartøjer, hvor landing, omladning, emballering og/eller forarbejdning af fiskevarer og havnetjenester er tilladt, som er udpeget af de kontraherende parter og samarbejdende ikkekontraherende parter </w:t>
            </w:r>
            <w:r w:rsidRPr="00D8691E">
              <w:rPr>
                <w:b/>
                <w:i/>
              </w:rPr>
              <w:t>under</w:t>
            </w:r>
            <w:r w:rsidRPr="00D8691E">
              <w:t xml:space="preserve"> en regional ordning vedrørende havnestatsforanstal</w:t>
            </w:r>
            <w:r w:rsidRPr="00D8691E">
              <w:t>tninger til bekæmpelse af ulovligt, urapporteret og ureguleret fiskeri i GFCM-anvendelsesområdet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Udeladelsen af GFCM-henstillingen går ud på at undgå cirkulære henvisninger.</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Anna Maria Cisint,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w:t>
      </w:r>
      <w:r w:rsidRPr="00D8691E">
        <w:rPr>
          <w:rStyle w:val="HideTWBExt"/>
        </w:rPr>
        <w:t>&lt;/Article&gt;</w:t>
      </w:r>
    </w:p>
    <w:p w:rsidR="00DD5018" w:rsidRPr="00D8691E" w:rsidRDefault="00BD7D87" w:rsidP="00DD5018">
      <w:r w:rsidRPr="00D8691E">
        <w:rPr>
          <w:rStyle w:val="HideTWBExt"/>
        </w:rPr>
        <w:t>&lt;Do</w:t>
      </w:r>
      <w:r w:rsidRPr="00D8691E">
        <w:rPr>
          <w:rStyle w:val="HideTWBExt"/>
        </w:rPr>
        <w:t>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4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Dette kapitel finder anvendelse på alt fiskeri efter europæisk ål (Anguilla anguilla), dvs. </w:t>
            </w:r>
            <w:r w:rsidRPr="00D8691E">
              <w:rPr>
                <w:b/>
                <w:i/>
              </w:rPr>
              <w:t>målrettet, utilsigtet</w:t>
            </w:r>
            <w:r w:rsidRPr="00D8691E">
              <w:t xml:space="preserve"> og rekreativt fiskeri i alle de i bilag I fastsatte havområder i Middelhavet</w:t>
            </w:r>
            <w:r w:rsidRPr="00D8691E">
              <w:rPr>
                <w:b/>
                <w:i/>
              </w:rPr>
              <w:t>, herunder ferskvandsområder og overgangs- og brakvande såsom laguner og flodmundinger</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Dette kapitel finder anvendelse på alt fiskeri efter europæisk ål (Anguilla anguilla), dvs</w:t>
            </w:r>
            <w:r w:rsidRPr="00D8691E">
              <w:t xml:space="preserve">. </w:t>
            </w:r>
            <w:r w:rsidRPr="00D8691E">
              <w:rPr>
                <w:b/>
                <w:i/>
              </w:rPr>
              <w:t>erhvervsfiskeri</w:t>
            </w:r>
            <w:r w:rsidRPr="00D8691E">
              <w:t xml:space="preserve"> og rekreativt fiskeri i alle de i bilag I fastsatte havområder i Middelhavet."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Indre farvande kan ikke betragtes som en del af et havområde eller et havområde, da de ikke</w:t>
      </w:r>
      <w:r w:rsidRPr="00D8691E">
        <w:t xml:space="preserve"> er omfattet af GFCM's kompetence (artikel 3 i GFCM-aftalen). Desuden kan en lejlighedsvis aktivitet ikke være lovreguleret, da den implicit er udelukket fra reguleringen af aktiviteten i sig selv og derfor er omfattet af anvendelsesområdet for overtrædels</w:t>
      </w:r>
      <w:r w:rsidRPr="00D8691E">
        <w:t>er af den regulerede aktivitet.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12 – stk.4 og 5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2a)</w:t>
            </w:r>
            <w:r w:rsidRPr="00D8691E">
              <w:tab/>
            </w:r>
            <w:r w:rsidRPr="00D8691E">
              <w:rPr>
                <w:b/>
                <w:i/>
              </w:rPr>
              <w:t>I artikel 12 tilføjes følgende stykker: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Medlemsstaterne opretter et sporbarhedssystem for landinger,</w:t>
            </w:r>
            <w:r w:rsidRPr="00D8691E">
              <w:rPr>
                <w:b/>
                <w:i/>
              </w:rPr>
              <w:t xml:space="preserve"> salg og eksportvarer, der gør det muligt at spore fangsterne fra det godkendte landingssted til det endelige bestemmelsessted, uanset om enhederne sælges i levende, død eller forarbejdet tilstand.</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Hver medlemsstat opstiller og ajourfører en liste ove</w:t>
            </w:r>
            <w:r w:rsidRPr="00D8691E">
              <w:rPr>
                <w:b/>
                <w:i/>
              </w:rPr>
              <w:t>r auktionshaller, organer eller personer, der er bemyndiget af den pågældende medlemsstat til at foretage første salg af europæisk ål."</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GFCM/46/2023/16 punkt 42 og 43.</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w:t>
      </w:r>
      <w:r w:rsidRPr="00D8691E">
        <w:t>ingsforslag</w:t>
      </w:r>
      <w:r w:rsidRPr="00D8691E">
        <w:tab/>
      </w:r>
      <w:r w:rsidRPr="00D8691E">
        <w:tab/>
      </w:r>
      <w:r w:rsidRPr="00D8691E">
        <w:rPr>
          <w:rStyle w:val="HideTWBExt"/>
        </w:rPr>
        <w:t>&lt;NumAm&gt;</w:t>
      </w:r>
      <w:r w:rsidRPr="00D8691E">
        <w:t>152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Anna Maria Cisint,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 – indledning</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Følgende </w:t>
            </w:r>
            <w:r w:rsidRPr="00D8691E">
              <w:rPr>
                <w:b/>
                <w:i/>
              </w:rPr>
              <w:t>artikel</w:t>
            </w:r>
            <w:r w:rsidRPr="00D8691E">
              <w:t xml:space="preserve"> indsættes mellem artikel 12 og 13 som artikel 12a:</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Følgende </w:t>
            </w:r>
            <w:r w:rsidRPr="00D8691E">
              <w:rPr>
                <w:b/>
                <w:i/>
              </w:rPr>
              <w:t>artikler</w:t>
            </w:r>
            <w:r w:rsidRPr="00D8691E">
              <w:t xml:space="preserve"> indsættes mellem artikel 12 og 13 som artikel 12a</w:t>
            </w:r>
            <w:r w:rsidRPr="00D8691E">
              <w:rPr>
                <w:b/>
                <w:i/>
              </w:rPr>
              <w:t xml:space="preserve"> og 12b</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w:t>
      </w:r>
      <w:r w:rsidRPr="00D8691E">
        <w:t>rtikel 1 – stk. 1 – punkt 3 – indledning</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Følgende </w:t>
            </w:r>
            <w:r w:rsidRPr="00D8691E">
              <w:rPr>
                <w:b/>
                <w:i/>
              </w:rPr>
              <w:t>artikel</w:t>
            </w:r>
            <w:r w:rsidRPr="00D8691E">
              <w:t xml:space="preserve"> indsættes mellem artikel 12 og 13 som artikel 12a:</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Følgende </w:t>
            </w:r>
            <w:r w:rsidRPr="00D8691E">
              <w:rPr>
                <w:b/>
                <w:i/>
              </w:rPr>
              <w:t>artikler</w:t>
            </w:r>
            <w:r w:rsidRPr="00D8691E">
              <w:t xml:space="preserve"> indsættes mellem artikel 12 og 13 som artikel 12a</w:t>
            </w:r>
            <w:r w:rsidRPr="00D8691E">
              <w:rPr>
                <w:b/>
                <w:i/>
              </w:rPr>
              <w:t xml:space="preserve"> og 12b</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Anna Maria Cisint,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12a – overskrift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Rekreativt fiskeri</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Erhvervsfiskeri</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Anna Maria Cisint,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12a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Medlemsstaterne sikrer, at </w:t>
            </w:r>
            <w:r w:rsidRPr="00D8691E">
              <w:rPr>
                <w:b/>
                <w:i/>
              </w:rPr>
              <w:t>rekreativt fiskeri</w:t>
            </w:r>
            <w:r w:rsidRPr="00D8691E">
              <w:t xml:space="preserve"> efter alle stadier af </w:t>
            </w:r>
            <w:r w:rsidRPr="00D8691E">
              <w:rPr>
                <w:b/>
                <w:i/>
              </w:rPr>
              <w:t>europæisk ål</w:t>
            </w:r>
            <w:r w:rsidRPr="00D8691E">
              <w:t xml:space="preserve"> (glas, gul, blank) er forbudt </w:t>
            </w:r>
            <w:r w:rsidRPr="00D8691E">
              <w:rPr>
                <w:b/>
                <w:i/>
              </w:rPr>
              <w:t>på</w:t>
            </w:r>
            <w:r w:rsidRPr="00D8691E">
              <w:t xml:space="preserve"> alle </w:t>
            </w:r>
            <w:r w:rsidRPr="00D8691E">
              <w:rPr>
                <w:b/>
                <w:i/>
              </w:rPr>
              <w:t>levesteder</w:t>
            </w:r>
            <w:r w:rsidRPr="00D8691E">
              <w:t xml:space="preserve">." </w:t>
            </w:r>
            <w:r w:rsidRPr="00D8691E">
              <w:rPr>
                <w:b/>
                <w:i/>
              </w:rPr>
              <w:t>;</w:t>
            </w:r>
          </w:p>
        </w:tc>
        <w:tc>
          <w:tcPr>
            <w:tcW w:w="4876" w:type="dxa"/>
            <w:tcBorders>
              <w:top w:val="nil"/>
              <w:left w:val="nil"/>
              <w:bottom w:val="nil"/>
              <w:right w:val="nil"/>
            </w:tcBorders>
            <w:hideMark/>
          </w:tcPr>
          <w:p w:rsidR="00DD5018" w:rsidRPr="00D8691E" w:rsidRDefault="00BD7D87" w:rsidP="001838DC">
            <w:pPr>
              <w:pStyle w:val="Normal6a"/>
            </w:pPr>
            <w:r w:rsidRPr="00D8691E">
              <w:t xml:space="preserve">Medlemsstaterne sikrer, at </w:t>
            </w:r>
            <w:r w:rsidRPr="00D8691E">
              <w:rPr>
                <w:b/>
                <w:i/>
              </w:rPr>
              <w:t>erhvervsfiskeri</w:t>
            </w:r>
            <w:r w:rsidRPr="00D8691E">
              <w:t xml:space="preserve"> efter</w:t>
            </w:r>
            <w:r w:rsidRPr="00D8691E">
              <w:rPr>
                <w:b/>
                <w:i/>
              </w:rPr>
              <w:t xml:space="preserve"> ål i</w:t>
            </w:r>
            <w:r w:rsidRPr="00D8691E">
              <w:t xml:space="preserve"> alle stadier af </w:t>
            </w:r>
            <w:r w:rsidRPr="00D8691E">
              <w:rPr>
                <w:b/>
                <w:i/>
              </w:rPr>
              <w:t>dets livscyklus</w:t>
            </w:r>
            <w:r w:rsidRPr="00D8691E">
              <w:t xml:space="preserve"> (glas, gul, blank) er forbudt </w:t>
            </w:r>
            <w:r w:rsidRPr="00D8691E">
              <w:rPr>
                <w:b/>
                <w:i/>
              </w:rPr>
              <w:t>i</w:t>
            </w:r>
            <w:r w:rsidRPr="00D8691E">
              <w:t xml:space="preserve"> alle </w:t>
            </w:r>
            <w:r w:rsidRPr="00D8691E">
              <w:rPr>
                <w:b/>
                <w:i/>
              </w:rPr>
              <w:t>farvande i Middelhavet, der er anført i bilag I</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 a (nyt)</w:t>
      </w:r>
      <w:r w:rsidRPr="00D8691E">
        <w:rPr>
          <w:rStyle w:val="HideTWBExt"/>
        </w:rPr>
        <w:t>&lt;/Article&gt;</w:t>
      </w:r>
    </w:p>
    <w:p w:rsidR="00DD5018" w:rsidRPr="00D8691E" w:rsidRDefault="00BD7D87" w:rsidP="00DD5018">
      <w:r w:rsidRPr="00D8691E">
        <w:rPr>
          <w:rStyle w:val="HideTWBExt"/>
        </w:rPr>
        <w:t>&lt;DocAmend2&gt;</w:t>
      </w:r>
      <w:r w:rsidRPr="00D8691E">
        <w:t>Forordni</w:t>
      </w:r>
      <w:r w:rsidRPr="00D8691E">
        <w:t>ng (EU) nr. 2023/2124</w:t>
      </w:r>
      <w:r w:rsidRPr="00D8691E">
        <w:rPr>
          <w:rStyle w:val="HideTWBExt"/>
        </w:rPr>
        <w:t>&lt;/DocAmend2&gt;</w:t>
      </w:r>
    </w:p>
    <w:p w:rsidR="00DD5018" w:rsidRPr="00D8691E" w:rsidRDefault="00BD7D87" w:rsidP="00DD5018">
      <w:r w:rsidRPr="00D8691E">
        <w:rPr>
          <w:rStyle w:val="HideTWBExt"/>
        </w:rPr>
        <w:t>&lt;Article2&gt;</w:t>
      </w:r>
      <w:r w:rsidRPr="00D8691E">
        <w:t>Artikel 12b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3a)</w:t>
            </w:r>
            <w:r w:rsidRPr="00D8691E">
              <w:tab/>
            </w:r>
            <w:r w:rsidRPr="00D8691E">
              <w:rPr>
                <w:b/>
                <w:i/>
              </w:rPr>
              <w:t>Følgende artikel indsættes mellem artikel 12 og 13 som artikel 12b: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12b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Dataindsamling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 Medlemsstaterne sender </w:t>
            </w:r>
            <w:r w:rsidRPr="00D8691E">
              <w:rPr>
                <w:b/>
                <w:i/>
              </w:rPr>
              <w:t>Kommissionen eller et af denne udpeget organ de foreliggende data, herunder skøn over, hvor IUU-fiskeri vides at forekomme. Kommissionen eller et organ, som den har udpeget, videresender hurtigst muligt oplysningerne om IUU-fiskeri til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Medlemsstaterne fremsender Kommissionen data om opfedningsaktiviteter senest den 15. december. Kommissionen sender disse oplysninger til GFCM's sekretariat senest den 31. december.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Medlemsstaterne kan også på frivillig basis sende Kommissionen yd</w:t>
            </w:r>
            <w:r w:rsidRPr="00D8691E">
              <w:rPr>
                <w:b/>
                <w:i/>
              </w:rPr>
              <w:t>erligere oplysninger, som videresender dem til GFCM's sekretariat."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GFCM/46/2023/16 stk. 28 til 30 og GFCM/41/2017/1 stk. 2.</w:t>
      </w:r>
    </w:p>
    <w:p w:rsidR="00DD5018" w:rsidRPr="00D8691E" w:rsidRDefault="00BD7D87" w:rsidP="00DD5018">
      <w:pPr>
        <w:pStyle w:val="AmNumberTabs"/>
        <w:rPr>
          <w:rStyle w:val="HideTWBExt"/>
        </w:rPr>
      </w:pPr>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w:t>
      </w:r>
      <w:r w:rsidRPr="00D8691E">
        <w:rPr>
          <w:rStyle w:val="HideTWBExt"/>
        </w:rPr>
        <w:t>&lt;/Article&gt;</w:t>
      </w:r>
    </w:p>
    <w:p w:rsidR="00DD5018" w:rsidRPr="00D8691E" w:rsidRDefault="00BD7D87" w:rsidP="00DD5018">
      <w:r w:rsidRPr="00D8691E">
        <w:rPr>
          <w:rStyle w:val="HideTWBExt"/>
        </w:rPr>
        <w:t>&lt;DocAmend2&gt;</w:t>
      </w:r>
      <w:r w:rsidRPr="00D8691E">
        <w:t>Forordning (EU) nr. 20</w:t>
      </w:r>
      <w:r w:rsidRPr="00D8691E">
        <w:t>23/2124</w:t>
      </w:r>
      <w:r w:rsidRPr="00D8691E">
        <w:rPr>
          <w:rStyle w:val="HideTWBExt"/>
        </w:rPr>
        <w:t>&lt;/DocAmend2&gt;</w:t>
      </w:r>
    </w:p>
    <w:p w:rsidR="00DD5018" w:rsidRPr="00D8691E" w:rsidRDefault="00BD7D87" w:rsidP="00DD5018">
      <w:r w:rsidRPr="00D8691E">
        <w:rPr>
          <w:rStyle w:val="HideTWBExt"/>
        </w:rPr>
        <w:t>&lt;Article2&gt;</w:t>
      </w:r>
      <w:r w:rsidRPr="00D8691E">
        <w:t>Artikel 12b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12b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Dataindsamling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Hvis der vides at forekomme IUU-fiskeri, sendes de foreliggende data, herunder skøn, også til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w:t>
            </w:r>
            <w:r w:rsidRPr="00D8691E">
              <w:rPr>
                <w:b/>
                <w:i/>
              </w:rPr>
              <w:t>Medlemsstaterne indberetter data vedrørende opfedningsaktiviteter til GFCM's sekretariat i overensstemmelse med de frister, der er fastsat i henstilling GFCM/41/2017/1 om rapportering af akvakulturdata og oplysninger om ophævelse af henstilling GFCM/35/201</w:t>
            </w:r>
            <w:r w:rsidRPr="00D8691E">
              <w:rPr>
                <w:b/>
                <w:i/>
              </w:rPr>
              <w:t>1/6.</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Medlemsstaterne kan også sende GFCM's sekretariat eventuelle yderligere oplysninger på frivillig basis, om muligt senest til GFCM's 47. møde.</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GFCM/46/2023/16</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w:t>
      </w:r>
      <w:r w:rsidRPr="00D8691E">
        <w:t>ingsforslag</w:t>
      </w:r>
      <w:r w:rsidRPr="00D8691E">
        <w:tab/>
      </w:r>
      <w:r w:rsidRPr="00D8691E">
        <w:tab/>
      </w:r>
      <w:r w:rsidRPr="00D8691E">
        <w:rPr>
          <w:rStyle w:val="HideTWBExt"/>
        </w:rPr>
        <w:t>&lt;NumAm&gt;</w:t>
      </w:r>
      <w:r w:rsidRPr="00D8691E">
        <w:t>158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Anna Maria Cisint,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w:t>
      </w:r>
      <w:r w:rsidRPr="00D8691E">
        <w:rPr>
          <w:rStyle w:val="HideTWBExt"/>
        </w:rPr>
        <w:t>&lt;/Article&gt;</w:t>
      </w:r>
    </w:p>
    <w:p w:rsidR="00DD5018" w:rsidRPr="00D8691E" w:rsidRDefault="00BD7D87" w:rsidP="00DD5018">
      <w:r w:rsidRPr="00D8691E">
        <w:rPr>
          <w:rStyle w:val="HideTWBExt"/>
        </w:rPr>
        <w:t>&lt;DocAmend2&gt;</w:t>
      </w:r>
      <w:r w:rsidRPr="00D8691E">
        <w:t xml:space="preserve">Forordning </w:t>
      </w:r>
      <w:r w:rsidRPr="00D8691E">
        <w:t>(EU) nr. 2023/2124</w:t>
      </w:r>
      <w:r w:rsidRPr="00D8691E">
        <w:rPr>
          <w:rStyle w:val="HideTWBExt"/>
        </w:rPr>
        <w:t>&lt;/DocAmend2&gt;</w:t>
      </w:r>
    </w:p>
    <w:p w:rsidR="00DD5018" w:rsidRPr="00D8691E" w:rsidRDefault="00BD7D87" w:rsidP="00DD5018">
      <w:r w:rsidRPr="00D8691E">
        <w:rPr>
          <w:rStyle w:val="HideTWBExt"/>
        </w:rPr>
        <w:t>&lt;Article2&gt;</w:t>
      </w:r>
      <w:r w:rsidRPr="00D8691E">
        <w:t>Artikel 12b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Artikel 12b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Rekreativt fiskeri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Medlemsstaterne sikrer, at rekreativt fiskeri efter ål kun kan tillades i den gule fase på strengt </w:t>
            </w:r>
            <w:r w:rsidRPr="00D8691E">
              <w:rPr>
                <w:b/>
                <w:i/>
              </w:rPr>
              <w:t>kontrollerede betingelser og selektivt for små mængder.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 xml:space="preserve">Rekreativt ålefiskeri er en meget vigtig kulturel tradition i flere europæiske lande. Rekreativt fiskeri af visse individer kan </w:t>
      </w:r>
      <w:r w:rsidRPr="00D8691E">
        <w:t>indrømmes for korte perioder og begrænses til kategorien næsten fuldvoksne (gul fase), hvorved reproducenterne beskyttes (blankfasen). En høj kvoteafgift vil ikke have nogen væsentlig indvirkning på bestanden af arten på EU-plan, da den indgår i den procen</w:t>
      </w:r>
      <w:r w:rsidRPr="00D8691E">
        <w:t>tvise andel af tab, som arten har lidt i sin naturlige tilstand.</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159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{Greens/EFA}</w:t>
      </w:r>
      <w:r w:rsidRPr="00D8691E">
        <w:t>for Verts/ALE-Gruppen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 xml:space="preserve">Forslag </w:t>
      </w:r>
      <w:r w:rsidRPr="00D8691E">
        <w:t>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12b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Artikel 12b </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Dataindsamling</w:t>
            </w:r>
          </w:p>
        </w:tc>
      </w:tr>
      <w:tr w:rsidR="00DF750B" w:rsidRPr="00D8691E" w:rsidTr="00F37D8F">
        <w:trPr>
          <w:jc w:val="center"/>
        </w:trPr>
        <w:tc>
          <w:tcPr>
            <w:tcW w:w="4876" w:type="dxa"/>
            <w:tcBorders>
              <w:top w:val="nil"/>
              <w:left w:val="nil"/>
              <w:bottom w:val="nil"/>
              <w:right w:val="nil"/>
            </w:tcBorders>
            <w:hideMark/>
          </w:tcPr>
          <w:p w:rsidR="00DD5018" w:rsidRPr="00D8691E" w:rsidRDefault="00DD5018" w:rsidP="00F37D8F"/>
        </w:tc>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 xml:space="preserve"> </w:t>
            </w:r>
            <w:r w:rsidRPr="00D8691E">
              <w:rPr>
                <w:b/>
                <w:i/>
              </w:rPr>
              <w:t>Hvis</w:t>
            </w:r>
            <w:r w:rsidRPr="00D8691E">
              <w:rPr>
                <w:b/>
                <w:i/>
              </w:rPr>
              <w:t xml:space="preserve"> der vides at forekomme IUU-fiskeri, sendes de foreliggende data, herunder skøn, også til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Medlemsstaterne indberetter data vedrørende opfedningsaktiviteter til GFCM's sekretariat i overensstemmelse med de frister, der er fastsat i </w:t>
            </w:r>
            <w:r w:rsidRPr="00D8691E">
              <w:rPr>
                <w:b/>
                <w:i/>
              </w:rPr>
              <w:t>henstilling GFCM/41/2017/1 om rapportering af akvakulturdata og oplysninger om ophævelse af henstilling GFCM/35/2011/6.</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Medlemsstaterne kan også sende GFCM's sekretariat eventuelle yderligere oplysninger på frivillig basis, om muligt ikke senere end d</w:t>
            </w:r>
            <w:r w:rsidRPr="00D8691E">
              <w:rPr>
                <w:b/>
                <w:i/>
              </w:rPr>
              <w:t>et næste GFCM-møde.</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(https://eur-lex.europa.eu/eli/reg/2023/2124/oj/eng)</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Henstilling GFCM/46/2023/16, stk. 28, 29 og 30.</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14 a</w:t>
      </w:r>
      <w:r w:rsidRPr="00D8691E">
        <w:rPr>
          <w:rStyle w:val="HideTWBExt"/>
        </w:rPr>
        <w:t>&lt;/Articl</w:t>
      </w:r>
      <w:r w:rsidRPr="00D8691E">
        <w:rPr>
          <w:rStyle w:val="HideTWBExt"/>
        </w:rPr>
        <w:t>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4)</w:t>
            </w:r>
            <w:r w:rsidRPr="00D8691E">
              <w:tab/>
            </w:r>
            <w:r w:rsidRPr="00D8691E">
              <w:rPr>
                <w:b/>
                <w:i/>
              </w:rPr>
              <w:t>Følgende artikel indsættes mellem artikel 14 og 15 som artikel 14a:</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”Artikel 14a</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Flådeforvaltningsforanstaltninger</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Medlemsstaterne sikrer, at den samlede flådekapacitet eller fiskeriindsats for de </w:t>
            </w:r>
            <w:r w:rsidRPr="00D8691E">
              <w:rPr>
                <w:b/>
                <w:i/>
              </w:rPr>
              <w:t xml:space="preserve">flåder, som med bundtrawl fisker aktivt efter vigtige bestande, hvad angår bruttotonnage (BT) og/eller bruttoregistertonnage (BRT), maskineffekt (kW) og antal fartøjer som registreret i både nationale registre og GFCM-registre, ikke overstiger antallet af </w:t>
            </w:r>
            <w:r w:rsidRPr="00D8691E">
              <w:rPr>
                <w:b/>
                <w:i/>
              </w:rPr>
              <w:t>fartøjer eller fiskeriindsatsen for fartøjer, der fiskede med skovltrawl, efter dybvandsrejer i årene 2014-2017 eller en anden periode på tre på hinanden følgende år, f.eks. 2015-2018, forudsat at stigningen ikke er over 50 % i forhold til referenceperiode</w:t>
            </w:r>
            <w:r w:rsidRPr="00D8691E">
              <w:rPr>
                <w:b/>
                <w:i/>
              </w:rPr>
              <w:t>n 2014-2017."</w:t>
            </w:r>
          </w:p>
        </w:tc>
        <w:tc>
          <w:tcPr>
            <w:tcW w:w="4876" w:type="dxa"/>
            <w:tcBorders>
              <w:top w:val="nil"/>
              <w:left w:val="nil"/>
              <w:bottom w:val="nil"/>
              <w:right w:val="nil"/>
            </w:tcBorders>
          </w:tcPr>
          <w:p w:rsidR="00DD5018" w:rsidRPr="00D8691E" w:rsidRDefault="00DD5018" w:rsidP="00F37D8F">
            <w:pPr>
              <w:pStyle w:val="Normal6a"/>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14 a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Medlemsstaterne sikrer, at den samlede flådekapacitet eller fiskeriindsats for de flåder, som </w:t>
            </w:r>
            <w:r w:rsidRPr="00D8691E">
              <w:rPr>
                <w:b/>
                <w:i/>
              </w:rPr>
              <w:t xml:space="preserve">med bundtrawl </w:t>
            </w:r>
            <w:r w:rsidRPr="00D8691E">
              <w:t>fisker aktivt efter vigtige bestande, hvad angår bruttotonnage (BT) og/eller bruttoregistertonnage (BRT), maskineffekt (kW) og antal fartøjer som registreret i både nationale registre og GFCM-registre, ikke overstiger antallet af fartøjer eller fiskeriinds</w:t>
            </w:r>
            <w:r w:rsidRPr="00D8691E">
              <w:t>atsen for fartøjer, der fiskede</w:t>
            </w:r>
            <w:r w:rsidRPr="00D8691E">
              <w:rPr>
                <w:b/>
                <w:i/>
              </w:rPr>
              <w:t xml:space="preserve"> med skovltrawl,</w:t>
            </w:r>
            <w:r w:rsidRPr="00D8691E">
              <w:t xml:space="preserve"> efter dybvandsrejer i årene 2014-2017 eller en anden periode på tre på hinanden følgende år, f.eks. 2015-2018, forudsat at stigningen ikke er over 50 % i forhold til referenceperioden 2014-2017."</w:t>
            </w:r>
          </w:p>
        </w:tc>
        <w:tc>
          <w:tcPr>
            <w:tcW w:w="4876" w:type="dxa"/>
            <w:tcBorders>
              <w:top w:val="nil"/>
              <w:left w:val="nil"/>
              <w:bottom w:val="nil"/>
              <w:right w:val="nil"/>
            </w:tcBorders>
            <w:hideMark/>
          </w:tcPr>
          <w:p w:rsidR="00DD5018" w:rsidRPr="00D8691E" w:rsidRDefault="00BD7D87" w:rsidP="00F37D8F">
            <w:pPr>
              <w:pStyle w:val="Normal6a"/>
            </w:pPr>
            <w:r w:rsidRPr="00D8691E">
              <w:t>Medlemsstate</w:t>
            </w:r>
            <w:r w:rsidRPr="00D8691E">
              <w:t>rne sikrer, at den samlede flådekapacitet eller fiskeriindsats for de flåder, som fisker aktivt efter vigtige bestande, hvad angår bruttotonnage (BT) og/eller bruttoregistertonnage (BRT), maskineffekt (kW) og antal fartøjer som registreret i både nationale</w:t>
            </w:r>
            <w:r w:rsidRPr="00D8691E">
              <w:t xml:space="preserve"> registre og GFCM-registre, ikke overstiger antallet af fartøjer eller fiskeriindsatsen for fartøjer, der fiskede efter dybvandsrejer i årene 2014-2017 eller en anden periode på tre på hinanden følgende år, f.eks. 2015-2018, forudsat at stigningen ikke er </w:t>
            </w:r>
            <w:r w:rsidRPr="00D8691E">
              <w:t>over 50 % i forhold til referenceperioden 2014-2017."</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7</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17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r>
            <w:r w:rsidRPr="00D8691E">
              <w:rPr>
                <w:b/>
                <w:i/>
              </w:rPr>
              <w:t>Bundtrawlere</w:t>
            </w:r>
            <w:r w:rsidRPr="00D8691E">
              <w:t>, der fisker efter gydestimer af rød kæmpereje, indstiller</w:t>
            </w:r>
            <w:r w:rsidRPr="00D8691E">
              <w:t xml:space="preserve"> fiskeriet i 30 på hinanden følgende dage mellem marts og december.</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r>
            <w:r w:rsidRPr="00D8691E">
              <w:rPr>
                <w:b/>
                <w:i/>
              </w:rPr>
              <w:t>Fiskerfartøjer</w:t>
            </w:r>
            <w:r w:rsidRPr="00D8691E">
              <w:t>, der fisker efter gydestimer af rød kæmpereje, indstiller fiskeriet i 30 på hinanden følgende dage mellem marts og december.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w:t>
      </w:r>
      <w:r w:rsidRPr="00D8691E">
        <w:rPr>
          <w:rStyle w:val="HideTWBExt"/>
        </w:rPr>
        <w:t>end&gt;</w:t>
      </w:r>
      <w:r w:rsidRPr="00D8691E">
        <w:t>Ændringsforslag</w:t>
      </w:r>
      <w:r w:rsidRPr="00D8691E">
        <w:tab/>
      </w:r>
      <w:r w:rsidRPr="00D8691E">
        <w:tab/>
      </w:r>
      <w:r w:rsidRPr="00D8691E">
        <w:rPr>
          <w:rStyle w:val="HideTWBExt"/>
        </w:rPr>
        <w:t>&lt;NumAm&gt;</w:t>
      </w:r>
      <w:r w:rsidRPr="00D8691E">
        <w:t>163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9</w:t>
      </w:r>
      <w:r w:rsidRPr="00D8691E">
        <w:rPr>
          <w:rStyle w:val="HideTWBExt"/>
        </w:rPr>
        <w:t>&lt;/Article&gt;</w:t>
      </w:r>
    </w:p>
    <w:p w:rsidR="00DD5018" w:rsidRPr="00D8691E" w:rsidRDefault="00BD7D87" w:rsidP="00DD5018">
      <w:r w:rsidRPr="00D8691E">
        <w:rPr>
          <w:rStyle w:val="HideTWBExt"/>
        </w:rPr>
        <w:t>&lt;DocAmend2&gt;</w:t>
      </w:r>
      <w:r w:rsidRPr="00D8691E">
        <w:t xml:space="preserve">Forordning (EU) nr. </w:t>
      </w:r>
      <w:r w:rsidRPr="00D8691E">
        <w:t>2023/2124</w:t>
      </w:r>
      <w:r w:rsidRPr="00D8691E">
        <w:rPr>
          <w:rStyle w:val="HideTWBExt"/>
        </w:rPr>
        <w:t>&lt;/DocAmend2&gt;</w:t>
      </w:r>
    </w:p>
    <w:p w:rsidR="00DD5018" w:rsidRPr="00D8691E" w:rsidRDefault="00BD7D87" w:rsidP="00DD5018">
      <w:r w:rsidRPr="00D8691E">
        <w:rPr>
          <w:rStyle w:val="HideTWBExt"/>
        </w:rPr>
        <w:t>&lt;Article2&gt;</w:t>
      </w:r>
      <w:r w:rsidRPr="00D8691E">
        <w:t>Artikel 20</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Uanset artikel 9 i forordning (EF) nr. 1224/2009 skal </w:t>
            </w:r>
            <w:r w:rsidRPr="00D8691E">
              <w:t xml:space="preserve">alle fartøjer med en længde overalt på over 12 m, der fisker aktivt inden for anvendelsesområdet for denne </w:t>
            </w:r>
            <w:r w:rsidRPr="00D8691E">
              <w:t>afdeling, være udstyret med et satellitbaseret fartøjsovervågningssystem (FOS).</w:t>
            </w:r>
          </w:p>
        </w:tc>
        <w:tc>
          <w:tcPr>
            <w:tcW w:w="4876" w:type="dxa"/>
            <w:tcBorders>
              <w:top w:val="nil"/>
              <w:left w:val="nil"/>
              <w:bottom w:val="nil"/>
              <w:right w:val="nil"/>
            </w:tcBorders>
            <w:hideMark/>
          </w:tcPr>
          <w:p w:rsidR="00DD5018" w:rsidRPr="00D8691E" w:rsidRDefault="00BD7D87" w:rsidP="00F37D8F">
            <w:pPr>
              <w:pStyle w:val="Normal6a"/>
            </w:pPr>
            <w:r w:rsidRPr="00D8691E">
              <w:t>Alle fartøjer med en længde overalt på over 12 m, der fisker aktivt inden for anvendelsesområdet for denne afdeling,</w:t>
            </w:r>
            <w:r w:rsidRPr="00D8691E">
              <w:rPr>
                <w:b/>
                <w:i/>
              </w:rPr>
              <w:t xml:space="preserve"> skal</w:t>
            </w:r>
            <w:r w:rsidRPr="00D8691E">
              <w:t xml:space="preserve"> være udstyret med et satellitbaseret fartøjsovervågnin</w:t>
            </w:r>
            <w:r w:rsidRPr="00D8691E">
              <w:t>gssystem (FOS).</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Artikel 1 – </w:t>
      </w:r>
      <w:r w:rsidRPr="00D8691E">
        <w:t>stk. 1 – punkt 9</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20</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Uanset artikel 9 i forordning (EF) nr. 1224/2009 skal </w:t>
            </w:r>
            <w:r w:rsidRPr="00D8691E">
              <w:t xml:space="preserve">alle fartøjer med en længde overalt på over </w:t>
            </w:r>
            <w:r w:rsidRPr="00D8691E">
              <w:rPr>
                <w:b/>
                <w:i/>
              </w:rPr>
              <w:t>12</w:t>
            </w:r>
            <w:r w:rsidRPr="00D8691E">
              <w:t xml:space="preserve"> m, der fisker aktivt inden for anvendelsesområdet for denne afdeling, være udstyret med et satellitbaseret fartøjsovervågningssystem (FOS).</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Alle fartøjer med en længde overalt på over </w:t>
            </w:r>
            <w:r w:rsidRPr="00D8691E">
              <w:rPr>
                <w:b/>
                <w:i/>
              </w:rPr>
              <w:t>25</w:t>
            </w:r>
            <w:r w:rsidRPr="00D8691E">
              <w:t xml:space="preserve"> m, der fisker aktivt inden for anvendelsesområdet for denne afdeling</w:t>
            </w:r>
            <w:r w:rsidRPr="00D8691E">
              <w:t>,</w:t>
            </w:r>
            <w:r w:rsidRPr="00D8691E">
              <w:rPr>
                <w:b/>
                <w:i/>
              </w:rPr>
              <w:t xml:space="preserve"> skal</w:t>
            </w:r>
            <w:r w:rsidRPr="00D8691E">
              <w:t xml:space="preserve"> være udstyret med et satellitbaseret fartøjsovervågningssystem (FOS).</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9</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20</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Indtil den 8. januar 2026 kan medlemsstaterne </w:t>
            </w:r>
            <w:r w:rsidRPr="00D8691E">
              <w:rPr>
                <w:b/>
                <w:i/>
              </w:rPr>
              <w:t>indrømme fartøjer på under 15 m en undtagelse fra første stykke, hvis de udelukkende fisker i medlemsstatens territorialfarvande og/eller aldrig tilbringe mere end 24 timer til havs fra afsejlingstidspunktet til tidspunktet for ankomst tilbage i havn.</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w:t>
            </w:r>
            <w:r w:rsidRPr="00D8691E">
              <w:rPr>
                <w:b/>
                <w:i/>
              </w:rPr>
              <w:t>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11</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23a</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Medlemsstaterne sikrer, at den samlede flådekapacitet, hvad angår bruttotonnage (BT) og/eller bruttoregistertonnage (BRT), maskineffekt (kW) og antal fartøjer som registreret i både nationale registre og GFCM-registre, ikke overstiger flådekapaciteten for </w:t>
            </w:r>
            <w:r w:rsidRPr="00D8691E">
              <w:t xml:space="preserve">fartøjer, der fiskede med skovltrawl efter </w:t>
            </w:r>
            <w:r w:rsidRPr="00D8691E">
              <w:rPr>
                <w:b/>
                <w:i/>
              </w:rPr>
              <w:t>dybvandsrejer</w:t>
            </w:r>
            <w:r w:rsidRPr="00D8691E">
              <w:t xml:space="preserve"> i 2019.</w:t>
            </w:r>
          </w:p>
        </w:tc>
        <w:tc>
          <w:tcPr>
            <w:tcW w:w="4876" w:type="dxa"/>
            <w:tcBorders>
              <w:top w:val="nil"/>
              <w:left w:val="nil"/>
              <w:bottom w:val="nil"/>
              <w:right w:val="nil"/>
            </w:tcBorders>
            <w:hideMark/>
          </w:tcPr>
          <w:p w:rsidR="00DD5018" w:rsidRPr="00D8691E" w:rsidRDefault="00BD7D87" w:rsidP="00F37D8F">
            <w:pPr>
              <w:pStyle w:val="Normal6a"/>
            </w:pPr>
            <w:r w:rsidRPr="00D8691E">
              <w:t>Medlemsstaterne sikrer, at den samlede flådekapacitet, hvad angår bruttotonnage (BT) og/eller bruttoregistertonnage (BRT), maskineffekt (kW) og antal fartøjer som registreret i både nationale</w:t>
            </w:r>
            <w:r w:rsidRPr="00D8691E">
              <w:t xml:space="preserve"> registre og GFCM-registre, ikke overstiger flådekapaciteten for fartøjer, der fiskede med skovltrawl efter </w:t>
            </w:r>
            <w:r w:rsidRPr="00D8691E">
              <w:rPr>
                <w:b/>
                <w:i/>
              </w:rPr>
              <w:t>røde kæmperejer</w:t>
            </w:r>
            <w:r w:rsidRPr="00D8691E">
              <w:t xml:space="preserve"> i 2019.</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Henstilling GFCM/45/2022/6, stk. 23.</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11</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w:t>
      </w:r>
      <w:r w:rsidRPr="00D8691E">
        <w:rPr>
          <w:rStyle w:val="HideTWBExt"/>
        </w:rPr>
        <w:t>cle2&gt;</w:t>
      </w:r>
      <w:r w:rsidRPr="00D8691E">
        <w:t>Artikel 23 a</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Medlemsstaterne sikrer, at den samlede flådekapacitet, hvad angår bruttotonnage (BT) og/eller bruttoregistertonnage (BRT), maskineffekt (kW) og antal fartøjer som registreret i både nationale registre og GFCM-registre, ikke overstiger flådekapaciteten for </w:t>
            </w:r>
            <w:r w:rsidRPr="00D8691E">
              <w:t xml:space="preserve">fartøjer, der fiskede </w:t>
            </w:r>
            <w:r w:rsidRPr="00D8691E">
              <w:rPr>
                <w:b/>
                <w:i/>
              </w:rPr>
              <w:t xml:space="preserve">med skovltrawl </w:t>
            </w:r>
            <w:r w:rsidRPr="00D8691E">
              <w:t>efter dybvandsrejer i 2019.</w:t>
            </w:r>
          </w:p>
        </w:tc>
        <w:tc>
          <w:tcPr>
            <w:tcW w:w="4876" w:type="dxa"/>
            <w:tcBorders>
              <w:top w:val="nil"/>
              <w:left w:val="nil"/>
              <w:bottom w:val="nil"/>
              <w:right w:val="nil"/>
            </w:tcBorders>
            <w:hideMark/>
          </w:tcPr>
          <w:p w:rsidR="00DD5018" w:rsidRPr="00D8691E" w:rsidRDefault="00BD7D87" w:rsidP="00F37D8F">
            <w:pPr>
              <w:pStyle w:val="Normal6a"/>
            </w:pPr>
            <w:r w:rsidRPr="00D8691E">
              <w:t>Medlemsstaterne sikrer, at den samlede flådekapacitet, hvad angår bruttotonnage (BT) og/eller bruttoregistertonnage (BRT), maskineffekt (kW) og antal fartøjer som registreret i både nationale</w:t>
            </w:r>
            <w:r w:rsidRPr="00D8691E">
              <w:t xml:space="preserve"> registre og GFCM-registre, ikke overstiger flådekapaciteten for fartøjer, der fiskede efter dybvandsrejer i 2019.</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26</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Bundtrawlere, </w:t>
            </w:r>
            <w:r w:rsidRPr="00D8691E">
              <w:t>der fisker efter gydestimer af rød kæmpereje,</w:t>
            </w:r>
            <w:r w:rsidRPr="00D8691E">
              <w:rPr>
                <w:b/>
                <w:i/>
              </w:rPr>
              <w:t xml:space="preserve"> indstiller</w:t>
            </w:r>
            <w:r w:rsidRPr="00D8691E">
              <w:t xml:space="preserve"> fiskeriet i 30 på hinanden følgende dage mellem marts og december.</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r>
            <w:r w:rsidRPr="00D8691E">
              <w:rPr>
                <w:b/>
                <w:i/>
              </w:rPr>
              <w:t>Afhængigt af de resultater, som medlemsstaterne meddeler i den overgangsperiode, der er nævnt i henstilling 45/2022/7, indstiller</w:t>
            </w:r>
            <w:r w:rsidRPr="00D8691E">
              <w:rPr>
                <w:b/>
                <w:i/>
              </w:rPr>
              <w:t xml:space="preserve"> </w:t>
            </w:r>
            <w:r w:rsidRPr="00D8691E">
              <w:t>bundtrawlere, der fisker efter gydestimer af rød kæmpereje, fiskeriet i 30 på hinanden følgende dage mellem marts og december.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169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Antó</w:t>
      </w:r>
      <w:r w:rsidRPr="00D8691E">
        <w:t>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29</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Uanset artikel 9 i forordning (EF) nr. 1224/2009 skal </w:t>
            </w:r>
            <w:r w:rsidRPr="00D8691E">
              <w:t xml:space="preserve">alle fartøjer med en længde overalt på over </w:t>
            </w:r>
            <w:r w:rsidRPr="00D8691E">
              <w:rPr>
                <w:b/>
                <w:i/>
              </w:rPr>
              <w:t>12</w:t>
            </w:r>
            <w:r w:rsidRPr="00D8691E">
              <w:t xml:space="preserve"> m, der fisker aktivt inden for anvendelsesområdet for denne afdeling, være udstyret med et satellitbaseret fartøjsovervågningssystem (FOS).</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Alle fartøjer med en længde overalt på over </w:t>
            </w:r>
            <w:r w:rsidRPr="00D8691E">
              <w:rPr>
                <w:b/>
                <w:i/>
              </w:rPr>
              <w:t>25</w:t>
            </w:r>
            <w:r w:rsidRPr="00D8691E">
              <w:t xml:space="preserve"> m, der fisker aktivt inden for anvendelsesområdet for denne afdeling,</w:t>
            </w:r>
            <w:r w:rsidRPr="00D8691E">
              <w:rPr>
                <w:b/>
                <w:i/>
              </w:rPr>
              <w:t xml:space="preserve"> skal</w:t>
            </w:r>
            <w:r w:rsidRPr="00D8691E">
              <w:t xml:space="preserve"> være udstyret med et satellitbaseret fartøjsovervågningssystem (FOS).</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29</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 xml:space="preserve">Kommissionens </w:t>
            </w:r>
            <w:r w:rsidRPr="00D8691E">
              <w:t>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Indtil den 8. januar 2026 kan medlemsstaterne indrømme fartøjer på under 15 m en undtagelse fra reglen i første stykke, hvis de udelukkende fisker i den pågældende medlemsstats territorialfarvande eller aldrig tilbringe mere end 24</w:t>
            </w:r>
            <w:r w:rsidRPr="00D8691E">
              <w:rPr>
                <w:b/>
                <w:i/>
              </w:rPr>
              <w:t xml:space="preserve"> timer til havs fra afsejlingstidspunktet til tidspunktet for ankomst tilbage i havn. Medlemsstaterne underretter omgående Kommissionen om undtagelser, der indrømmes i overensstemmelse med artikel 9, stk. 5, i forordning (EU) nr. 1224/2009, og om andre kon</w:t>
            </w:r>
            <w:r w:rsidRPr="00D8691E">
              <w:rPr>
                <w:b/>
                <w:i/>
              </w:rPr>
              <w:t>trolforanstaltninger, der sættes i værk for at overvåge disse fartøjer. Kommissionen videresender straks disse oplysninger til GFCM's sekretariat.</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171</w:t>
      </w:r>
      <w:r w:rsidRPr="00D8691E">
        <w:rPr>
          <w:rStyle w:val="HideTWBExt"/>
        </w:rPr>
        <w:t>&lt;/NumAm&gt;</w:t>
      </w:r>
    </w:p>
    <w:p w:rsidR="00DD5018" w:rsidRPr="00D8691E" w:rsidRDefault="00BD7D87" w:rsidP="00DD5018">
      <w:pPr>
        <w:pStyle w:val="NormalBold"/>
      </w:pPr>
      <w:r w:rsidRPr="00D8691E">
        <w:rPr>
          <w:rStyle w:val="HideTWBExt"/>
        </w:rPr>
        <w:t>&lt;RepeatBlock-By&gt;&lt;M</w:t>
      </w:r>
      <w:r w:rsidRPr="00D8691E">
        <w:rPr>
          <w:rStyle w:val="HideTWBExt"/>
        </w:rPr>
        <w:t>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29</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Indtil den 8. januar 2026 kan medlemsstaterne indrømme fartøjer på under 15 m en undtagelse fra reglen i første stykke, hvis de udelukkende fisker i den pågældende medlemsstats territorialfarvande eller aldrig </w:t>
            </w:r>
            <w:r w:rsidRPr="00D8691E">
              <w:rPr>
                <w:b/>
                <w:i/>
              </w:rPr>
              <w:t>tilbringe</w:t>
            </w:r>
            <w:r w:rsidRPr="00D8691E">
              <w:t xml:space="preserve"> mere end 24 timer til havs fra afsejlingstidspunktet til tidspunktet for ankomst tilbage i havn. Medlemsstaterne underretter omgående Kommissionen om undtagelser, der indrømmes i overensstemmelse med artikel 9, stk. 5, i forordning (EU) nr. 1224/2009, og </w:t>
            </w:r>
            <w:r w:rsidRPr="00D8691E">
              <w:t>om andre kontrolforanstaltninger, der sættes i værk for at overvåge disse fartøjer. Kommissionen videresender straks disse oplysninger til GFCM's sekretariat.</w:t>
            </w:r>
          </w:p>
        </w:tc>
        <w:tc>
          <w:tcPr>
            <w:tcW w:w="4876" w:type="dxa"/>
            <w:tcBorders>
              <w:top w:val="nil"/>
              <w:left w:val="nil"/>
              <w:bottom w:val="nil"/>
              <w:right w:val="nil"/>
            </w:tcBorders>
            <w:hideMark/>
          </w:tcPr>
          <w:p w:rsidR="00DD5018" w:rsidRPr="00D8691E" w:rsidRDefault="00BD7D87" w:rsidP="00F37D8F">
            <w:pPr>
              <w:pStyle w:val="Normal6a"/>
            </w:pPr>
            <w:r w:rsidRPr="00D8691E">
              <w:t>Indtil den 8. januar 2026 kan medlemsstaterne indrømme fartøjer på under 15 m en undtagelse fra r</w:t>
            </w:r>
            <w:r w:rsidRPr="00D8691E">
              <w:t xml:space="preserve">eglen i første stykke, hvis de udelukkende fisker i den pågældende medlemsstats territorialfarvande eller aldrig </w:t>
            </w:r>
            <w:r w:rsidRPr="00D8691E">
              <w:rPr>
                <w:b/>
                <w:i/>
              </w:rPr>
              <w:t>tilbringer</w:t>
            </w:r>
            <w:r w:rsidRPr="00D8691E">
              <w:t xml:space="preserve"> mere end 24 timer til havs fra afsejlingstidspunktet til tidspunktet for ankomst tilbage i havn. Medlemsstaterne underretter omgåend</w:t>
            </w:r>
            <w:r w:rsidRPr="00D8691E">
              <w:t>e Kommissionen om undtagelser, der indrømmes i overensstemmelse med artikel 9, stk. 5, i forordning (EU) nr. 1224/2009, og om andre kontrolforanstaltninger, der sættes i værk for at overvåge disse fartøjer. Kommissionen videresender straks disse oplysninge</w:t>
            </w:r>
            <w:r w:rsidRPr="00D8691E">
              <w:t xml:space="preserve">r til GFCM's sekretariat. </w:t>
            </w:r>
            <w:r w:rsidRPr="00D8691E">
              <w:rPr>
                <w:b/>
                <w:i/>
              </w:rPr>
              <w:t>Operatører kan modtage finansiel støtte fra Den Europæiske Hav-, Fiskeri- og Akvakulturfond til at udstyre sig med elektroniske fjernovervågningssystemer i henhold til artikel 22, stk. 2, i forordning (EU) 2021/1139.</w:t>
            </w:r>
          </w:p>
        </w:tc>
      </w:tr>
    </w:tbl>
    <w:p w:rsidR="00DD5018" w:rsidRPr="00D8691E" w:rsidRDefault="00BD7D87" w:rsidP="00DD5018">
      <w:pPr>
        <w:pStyle w:val="AmOrLang"/>
        <w:rPr>
          <w:lang w:eastAsia="en-US"/>
        </w:rPr>
      </w:pPr>
      <w:r w:rsidRPr="00D8691E">
        <w:t xml:space="preserve">Or. </w:t>
      </w:r>
      <w:r w:rsidRPr="00D8691E">
        <w:rPr>
          <w:rStyle w:val="HideTWBExt"/>
        </w:rPr>
        <w:t>&lt;Origina</w:t>
      </w:r>
      <w:r w:rsidRPr="00D8691E">
        <w:rPr>
          <w:rStyle w:val="HideTWBExt"/>
        </w:rPr>
        <w:t>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17</w:t>
      </w:r>
      <w:r w:rsidRPr="00D8691E">
        <w:rPr>
          <w:rStyle w:val="HideTWBExt"/>
        </w:rPr>
        <w:t>&lt;/Article&gt;</w:t>
      </w:r>
    </w:p>
    <w:p w:rsidR="00DD5018" w:rsidRPr="00D8691E" w:rsidRDefault="00BD7D87" w:rsidP="00DD5018">
      <w:r w:rsidRPr="00D8691E">
        <w:rPr>
          <w:rStyle w:val="HideTWBExt"/>
        </w:rPr>
        <w:t>&lt;DocAmend2&gt;</w:t>
      </w:r>
      <w:r w:rsidRPr="00D8691E">
        <w:t xml:space="preserve">Forordning </w:t>
      </w:r>
      <w:r w:rsidRPr="00D8691E">
        <w:t>(EU) nr. 2023/2124</w:t>
      </w:r>
      <w:r w:rsidRPr="00D8691E">
        <w:rPr>
          <w:rStyle w:val="HideTWBExt"/>
        </w:rPr>
        <w:t>&lt;/DocAmend2&gt;</w:t>
      </w:r>
    </w:p>
    <w:p w:rsidR="00DD5018" w:rsidRPr="00D8691E" w:rsidRDefault="00BD7D87" w:rsidP="00DD5018">
      <w:r w:rsidRPr="00D8691E">
        <w:rPr>
          <w:rStyle w:val="HideTWBExt"/>
        </w:rPr>
        <w:t>&lt;Article2&gt;</w:t>
      </w:r>
      <w:r w:rsidRPr="00D8691E">
        <w:t>Artikel 30b</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Artikel 30b</w:t>
            </w:r>
          </w:p>
        </w:tc>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bCs/>
                <w:i/>
                <w:noProof/>
              </w:rPr>
            </w:pPr>
            <w:r w:rsidRPr="00D8691E">
              <w:rPr>
                <w:b/>
                <w:i/>
              </w:rPr>
              <w:t>International ordning for fælles inspektion og overvågning</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 xml:space="preserve">1. Medlemsstaterne kan udføre inspektions- og overvågningsaktiviteter </w:t>
            </w:r>
            <w:r w:rsidRPr="00D8691E">
              <w:rPr>
                <w:b/>
                <w:i/>
              </w:rPr>
              <w:t>inden for rammerne af en international ordning for fælles inspektion og overvågning ("ordningen"), der omfatter farvandene uden for national jurisdiktion i GFCM's geografiske underområder 19, 20 og 21 (Det Joniske Hav), som defineret i bilag I ("inspektion</w:t>
            </w:r>
            <w:r w:rsidRPr="00D8691E">
              <w:rPr>
                <w:b/>
                <w:i/>
              </w:rPr>
              <w:t>s- og overvågningsområdet").</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2. Medlemsstaterne kan tildele kontrollører og inspektionsmidler og gennemføre inspektioner under ordningen. Kommissionen eller et organ udpeget af denne kan også udpege EU-kontrollører til ordningen.</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 xml:space="preserve">3. Kommissionen eller </w:t>
            </w:r>
            <w:r w:rsidRPr="00D8691E">
              <w:rPr>
                <w:b/>
                <w:i/>
              </w:rPr>
              <w:t>et organ udpeget af denne samordner overvågnings- og inspektionsaktiviteterne for Unionen og kan i samarbejde med de berørte medlemsstater udarbejde en fælles plan for ressourceanvendelse med henblik på at sætte Unionen i stand til at leve op til sin forpl</w:t>
            </w:r>
            <w:r w:rsidRPr="00D8691E">
              <w:rPr>
                <w:b/>
                <w:i/>
              </w:rPr>
              <w:t>igtelse i henhold til ordningen. Medlemsstater træffer de nødvendige foranstaltninger til at lette gennemførelsen af planerne, navnlig hvad angår de menneskelige og materielle ressourcer, der er nødvendige, og de perioder og geografiske områder, hvor de på</w:t>
            </w:r>
            <w:r w:rsidRPr="00D8691E">
              <w:rPr>
                <w:b/>
                <w:i/>
              </w:rPr>
              <w:t>gældende ressourcer skal anvendes.</w:t>
            </w:r>
          </w:p>
        </w:tc>
        <w:tc>
          <w:tcPr>
            <w:tcW w:w="4876" w:type="dxa"/>
            <w:tcBorders>
              <w:top w:val="nil"/>
              <w:left w:val="nil"/>
              <w:bottom w:val="nil"/>
              <w:right w:val="nil"/>
            </w:tcBorders>
            <w:hideMark/>
          </w:tcPr>
          <w:p w:rsidR="00DD5018" w:rsidRPr="00D8691E" w:rsidRDefault="00DD5018" w:rsidP="00F37D8F">
            <w:pPr>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4. Senest den 15. november hvert år fremsender hver medlemsstat Kommissionen eller det af denne udpegede organ listen med navnene på kontrollører, der er bemyndiget til at udføre inspektion og overvågning i det i stk. 1</w:t>
            </w:r>
            <w:r w:rsidRPr="00D8691E">
              <w:rPr>
                <w:b/>
                <w:i/>
              </w:rPr>
              <w:t xml:space="preserve"> omhandlede område, samt navnene på de fartøjer og fly, der anvendes til inspektion og overvågning, som de har til hensigt at tilknytte ordningen i det følgende år. Kommissionen eller et organ udpeget af denne sender disse oplysninger til GFCM's sekretaria</w:t>
            </w:r>
            <w:r w:rsidRPr="00D8691E">
              <w:rPr>
                <w:b/>
                <w:i/>
              </w:rPr>
              <w:t xml:space="preserve">t senest den 1. december hvert år, eller hurtigst muligt inden inspektionsaktiviteterne påbegyndes. </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5. Kontrollører, der er tilknyttet ordningen, skal bære et GFCM-kontrollørkort, der er udstedt af de kompetente myndigheder og udformet som angivet i bil</w:t>
            </w:r>
            <w:r w:rsidRPr="00D8691E">
              <w:rPr>
                <w:b/>
                <w:i/>
              </w:rPr>
              <w:t>ag IV.</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6. Fartøjer, der udfører bording- og inspektionsopgaver i overensstemmelse med ordningen, skal føre et særligt flag eller en særlig vimpel, som beskrevet i bilag V.</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 xml:space="preserve">7. Den enkelte medlemsstat sikrer, at enhver inspektionsplatform, der har ret </w:t>
            </w:r>
            <w:r w:rsidRPr="00D8691E">
              <w:rPr>
                <w:b/>
                <w:i/>
              </w:rPr>
              <w:t>til at føre medlemsstatens flag, og som opererer i det i stk. 1 omhandlede område, opretholder sikker kontakt, om muligt dagligt, med alle andre inspektionsplatforme, der opererer i området, med henblik på at udveksle de nødvendige oplysninger og koordiner</w:t>
            </w:r>
            <w:r w:rsidRPr="00D8691E">
              <w:rPr>
                <w:b/>
                <w:i/>
              </w:rPr>
              <w:t>e aktiviteterne.</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8. Den enkelte medlemsstat med inspektions- eller overvågningstilstedeværelse i det i stk. 1 omhandlede område forsyner, efter at den er kommet ind i området, hver enkel inspektionsplatform med en liste over observationer fastsat i overe</w:t>
            </w:r>
            <w:r w:rsidRPr="00D8691E">
              <w:rPr>
                <w:b/>
                <w:i/>
              </w:rPr>
              <w:t>nsstemmelse med bilag VII og over bordinger og inspektioner, som medlemsstaten har udført i de seneste 10 dage, herunder datoer, koordinater og andre relevante oplysninger.</w:t>
            </w:r>
          </w:p>
        </w:tc>
        <w:tc>
          <w:tcPr>
            <w:tcW w:w="4876" w:type="dxa"/>
            <w:tcBorders>
              <w:top w:val="nil"/>
              <w:left w:val="nil"/>
              <w:bottom w:val="nil"/>
              <w:right w:val="nil"/>
            </w:tcBorders>
          </w:tcPr>
          <w:p w:rsidR="00DD5018" w:rsidRPr="00D8691E" w:rsidRDefault="00DD5018" w:rsidP="00F37D8F">
            <w:pPr>
              <w:pStyle w:val="Normal6"/>
              <w:rPr>
                <w:b/>
                <w:i/>
              </w:rPr>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Artiklen indsæ</w:t>
      </w:r>
      <w:r w:rsidRPr="00D8691E">
        <w:t>ttes som ny artikel 121a.</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Artikel 1 – stk. 1 – </w:t>
      </w:r>
      <w:r w:rsidRPr="00D8691E">
        <w:t>punkt 17</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30b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 xml:space="preserve">Medlemsstaterne kan tildele kontrollører og inspektionsmidler og gennemføre inspektioner under </w:t>
            </w:r>
            <w:r w:rsidRPr="00D8691E">
              <w:t xml:space="preserve">ordningen. </w:t>
            </w:r>
            <w:r w:rsidRPr="00D8691E">
              <w:rPr>
                <w:b/>
                <w:i/>
              </w:rPr>
              <w:t>Kommissionen eller et organ udpeget af denne kan også udpege EU-kontrollører til ordningen.</w:t>
            </w:r>
          </w:p>
        </w:tc>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Medlemsstaterne kan tildele kontrollører og inspektionsmidler og gennemføre inspektioner under ordningen.</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w:t>
      </w:r>
      <w:r w:rsidRPr="00D8691E">
        <w:rPr>
          <w:rStyle w:val="HideTWBExt"/>
        </w:rPr>
        <w:t>mend&gt;</w:t>
      </w:r>
      <w:r w:rsidRPr="00D8691E">
        <w:t>Ændringsforslag</w:t>
      </w:r>
      <w:r w:rsidRPr="00D8691E">
        <w:tab/>
      </w:r>
      <w:r w:rsidRPr="00D8691E">
        <w:tab/>
      </w:r>
      <w:r w:rsidRPr="00D8691E">
        <w:rPr>
          <w:rStyle w:val="HideTWBExt"/>
        </w:rPr>
        <w:t>&lt;NumAm&gt;</w:t>
      </w:r>
      <w:r w:rsidRPr="00D8691E">
        <w:t>174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17</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w:t>
      </w:r>
      <w:r w:rsidRPr="00D8691E">
        <w:rPr>
          <w:rStyle w:val="HideTWBExt"/>
        </w:rPr>
        <w:t>rticle2&gt;</w:t>
      </w:r>
      <w:r w:rsidRPr="00D8691E">
        <w:t>Artikel 30c</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Artikel 30c</w:t>
            </w:r>
          </w:p>
        </w:tc>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bCs/>
                <w:i/>
                <w:noProof/>
              </w:rPr>
            </w:pPr>
            <w:r w:rsidRPr="00D8691E">
              <w:rPr>
                <w:b/>
                <w:i/>
              </w:rPr>
              <w:t>Gennemførelse af inspektioner</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1. De til ordningen tilknyttede kontrollører:</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a) underretter før bording fiskerfartøjet om navnet om inspektionsfartøjet</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b) viser</w:t>
            </w:r>
            <w:r w:rsidRPr="00D8691E">
              <w:rPr>
                <w:b/>
                <w:i/>
              </w:rPr>
              <w:t xml:space="preserve"> på inspektionsfartøjet og bordingfartøjet den vimpel, der er beskrevet i bilag V</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c) begrænser inspektionsholdet til højst tre kontrollører.</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2. Efter bording fremviser kontrollørerne det ID-kort, der er beskrevet i bilag IV, for føreren af fiskerfartøj</w:t>
            </w:r>
            <w:r w:rsidRPr="00D8691E">
              <w:rPr>
                <w:b/>
                <w:i/>
              </w:rPr>
              <w:t>et. Inspektionen udføres på et af GFCM's officielle sprog og, om muligt, på det sprog, som tales af føreren af fiskerfartøjet.</w:t>
            </w:r>
          </w:p>
        </w:tc>
        <w:tc>
          <w:tcPr>
            <w:tcW w:w="4876" w:type="dxa"/>
            <w:tcBorders>
              <w:top w:val="nil"/>
              <w:left w:val="nil"/>
              <w:bottom w:val="nil"/>
              <w:right w:val="nil"/>
            </w:tcBorders>
            <w:hideMark/>
          </w:tcPr>
          <w:p w:rsidR="00DD5018" w:rsidRPr="00D8691E" w:rsidRDefault="00DD5018" w:rsidP="00F37D8F">
            <w:pPr>
              <w:rPr>
                <w:b/>
                <w:i/>
                <w:noProof/>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3. Kontrollørerne udarbejder en rapport om inspektionen i det format, der er angivet i bilag VI.</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 xml:space="preserve">4. Kontrollørerne </w:t>
            </w:r>
            <w:r w:rsidRPr="00D8691E">
              <w:rPr>
                <w:b/>
                <w:i/>
              </w:rPr>
              <w:t>underskriver rapporten i nærværelse af fartøjsføreren, som har ret til at tilføje eventuelle bemærkninger, som vedkommende finder passende, og som også skal underskrive rapporten.</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noProof/>
              </w:rPr>
            </w:pPr>
            <w:r w:rsidRPr="00D8691E">
              <w:rPr>
                <w:b/>
                <w:i/>
              </w:rPr>
              <w:t>5. Der udleveres en kopi af rapporten til fartøjsføreren og til inspektion</w:t>
            </w:r>
            <w:r w:rsidRPr="00D8691E">
              <w:rPr>
                <w:b/>
                <w:i/>
              </w:rPr>
              <w:t>sholdets myndigheder, som sender en kopi til myndighederne i det inspicerede fartøjs flagstat og til Kommissionen og/eller et organ, denne har udpeget. Kommissionen videresender rapporten til GFCM's sekretariat.</w:t>
            </w:r>
          </w:p>
        </w:tc>
        <w:tc>
          <w:tcPr>
            <w:tcW w:w="4876" w:type="dxa"/>
            <w:tcBorders>
              <w:top w:val="nil"/>
              <w:left w:val="nil"/>
              <w:bottom w:val="nil"/>
              <w:right w:val="nil"/>
            </w:tcBorders>
          </w:tcPr>
          <w:p w:rsidR="00DD5018" w:rsidRPr="00D8691E" w:rsidRDefault="00DD5018" w:rsidP="00F37D8F">
            <w:pPr>
              <w:pStyle w:val="Normal6"/>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
              <w:rPr>
                <w:b/>
                <w:i/>
              </w:rPr>
            </w:pPr>
            <w:r w:rsidRPr="00D8691E">
              <w:rPr>
                <w:b/>
                <w:i/>
              </w:rPr>
              <w:t>6. Inspektionsfartøjets befalingshavende b</w:t>
            </w:r>
            <w:r w:rsidRPr="00D8691E">
              <w:rPr>
                <w:b/>
                <w:i/>
              </w:rPr>
              <w:t>estemmer størrelsen af inspektionsholdet og inspektionens varighed under hensyntagen til de relevante omstændigheder.</w:t>
            </w:r>
          </w:p>
        </w:tc>
        <w:tc>
          <w:tcPr>
            <w:tcW w:w="4876" w:type="dxa"/>
            <w:tcBorders>
              <w:top w:val="nil"/>
              <w:left w:val="nil"/>
              <w:bottom w:val="nil"/>
              <w:right w:val="nil"/>
            </w:tcBorders>
          </w:tcPr>
          <w:p w:rsidR="00DD5018" w:rsidRPr="00D8691E" w:rsidRDefault="00DD5018" w:rsidP="00F37D8F">
            <w:pPr>
              <w:pStyle w:val="Normal6"/>
              <w:rPr>
                <w:b/>
                <w:i/>
              </w:rPr>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Artiklen indsættes som ny artikel 121b.</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17</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w:t>
      </w:r>
      <w:r w:rsidRPr="00D8691E">
        <w:rPr>
          <w:rStyle w:val="HideTWBExt"/>
        </w:rPr>
        <w:t>e2&gt;</w:t>
      </w:r>
      <w:r w:rsidRPr="00D8691E">
        <w:t>Artikel 30d</w:t>
      </w:r>
      <w:r w:rsidRPr="00D8691E">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Artikel 30d</w:t>
            </w:r>
          </w:p>
        </w:tc>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Overtrædelser</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1. I nærværende artikel forstås ved overtrædelser følgende aktiviteter:</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a)</w:t>
            </w:r>
            <w:r w:rsidRPr="00D8691E">
              <w:rPr>
                <w:b/>
                <w:i/>
              </w:rPr>
              <w:tab/>
              <w:t xml:space="preserve">de aktiviteter, der er omhandlet i artikel 3, stk. 1, litra a), b), c), e), </w:t>
            </w:r>
            <w:r w:rsidRPr="00D8691E">
              <w:rPr>
                <w:b/>
                <w:i/>
              </w:rPr>
              <w:t>f), g) og h), i forordning (EF) nr. 1005/2008</w:t>
            </w:r>
            <w:r w:rsidRPr="00D8691E">
              <w:rPr>
                <w:b/>
                <w:i/>
              </w:rPr>
              <w:footnoteReference w:id="1"/>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b)</w:t>
            </w:r>
            <w:r w:rsidRPr="00D8691E">
              <w:rPr>
                <w:b/>
                <w:i/>
              </w:rPr>
              <w:tab/>
              <w:t>indgriben i satellitovervågningssystemet og</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c)</w:t>
            </w:r>
            <w:r w:rsidRPr="00D8691E">
              <w:rPr>
                <w:b/>
                <w:i/>
              </w:rPr>
              <w:tab/>
              <w:t>fiskeri uden FOS-system.</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2. Observerer kontrollørerne ved bording og inspektion af et fiskerfartøj en overtrædelse, underretter myndighederne i inspektio</w:t>
            </w:r>
            <w:r w:rsidRPr="00D8691E">
              <w:rPr>
                <w:b/>
                <w:i/>
              </w:rPr>
              <w:t>nsfartøjets flagmedlemsstat omgående Kommissionen eller et organ, denne har udpeget, som underretter det inspicerede fiskerfartøjs flagstat både direkte og gennem GFCM's sekretariat. De underretter også ethvert inspektionsskib fra fiskerfartøjets flagstat,</w:t>
            </w:r>
            <w:r w:rsidRPr="00D8691E">
              <w:rPr>
                <w:b/>
                <w:i/>
              </w:rPr>
              <w:t xml:space="preserve"> som vides at være i nærheden.</w:t>
            </w:r>
          </w:p>
        </w:tc>
        <w:tc>
          <w:tcPr>
            <w:tcW w:w="4876" w:type="dxa"/>
            <w:tcBorders>
              <w:top w:val="nil"/>
              <w:left w:val="nil"/>
              <w:bottom w:val="nil"/>
              <w:right w:val="nil"/>
            </w:tcBorders>
            <w:hideMark/>
          </w:tcPr>
          <w:p w:rsidR="00DD5018" w:rsidRPr="00D8691E" w:rsidRDefault="00DD5018" w:rsidP="00F37D8F">
            <w:pPr>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3. Fiskerfartøjets flagmedlemsstat sikrer, at det pågældende fiskerfartøj efter en inspektion, hvorunder en overtrædelse er blevet afsløret, indstiller alt fiskeri. Flagmedlemsstaten beordrer fiskerfartøjet til inden for 72</w:t>
            </w:r>
            <w:r w:rsidRPr="00D8691E">
              <w:rPr>
                <w:b/>
                <w:i/>
              </w:rPr>
              <w:t xml:space="preserve"> timer at sejle til en havn, som den har udpeget, hvor der skal indledes en undersøgelse.</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4. I tilfælde, hvor en overtrædelse er blevet afsløret i forbindelse med en inspektion, meddeles de foranstaltninger og opfølgningsaktiviteter, som flagmedlemsstate</w:t>
            </w:r>
            <w:r w:rsidRPr="00D8691E">
              <w:rPr>
                <w:b/>
                <w:i/>
              </w:rPr>
              <w:t>n foretager, til Kommissionen eller et organ udpeget af denne. Kommissionen eller et organ udpeget af denne fremsender besked om foranstaltningerne og opfølgningsaktiviteterne til GFCM's sekretariat.</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5. Medlemsstaternes myndigheder følger op på inspektio</w:t>
            </w:r>
            <w:r w:rsidRPr="00D8691E">
              <w:rPr>
                <w:b/>
                <w:i/>
              </w:rPr>
              <w:t>nsrapporter som omhandlet i artikel 30, stk. 3, oplysningsarket for observation som fastsat i bilag VII og erklæringer fra dokumentbaserede inspektioner, som kontrollørerne har foretaget, på samme måde, som de følger op på rapporter og erklæringer fra nati</w:t>
            </w:r>
            <w:r w:rsidRPr="00D8691E">
              <w:rPr>
                <w:b/>
                <w:i/>
              </w:rPr>
              <w:t>onale kontrollører."</w:t>
            </w:r>
          </w:p>
        </w:tc>
        <w:tc>
          <w:tcPr>
            <w:tcW w:w="4876" w:type="dxa"/>
            <w:tcBorders>
              <w:top w:val="nil"/>
              <w:left w:val="nil"/>
              <w:bottom w:val="nil"/>
              <w:right w:val="nil"/>
            </w:tcBorders>
          </w:tcPr>
          <w:p w:rsidR="00DD5018" w:rsidRPr="00D8691E" w:rsidRDefault="00DD5018" w:rsidP="00F37D8F">
            <w:pPr>
              <w:pStyle w:val="Normal6a"/>
              <w:rPr>
                <w:b/>
                <w:i/>
              </w:rPr>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Artiklen indsættes som ny artikel 121c.</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20</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36</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Bundtrawlere, der fisker efter </w:t>
            </w:r>
            <w:r w:rsidRPr="00D8691E">
              <w:t>gydestimer af rød kæmpereje,</w:t>
            </w:r>
            <w:r w:rsidRPr="00D8691E">
              <w:rPr>
                <w:b/>
                <w:i/>
              </w:rPr>
              <w:t xml:space="preserve"> indstiller</w:t>
            </w:r>
            <w:r w:rsidRPr="00D8691E">
              <w:t xml:space="preserve"> fiskeriet i 30 på hinanden følgende dage mellem marts og december.</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r>
            <w:r w:rsidRPr="00D8691E">
              <w:rPr>
                <w:b/>
                <w:i/>
              </w:rPr>
              <w:t xml:space="preserve">Afhængigt af de resultater, som medlemsstaterne meddeler i den overgangsperiode, der er nævnt i henstilling 45/2022/7, indstiller </w:t>
            </w:r>
            <w:r w:rsidRPr="00D8691E">
              <w:t>bundtrawlere, de</w:t>
            </w:r>
            <w:r w:rsidRPr="00D8691E">
              <w:t>r fisker efter gydestimer af rød kæmpereje, fiskeriet i 30 på hinanden følgende dage mellem marts og december.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22 – indledning</w:t>
      </w:r>
      <w:r w:rsidRPr="00D8691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22)</w:t>
            </w:r>
            <w:r w:rsidRPr="00D8691E">
              <w:tab/>
              <w:t xml:space="preserve">Følgende </w:t>
            </w:r>
            <w:r w:rsidRPr="00D8691E">
              <w:rPr>
                <w:b/>
                <w:i/>
              </w:rPr>
              <w:t>artikler</w:t>
            </w:r>
            <w:r w:rsidRPr="00D8691E">
              <w:t xml:space="preserve"> indsættes mellem artikel 37 og 38 som artikel 37a</w:t>
            </w:r>
            <w:r w:rsidRPr="00D8691E">
              <w:rPr>
                <w:b/>
                <w:i/>
              </w:rPr>
              <w:t>, 37b, 37c og 37d</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22)</w:t>
            </w:r>
            <w:r w:rsidRPr="00D8691E">
              <w:tab/>
              <w:t xml:space="preserve">Følgende </w:t>
            </w:r>
            <w:r w:rsidRPr="00D8691E">
              <w:rPr>
                <w:b/>
                <w:i/>
              </w:rPr>
              <w:t>artikel</w:t>
            </w:r>
            <w:r w:rsidRPr="00D8691E">
              <w:t xml:space="preserve"> indsættes mellem artikel 37 og 38 som artikel 37a:</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Flyttet til afsluttende bestemmelser, der gælder for alle forordninger, jf. de nye artikler 121a, 121b og 121c.</w:t>
      </w:r>
    </w:p>
    <w:p w:rsidR="00DD5018" w:rsidRPr="00D8691E" w:rsidRDefault="00BD7D87" w:rsidP="00DD5018">
      <w:r w:rsidRPr="00D8691E">
        <w:rPr>
          <w:rStyle w:val="HideTWBExt"/>
        </w:rPr>
        <w:t>&lt;/Am</w:t>
      </w:r>
      <w:r w:rsidRPr="00D8691E">
        <w:rPr>
          <w:rStyle w:val="HideTWBExt"/>
        </w:rPr>
        <w:t>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37b</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jc w:val="center"/>
              <w:rPr>
                <w:b/>
                <w:i/>
              </w:rPr>
            </w:pP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jc w:val="center"/>
              <w:rPr>
                <w:b/>
                <w:i/>
              </w:rPr>
            </w:pPr>
            <w:r w:rsidRPr="00D8691E">
              <w:rPr>
                <w:b/>
                <w:i/>
              </w:rPr>
              <w:t>Artikel 37b</w:t>
            </w:r>
          </w:p>
        </w:tc>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jc w:val="center"/>
              <w:rPr>
                <w:b/>
                <w:i/>
              </w:rPr>
            </w:pPr>
            <w:r w:rsidRPr="00D8691E">
              <w:rPr>
                <w:b/>
                <w:i/>
              </w:rPr>
              <w:t>International ordning for fælles inspektion og overvågning</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1. Medlemsstaterne kan udføre inspektions- og overvågningsaktiviteter inden for </w:t>
            </w:r>
            <w:r w:rsidRPr="00D8691E">
              <w:rPr>
                <w:b/>
                <w:i/>
              </w:rPr>
              <w:t>anvendelsesområdet for denne afdeling inden for rammerne af en international ordning for fælles inspektion og overvågning ("ordningen"), der omfatter farvandene uden for national jurisdiktion i GFCM's geografiske underområder 12, 13, 14, 15 og 16 (Sicilien</w:t>
            </w:r>
            <w:r w:rsidRPr="00D8691E">
              <w:rPr>
                <w:b/>
                <w:i/>
              </w:rPr>
              <w:t>strædet), som defineret i bilag I ("inspektions- og overvågningsområdet").</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2. Medlemsstaterne kan tildele kontrollører og inspektionsmidler og gennemføre inspektioner under ordningen. Kommissionen eller et organ udpeget af denne kan også udpege EU-kontro</w:t>
            </w:r>
            <w:r w:rsidRPr="00D8691E">
              <w:rPr>
                <w:b/>
                <w:i/>
              </w:rPr>
              <w:t>llører til ordningen.</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3. Kommissionen eller et organ udpeget af denne samordner overvågnings- og inspektionsaktiviteterne for Unionen og kan i samarbejde med de berørte medlemsstater udarbejde en fælles plan for ressourceanvendelse med henblik på at </w:t>
            </w:r>
            <w:r w:rsidRPr="00D8691E">
              <w:rPr>
                <w:b/>
                <w:i/>
              </w:rPr>
              <w:t>sætte Unionen i stand til at leve op til sin forpligtelse i henhold til ordningen. Medlemsstater træffer de nødvendige foranstaltninger til at lette gennemførelsen af planerne, navnlig hvad angår de menneskelige og materielle ressourcer, der er nødvendige,</w:t>
            </w:r>
            <w:r w:rsidRPr="00D8691E">
              <w:rPr>
                <w:b/>
                <w:i/>
              </w:rPr>
              <w:t xml:space="preserve"> og de perioder og geografiske områder, hvor de pågældende ressourcer skal anvendes.</w:t>
            </w:r>
          </w:p>
        </w:tc>
        <w:tc>
          <w:tcPr>
            <w:tcW w:w="4876" w:type="dxa"/>
            <w:tcBorders>
              <w:top w:val="nil"/>
              <w:left w:val="nil"/>
              <w:bottom w:val="nil"/>
              <w:right w:val="nil"/>
            </w:tcBorders>
            <w:hideMark/>
          </w:tcPr>
          <w:p w:rsidR="00DD5018" w:rsidRPr="00D8691E" w:rsidRDefault="00DD5018" w:rsidP="00F37D8F">
            <w:pPr>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4. Senest den 15. november hvert år fremsender hver medlemsstat Kommissionen eller et organ udpeget af denne listen med navnene på kontrollører, der er bemyndiget til at</w:t>
            </w:r>
            <w:r w:rsidRPr="00D8691E">
              <w:rPr>
                <w:b/>
                <w:i/>
              </w:rPr>
              <w:t xml:space="preserve"> udføre inspektion og overvågning i det i stk. 1 omhandlede område, samt navnene på de fartøjer og fly, der anvendes til inspektion og overvågning, som de har til hensigt at tilknytte ordningen i det følgende år. Kommissionen eller et organ udpeget af denn</w:t>
            </w:r>
            <w:r w:rsidRPr="00D8691E">
              <w:rPr>
                <w:b/>
                <w:i/>
              </w:rPr>
              <w:t xml:space="preserve">e sender disse oplysninger til GFCM's sekretariat senest den 1. december hvert år, eller hurtigst muligt inden inspektionsaktiviteterne påbegyndes. </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5. Kontrollører, der er tilknyttet ordningen, skal bære et GFCM-kontrollørkort, der er udstedt af de komp</w:t>
            </w:r>
            <w:r w:rsidRPr="00D8691E">
              <w:rPr>
                <w:b/>
                <w:i/>
              </w:rPr>
              <w:t>etente myndigheder og udformet som angivet i bilag IV.</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6. Fartøjer, der udfører bording- og inspektionsopgaver i overensstemmelse med ordningen, skal føre et særligt flag eller en særlig vimpel, som beskrevet i bilag V.</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7. Den enkelte medlemsstat </w:t>
            </w:r>
            <w:r w:rsidRPr="00D8691E">
              <w:rPr>
                <w:b/>
                <w:i/>
              </w:rPr>
              <w:t>sikrer, at enhver inspektionsplatform, der har ret til at føre medlemsstatens flag, og som opererer i det i stk. 1 omhandlede område, opretholder sikker kontakt, om muligt dagligt, med alle andre inspektionsplatforme, der opererer i området, med henblik på</w:t>
            </w:r>
            <w:r w:rsidRPr="00D8691E">
              <w:rPr>
                <w:b/>
                <w:i/>
              </w:rPr>
              <w:t xml:space="preserve"> at udveksle de nødvendige oplysninger og koordinere aktiviteterne.</w:t>
            </w:r>
          </w:p>
        </w:tc>
        <w:tc>
          <w:tcPr>
            <w:tcW w:w="4876" w:type="dxa"/>
            <w:tcBorders>
              <w:top w:val="nil"/>
              <w:left w:val="nil"/>
              <w:bottom w:val="nil"/>
              <w:right w:val="nil"/>
            </w:tcBorders>
          </w:tcPr>
          <w:p w:rsidR="00DD5018" w:rsidRPr="00D8691E" w:rsidRDefault="00DD5018" w:rsidP="00F37D8F">
            <w:pPr>
              <w:pStyle w:val="Normal6a"/>
              <w:rPr>
                <w:b/>
                <w:i/>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8. Den enkelte medlemsstat med inspektions- eller overvågningstilstedeværelse i det i stk. 1 omhandlede område forsyner, efter at den er kommet ind i området, hver enkel inspektionsplatf</w:t>
            </w:r>
            <w:r w:rsidRPr="00D8691E">
              <w:rPr>
                <w:b/>
                <w:i/>
              </w:rPr>
              <w:t>orm med en liste over observationer fastsat i overensstemmelse med bilag VII og over bordinger og inspektioner, som medlemsstaten har udført i de seneste 10 dage, herunder datoer, koordinater og andre relevante oplysninger.</w:t>
            </w:r>
          </w:p>
        </w:tc>
        <w:tc>
          <w:tcPr>
            <w:tcW w:w="4876" w:type="dxa"/>
            <w:tcBorders>
              <w:top w:val="nil"/>
              <w:left w:val="nil"/>
              <w:bottom w:val="nil"/>
              <w:right w:val="nil"/>
            </w:tcBorders>
          </w:tcPr>
          <w:p w:rsidR="00DD5018" w:rsidRPr="00D8691E" w:rsidRDefault="00DD5018" w:rsidP="00F37D8F">
            <w:pPr>
              <w:pStyle w:val="Normal6a"/>
              <w:rPr>
                <w:b/>
                <w:i/>
              </w:rPr>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w:t>
      </w:r>
      <w:r w:rsidRPr="00D8691E">
        <w:rPr>
          <w:rStyle w:val="HideTWBExt"/>
        </w:rPr>
        <w:t>&gt;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Flyttet til afsluttende bestemmelser, der gælder for alle forordninger, jf. de nye artikler 121a, 121b og 121c.</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179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 xml:space="preserve">France Jamet, Ton Diepeveen, </w:t>
      </w:r>
      <w:r w:rsidRPr="00D8691E">
        <w:t>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37b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 xml:space="preserve">Kommissionens </w:t>
            </w:r>
            <w:r w:rsidRPr="00D8691E">
              <w:t>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 xml:space="preserve">Medlemsstaterne kan tildele kontrollører og inspektionsmidler og gennemføre inspektioner under ordningen. </w:t>
            </w:r>
            <w:r w:rsidRPr="00D8691E">
              <w:rPr>
                <w:b/>
                <w:i/>
              </w:rPr>
              <w:t>Kommissionen eller et organ udpeget af denne kan også udpege EU-kontrollører til ordningen.</w:t>
            </w:r>
          </w:p>
        </w:tc>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Medlemsstaterne kan tildele</w:t>
            </w:r>
            <w:r w:rsidRPr="00D8691E">
              <w:t xml:space="preserve"> kontrollører og inspektionsmidler og gennemføre inspektioner under ordningen.</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 xml:space="preserve">Forslag til </w:t>
      </w:r>
      <w:r w:rsidRPr="00D8691E">
        <w:t>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37c</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jc w:val="center"/>
            </w:pPr>
            <w:r w:rsidRPr="00D8691E">
              <w:rPr>
                <w:b/>
                <w:i/>
              </w:rPr>
              <w:t>Artikel 37c</w:t>
            </w:r>
          </w:p>
        </w:tc>
        <w:tc>
          <w:tcPr>
            <w:tcW w:w="4876" w:type="dxa"/>
            <w:tcBorders>
              <w:top w:val="nil"/>
              <w:left w:val="nil"/>
              <w:bottom w:val="nil"/>
              <w:right w:val="nil"/>
            </w:tcBorders>
            <w:hideMark/>
          </w:tcPr>
          <w:p w:rsidR="00DD5018" w:rsidRPr="00D8691E" w:rsidRDefault="00BD7D87" w:rsidP="00F37D8F">
            <w:pPr>
              <w:pStyle w:val="AmColumnHeading"/>
            </w:pPr>
            <w:r w:rsidRPr="00D8691E">
              <w:rPr>
                <w:b/>
              </w:rPr>
              <w:t>udgår</w:t>
            </w: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jc w:val="center"/>
              <w:rPr>
                <w:b/>
                <w:i/>
              </w:rPr>
            </w:pPr>
            <w:r w:rsidRPr="00D8691E">
              <w:rPr>
                <w:b/>
                <w:i/>
              </w:rPr>
              <w:t>Gennemførelse af inspektioner</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1. De </w:t>
            </w:r>
            <w:r w:rsidRPr="00D8691E">
              <w:rPr>
                <w:b/>
                <w:i/>
              </w:rPr>
              <w:t>til ordningen tilknyttede kontrollører:</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a) underretter før bording fiskerfartøjet om navnet om inspektionsfartøjet</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b) viser på inspektionsfartøjet og bordingfartøjet den vimpel, der er beskrevet i bilag V</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c) begrænser inspektionsholdet til højst tre </w:t>
            </w:r>
            <w:r w:rsidRPr="00D8691E">
              <w:rPr>
                <w:b/>
                <w:i/>
              </w:rPr>
              <w:t>kontrollører.</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2. Efter bording fremviser kontrollørerne det ID-kort, der er beskrevet i bilag IV, for føreren af fiskerfartøjet. Inspektionen udføres på et af GFCM's officielle sprog og, om muligt, på det sprog, som tales af føreren af fiskerfartøjet.</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3. Kontrollørerne udarbejder en rapport om inspektionen i det format, der er angivet i bilag VI.</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4. Kontrollørerne underskriver rapporten i nærværelse af fartøjsføreren, som har ret til at tilføje eventuelle bemærkninger, som vedkommende finder passende,</w:t>
            </w:r>
            <w:r w:rsidRPr="00D8691E">
              <w:rPr>
                <w:b/>
                <w:i/>
              </w:rPr>
              <w:t xml:space="preserve"> og som også skal underskrive rapporten.</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5. Der udleveres en kopi af rapporten til fartøjsføreren og til inspektionsholdets myndigheder, som sender en kopi til myndighederne i det inspicerede fartøjs flagstat og til Kommissionen og/eller et organ, denne </w:t>
            </w:r>
            <w:r w:rsidRPr="00D8691E">
              <w:rPr>
                <w:b/>
                <w:i/>
              </w:rPr>
              <w:t>har udpeget. Kommissionen videresender rapporten til GFCM's sekretariat.</w:t>
            </w:r>
          </w:p>
        </w:tc>
        <w:tc>
          <w:tcPr>
            <w:tcW w:w="4876" w:type="dxa"/>
            <w:tcBorders>
              <w:top w:val="nil"/>
              <w:left w:val="nil"/>
              <w:bottom w:val="nil"/>
              <w:right w:val="nil"/>
            </w:tcBorders>
          </w:tcPr>
          <w:p w:rsidR="00DD5018" w:rsidRPr="00D8691E" w:rsidRDefault="00DD5018" w:rsidP="00F37D8F">
            <w:pPr>
              <w:pStyle w:val="AmColumnHeading"/>
              <w:jc w:val="left"/>
              <w:rPr>
                <w:b/>
              </w:rPr>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6. Inspektionsfartøjets befalingshavende bestemmer størrelsen af inspektionsholdet og inspektionens varighed under hensyntagen til de relevante omstændigheder.</w:t>
            </w:r>
          </w:p>
        </w:tc>
        <w:tc>
          <w:tcPr>
            <w:tcW w:w="4876" w:type="dxa"/>
            <w:tcBorders>
              <w:top w:val="nil"/>
              <w:left w:val="nil"/>
              <w:bottom w:val="nil"/>
              <w:right w:val="nil"/>
            </w:tcBorders>
            <w:hideMark/>
          </w:tcPr>
          <w:p w:rsidR="00DD5018" w:rsidRPr="00D8691E" w:rsidRDefault="00DD5018" w:rsidP="00F37D8F">
            <w:pPr>
              <w:rPr>
                <w:b/>
                <w:i/>
              </w:rPr>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Flyttet til afsluttende bestemmelser, der gælder for alle forordninger, jf. de nye artikler 121a, 121b og 121c.</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w:t>
      </w:r>
      <w:r w:rsidRPr="00D8691E">
        <w:rPr>
          <w:rStyle w:val="HideTWBExt"/>
        </w:rPr>
        <w:t>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37d</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jc w:val="center"/>
            </w:pPr>
            <w:r w:rsidRPr="00D8691E">
              <w:rPr>
                <w:b/>
                <w:i/>
              </w:rPr>
              <w:t>Artikel 37d</w:t>
            </w:r>
          </w:p>
        </w:tc>
        <w:tc>
          <w:tcPr>
            <w:tcW w:w="4876" w:type="dxa"/>
            <w:tcBorders>
              <w:top w:val="nil"/>
              <w:left w:val="nil"/>
              <w:bottom w:val="nil"/>
              <w:right w:val="nil"/>
            </w:tcBorders>
            <w:hideMark/>
          </w:tcPr>
          <w:p w:rsidR="00DD5018" w:rsidRPr="00D8691E" w:rsidRDefault="00BD7D87" w:rsidP="00F37D8F">
            <w:pPr>
              <w:pStyle w:val="AmColumnHeading"/>
            </w:pPr>
            <w:r w:rsidRPr="00D8691E">
              <w:rPr>
                <w:b/>
              </w:rPr>
              <w:t>udgår</w:t>
            </w: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rPr>
                <w:b/>
              </w:rPr>
              <w:t>Overtrædelser</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 I nærværende artikel forstås ved overtrædelser følgende aktiviteter:</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a)</w:t>
            </w:r>
            <w:r w:rsidRPr="00D8691E">
              <w:rPr>
                <w:b/>
                <w:i/>
              </w:rPr>
              <w:tab/>
              <w:t>de aktiviteter, der er omhandlet i artikel 3, stk. 1, litra a), b), c), e), f), g) og h), i forordning (EF) nr. 1005/2008</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jc w:val="left"/>
            </w:pPr>
            <w:r w:rsidRPr="00D8691E">
              <w:rPr>
                <w:b/>
              </w:rPr>
              <w:t>b)</w:t>
            </w:r>
            <w:r w:rsidRPr="00D8691E">
              <w:rPr>
                <w:b/>
              </w:rPr>
              <w:tab/>
              <w:t xml:space="preserve">indgriben i </w:t>
            </w:r>
            <w:r w:rsidRPr="00D8691E">
              <w:rPr>
                <w:b/>
              </w:rPr>
              <w:t>satellitovervågningssystemet og</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c)</w:t>
            </w:r>
            <w:r w:rsidRPr="00D8691E">
              <w:rPr>
                <w:b/>
                <w:i/>
              </w:rPr>
              <w:tab/>
              <w:t>fiskeri uden FOS-system.</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2. Observerer kontrollørerne ved bording og inspektion af et fiskerfartøj en overtrædelse, underretter myndighederne i inspektionsfartøjets flagmedlemsstat omgående Kommissionen eller et organ</w:t>
            </w:r>
            <w:r w:rsidRPr="00D8691E">
              <w:rPr>
                <w:b/>
                <w:i/>
              </w:rPr>
              <w:t>, denne har udpeget, som underretter det inspicerede fiskerfartøjs flagstat både direkte og gennem GFCM's sekretariat. De underretter også ethvert inspektionsskib fra fiskerfartøjets flagstat, som vides at være i nærheden.</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 xml:space="preserve">3. Fiskerfartøjets </w:t>
            </w:r>
            <w:r w:rsidRPr="00D8691E">
              <w:rPr>
                <w:b/>
                <w:i/>
              </w:rPr>
              <w:t>flagmedlemsstat sikrer, at det pågældende fiskerfartøj efter en inspektion, hvorunder en overtrædelse er blevet afsløret, indstiller alt fiskeri. Flagmedlemsstaten beordrer fiskerfartøjet til inden for 72 timer at sejle til en havn, som den har udpeget, hv</w:t>
            </w:r>
            <w:r w:rsidRPr="00D8691E">
              <w:rPr>
                <w:b/>
                <w:i/>
              </w:rPr>
              <w:t>or der skal indledes en undersøgelse.</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rPr>
                <w:b/>
                <w:i/>
              </w:rPr>
              <w:t>4. I tilfælde, hvor en overtrædelse er blevet afsløret i forbindelse med en inspektion, meddeles de foranstaltninger og opfølgningsaktiviteter, som flagmedlemsstaten foretager, til Kommissionen eller et organ udpeget</w:t>
            </w:r>
            <w:r w:rsidRPr="00D8691E">
              <w:rPr>
                <w:b/>
                <w:i/>
              </w:rPr>
              <w:t xml:space="preserve"> af denne. Kommissionen eller et organ udpeget af denne fremsender besked om foranstaltningerne og opfølgningsaktiviteterne til GFCM's sekretariat.</w:t>
            </w:r>
          </w:p>
        </w:tc>
        <w:tc>
          <w:tcPr>
            <w:tcW w:w="4876" w:type="dxa"/>
            <w:tcBorders>
              <w:top w:val="nil"/>
              <w:left w:val="nil"/>
              <w:bottom w:val="nil"/>
              <w:right w:val="nil"/>
            </w:tcBorders>
          </w:tcPr>
          <w:p w:rsidR="00DD5018" w:rsidRPr="00D8691E" w:rsidRDefault="00DD5018" w:rsidP="00F37D8F">
            <w:pPr>
              <w:pStyle w:val="AmColumnHeading"/>
              <w:jc w:val="left"/>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Medlemsstaternes myndigheder følger op på inspektionsrapporter som omhandlet i artikel 37, litra c), op</w:t>
            </w:r>
            <w:r w:rsidRPr="00D8691E">
              <w:rPr>
                <w:b/>
                <w:i/>
              </w:rPr>
              <w:t>lysningsarket for observation som fastsat i bilag VII og erklæringer fra dokumentbaserede inspektioner, som kontrollørerne har foretaget, på samme måde, som de følger op på rapporter og erklæringer fra nationale kontrollører."</w:t>
            </w:r>
          </w:p>
        </w:tc>
        <w:tc>
          <w:tcPr>
            <w:tcW w:w="4876" w:type="dxa"/>
            <w:tcBorders>
              <w:top w:val="nil"/>
              <w:left w:val="nil"/>
              <w:bottom w:val="nil"/>
              <w:right w:val="nil"/>
            </w:tcBorders>
            <w:hideMark/>
          </w:tcPr>
          <w:p w:rsidR="00DD5018" w:rsidRPr="00D8691E" w:rsidRDefault="00DD5018" w:rsidP="00F37D8F"/>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Flyttet til afsluttende bestemmelser, der gælder for alle forordninger, jf. de nye artikler 121a, 121b og 121c.</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23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 xml:space="preserve">Artikel 46 – </w:t>
      </w:r>
      <w:r w:rsidRPr="00D8691E">
        <w:t>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23a)</w:t>
            </w:r>
            <w:r w:rsidRPr="00D8691E">
              <w:tab/>
            </w:r>
            <w:r w:rsidRPr="00D8691E">
              <w:rPr>
                <w:b/>
                <w:i/>
              </w:rPr>
              <w:t>Artikel 46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Artikel</w:t>
            </w:r>
            <w:r w:rsidRPr="00D8691E">
              <w:t xml:space="preserve"> 46</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w:t>
            </w:r>
            <w:r w:rsidRPr="00D8691E">
              <w:t xml:space="preserve"> 46</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Fjernstyrede undervandskøretøjer</w:t>
            </w:r>
          </w:p>
        </w:tc>
        <w:tc>
          <w:tcPr>
            <w:tcW w:w="4876" w:type="dxa"/>
            <w:tcBorders>
              <w:top w:val="nil"/>
              <w:left w:val="nil"/>
              <w:bottom w:val="nil"/>
              <w:right w:val="nil"/>
            </w:tcBorders>
            <w:hideMark/>
          </w:tcPr>
          <w:p w:rsidR="00DD5018" w:rsidRPr="00D8691E" w:rsidRDefault="00BD7D87" w:rsidP="00F37D8F">
            <w:pPr>
              <w:pStyle w:val="Normal6a"/>
            </w:pPr>
            <w:r w:rsidRPr="00D8691E">
              <w:t>Fjernstyrede undervandskøretøjer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 xml:space="preserve"> </w:t>
            </w:r>
            <w:r w:rsidRPr="00D8691E">
              <w:rPr>
                <w:b/>
                <w:i/>
              </w:rPr>
              <w:t>Det</w:t>
            </w:r>
            <w:r w:rsidRPr="00D8691E">
              <w:t xml:space="preserve"> er </w:t>
            </w:r>
            <w:r w:rsidRPr="00D8691E">
              <w:rPr>
                <w:b/>
                <w:i/>
              </w:rPr>
              <w:t>forbudt at anvende fjernstyrede undervandskøretøjer i det område</w:t>
            </w:r>
            <w:r w:rsidRPr="00D8691E">
              <w:t xml:space="preserve">, der </w:t>
            </w:r>
            <w:r w:rsidRPr="00D8691E">
              <w:rPr>
                <w:b/>
                <w:i/>
              </w:rPr>
              <w:t>er henvist til i artikel 38</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rPr>
                <w:b/>
                <w:bCs/>
                <w:i/>
                <w:iCs/>
              </w:rPr>
              <w:t>Anvendelse af fjernstyrede køretøjer er kun tilladt ved afslutningen af GFCM's forskningsprogram til videnskabelige formål og inden for medlemsstaternes godkendte forskningsprogrammer, der ledes af videnskabelige institut</w:t>
            </w:r>
            <w:r w:rsidRPr="00D8691E">
              <w:rPr>
                <w:b/>
                <w:bCs/>
                <w:i/>
                <w:iCs/>
              </w:rPr>
              <w:t>ioner.</w:t>
            </w:r>
            <w:r w:rsidRPr="00D8691E">
              <w:t xml:space="preserve"> </w:t>
            </w:r>
            <w:r w:rsidRPr="00D8691E">
              <w:rPr>
                <w:b/>
                <w:i/>
              </w:rPr>
              <w:t>Sådanne tilladelser berører ikke strengere foranstaltninger, som medlemsstaterne vedtager</w:t>
            </w:r>
            <w:r w:rsidRPr="00D8691E">
              <w:t>.</w:t>
            </w:r>
            <w:r w:rsidRPr="00D8691E">
              <w:rPr>
                <w:b/>
                <w:i/>
              </w:rPr>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(https://eur-lex.europa.eu/eli/reg/2023/2124)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GFCM/46/2023/13</w:t>
      </w:r>
    </w:p>
    <w:p w:rsidR="00DD5018" w:rsidRPr="00D8691E" w:rsidRDefault="00BD7D87" w:rsidP="00DD5018">
      <w:pPr>
        <w:pStyle w:val="AmNumberTabs"/>
      </w:pPr>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23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46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23a)</w:t>
            </w:r>
            <w:r w:rsidRPr="00D8691E">
              <w:tab/>
            </w:r>
            <w:r w:rsidRPr="00D8691E">
              <w:rPr>
                <w:b/>
                <w:i/>
              </w:rPr>
              <w:t>Artikel 46, stk. 2,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 Uanset stk.</w:t>
            </w:r>
            <w:r w:rsidRPr="00D8691E">
              <w:rPr>
                <w:b/>
                <w:i/>
              </w:rPr>
              <w:t xml:space="preserve"> </w:t>
            </w:r>
            <w:r w:rsidRPr="00D8691E">
              <w:t xml:space="preserve">1 er det tilladt at anvende fjernstyrede undervandskøretøjer udelukkende til videnskabelige formål inden for rammerne </w:t>
            </w:r>
            <w:r w:rsidRPr="00D8691E">
              <w:t>af GFCM's forskningsprogram indtil afslutningen af dette program.</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w:t>
            </w:r>
            <w:r w:rsidRPr="00D8691E">
              <w:t>2. Uanset stk.</w:t>
            </w:r>
            <w:r w:rsidRPr="00D8691E">
              <w:rPr>
                <w:b/>
                <w:i/>
              </w:rPr>
              <w:t> </w:t>
            </w:r>
            <w:r w:rsidRPr="00D8691E">
              <w:t>1 er det tilladt at anvende fjernstyrede undervandskøretøjer udelukkende til videnskabelige formål inden for rammerne af GFCM's forskningsprogram indtil afslutningen af dette</w:t>
            </w:r>
            <w:r w:rsidRPr="00D8691E">
              <w:t xml:space="preserve"> program</w:t>
            </w:r>
            <w:r w:rsidRPr="00D8691E">
              <w:rPr>
                <w:b/>
                <w:i/>
              </w:rPr>
              <w:t xml:space="preserve"> og inden for medlemsstaternes godkendte forskningsprogrammer, der ledes af videnskabelige institutioner</w:t>
            </w:r>
            <w:r w:rsidRPr="00D8691E">
              <w:t xml:space="preserve">. </w:t>
            </w:r>
            <w:r w:rsidRPr="00D8691E">
              <w:rPr>
                <w:b/>
                <w:i/>
              </w:rPr>
              <w:t>Sådanne tilladelser berører ikke strengere foranstaltninger, som medlemsstaterne vedtager."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GFCM/44/2024/2</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Artikel 1 – stk. 1 – punkt 24 a </w:t>
      </w:r>
      <w:r w:rsidRPr="00D8691E">
        <w:t>(nyt)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55</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24a)</w:t>
            </w:r>
            <w:r w:rsidRPr="00D8691E">
              <w:tab/>
            </w:r>
            <w:r w:rsidRPr="00D8691E">
              <w:rPr>
                <w:b/>
                <w:i/>
              </w:rPr>
              <w:t>Artikel 55 affattes således:</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55</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Ædelkoralprodukters sporbarhed</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 Medlemsstaterne gennemfører </w:t>
            </w:r>
            <w:r w:rsidRPr="00D8691E">
              <w:rPr>
                <w:b/>
                <w:i/>
              </w:rPr>
              <w:t>fangstdokumentationsordningen for fangst af ædelkoral i dens fulde udstrækning i hele forsyningskæden for at muliggøre sporbarheden af ædelkoral (Corallium rubrum), der høstes i Middelhavet, og for at bidrage til bekæmpelsen af ulovligt, ureguleret og urap</w:t>
            </w:r>
            <w:r w:rsidRPr="00D8691E">
              <w:rPr>
                <w:b/>
                <w:i/>
              </w:rPr>
              <w:t>porteret fiskeri (IUU-fiskeri).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Den papirbaserede dokumentationsordning for fangst af ædelkoral, der er fastsat i stk. 1, berører ikke andre gældende nationale sporbarhedssystemer, der sikrer samme grad af kontrol med sporbarheden af ædelkoralvarer i </w:t>
            </w:r>
            <w:r w:rsidRPr="00D8691E">
              <w:rPr>
                <w:b/>
                <w:i/>
              </w:rPr>
              <w:t>medlemsstaterne.</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Den papirbaserede dokumentationsordning for fangst af ædelkoral gælder for første landinger, eksportvarer og reeksportvarer. Indenlandsk handel indgår ikke i valideringskæden.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Uanset stk. 1 fastsættes der en overgangsperiode på e</w:t>
            </w:r>
            <w:r w:rsidRPr="00D8691E">
              <w:rPr>
                <w:b/>
                <w:i/>
              </w:rPr>
              <w:t>t år, hvor ædelkoral, der er oplagret inden den 1. januar 2025, kan eksporteres eller reeksporteres uden at fangstafsnittet på fangstattesten er valideret.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5. For at sikre en forbindelse mellem validerede fangstdokumenter under ordningen og de </w:t>
            </w:r>
            <w:r w:rsidRPr="00D8691E">
              <w:rPr>
                <w:b/>
                <w:i/>
              </w:rPr>
              <w:t>ædelkoralpartier, som de vedrører, kan medlemsstaterne indføre et mærkningssystem.</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6. Alle varepartier af ædelkoral, der importeres, eksporteres eller reeksporteres fra deres oprindelsessted, skal ledsages af en valideret attest som omhandlet i bilag XX[</w:t>
            </w:r>
            <w:r w:rsidRPr="00D8691E">
              <w:rPr>
                <w:b/>
                <w:i/>
              </w:rPr>
              <w:t>RFR2] eller et tilsvarende dokument såsom det høstcertifikat, der anvendes i de eksporterende medlemsstater.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7. Hvert høstcertifikat skal have et unikt dokumentidentifikationsnummer. Nummeret skal være specifikt for flagstaten og tildeles hver fisker ell</w:t>
            </w:r>
            <w:r w:rsidRPr="00D8691E">
              <w:rPr>
                <w:b/>
                <w:i/>
              </w:rPr>
              <w:t>er hvert høstfartøj. Certifikaterne kan ikke overdrages til en anden fisker eller et andet høstfartøj.</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8. Medlemsstaterne må først validere høstcertifikater for ædelkoral, når alle oplysningerne indeholdt i fangstdokumentationsordningen for ædelkoral er </w:t>
            </w:r>
            <w:r w:rsidRPr="00D8691E">
              <w:rPr>
                <w:b/>
                <w:i/>
              </w:rPr>
              <w:t>blevet konstateret korrekte ved verifikationen af bilagene og den pågældende forsendelse.</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9. Medlemsstaterne aflægger rapport til Kommissionen eller et organ, som den har udpeget, om deres fangstdokumentationsordning samt eventuelle mærknings- og identif</w:t>
            </w:r>
            <w:r w:rsidRPr="00D8691E">
              <w:rPr>
                <w:b/>
                <w:i/>
              </w:rPr>
              <w:t>ikationskrav og sporbarhedskrav for ædelkoralhøst, som skal være i overensstemmelse med bestemmelserne i denne artikel for effektivt at sikre, at sporbarhedsmålet opfyldes. Kommissionen eller et organ, som den har udpeget, underretter GFCM's sekretariat hv</w:t>
            </w:r>
            <w:r w:rsidRPr="00D8691E">
              <w:rPr>
                <w:b/>
                <w:i/>
              </w:rPr>
              <w:t>er medlemsstats fangstdokumentationsordning.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10. Reeksport af varer, der er importeret i henhold til et høstcertifikat i overensstemmelse med denne artikel, tillades ved, at de kompetente myndigheder i de medlemsstater, hvorfra reeksporten skal finde ste</w:t>
            </w:r>
            <w:r w:rsidRPr="00D8691E">
              <w:rPr>
                <w:b/>
                <w:i/>
              </w:rPr>
              <w:t>d, validerer afsnittet "reeksport" i det høstcertifikat, der er omhandlet i bilag XX, eller en kopi heraf, hvori de fiskevarer, der skal reeksporteres, er angivet som en del af de importerede varer.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11. Når en medlemsstat konstaterer misligholdelse af </w:t>
            </w:r>
            <w:r w:rsidRPr="00D8691E">
              <w:rPr>
                <w:b/>
                <w:i/>
              </w:rPr>
              <w:t>forpligtelserne i denne artikel, underretter den flagstaterne og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12. Medlemsstaterne aflægger rapport til Kommissionen eller et organ, som den har udpeget, om deres kompetente myndigheder med ansvar for validering, kontrol og verifika</w:t>
            </w:r>
            <w:r w:rsidRPr="00D8691E">
              <w:rPr>
                <w:b/>
                <w:i/>
              </w:rPr>
              <w:t>tion af høstcertifikater samt kontaktpunkter for fangstdokumentationsordningen, valideringssegl og andre oplysninger, der er relevante for gennemførelsen af fangstdokumentationsordningen. Kommissionen eller et organ, som den har udpeget, underretter GFCM's</w:t>
            </w:r>
            <w:r w:rsidRPr="00D8691E">
              <w:rPr>
                <w:b/>
                <w:i/>
              </w:rPr>
              <w:t xml:space="preserve"> sekretariat om de kompetente myndigheder og kontaktpunkter og andre oplysninger, der er relevante for gennemførelsen af fangstdokumentationsordningen.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13. Medlemsstaterne opbevarer de validerede papirbaserede ædelkoralhøstcertifikater i en periode på ti</w:t>
            </w:r>
            <w:r w:rsidRPr="00D8691E">
              <w:rPr>
                <w:b/>
                <w:i/>
              </w:rPr>
              <w:t xml:space="preserve"> år.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14. Medlemsstaterne aflægger hvert år rapport om gennemførelsen af den papirbaserede dokumentationsordning for fangst af ædelkoral med detaljerede oplysninger og statistiske data om bl.a. årlige validerede mængder, årlige handlede mængder, antal </w:t>
            </w:r>
            <w:r w:rsidRPr="00D8691E">
              <w:rPr>
                <w:b/>
                <w:i/>
              </w:rPr>
              <w:t>høstcertifikater, der er blevet valideret, og eventuelle relevante elementer, der anses for at give oplysninger om situationen. Medlemsstaterne forelægger rapporten for Kommissionen eller et organ, som den har udpeget, senest 45 dage før hvert årsmøde i ti</w:t>
            </w:r>
            <w:r w:rsidRPr="00D8691E">
              <w:rPr>
                <w:b/>
                <w:i/>
              </w:rPr>
              <w:t>lsynsudvalget. Kommissionen, eller det organ, som den har udpeget, tilsender rapporten til GFCM's sekretariat senest 30 dage før hvert årsmøde i tilsynsudvalget.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GFCM/46/2023/19</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w:t>
      </w:r>
      <w:r w:rsidRPr="00D8691E">
        <w:rPr>
          <w:rStyle w:val="HideTWBExt"/>
        </w:rPr>
        <w:t>Amend&gt;</w:t>
      </w:r>
      <w:r w:rsidRPr="00D8691E">
        <w:t>Ændringsforslag</w:t>
      </w:r>
      <w:r w:rsidRPr="00D8691E">
        <w:tab/>
      </w:r>
      <w:r w:rsidRPr="00D8691E">
        <w:tab/>
      </w:r>
      <w:r w:rsidRPr="00D8691E">
        <w:rPr>
          <w:rStyle w:val="HideTWBExt"/>
        </w:rPr>
        <w:t>&lt;NumAm&gt;</w:t>
      </w:r>
      <w:r w:rsidRPr="00D8691E">
        <w:t>185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28</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59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ab/>
            </w:r>
            <w:r w:rsidRPr="00D8691E">
              <w:rPr>
                <w:b/>
                <w:i/>
              </w:rPr>
              <w:t xml:space="preserve">Fiskeri med bundsatte langliner, gællegarn og toggergarn efter gydestimer af europæisk kulmule indstilles i 30 på hinanden følgende dage mellem marts og </w:t>
            </w:r>
            <w:r w:rsidRPr="00D8691E">
              <w:rPr>
                <w:b/>
                <w:i/>
              </w:rPr>
              <w:t>april. Medlemsstaterne fremsender Kommissionen data om disse tidsmæssige begrænsninger senest den 31. maj hvert år. Kommissionen sender disse oplysninger til GFCM's sekretariat senest den 30. juni hvert år.</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w:t>
      </w:r>
      <w:r w:rsidRPr="00D8691E">
        <w:rPr>
          <w:rStyle w:val="HideTWBExt"/>
        </w:rPr>
        <w:t>Amend&gt;</w:t>
      </w:r>
      <w:r w:rsidRPr="00D8691E">
        <w:t>Ændringsforslag</w:t>
      </w:r>
      <w:r w:rsidRPr="00D8691E">
        <w:tab/>
      </w:r>
      <w:r w:rsidRPr="00D8691E">
        <w:tab/>
      </w:r>
      <w:r w:rsidRPr="00D8691E">
        <w:rPr>
          <w:rStyle w:val="HideTWBExt"/>
        </w:rPr>
        <w:t>&lt;NumAm&gt;</w:t>
      </w:r>
      <w:r w:rsidRPr="00D8691E">
        <w:t>186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28</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59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2.</w:t>
            </w:r>
            <w:r w:rsidRPr="00D8691E">
              <w:tab/>
            </w:r>
            <w:r w:rsidRPr="00D8691E">
              <w:rPr>
                <w:b/>
                <w:i/>
              </w:rPr>
              <w:t xml:space="preserve">Hvert år fra den 1. juli til den 30. september er fiskeri med bundtrawlere, uanset fartøjets længde overalt, forbudt mellem kysten og 200 m-dybdekurven i </w:t>
            </w:r>
            <w:r w:rsidRPr="00D8691E">
              <w:rPr>
                <w:b/>
                <w:i/>
              </w:rPr>
              <w:t>geografisk underområde 14 (Gabèsbugten).</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31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63</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Artikel 63</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International ordning for fælles inspektion og overvågning</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 xml:space="preserve">. </w:t>
            </w:r>
            <w:r w:rsidRPr="00D8691E">
              <w:rPr>
                <w:b/>
                <w:i/>
              </w:rPr>
              <w:t>Medlemsstaterne kan udføre inspektions- og overvågningsaktiviteter inden for rammerne af en international ordning for fælles inspektion og overvågning (»ordningen«), der omfatter farvandene uden for national jurisdiktion i de geografiske underområder 12, 1</w:t>
            </w:r>
            <w:r w:rsidRPr="00D8691E">
              <w:rPr>
                <w:b/>
                <w:i/>
              </w:rPr>
              <w:t>3, 14, 15 og 16, som defineret i bilag I (»inspektions- og overvågningsområdet«).</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2. Medlemsstaterne kan tildele kontrollører og inspektionsmidler og gennemføre inspektioner under ordningen. Kommissionen eller et organ udpeget af denne kan også udpege EU</w:t>
            </w:r>
            <w:r w:rsidRPr="00D8691E">
              <w:rPr>
                <w:b/>
                <w:i/>
              </w:rPr>
              <w:t>-kontrollører til ordningen.</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Kommissionen eller et organ udpeget af denne samordner overvågnings- og inspektionsaktiviteterne for Unionen og kan i samarbejde med de berørte medlemsstater udarbejde en fælles plan for ressourceanvendelse med henblik på </w:t>
            </w:r>
            <w:r w:rsidRPr="00D8691E">
              <w:rPr>
                <w:b/>
                <w:i/>
              </w:rPr>
              <w:t>at sætte Unionen i stand til at leve op til sin forpligtelse i henhold til ordningen. Medlemsstater træffer de nødvendige foranstaltninger til at lette gennemførelsen af planerne, navnlig hvad angår de menneskelige og materielle ressourcer, der er nødvendi</w:t>
            </w:r>
            <w:r w:rsidRPr="00D8691E">
              <w:rPr>
                <w:b/>
                <w:i/>
              </w:rPr>
              <w:t>ge, og de perioder og geografiske områder, hvor de pågældende ressourcer skal anvendes.</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4. Senest den 31. oktober hvert år fremsender hver medlemsstat Kommissionen eller et organ udpeget af denne listen med navnene på kontrollører, der er bemyndiget til </w:t>
            </w:r>
            <w:r w:rsidRPr="00D8691E">
              <w:rPr>
                <w:b/>
                <w:i/>
              </w:rPr>
              <w:t>at udføre inspektion og overvågning i det i stk. 1 omhandlede område, samt navnene på de fartøjer og fly, der anvendes til inspektion og overvågning, som de har til hensigt at tilknytte ordningen i det følgende år. Kommissionen eller et organ udpeget af de</w:t>
            </w:r>
            <w:r w:rsidRPr="00D8691E">
              <w:rPr>
                <w:b/>
                <w:i/>
              </w:rPr>
              <w:t>nne sender disse oplysninger til GFCM's sekretariat senest den 1. december hvert år, eller hurtigst muligt inden inspektionsaktiviteterne påbegyndes.</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5. Kontrollører, der er tilknyttet ordningen, skal bære et GFCM ID-kort, der er udstedt af de kompetente</w:t>
            </w:r>
            <w:r w:rsidRPr="00D8691E">
              <w:rPr>
                <w:b/>
                <w:i/>
              </w:rPr>
              <w:t xml:space="preserve"> myndigheder og udformet som angivet i bilag IV.</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6. Fartøjer, der udfører bording- og inspektionsopgaver i overensstemmelse med ordningen, skal føre et særligt flag eller en særlig vimpel, som beskrevet i bilag V.</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7. Den enkelte medlemsstat sikrer, at </w:t>
            </w:r>
            <w:r w:rsidRPr="00D8691E">
              <w:rPr>
                <w:b/>
                <w:i/>
              </w:rPr>
              <w:t>enhver inspektionsplatform, der har ret til at føre medlemsstatens flag, og som opererer i det i stk. 1 omhandlede område, opretholder sikker kontakt, om muligt dagligt, med alle andre inspektionsplatforme, der opererer i området, med henblik på at udveksl</w:t>
            </w:r>
            <w:r w:rsidRPr="00D8691E">
              <w:rPr>
                <w:b/>
                <w:i/>
              </w:rPr>
              <w:t>e de nødvendige oplysninger og koordinere aktiviteterne.</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8. Den enkelte medlemsstat med inspektions- eller overvågningstilstedeværelse i det i stk. 1 omhandlede område forsyner, efter at den er kommet ind i området, hver enkel inspektionsplatform med en </w:t>
            </w:r>
            <w:r w:rsidRPr="00D8691E">
              <w:rPr>
                <w:b/>
                <w:i/>
              </w:rPr>
              <w:t>liste over observationer fastsat i overensstemmelse med bilag VII og over bordinger og inspektioner, som medlemsstaten har udført i de seneste 10 dage, herunder datoer, koordinater og andre relevante oplysninger.</w:t>
            </w:r>
          </w:p>
        </w:tc>
        <w:tc>
          <w:tcPr>
            <w:tcW w:w="4876" w:type="dxa"/>
            <w:tcBorders>
              <w:top w:val="nil"/>
              <w:left w:val="nil"/>
              <w:bottom w:val="nil"/>
              <w:right w:val="nil"/>
            </w:tcBorders>
          </w:tcPr>
          <w:p w:rsidR="00DD5018" w:rsidRPr="00D8691E" w:rsidRDefault="00DD5018" w:rsidP="00F37D8F">
            <w:pPr>
              <w:pStyle w:val="Normal6a"/>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w:t>
      </w:r>
      <w:r w:rsidRPr="00D8691E">
        <w:t>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Artiklen indsættes som ny artikel 121b.</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31 b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64</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Artikel 64</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Gennemførelse af inspektioner</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 xml:space="preserve">. </w:t>
            </w:r>
            <w:r w:rsidRPr="00D8691E">
              <w:rPr>
                <w:b/>
                <w:i/>
              </w:rPr>
              <w:t xml:space="preserve">De til ordningen tilknyttede </w:t>
            </w:r>
            <w:r w:rsidRPr="00D8691E">
              <w:rPr>
                <w:b/>
                <w:i/>
              </w:rPr>
              <w:t>kontrollører: a) underretter før bording fiskerfartøjet om navnet om inspektionsfartøjet; b) viser på inspektionsfartøjet og bordingfartøjet den vimpel, der er beskrevet i bilag V; c) begrænser inspektionsholdet til højst tre kontrollører.</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2. Efter bordi</w:t>
            </w:r>
            <w:r w:rsidRPr="00D8691E">
              <w:rPr>
                <w:b/>
                <w:i/>
              </w:rPr>
              <w:t>ng fremviser kontrollørerne det ID-kort, der er beskrevet i bilag IV, for føreren af fiskerfartøjet. Inspektionen udføres på et af GFCM's officielle sprog og, om muligt, på det sprog, som tales af føreren af fiskerfartøjet.</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3. Kontrollørerne udarbejder e</w:t>
            </w:r>
            <w:r w:rsidRPr="00D8691E">
              <w:rPr>
                <w:b/>
                <w:i/>
              </w:rPr>
              <w:t>n rapport om inspektionen i det format, der er angivet i bilag VI.</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4. Kontrollørerne underskriver rapporten i nærværelse af fartøjsføreren, som har ret til at tilføje eventuelle bemærkninger, som vedkommende finder passende, og som også skal underskrive </w:t>
            </w:r>
            <w:r w:rsidRPr="00D8691E">
              <w:rPr>
                <w:b/>
                <w:i/>
              </w:rPr>
              <w:t>rapporten.</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5. Der udleveres en kopi af rapporten til fartøjsføreren og til inspektionsholdets myndigheder, som sender en kopi til myndighederne i det inspicerede fartøjs flagstat og til Kommissionen og/eller et organ, denne har udpeget. Kommissionen vide</w:t>
            </w:r>
            <w:r w:rsidRPr="00D8691E">
              <w:rPr>
                <w:b/>
                <w:i/>
              </w:rPr>
              <w:t>resender rapporten til GFCM's sekretariat.</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6. Inspektionsfartøjets befalingshavende bestemmer størrelsen af inspektionsholdet og inspektionens varighed under hensyntagen til de relevante omstændigheder.</w:t>
            </w:r>
          </w:p>
        </w:tc>
        <w:tc>
          <w:tcPr>
            <w:tcW w:w="4876" w:type="dxa"/>
            <w:tcBorders>
              <w:top w:val="nil"/>
              <w:left w:val="nil"/>
              <w:bottom w:val="nil"/>
              <w:right w:val="nil"/>
            </w:tcBorders>
          </w:tcPr>
          <w:p w:rsidR="00DD5018" w:rsidRPr="00D8691E" w:rsidRDefault="00DD5018" w:rsidP="00F37D8F">
            <w:pPr>
              <w:pStyle w:val="Normal6a"/>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Artiklen indsættes som ny artikel 121a.</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189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w:t>
      </w:r>
      <w:r w:rsidRPr="00D8691E">
        <w:t xml:space="preserve"> – stk. 1 – punkt 32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65 – stk. 5</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32)</w:t>
            </w:r>
            <w:r w:rsidRPr="00D8691E">
              <w:tab/>
            </w:r>
            <w:r w:rsidRPr="00D8691E">
              <w:rPr>
                <w:b/>
                <w:i/>
              </w:rPr>
              <w:t>Artikel 65, stk. 5, affattes således:</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"5. Medlemsstaternes myndigheder følger </w:t>
            </w:r>
            <w:r w:rsidRPr="00D8691E">
              <w:rPr>
                <w:b/>
                <w:i/>
              </w:rPr>
              <w:t>op på inspektionsrapporter som omhandlet i artikel 64, stk. 3, oplysningsark for observation som fastsat i bilag VII og erklæringer fra dokumentbaserede inspektioner, som kontrollørerne har foretaget, på samme måde, som de følger op på rapporter og erklæri</w:t>
            </w:r>
            <w:r w:rsidRPr="00D8691E">
              <w:rPr>
                <w:b/>
                <w:i/>
              </w:rPr>
              <w:t>nger fra nationale kontrollører, der er udarbejdet i overensstemmelse med deres nationale lovgivning."</w:t>
            </w:r>
          </w:p>
        </w:tc>
        <w:tc>
          <w:tcPr>
            <w:tcW w:w="4876" w:type="dxa"/>
            <w:tcBorders>
              <w:top w:val="nil"/>
              <w:left w:val="nil"/>
              <w:bottom w:val="nil"/>
              <w:right w:val="nil"/>
            </w:tcBorders>
          </w:tcPr>
          <w:p w:rsidR="00DD5018" w:rsidRPr="00D8691E" w:rsidRDefault="00DD5018" w:rsidP="00F37D8F">
            <w:pPr>
              <w:pStyle w:val="Normal6a"/>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32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65</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Artikel 65</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Overtrædelser</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 xml:space="preserve">. </w:t>
            </w:r>
            <w:r w:rsidRPr="00D8691E">
              <w:rPr>
                <w:b/>
                <w:i/>
              </w:rPr>
              <w:t>1.   I denne artikel forstås ved overtrædelser følgende aktiviteter: a) de aktiviteter, der er omhandlet i artikel 3, stk. 1, litra a), b), c), e), f), g) og h), i forordning (EF) nr. 1005/2008; b) indgriben i satellitovervågningssystemet,  og: c) fisker</w:t>
            </w:r>
            <w:r w:rsidRPr="00D8691E">
              <w:rPr>
                <w:b/>
                <w:i/>
              </w:rPr>
              <w:t>i uden FOS-system.</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2. Observerer kontrollørerne ved bording og inspektion af et fiskerfartøj en overtrædelse, underretter myndighederne i inspektionsfartøjets flagmedlemsstat omgående Kommissionen eller et organ, denne har udpeget, som underretter det in</w:t>
            </w:r>
            <w:r w:rsidRPr="00D8691E">
              <w:rPr>
                <w:b/>
                <w:i/>
              </w:rPr>
              <w:t>spicerede fiskerfartøjs flagstat både direkte og gennem GFCM's sekretariat. De underretter også ethvert inspektionsskib fra fiskerfartøjets flagstat, som vides at være i nærheden.</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w:t>
            </w:r>
            <w:r w:rsidRPr="00D8691E">
              <w:rPr>
                <w:b/>
                <w:i/>
              </w:rPr>
              <w:t>Fiskerfartøjets flagmedlemsstat sikrer, at det pågældende fiskerfartøj efter en inspektion, hvorunder en overtrædelse er blevet afsløret, indstiller alt fiskeri.  Flagmedlemsstaten beordrer fiskerfartøjet til inden for 72 timer at sejle til et landingssted</w:t>
            </w:r>
            <w:r w:rsidRPr="00D8691E">
              <w:rPr>
                <w:b/>
                <w:i/>
              </w:rPr>
              <w:t>, som den har udpeget, hvor der skal indledes en undersøgelse.</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4. I tilfælde, hvor en overtrædelse er blevet afsløret i forbindelse med en inspektion, meddeles de foranstaltninger og opfølgningsaktiviteter, som flagmedlemsstaten foretager, til Kommission</w:t>
            </w:r>
            <w:r w:rsidRPr="00D8691E">
              <w:rPr>
                <w:b/>
                <w:i/>
              </w:rPr>
              <w:t>en eller et organ udpeget af denne. Kommissionen eller et organ udpeget af denne fremsender besked om foranstaltningerne og opfølgningsaktiviteterne til GFCM's sekretariat.</w:t>
            </w:r>
          </w:p>
        </w:tc>
        <w:tc>
          <w:tcPr>
            <w:tcW w:w="4876" w:type="dxa"/>
            <w:tcBorders>
              <w:top w:val="nil"/>
              <w:left w:val="nil"/>
              <w:bottom w:val="nil"/>
              <w:right w:val="nil"/>
            </w:tcBorders>
          </w:tcPr>
          <w:p w:rsidR="00DD5018" w:rsidRPr="00D8691E" w:rsidRDefault="00DD5018" w:rsidP="00F37D8F">
            <w:pPr>
              <w:pStyle w:val="Normal6a"/>
            </w:pP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Medlemsstaternes myndigheder følger op på inspektionsrapporter som omhandlet i</w:t>
            </w:r>
            <w:r w:rsidRPr="00D8691E">
              <w:rPr>
                <w:b/>
                <w:i/>
              </w:rPr>
              <w:t xml:space="preserve"> artikel 64, stk. 3, og erklæringer fra dokumentbaserede inspektioner, som kontrollørerne har foretaget, på samme måde, som de følger op på rapporter og erklæringer fra nationale kontrollører.</w:t>
            </w:r>
          </w:p>
        </w:tc>
        <w:tc>
          <w:tcPr>
            <w:tcW w:w="4876" w:type="dxa"/>
            <w:tcBorders>
              <w:top w:val="nil"/>
              <w:left w:val="nil"/>
              <w:bottom w:val="nil"/>
              <w:right w:val="nil"/>
            </w:tcBorders>
          </w:tcPr>
          <w:p w:rsidR="00DD5018" w:rsidRPr="00D8691E" w:rsidRDefault="00DD5018" w:rsidP="00F37D8F">
            <w:pPr>
              <w:pStyle w:val="Normal6a"/>
            </w:pP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w:t>
      </w:r>
      <w:r w:rsidRPr="00D8691E">
        <w:t>ndelse</w:t>
      </w:r>
      <w:r w:rsidRPr="00D8691E">
        <w:rPr>
          <w:rStyle w:val="HideTWBExt"/>
        </w:rPr>
        <w:t>&lt;/TitreJust&gt;</w:t>
      </w:r>
    </w:p>
    <w:p w:rsidR="00DD5018" w:rsidRPr="00D8691E" w:rsidRDefault="00BD7D87" w:rsidP="00DD5018">
      <w:pPr>
        <w:pStyle w:val="AmJustText"/>
      </w:pPr>
      <w:r w:rsidRPr="00D8691E">
        <w:t>Artiklen indsættes som ny artikel 121c.</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72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r>
            <w:r w:rsidRPr="00D8691E">
              <w:rPr>
                <w:b/>
                <w:i/>
              </w:rPr>
              <w:t xml:space="preserve">Uanset artikel 9 i Rådets forordning (EF) nr. 1224/2009 skal </w:t>
            </w:r>
            <w:r w:rsidRPr="00D8691E">
              <w:t xml:space="preserve">trawlere med tilladelse med en længde overalt på over </w:t>
            </w:r>
            <w:r w:rsidRPr="00D8691E">
              <w:rPr>
                <w:b/>
                <w:i/>
              </w:rPr>
              <w:t xml:space="preserve">12 </w:t>
            </w:r>
            <w:r w:rsidRPr="00D8691E">
              <w:t xml:space="preserve">m, der fisker inden for anvendelsesområdet for denne afdeling, være udstyret med et satellitbaseret FOS. </w:t>
            </w:r>
            <w:r w:rsidRPr="00D8691E">
              <w:rPr>
                <w:b/>
                <w:i/>
              </w:rPr>
              <w:t xml:space="preserve">Uanset artikel 9, stk. 3, i Rådets forordning (EF) nr. 1224/2009 skal </w:t>
            </w:r>
            <w:r w:rsidRPr="00D8691E">
              <w:t xml:space="preserve">trawlere med tilladelse </w:t>
            </w:r>
            <w:r w:rsidRPr="00D8691E">
              <w:t xml:space="preserve">med en længde overalt på under </w:t>
            </w:r>
            <w:r w:rsidRPr="00D8691E">
              <w:rPr>
                <w:b/>
                <w:i/>
              </w:rPr>
              <w:t>9 m</w:t>
            </w:r>
            <w:r w:rsidRPr="00D8691E">
              <w:t xml:space="preserve"> være udstyret med et passende geolokaliseringssystem.</w:t>
            </w:r>
            <w:r w:rsidRPr="00D8691E">
              <w:rPr>
                <w:b/>
                <w:i/>
              </w:rPr>
              <w:t>"</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Trawlere med tilladelse med en længde overalt på over </w:t>
            </w:r>
            <w:r w:rsidRPr="00D8691E">
              <w:rPr>
                <w:b/>
                <w:i/>
              </w:rPr>
              <w:t>25 </w:t>
            </w:r>
            <w:r w:rsidRPr="00D8691E">
              <w:t xml:space="preserve">m, der fisker inden for anvendelsesområdet for denne afdeling, </w:t>
            </w:r>
            <w:r w:rsidRPr="00D8691E">
              <w:rPr>
                <w:b/>
                <w:i/>
              </w:rPr>
              <w:t xml:space="preserve">skal </w:t>
            </w:r>
            <w:r w:rsidRPr="00D8691E">
              <w:t>være udstyret med et satellitbaseret F</w:t>
            </w:r>
            <w:r w:rsidRPr="00D8691E">
              <w:t xml:space="preserve">OS. Trawlere med tilladelse med en længde overalt på under </w:t>
            </w:r>
            <w:r w:rsidRPr="00D8691E">
              <w:rPr>
                <w:b/>
                <w:i/>
              </w:rPr>
              <w:t>18 m, skal</w:t>
            </w:r>
            <w:r w:rsidRPr="00D8691E">
              <w:t xml:space="preserve"> være udstyret med et passende geolokaliseringssystem.</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w:t>
      </w:r>
      <w:r w:rsidRPr="00D8691E">
        <w:rPr>
          <w:rStyle w:val="HideTWBExt"/>
        </w:rPr>
        <w:t>&gt;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35</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73</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Denne afdeling </w:t>
            </w:r>
            <w:r w:rsidRPr="00D8691E">
              <w:t>finder anvendelse på alt fiskeri efter små pelagiske arter (ansjos og sardin) i geografisk underområde 17 og 18 som fastsat i bilag I."</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Denne afdeling finder anvendelse på alt fiskeri efter små pelagiske arter (ansjos </w:t>
            </w:r>
            <w:r w:rsidRPr="00D8691E">
              <w:rPr>
                <w:b/>
                <w:i/>
              </w:rPr>
              <w:t xml:space="preserve">- Engraulis encrasicolus </w:t>
            </w:r>
            <w:r w:rsidRPr="00D8691E">
              <w:t>og sardin</w:t>
            </w:r>
            <w:r w:rsidRPr="00D8691E">
              <w:rPr>
                <w:b/>
                <w:i/>
              </w:rPr>
              <w:t xml:space="preserve"> - S</w:t>
            </w:r>
            <w:r w:rsidRPr="00D8691E">
              <w:rPr>
                <w:b/>
                <w:i/>
              </w:rPr>
              <w:t>ardina pilchardus</w:t>
            </w:r>
            <w:r w:rsidRPr="00D8691E">
              <w:t>) i geografisk underområde 17 og 18 som fastsat i bilag I."</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Ændring af stk. 39 om artikel 77a (antal dage og periode i året fra GFCM/2024/3, stk. 3.</w:t>
      </w:r>
    </w:p>
    <w:p w:rsidR="00DD5018" w:rsidRPr="00D8691E" w:rsidRDefault="00BD7D87" w:rsidP="00DD5018">
      <w:pPr>
        <w:pStyle w:val="AmJustText"/>
      </w:pPr>
      <w:r w:rsidRPr="00D8691E">
        <w:t>Ændring af tilføjelsen</w:t>
      </w:r>
      <w:r w:rsidRPr="00D8691E">
        <w:t xml:space="preserve"> af stk. 4 i artikel 78 — fra GFCM/2024/3, stk. 5.</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Stephen Nikola Bartulica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Artikel 1 – stk. 1 – </w:t>
      </w:r>
      <w:r w:rsidRPr="00D8691E">
        <w:t>punkt 35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74 – stk. 5</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35a)</w:t>
            </w:r>
            <w:r w:rsidRPr="00D8691E">
              <w:rPr>
                <w:b/>
                <w:i/>
              </w:rPr>
              <w:tab/>
              <w:t>Artikel 74, stk. 5, 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Artikel 74, stk. 5, i forordning (EU) 2023/2124 vil overskride anvendelsesområdet for GFCM's henstilling GFCM/44/2021/20 og pålægge medlemsstaterne yderligere foranstaltninger og restriktioner.</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António Tânger Corrêa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36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74b</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Fangster af målarter såvel som fangster af ikkemålarter på over 50 kg rapporteres elektronisk af fartøjer med en længde på over </w:t>
            </w:r>
            <w:r w:rsidRPr="00D8691E">
              <w:rPr>
                <w:b/>
                <w:i/>
              </w:rPr>
              <w:t>12</w:t>
            </w:r>
            <w:r w:rsidRPr="00D8691E">
              <w:t xml:space="preserve"> m og af fartøjer, som fanger over 10 000 kg om året, uanset </w:t>
            </w:r>
            <w:r w:rsidRPr="00D8691E">
              <w:t>deres længde.</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Fangster af målarter såvel som fangster af ikkemålarter på over 50 kg rapporteres elektronisk af fartøjer med en længde på over </w:t>
            </w:r>
            <w:r w:rsidRPr="00D8691E">
              <w:rPr>
                <w:b/>
                <w:i/>
              </w:rPr>
              <w:t>18</w:t>
            </w:r>
            <w:r w:rsidRPr="00D8691E">
              <w:t> m og af fartøjer, som fanger over 10 000 kg om året, uanset deres længde.</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w:t>
      </w:r>
      <w:r w:rsidRPr="00D8691E">
        <w:rPr>
          <w:rStyle w:val="HideTWBExt"/>
        </w:rPr>
        <w:t>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France Jamet, Ton Diepeveen</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40</w:t>
      </w:r>
      <w:r w:rsidRPr="00D8691E">
        <w:rPr>
          <w:rStyle w:val="HideTWBExt"/>
        </w:rPr>
        <w:t>&lt;/Article&gt;</w:t>
      </w:r>
    </w:p>
    <w:p w:rsidR="00DD5018" w:rsidRPr="00D8691E" w:rsidRDefault="00BD7D87" w:rsidP="00DD5018">
      <w:r w:rsidRPr="00D8691E">
        <w:rPr>
          <w:rStyle w:val="HideTWBExt"/>
        </w:rPr>
        <w:t>&lt;DocAmend2&gt;</w:t>
      </w:r>
      <w:r w:rsidRPr="00D8691E">
        <w:t xml:space="preserve">Forordning (EU) nr. </w:t>
      </w:r>
      <w:r w:rsidRPr="00D8691E">
        <w:t>2023/2124</w:t>
      </w:r>
      <w:r w:rsidRPr="00D8691E">
        <w:rPr>
          <w:rStyle w:val="HideTWBExt"/>
        </w:rPr>
        <w:t>&lt;/DocAmend2&gt;</w:t>
      </w:r>
    </w:p>
    <w:p w:rsidR="00DD5018" w:rsidRPr="00D8691E" w:rsidRDefault="00BD7D87" w:rsidP="00DD5018">
      <w:r w:rsidRPr="00D8691E">
        <w:rPr>
          <w:rStyle w:val="HideTWBExt"/>
        </w:rPr>
        <w:t>&lt;Article2&gt;</w:t>
      </w:r>
      <w:r w:rsidRPr="00D8691E">
        <w:t>Artikel 79 – stk. 10</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10.</w:t>
            </w:r>
            <w:r w:rsidRPr="00D8691E">
              <w:tab/>
            </w:r>
            <w:r w:rsidRPr="00D8691E">
              <w:rPr>
                <w:b/>
                <w:i/>
              </w:rPr>
              <w:t xml:space="preserve">Uanset artikel 9 i forordning (EF) nr. 1224/2009 skal alle fartøjer med tilladelse med en længde overalt på over 10 m i henhold til dette kapitel </w:t>
            </w:r>
            <w:r w:rsidRPr="00D8691E">
              <w:rPr>
                <w:b/>
                <w:i/>
              </w:rPr>
              <w:t>senest den 1. januar 2024 være udstyret med et fartøjsovervågningssystem (FOS) eller et hvilket som helst andet geolokaliseringssystem, der giver kontrolmyndighederne mulighed for til enhver tid at spore deres aktiviteter under fangstrejserne. "</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42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Artikel 81</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42a)</w:t>
            </w:r>
            <w:r w:rsidRPr="00D8691E">
              <w:tab/>
            </w:r>
            <w:r w:rsidRPr="00D8691E">
              <w:rPr>
                <w:b/>
                <w:i/>
              </w:rPr>
              <w:t>Artikel 81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Anvendelsesområde</w:t>
            </w:r>
          </w:p>
        </w:tc>
        <w:tc>
          <w:tcPr>
            <w:tcW w:w="4876" w:type="dxa"/>
            <w:tcBorders>
              <w:top w:val="nil"/>
              <w:left w:val="nil"/>
              <w:bottom w:val="nil"/>
              <w:right w:val="nil"/>
            </w:tcBorders>
            <w:hideMark/>
          </w:tcPr>
          <w:p w:rsidR="00DD5018" w:rsidRPr="00D8691E" w:rsidRDefault="00BD7D87" w:rsidP="00F37D8F">
            <w:pPr>
              <w:pStyle w:val="Normal6a"/>
            </w:pPr>
            <w:r w:rsidRPr="00D8691E">
              <w:t>Anvendelsesområde</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Dette kapitel finder anvendelse på </w:t>
            </w:r>
            <w:r w:rsidRPr="00D8691E">
              <w:rPr>
                <w:b/>
                <w:i/>
              </w:rPr>
              <w:t>alt kommercielt</w:t>
            </w:r>
            <w:r w:rsidRPr="00D8691E">
              <w:rPr>
                <w:b/>
                <w:i/>
              </w:rPr>
              <w:t xml:space="preserve"> fiskeri</w:t>
            </w:r>
            <w:r w:rsidRPr="00D8691E">
              <w:t xml:space="preserve"> efter guldmakrel (Coryphaena hippurus) ved hjælp af anordninger til tiltrækning af fisk (FAD'er) </w:t>
            </w:r>
            <w:r w:rsidRPr="00D8691E">
              <w:rPr>
                <w:b/>
                <w:i/>
              </w:rPr>
              <w:t>i hele Middelhavet (geografiske underområder 1-27)</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Dette kapitel finder anvendelse på </w:t>
            </w:r>
            <w:r w:rsidRPr="00D8691E">
              <w:rPr>
                <w:b/>
                <w:i/>
              </w:rPr>
              <w:t>pelagisk fiskeri i Middelhavet (geografiske underområder 1-27)</w:t>
            </w:r>
            <w:r w:rsidRPr="00D8691E">
              <w:t xml:space="preserve"> </w:t>
            </w:r>
            <w:r w:rsidRPr="00D8691E">
              <w:t xml:space="preserve">efter guldmakrel (Coryphaena hippurus) ved hjælp af anordninger til tiltrækning af fisk (FAD'er) </w:t>
            </w:r>
            <w:r w:rsidRPr="00D8691E">
              <w:rPr>
                <w:b/>
                <w:i/>
              </w:rPr>
              <w:t>og på rekreativt fiskeri</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GFCM/46/2023/14</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42 b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w:t>
      </w:r>
      <w:r w:rsidRPr="00D8691E">
        <w:t>l 83</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Artikel 83</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42b)</w:t>
            </w:r>
            <w:r w:rsidRPr="00D8691E">
              <w:tab/>
            </w:r>
            <w:r w:rsidRPr="00D8691E">
              <w:rPr>
                <w:b/>
                <w:i/>
              </w:rPr>
              <w:t>Artikel 83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Midlertidige forvaltningsforanstaltninger</w:t>
            </w:r>
          </w:p>
        </w:tc>
        <w:tc>
          <w:tcPr>
            <w:tcW w:w="4876" w:type="dxa"/>
            <w:tcBorders>
              <w:top w:val="nil"/>
              <w:left w:val="nil"/>
              <w:bottom w:val="nil"/>
              <w:right w:val="nil"/>
            </w:tcBorders>
            <w:hideMark/>
          </w:tcPr>
          <w:p w:rsidR="00DD5018" w:rsidRPr="00D8691E" w:rsidRDefault="00BD7D87" w:rsidP="00F37D8F">
            <w:pPr>
              <w:pStyle w:val="Normal6a"/>
            </w:pPr>
            <w:r w:rsidRPr="00D8691E">
              <w:t>Midlertidige forvaltningsforanstaltninger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Medlemsstater</w:t>
            </w:r>
            <w:r w:rsidRPr="00D8691E">
              <w:t xml:space="preserve">, der </w:t>
            </w:r>
            <w:r w:rsidRPr="00D8691E">
              <w:rPr>
                <w:b/>
                <w:i/>
              </w:rPr>
              <w:t xml:space="preserve">overvejer at begynde at fiske efter guldmakrel ved </w:t>
            </w:r>
            <w:r w:rsidRPr="00D8691E">
              <w:rPr>
                <w:b/>
                <w:i/>
              </w:rPr>
              <w:t>hjælp</w:t>
            </w:r>
            <w:r w:rsidRPr="00D8691E">
              <w:t xml:space="preserve"> af </w:t>
            </w:r>
            <w:r w:rsidRPr="00D8691E">
              <w:rPr>
                <w:b/>
                <w:i/>
              </w:rPr>
              <w:t>FAD'er, meddeler Kommissionen deres nationale foranstaltninger, når de er vedtaget, og Kommissionen sender straks disse foranstaltninger til GFCM's sekretariat</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Der indføres en overgangsordning for fiskeri med FAD'er indtil den 31. december 2026. </w:t>
            </w:r>
            <w:r w:rsidRPr="00D8691E">
              <w:rPr>
                <w:b/>
                <w:bCs/>
                <w:i/>
                <w:iCs/>
              </w:rPr>
              <w:t>I overgangsperioden sørger medlemsstaterne for, at der fastsættes en fangstbegrænsning på grundlag af de landinger, der indberettes til GFCM, som følger:</w:t>
            </w:r>
            <w:r w:rsidRPr="00D8691E">
              <w:rPr>
                <w:b/>
                <w:i/>
              </w:rPr>
              <w:t xml:space="preserve"> </w:t>
            </w:r>
            <w:r w:rsidRPr="00D8691E">
              <w:rPr>
                <w:b/>
                <w:bCs/>
                <w:i/>
                <w:iCs/>
              </w:rPr>
              <w:t>enten i) på grundlag af gennemsnittet af landinger i to på hinanden følgende år inden for perioden 201</w:t>
            </w:r>
            <w:r w:rsidRPr="00D8691E">
              <w:rPr>
                <w:b/>
                <w:bCs/>
                <w:i/>
                <w:iCs/>
              </w:rPr>
              <w:t>8-2022 eller ii) på grundlag af landinger i 2022."</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GFCM/46/2023/14, stk. 11</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42 c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84</w:t>
      </w:r>
      <w:r w:rsidRPr="00D8691E">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Artikel 84</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42c)</w:t>
            </w:r>
            <w:r w:rsidRPr="00D8691E">
              <w:tab/>
            </w:r>
            <w:r w:rsidRPr="00D8691E">
              <w:rPr>
                <w:b/>
                <w:i/>
              </w:rPr>
              <w:t>I artikel 84a tilføjes følgende nye stk. 3:</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Videnskabelig</w:t>
            </w:r>
            <w:r w:rsidRPr="00D8691E">
              <w:t xml:space="preserve"> overvågning samt tilpasning og revision af forvaltningsforanstaltninger</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"Videnskabelig</w:t>
            </w:r>
            <w:r w:rsidRPr="00D8691E">
              <w:t xml:space="preserve"> overvågning samt tilpasning og revision af forvaltningsforanstaltninger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 Medlemsstaterne ov</w:t>
            </w:r>
            <w:r w:rsidRPr="00D8691E">
              <w:t>ervåger den biologiske og miljømæssige virkning af FAD'er, der benyttes af fartøjer, der fører deres flag og fisker efter guldmakrel.</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1. Medlemsstaterne overvåger den biologiske og miljømæssige virkning af FAD'er, der benyttes af fartøjer, der fører deres </w:t>
            </w:r>
            <w:r w:rsidRPr="00D8691E">
              <w:t>flag og fisker efter guldmakrel.</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 For at give SAC bedre forudsætninger for at levere rådgivning med henblik på en revision af de foranstaltninger, der er fastsat i dette kapitel, indsamler medlemsstaterne de foreliggende relevante data, herunder forskni</w:t>
            </w:r>
            <w:r w:rsidRPr="00D8691E">
              <w:t>ngsundersøgelsesdata, for at bidrage til SAC's sammenstilling af data</w:t>
            </w:r>
          </w:p>
        </w:tc>
        <w:tc>
          <w:tcPr>
            <w:tcW w:w="4876" w:type="dxa"/>
            <w:tcBorders>
              <w:top w:val="nil"/>
              <w:left w:val="nil"/>
              <w:bottom w:val="nil"/>
              <w:right w:val="nil"/>
            </w:tcBorders>
            <w:hideMark/>
          </w:tcPr>
          <w:p w:rsidR="00DD5018" w:rsidRPr="00D8691E" w:rsidRDefault="00BD7D87" w:rsidP="00F37D8F">
            <w:pPr>
              <w:pStyle w:val="Normal6a"/>
            </w:pPr>
            <w:r w:rsidRPr="00D8691E">
              <w:t>2. For at give SAC bedre forudsætninger for at levere rådgivning med henblik på en revision af de foranstaltninger, der er fastsat i dette kapitel, indsamler medlemsstaterne de foreligge</w:t>
            </w:r>
            <w:r w:rsidRPr="00D8691E">
              <w:t>nde relevante data, herunder forskningsundersøgelsesdata, for at bidrage til SAC's sammenstilling af data</w:t>
            </w:r>
            <w:r w:rsidRPr="00D8691E">
              <w:rPr>
                <w:b/>
                <w:i/>
              </w:rPr>
              <w:t>.</w:t>
            </w:r>
          </w:p>
        </w:tc>
      </w:tr>
      <w:tr w:rsidR="00DF750B" w:rsidRPr="00D8691E" w:rsidTr="00F37D8F">
        <w:trPr>
          <w:jc w:val="center"/>
        </w:trPr>
        <w:tc>
          <w:tcPr>
            <w:tcW w:w="4876" w:type="dxa"/>
            <w:tcBorders>
              <w:top w:val="nil"/>
              <w:left w:val="nil"/>
              <w:bottom w:val="nil"/>
              <w:right w:val="nil"/>
            </w:tcBorders>
            <w:hideMark/>
          </w:tcPr>
          <w:p w:rsidR="00DD5018" w:rsidRPr="00D8691E" w:rsidRDefault="00DD5018" w:rsidP="00F37D8F"/>
        </w:tc>
        <w:tc>
          <w:tcPr>
            <w:tcW w:w="4876" w:type="dxa"/>
            <w:tcBorders>
              <w:top w:val="nil"/>
              <w:left w:val="nil"/>
              <w:bottom w:val="nil"/>
              <w:right w:val="nil"/>
            </w:tcBorders>
            <w:hideMark/>
          </w:tcPr>
          <w:p w:rsidR="00DD5018" w:rsidRPr="00D8691E" w:rsidRDefault="00BD7D87" w:rsidP="00F37D8F">
            <w:pPr>
              <w:pStyle w:val="Normal6a"/>
            </w:pPr>
            <w:r w:rsidRPr="00D8691E">
              <w:rPr>
                <w:b/>
                <w:i/>
              </w:rPr>
              <w:t>3. Medlemsstaterne indsender deres nationale data (som specificeret i bilag XXV) til Kommissionen senest den 15. juli i hvert kalenderår. Kommissio</w:t>
            </w:r>
            <w:r w:rsidRPr="00D8691E">
              <w:rPr>
                <w:b/>
                <w:i/>
              </w:rPr>
              <w:t>nen indsender de nationale data til GFCM's sekretariat senest den 31. juli i hvert kalenderår."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GFCM/46/2023/14, stk. 41.</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199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42 g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w:t>
            </w:r>
            <w:r w:rsidRPr="00D8691E">
              <w:t>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42g)</w:t>
            </w:r>
            <w:r w:rsidRPr="00D8691E">
              <w:tab/>
            </w:r>
            <w:r w:rsidRPr="00D8691E">
              <w:rPr>
                <w:b/>
                <w:i/>
              </w:rPr>
              <w:t>I artikel 86a indsættes et nyt stykke før stk. 1:</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Medlemsstaterne sikrer, at den samlede flådekapacitet for flåder, der opererer med FAD'er og aktivt fisker efter vigtige bestande for så vidt angår bruttotonnage (BT), maskineffekt (kW) og</w:t>
            </w:r>
            <w:r w:rsidRPr="00D8691E">
              <w:rPr>
                <w:b/>
                <w:i/>
              </w:rPr>
              <w:t xml:space="preserve"> antal fartøjer som registreret i både nationale registre og GFCM-registre, indtil 8 år efter datoen for den første vedtagelse af de forvaltningsforanstaltninger eller forvaltningsplaner, der er vedtaget på nationalt plan, jf. den foregående artikel, ikke </w:t>
            </w:r>
            <w:r w:rsidRPr="00D8691E">
              <w:rPr>
                <w:b/>
                <w:i/>
              </w:rPr>
              <w:t>overstiger flådekapaciteten for fartøjer, der fiskede efter guldmakrel med FAD'er i 2019.</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42 i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Kapitel VII</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42i)</w:t>
            </w:r>
            <w:r w:rsidRPr="00D8691E">
              <w:tab/>
            </w:r>
            <w:r w:rsidRPr="00D8691E">
              <w:rPr>
                <w:b/>
                <w:i/>
              </w:rPr>
              <w:t>overskriften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KAPITEL VII</w:t>
            </w:r>
          </w:p>
        </w:tc>
        <w:tc>
          <w:tcPr>
            <w:tcW w:w="4876" w:type="dxa"/>
            <w:tcBorders>
              <w:top w:val="nil"/>
              <w:left w:val="nil"/>
              <w:bottom w:val="nil"/>
              <w:right w:val="nil"/>
            </w:tcBorders>
            <w:hideMark/>
          </w:tcPr>
          <w:p w:rsidR="00DD5018" w:rsidRPr="00D8691E" w:rsidRDefault="00BD7D87" w:rsidP="00F37D8F">
            <w:pPr>
              <w:pStyle w:val="Normal6a"/>
            </w:pPr>
            <w:r w:rsidRPr="00D8691E">
              <w:rPr>
                <w:b/>
                <w:bCs/>
                <w:i/>
                <w:iCs/>
              </w:rPr>
              <w:t>"</w:t>
            </w:r>
            <w:r w:rsidRPr="00D8691E">
              <w:t>KAPITEL VII</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Guldmakrel</w:t>
            </w:r>
          </w:p>
        </w:tc>
        <w:tc>
          <w:tcPr>
            <w:tcW w:w="4876" w:type="dxa"/>
            <w:tcBorders>
              <w:top w:val="nil"/>
              <w:left w:val="nil"/>
              <w:bottom w:val="nil"/>
              <w:right w:val="nil"/>
            </w:tcBorders>
            <w:hideMark/>
          </w:tcPr>
          <w:p w:rsidR="00DD5018" w:rsidRPr="00D8691E" w:rsidRDefault="00BD7D87" w:rsidP="00F37D8F">
            <w:pPr>
              <w:pStyle w:val="Normal6a"/>
            </w:pPr>
            <w:r w:rsidRPr="00D8691E">
              <w:t>Guldmakrel</w:t>
            </w:r>
            <w:r w:rsidRPr="00D8691E">
              <w:rPr>
                <w:b/>
                <w:bCs/>
                <w:i/>
                <w:iCs/>
              </w:rPr>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43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85</w:t>
      </w:r>
      <w:r w:rsidRPr="00D8691E">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Artikel 85</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43a)</w:t>
            </w:r>
            <w:r w:rsidRPr="00D8691E">
              <w:tab/>
            </w:r>
            <w:r w:rsidRPr="00D8691E">
              <w:rPr>
                <w:b/>
                <w:i/>
              </w:rPr>
              <w:t>Artikel 85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 Nationale</w:t>
            </w:r>
            <w:r w:rsidRPr="00D8691E">
              <w:t xml:space="preserve"> forvaltningsforanstaltninger</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"Nationale</w:t>
            </w:r>
            <w:r w:rsidRPr="00D8691E">
              <w:t xml:space="preserve"> forvaltningsforanstaltninger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Medlemsstater, der fisker efter guldmakrel ved hjælp af FAD'er, og som ikke har truffet nationale forvaltningsforanstaltninger, vedtager</w:t>
            </w:r>
            <w:r w:rsidRPr="00D8691E">
              <w:t xml:space="preserve"> nationale </w:t>
            </w:r>
            <w:r w:rsidRPr="00D8691E">
              <w:rPr>
                <w:b/>
                <w:i/>
              </w:rPr>
              <w:t xml:space="preserve">forvaltningsforanstaltninger, der som </w:t>
            </w:r>
            <w:r w:rsidRPr="00D8691E">
              <w:rPr>
                <w:b/>
                <w:i/>
              </w:rPr>
              <w:t>minimum omfatter et sæt foranstaltninger indeholdende de elementer, der er angivet i bilag IX</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1. Medlemsstaterne indfører i den hensigt at sikre tilstrækkelig bevaring af guldmakrel fiskeriforvaltningsforanstaltninger eller</w:t>
            </w:r>
            <w:r w:rsidRPr="00D8691E">
              <w:t xml:space="preserve"> nationale </w:t>
            </w:r>
            <w:r w:rsidRPr="00D8691E">
              <w:rPr>
                <w:b/>
                <w:i/>
              </w:rPr>
              <w:t>forvaltningsplaner fo</w:t>
            </w:r>
            <w:r w:rsidRPr="00D8691E">
              <w:rPr>
                <w:b/>
                <w:i/>
              </w:rPr>
              <w:t>r geografiske underområder 1-27</w:t>
            </w:r>
            <w:r w:rsidRPr="00D8691E">
              <w: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Medlemsstaterne underretter fra 30. september 2024 Kommissionens om de forvaltningsforanstaltninger eller forvaltningsplaner, der indføres på nationalt plan. Medlemsstaterne underretter GFCM's sekretariat om de forvalt</w:t>
            </w:r>
            <w:r w:rsidRPr="00D8691E">
              <w:rPr>
                <w:b/>
                <w:i/>
              </w:rPr>
              <w:t>ningsforanstaltninger eller forvaltningsplaner, der indføres på nationalt plan.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Hvis disse foranstaltninger ændres, meddeler medlemsstaterne hvis hensigtsmæssigt ændringerne til Kommissionen senest den 15. april det følgende år. Medlemsstaterne </w:t>
            </w:r>
            <w:r w:rsidRPr="00D8691E">
              <w:rPr>
                <w:b/>
                <w:i/>
              </w:rPr>
              <w:t>underretter GFCM's sekretariat om ændringerne til de forvaltningsforanstaltninger eller forvaltningsplaner, der indføres på nationalt plan, senest den 30. april det følgende 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w:t>
      </w:r>
      <w:r w:rsidRPr="00D8691E">
        <w:rPr>
          <w:rStyle w:val="HideTWBExt"/>
        </w:rPr>
        <w:t>t&gt;</w:t>
      </w:r>
    </w:p>
    <w:p w:rsidR="00DD5018" w:rsidRPr="00D8691E" w:rsidRDefault="00BD7D87" w:rsidP="00DD5018">
      <w:pPr>
        <w:pStyle w:val="AmJustText"/>
      </w:pPr>
      <w:r w:rsidRPr="00D8691E">
        <w:t>GFCM/46/2023/14, stk. 66 til 67</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44 a (nyt)</w:t>
      </w:r>
      <w:r w:rsidRPr="00D8691E">
        <w:rPr>
          <w:rStyle w:val="HideTWBExt"/>
        </w:rPr>
        <w:t>&lt;/Article&gt;</w:t>
      </w:r>
    </w:p>
    <w:p w:rsidR="00DD5018" w:rsidRPr="00D8691E" w:rsidRDefault="00BD7D87" w:rsidP="00DD5018">
      <w:r w:rsidRPr="00D8691E">
        <w:rPr>
          <w:rStyle w:val="HideTWBExt"/>
        </w:rPr>
        <w:t>&lt;</w:t>
      </w:r>
      <w:r w:rsidRPr="00D8691E">
        <w:rPr>
          <w:rStyle w:val="HideTWBExt"/>
        </w:rPr>
        <w: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87</w:t>
      </w:r>
      <w:r w:rsidRPr="00D8691E">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Artikel 87</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44a)</w:t>
            </w:r>
            <w:r w:rsidRPr="00D8691E">
              <w:tab/>
            </w:r>
            <w:r w:rsidRPr="00D8691E">
              <w:rPr>
                <w:b/>
                <w:i/>
              </w:rPr>
              <w:t>I stk. 5 foretages følgende ændringer: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Rapportering</w:t>
            </w:r>
            <w:r w:rsidRPr="00D8691E">
              <w:t xml:space="preserve"> af FAD-fiskeri</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"Rapportering</w:t>
            </w:r>
            <w:r w:rsidRPr="00D8691E">
              <w:t xml:space="preserve"> af FAD-fiskeri</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1. Uden at det berører </w:t>
            </w:r>
            <w:r w:rsidRPr="00D8691E">
              <w:t>Europa-Parlamentets og Rådets forordning (EU)</w:t>
            </w:r>
            <w:r w:rsidRPr="00D8691E">
              <w:rPr>
                <w:b/>
                <w:i/>
              </w:rPr>
              <w:t xml:space="preserve"> </w:t>
            </w:r>
            <w:r w:rsidRPr="00D8691E">
              <w:t>2017/1004 (18), etablerer medlemsstaterne en passende ordning for indsamling og behandling af fangst- og fiskeriindsatsdata.</w:t>
            </w:r>
          </w:p>
        </w:tc>
        <w:tc>
          <w:tcPr>
            <w:tcW w:w="4876" w:type="dxa"/>
            <w:tcBorders>
              <w:top w:val="nil"/>
              <w:left w:val="nil"/>
              <w:bottom w:val="nil"/>
              <w:right w:val="nil"/>
            </w:tcBorders>
            <w:hideMark/>
          </w:tcPr>
          <w:p w:rsidR="00DD5018" w:rsidRPr="00D8691E" w:rsidRDefault="00BD7D87" w:rsidP="00F37D8F">
            <w:pPr>
              <w:pStyle w:val="Normal6a"/>
            </w:pPr>
            <w:r w:rsidRPr="00D8691E">
              <w:t>1. Uden at det berører Europa-Parlamentets og Rådets forordning (EU)</w:t>
            </w:r>
            <w:r w:rsidRPr="00D8691E">
              <w:rPr>
                <w:b/>
                <w:i/>
              </w:rPr>
              <w:t> </w:t>
            </w:r>
            <w:r w:rsidRPr="00D8691E">
              <w:t xml:space="preserve">2017/1004 (18), </w:t>
            </w:r>
            <w:r w:rsidRPr="00D8691E">
              <w:t>etablerer medlemsstaterne en passende ordning for indsamling og behandling af fangst- og fiskeriindsatsdata.</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 Medlemsstaterne aflægger senest den 15.</w:t>
            </w:r>
            <w:r w:rsidRPr="00D8691E">
              <w:rPr>
                <w:b/>
                <w:i/>
              </w:rPr>
              <w:t xml:space="preserve"> juli</w:t>
            </w:r>
            <w:r w:rsidRPr="00D8691E">
              <w:t xml:space="preserve"> hvert år rapport til Kommissionen om, hvor mange fartøjer der har deltaget i guldmakrelfiskeriet, </w:t>
            </w:r>
            <w:r w:rsidRPr="00D8691E">
              <w:t>og hvor store mængder guldmakrel de fartøjer, der fører deres flag, har landet og omladet i det foregående år i hvert geografisk underområde i GFCM-aftaleområdet som angivet i bilag</w:t>
            </w:r>
            <w:r w:rsidRPr="00D8691E">
              <w:rPr>
                <w:b/>
                <w:i/>
              </w:rPr>
              <w:t xml:space="preserve"> </w:t>
            </w:r>
            <w:r w:rsidRPr="00D8691E">
              <w:t>I.</w:t>
            </w:r>
          </w:p>
        </w:tc>
        <w:tc>
          <w:tcPr>
            <w:tcW w:w="4876" w:type="dxa"/>
            <w:tcBorders>
              <w:top w:val="nil"/>
              <w:left w:val="nil"/>
              <w:bottom w:val="nil"/>
              <w:right w:val="nil"/>
            </w:tcBorders>
            <w:hideMark/>
          </w:tcPr>
          <w:p w:rsidR="00DD5018" w:rsidRPr="00D8691E" w:rsidRDefault="00BD7D87" w:rsidP="00F37D8F">
            <w:pPr>
              <w:pStyle w:val="Normal6a"/>
            </w:pPr>
            <w:r w:rsidRPr="00D8691E">
              <w:t>2. Medlemsstaterne aflægger senest den 15.</w:t>
            </w:r>
            <w:r w:rsidRPr="00D8691E">
              <w:rPr>
                <w:b/>
                <w:i/>
              </w:rPr>
              <w:t> januar</w:t>
            </w:r>
            <w:r w:rsidRPr="00D8691E">
              <w:t xml:space="preserve"> hvert år rapport til </w:t>
            </w:r>
            <w:r w:rsidRPr="00D8691E">
              <w:t>Kommissionen om, hvor mange fartøjer der har deltaget i guldmakrelfiskeriet, og hvor store mængder guldmakrel de fartøjer, der fører deres flag, har landet og omladet i det foregående år i hvert geografisk underområde i GFCM-aftaleområdet som angivet i bil</w:t>
            </w:r>
            <w:r w:rsidRPr="00D8691E">
              <w:t>ag</w:t>
            </w:r>
            <w:r w:rsidRPr="00D8691E">
              <w:rPr>
                <w:b/>
                <w:i/>
              </w:rPr>
              <w:t> </w:t>
            </w:r>
            <w:r w:rsidRPr="00D8691E">
              <w:t>I.</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 Kommissionen kan vedtage gennemførelsesretsakter, hvad angår detaljerede regler for formatet og fremsendelsen af disse rapporter.  Disse gennemførelsesretsakter vedtages efter undersøgelsesproceduren, jf. artikel</w:t>
            </w:r>
            <w:r w:rsidRPr="00D8691E">
              <w:rPr>
                <w:b/>
                <w:i/>
              </w:rPr>
              <w:t xml:space="preserve"> </w:t>
            </w:r>
            <w:r w:rsidRPr="00D8691E">
              <w:t>138, stk.</w:t>
            </w:r>
            <w:r w:rsidRPr="00D8691E">
              <w:rPr>
                <w:b/>
                <w:i/>
              </w:rPr>
              <w:t xml:space="preserve"> </w:t>
            </w:r>
            <w:r w:rsidRPr="00D8691E">
              <w:t>2.</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3. Kommissionen kan </w:t>
            </w:r>
            <w:r w:rsidRPr="00D8691E">
              <w:t>vedtage gennemførelsesretsakter, hvad angår detaljerede regler for formatet og fremsendelsen af disse rapporter. Disse gennemførelsesretsakter vedtages efter undersøgelsesproceduren, jf. artikel</w:t>
            </w:r>
            <w:r w:rsidRPr="00D8691E">
              <w:rPr>
                <w:b/>
                <w:i/>
              </w:rPr>
              <w:t> </w:t>
            </w:r>
            <w:r w:rsidRPr="00D8691E">
              <w:t>138, stk.</w:t>
            </w:r>
            <w:r w:rsidRPr="00D8691E">
              <w:rPr>
                <w:b/>
                <w:i/>
              </w:rPr>
              <w:t> </w:t>
            </w:r>
            <w:r w:rsidRPr="00D8691E">
              <w:t>2.</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4. Kommissionen sender oplysningerne fra medlem</w:t>
            </w:r>
            <w:r w:rsidRPr="00D8691E">
              <w:t>sstaterne til GFCM's sekretariat.</w:t>
            </w:r>
          </w:p>
        </w:tc>
        <w:tc>
          <w:tcPr>
            <w:tcW w:w="4876" w:type="dxa"/>
            <w:tcBorders>
              <w:top w:val="nil"/>
              <w:left w:val="nil"/>
              <w:bottom w:val="nil"/>
              <w:right w:val="nil"/>
            </w:tcBorders>
            <w:hideMark/>
          </w:tcPr>
          <w:p w:rsidR="00DD5018" w:rsidRPr="00D8691E" w:rsidRDefault="00BD7D87" w:rsidP="00F37D8F">
            <w:pPr>
              <w:pStyle w:val="Normal6a"/>
            </w:pPr>
            <w:r w:rsidRPr="00D8691E">
              <w:t>4. Kommissionen sender oplysningerne fra medlemsstaterne til GFCM's sekretariat.</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5. Fiskere eller førere af fiskerfartøjer med tilladelse, der fisker efter guldmakrel </w:t>
            </w:r>
            <w:r w:rsidRPr="00D8691E">
              <w:rPr>
                <w:b/>
                <w:i/>
              </w:rPr>
              <w:t>inden for anvendelsesområdet for</w:t>
            </w:r>
            <w:r w:rsidRPr="00D8691E">
              <w:t xml:space="preserve"> denne afdeling, regis</w:t>
            </w:r>
            <w:r w:rsidRPr="00D8691E">
              <w:t xml:space="preserve">trerer deres </w:t>
            </w:r>
            <w:r w:rsidRPr="00D8691E">
              <w:rPr>
                <w:b/>
                <w:i/>
              </w:rPr>
              <w:t>FAD-fiskeri</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5. </w:t>
            </w:r>
            <w:r w:rsidRPr="00D8691E">
              <w:rPr>
                <w:b/>
                <w:i/>
              </w:rPr>
              <w:t xml:space="preserve">Medlemsstaterne sikrer, at alle fiskerfartøjer, der fører deres flag og </w:t>
            </w:r>
            <w:r w:rsidRPr="00D8691E">
              <w:t xml:space="preserve">fiskere eller førere af fiskerfartøjer med tilladelse, der fisker efter guldmakrel </w:t>
            </w:r>
            <w:r w:rsidRPr="00D8691E">
              <w:rPr>
                <w:b/>
                <w:i/>
              </w:rPr>
              <w:t>i henhold til bestemmelserne i</w:t>
            </w:r>
            <w:r w:rsidRPr="00D8691E">
              <w:t xml:space="preserve"> denne afdeling, registrerer deres </w:t>
            </w:r>
            <w:r w:rsidRPr="00D8691E">
              <w:rPr>
                <w:b/>
                <w:i/>
              </w:rPr>
              <w:t>brug af</w:t>
            </w:r>
            <w:r w:rsidRPr="00D8691E">
              <w:rPr>
                <w:b/>
                <w:i/>
              </w:rPr>
              <w:t xml:space="preserve"> FAD til fiskeri</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GFCM/46/2023/14, stk. 52</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44 c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88</w:t>
      </w:r>
      <w:r w:rsidRPr="00D8691E">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Artikel</w:t>
            </w:r>
            <w:r w:rsidRPr="00D8691E">
              <w:rPr>
                <w:b/>
                <w:i/>
              </w:rPr>
              <w:t xml:space="preserve"> 88</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44c)</w:t>
            </w:r>
            <w:r w:rsidRPr="00D8691E">
              <w:tab/>
            </w:r>
            <w:r w:rsidRPr="00D8691E">
              <w:rPr>
                <w:b/>
                <w:i/>
              </w:rPr>
              <w:t xml:space="preserve">I artikel 88 indsættes </w:t>
            </w:r>
            <w:r w:rsidRPr="00D8691E">
              <w:rPr>
                <w:b/>
                <w:i/>
              </w:rPr>
              <w:t>følgende nye stk. 3a:</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Udformning</w:t>
            </w:r>
            <w:r w:rsidRPr="00D8691E">
              <w:t>, lokalisering, vedligeholdelse og udskiftning af FAD'er</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"Udformning</w:t>
            </w:r>
            <w:r w:rsidRPr="00D8691E">
              <w:t>, lokalisering, vedligeholdelse og udskiftning af FAD'er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1. I tilfælde, hvor FAD'ens overflade er dækket af et materiale, sikrer medlemsstaterne, at det </w:t>
            </w:r>
            <w:r w:rsidRPr="00D8691E">
              <w:t>pågældende materiale fjernes, eller at konstruktionen kun er dækket af materiale, der indebærer minimal risiko for, at ikke-målarter, navnlig sårbare arter, filtres ind, eller at andre fartøjer påvirkes.</w:t>
            </w:r>
          </w:p>
        </w:tc>
        <w:tc>
          <w:tcPr>
            <w:tcW w:w="4876" w:type="dxa"/>
            <w:tcBorders>
              <w:top w:val="nil"/>
              <w:left w:val="nil"/>
              <w:bottom w:val="nil"/>
              <w:right w:val="nil"/>
            </w:tcBorders>
            <w:hideMark/>
          </w:tcPr>
          <w:p w:rsidR="00DD5018" w:rsidRPr="00D8691E" w:rsidRDefault="00BD7D87" w:rsidP="00F37D8F">
            <w:pPr>
              <w:pStyle w:val="Normal6a"/>
            </w:pPr>
            <w:r w:rsidRPr="00D8691E">
              <w:t>1. I tilfælde, hvor FAD'ens overflade er dækket af e</w:t>
            </w:r>
            <w:r w:rsidRPr="00D8691E">
              <w:t>t materiale, sikrer medlemsstaterne, at det pågældende materiale fjernes, eller at konstruktionen kun er dækket af materiale, der indebærer minimal risiko for, at ikke-målarter, navnlig sårbare arter, filtres ind, eller at andre fartøjer påvirkes.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 FAD-</w:t>
            </w:r>
            <w:r w:rsidRPr="00D8691E">
              <w:t>komponenter, der befinder sig under overfladen, må udelukkende bestå af materialer, der ikke fører til indfiltring af ikke-målarter.</w:t>
            </w:r>
          </w:p>
        </w:tc>
        <w:tc>
          <w:tcPr>
            <w:tcW w:w="4876" w:type="dxa"/>
            <w:tcBorders>
              <w:top w:val="nil"/>
              <w:left w:val="nil"/>
              <w:bottom w:val="nil"/>
              <w:right w:val="nil"/>
            </w:tcBorders>
            <w:hideMark/>
          </w:tcPr>
          <w:p w:rsidR="00DD5018" w:rsidRPr="00D8691E" w:rsidRDefault="00BD7D87" w:rsidP="00F37D8F">
            <w:pPr>
              <w:pStyle w:val="Normal6a"/>
            </w:pPr>
            <w:r w:rsidRPr="00D8691E">
              <w:t>2. FAD-komponenter, der befinder sig under overfladen, må udelukkende bestå af materialer, der ikke fører til indfiltring a</w:t>
            </w:r>
            <w:r w:rsidRPr="00D8691E">
              <w:t>f ikke-målarter.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 Det skal prioriteres at anvende bionedbrydelige materialer ved konstruktionen af FAD'er.</w:t>
            </w:r>
          </w:p>
        </w:tc>
        <w:tc>
          <w:tcPr>
            <w:tcW w:w="4876" w:type="dxa"/>
            <w:tcBorders>
              <w:top w:val="nil"/>
              <w:left w:val="nil"/>
              <w:bottom w:val="nil"/>
              <w:right w:val="nil"/>
            </w:tcBorders>
            <w:hideMark/>
          </w:tcPr>
          <w:p w:rsidR="00DD5018" w:rsidRPr="00D8691E" w:rsidRDefault="00BD7D87" w:rsidP="00F37D8F">
            <w:pPr>
              <w:pStyle w:val="Normal6a"/>
            </w:pPr>
            <w:r w:rsidRPr="00D8691E">
              <w:t>3. Det skal prioriteres at anvende bionedbrydelige materialer ved konstruktionen af FAD'er.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3a. FAD'er bør fra den første dag i sæsonen for FAD-</w:t>
            </w:r>
            <w:r w:rsidRPr="00D8691E">
              <w:rPr>
                <w:b/>
                <w:i/>
              </w:rPr>
              <w:t>fiskeri i 2027 udelukkende være konstrueret af bionedbrydelige materialer.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4. FAD'er skal kunne lokaliseres på pålidelig vis på det sted, hvor de er sat ud.  FAD'er konstrueres således, at de omfatter et passende antal kontravægte langs rebet for at </w:t>
            </w:r>
            <w:r w:rsidRPr="00D8691E">
              <w:t>sikre, at rebet synker til bunds i tilfælde, hvor den flydende del rives løs og driver væk.</w:t>
            </w:r>
          </w:p>
        </w:tc>
        <w:tc>
          <w:tcPr>
            <w:tcW w:w="4876" w:type="dxa"/>
            <w:tcBorders>
              <w:top w:val="nil"/>
              <w:left w:val="nil"/>
              <w:bottom w:val="nil"/>
              <w:right w:val="nil"/>
            </w:tcBorders>
            <w:hideMark/>
          </w:tcPr>
          <w:p w:rsidR="00DD5018" w:rsidRPr="00D8691E" w:rsidRDefault="00BD7D87" w:rsidP="00F37D8F">
            <w:pPr>
              <w:pStyle w:val="Normal6a"/>
            </w:pPr>
            <w:r w:rsidRPr="00D8691E">
              <w:t>4. FAD'er skal kunne lokaliseres på pålidelig vis på det sted, hvor de er sat ud. FAD'er konstrueres således, at de omfatter et passende antal kontravægte langs reb</w:t>
            </w:r>
            <w:r w:rsidRPr="00D8691E">
              <w:t>et for at sikre, at rebet synker til bunds i tilfælde, hvor den flydende del rives løs og driver væk.</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5. </w:t>
            </w:r>
            <w:r w:rsidRPr="00D8691E">
              <w:t>Fiskere eller førere af fiskerfartøjer, der fisker efter guldmakrel, sikrer, at FAD'erne vedligeholdes regelmæssigt, udskiftes efter behov og fjernes, når de ikke er i brug.  FAD'er skiftes ud med FAD'er af samme type, konstruktion, udformning og materiale</w:t>
            </w:r>
            <w:r w:rsidRPr="00D8691E">
              <w:t>r og med den samme identifikation som den FAD, der udskiftes.</w:t>
            </w:r>
            <w:r w:rsidRPr="00D8691E">
              <w:rPr>
                <w:b/>
                <w:i/>
              </w:rPr>
              <w:t xml:space="preserve"> </w:t>
            </w:r>
            <w:r w:rsidRPr="00D8691E">
              <w:t xml:space="preserve"> Forankrede FAD'er skiftes ud med FAD'er i samme position som den FAD, der udskiftes.</w:t>
            </w:r>
          </w:p>
        </w:tc>
        <w:tc>
          <w:tcPr>
            <w:tcW w:w="4876" w:type="dxa"/>
            <w:tcBorders>
              <w:top w:val="nil"/>
              <w:left w:val="nil"/>
              <w:bottom w:val="nil"/>
              <w:right w:val="nil"/>
            </w:tcBorders>
            <w:hideMark/>
          </w:tcPr>
          <w:p w:rsidR="00DD5018" w:rsidRPr="00D8691E" w:rsidRDefault="00BD7D87" w:rsidP="00F37D8F">
            <w:pPr>
              <w:pStyle w:val="Normal6a"/>
            </w:pPr>
            <w:r w:rsidRPr="00D8691E">
              <w:t>5. Fiskere eller førere af fiskerfartøjer, der fisker efter guldmakrel, sikrer, at FAD'erne vedligeholdes re</w:t>
            </w:r>
            <w:r w:rsidRPr="00D8691E">
              <w:t>gelmæssigt, udskiftes efter behov og fjernes, når de ikke er i brug. FAD'er skiftes ud med FAD'er af samme type, konstruktion, udformning og materialer og med den samme identifikation som den FAD, der udskiftes. Forankrede FAD'er skiftes ud med FAD'er i sa</w:t>
            </w:r>
            <w:r w:rsidRPr="00D8691E">
              <w:t>mme position som den FAD, der udskiftes.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6. Såfremt en FAD </w:t>
            </w:r>
            <w:r w:rsidRPr="00D8691E">
              <w:rPr>
                <w:b/>
                <w:i/>
              </w:rPr>
              <w:t>mistes,</w:t>
            </w:r>
            <w:r w:rsidRPr="00D8691E">
              <w:t xml:space="preserve"> eller </w:t>
            </w:r>
            <w:r w:rsidRPr="00D8691E">
              <w:rPr>
                <w:b/>
                <w:i/>
              </w:rPr>
              <w:t xml:space="preserve">det </w:t>
            </w:r>
            <w:r w:rsidRPr="00D8691E">
              <w:t xml:space="preserve">er </w:t>
            </w:r>
            <w:r w:rsidRPr="00D8691E">
              <w:rPr>
                <w:b/>
                <w:i/>
              </w:rPr>
              <w:t>umuligt</w:t>
            </w:r>
            <w:r w:rsidRPr="00D8691E">
              <w:t xml:space="preserve"> at hale</w:t>
            </w:r>
            <w:r w:rsidRPr="00D8691E">
              <w:rPr>
                <w:b/>
                <w:i/>
              </w:rPr>
              <w:t xml:space="preserve"> den</w:t>
            </w:r>
            <w:r w:rsidRPr="00D8691E">
              <w:t xml:space="preserve"> ind, registrerer fiskerne eller fiskerfartøjsførerne den sidste kendte position og datoen herfor. Fiskerfartøjer, der fisker efter guldmakrel, indsamler og</w:t>
            </w:r>
            <w:r w:rsidRPr="00D8691E">
              <w:t xml:space="preserve"> rapporterer den sidste registrerede position for den mistede FAD samt datoen herfor, FAD'ens identifikationsnummer og eventuelle andre oplysninger, der gør det muligt at identificere FAD'ens ejer.</w:t>
            </w:r>
            <w:r w:rsidRPr="00D8691E">
              <w:rPr>
                <w:b/>
                <w:i/>
              </w:rPr>
              <w:t>"</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6. Såfremt en FAD </w:t>
            </w:r>
            <w:r w:rsidRPr="00D8691E">
              <w:rPr>
                <w:b/>
                <w:i/>
              </w:rPr>
              <w:t>går tabt</w:t>
            </w:r>
            <w:r w:rsidRPr="00D8691E">
              <w:t xml:space="preserve"> eller er </w:t>
            </w:r>
            <w:r w:rsidRPr="00D8691E">
              <w:rPr>
                <w:b/>
                <w:i/>
              </w:rPr>
              <w:t>umulig</w:t>
            </w:r>
            <w:r w:rsidRPr="00D8691E">
              <w:t xml:space="preserve"> at hale ind, r</w:t>
            </w:r>
            <w:r w:rsidRPr="00D8691E">
              <w:t>egistrerer fiskerne eller fiskerfartøjsførerne den sidste kendte position og datoen herfor. Fiskerfartøjer, der fisker efter guldmakrel, indsamler og rapporterer den sidste registrerede position for den mistede FAD samt datoen herfor, FAD'ens identifikatio</w:t>
            </w:r>
            <w:r w:rsidRPr="00D8691E">
              <w:t>nsnummer og eventuelle andre oplysninger, der gør det muligt at identificere FAD'ens ejer.</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7. Medlemsstaterne træffer alle de foranstaltninger, der er nødvendige for at sikre, at FAD'er, der ikke længere er i brug, samles ind.</w:t>
            </w:r>
          </w:p>
        </w:tc>
        <w:tc>
          <w:tcPr>
            <w:tcW w:w="4876" w:type="dxa"/>
            <w:tcBorders>
              <w:top w:val="nil"/>
              <w:left w:val="nil"/>
              <w:bottom w:val="nil"/>
              <w:right w:val="nil"/>
            </w:tcBorders>
            <w:hideMark/>
          </w:tcPr>
          <w:p w:rsidR="00DD5018" w:rsidRPr="00D8691E" w:rsidRDefault="00BD7D87" w:rsidP="00F37D8F">
            <w:pPr>
              <w:pStyle w:val="Normal6a"/>
              <w:rPr>
                <w:b/>
                <w:i/>
              </w:rPr>
            </w:pPr>
            <w:r w:rsidRPr="00D8691E">
              <w:t xml:space="preserve">7. Medlemsstaterne træffer </w:t>
            </w:r>
            <w:r w:rsidRPr="00D8691E">
              <w:t>alle de foranstaltninger, der er nødvendige for at sikre, at FAD'er, der ikke længere er i brug, samles ind.</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8. Det er forbudt for et fartøj, der fører en medlemsstats flag, at fange fisk, der er tiltrukket af en FAD, som det pågældende fartøj ikke har sa</w:t>
            </w:r>
            <w:r w:rsidRPr="00D8691E">
              <w:t>t ud.</w:t>
            </w:r>
          </w:p>
        </w:tc>
        <w:tc>
          <w:tcPr>
            <w:tcW w:w="4876" w:type="dxa"/>
            <w:tcBorders>
              <w:top w:val="nil"/>
              <w:left w:val="nil"/>
              <w:bottom w:val="nil"/>
              <w:right w:val="nil"/>
            </w:tcBorders>
            <w:hideMark/>
          </w:tcPr>
          <w:p w:rsidR="00DD5018" w:rsidRPr="00D8691E" w:rsidRDefault="00BD7D87" w:rsidP="00F37D8F">
            <w:pPr>
              <w:pStyle w:val="Normal6a"/>
            </w:pPr>
            <w:r w:rsidRPr="00D8691E">
              <w:t>8. Det er forbudt for et fartøj, der fører en medlemsstats flag, at fange fisk, der er tiltrukket af en FAD, som det pågældende fartøj ikke har sat ud.</w:t>
            </w:r>
            <w:r w:rsidRPr="00D8691E">
              <w:rPr>
                <w:b/>
                <w:i/>
              </w:rPr>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GFCM/46/2023/14,</w:t>
      </w:r>
      <w:r w:rsidRPr="00D8691E">
        <w:t xml:space="preserve"> stk. 44</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Eric Sargiacomo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45</w:t>
      </w:r>
      <w:r w:rsidRPr="00D8691E">
        <w:rPr>
          <w:rStyle w:val="HideTWBExt"/>
        </w:rPr>
        <w:t>&lt;/Article&gt;</w:t>
      </w:r>
    </w:p>
    <w:p w:rsidR="00DD5018" w:rsidRPr="00D8691E" w:rsidRDefault="00BD7D87" w:rsidP="00DD5018">
      <w:r w:rsidRPr="00D8691E">
        <w:rPr>
          <w:rStyle w:val="HideTWBExt"/>
        </w:rPr>
        <w:t>&lt;DocAmend2&gt;</w:t>
      </w:r>
      <w:r w:rsidRPr="00D8691E">
        <w:t xml:space="preserve">Forordning (EU) nr. </w:t>
      </w:r>
      <w:r w:rsidRPr="00D8691E">
        <w:t>2023/2124</w:t>
      </w:r>
      <w:r w:rsidRPr="00D8691E">
        <w:rPr>
          <w:rStyle w:val="HideTWBExt"/>
        </w:rPr>
        <w:t>&lt;/DocAmend2&gt;</w:t>
      </w:r>
    </w:p>
    <w:p w:rsidR="00DD5018" w:rsidRPr="00D8691E" w:rsidRDefault="00BD7D87" w:rsidP="00DD5018">
      <w:r w:rsidRPr="00D8691E">
        <w:rPr>
          <w:rStyle w:val="HideTWBExt"/>
        </w:rPr>
        <w:t>&lt;Article2&gt;</w:t>
      </w:r>
      <w:r w:rsidRPr="00D8691E">
        <w:t>Artikel 88</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6.</w:t>
            </w:r>
            <w:r w:rsidRPr="00D8691E">
              <w:tab/>
              <w:t xml:space="preserve">Uden at det berører strengere bestemmelser fastsat i artikel 14, stk. 7, og artikel 48 i forordning (EF) nr. 1224/2009, registrerer fiskerne eller </w:t>
            </w:r>
            <w:r w:rsidRPr="00D8691E">
              <w:t xml:space="preserve">fiskerfartøjsførerne, såfremt en FAD mistes, eller det er umuligt at hale den ind, den sidste kendte position og datoen herfor. Fiskerfartøjer, der fisker efter guldmakrel, indsamler og rapporterer den sidste registrerede position for den mistede FAD samt </w:t>
            </w:r>
            <w:r w:rsidRPr="00D8691E">
              <w:t>datoen herfor, FAD'ens identifikationsnummer og eventuelle andre oplysninger, der gør det muligt at identificere FAD'ens ejer.</w:t>
            </w:r>
            <w:r w:rsidRPr="00D8691E">
              <w:rPr>
                <w:b/>
                <w:i/>
              </w:rPr>
              <w:t>"</w:t>
            </w:r>
          </w:p>
        </w:tc>
        <w:tc>
          <w:tcPr>
            <w:tcW w:w="4876" w:type="dxa"/>
            <w:tcBorders>
              <w:top w:val="nil"/>
              <w:left w:val="nil"/>
              <w:bottom w:val="nil"/>
              <w:right w:val="nil"/>
            </w:tcBorders>
            <w:hideMark/>
          </w:tcPr>
          <w:p w:rsidR="00DD5018" w:rsidRPr="00D8691E" w:rsidRDefault="00BD7D87" w:rsidP="00F37D8F">
            <w:pPr>
              <w:pStyle w:val="Normal6a"/>
            </w:pPr>
            <w:r w:rsidRPr="00D8691E">
              <w:t>6.</w:t>
            </w:r>
            <w:r w:rsidRPr="00D8691E">
              <w:tab/>
              <w:t>Uden at det berører strengere bestemmelser fastsat i artikel 14, stk. 7, og artikel 48 i forordning (EF) nr. 1224/2009, regis</w:t>
            </w:r>
            <w:r w:rsidRPr="00D8691E">
              <w:t>trerer fiskerne eller fiskerfartøjsførerne, såfremt en FAD mistes, eller det er umuligt at hale den ind, den sidste kendte position og datoen herfor</w:t>
            </w:r>
            <w:r w:rsidRPr="00D8691E">
              <w:rPr>
                <w:b/>
                <w:i/>
              </w:rPr>
              <w:t xml:space="preserve"> i fiskerilogbogen</w:t>
            </w:r>
            <w:r w:rsidRPr="00D8691E">
              <w:t>. Fiskerfartøjer, der fisker efter guldmakrel, indsamler og rapporterer den sidste registr</w:t>
            </w:r>
            <w:r w:rsidRPr="00D8691E">
              <w:t>erede position for den mistede FAD samt datoen herfor, FAD'ens identifikationsnummer og eventuelle andre oplysninger, der gør det muligt at identificere FAD'ens ejer.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{FR}</w:t>
      </w:r>
      <w:r w:rsidRPr="00D8691E">
        <w:t>fr</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205</w:t>
      </w:r>
      <w:r w:rsidRPr="00D8691E">
        <w:rPr>
          <w:rStyle w:val="HideTWBExt"/>
        </w:rPr>
        <w:t>&lt;/NumAm&gt;</w:t>
      </w:r>
    </w:p>
    <w:p w:rsidR="00DD5018" w:rsidRPr="00D8691E" w:rsidRDefault="00BD7D87" w:rsidP="00DD5018">
      <w:pPr>
        <w:pStyle w:val="NormalBold"/>
      </w:pPr>
      <w:r w:rsidRPr="00D8691E">
        <w:rPr>
          <w:rStyle w:val="HideTWBExt"/>
        </w:rPr>
        <w:t>&lt;Rep</w:t>
      </w:r>
      <w:r w:rsidRPr="00D8691E">
        <w:rPr>
          <w:rStyle w:val="HideTWBExt"/>
        </w:rPr>
        <w:t>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45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89</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45a)</w:t>
            </w:r>
            <w:r w:rsidRPr="00D8691E">
              <w:tab/>
            </w:r>
            <w:r w:rsidRPr="00D8691E">
              <w:rPr>
                <w:b/>
                <w:i/>
              </w:rPr>
              <w:t>I artikel 89 indsættes et nyt stk. 3:</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Medlemsstaterne sikrer, at fartøjer der fører deres flag, såfremt anordninger går tabt, registrerer og indberetter sidst kendte position for den mistede anordning samt </w:t>
            </w:r>
            <w:r w:rsidRPr="00D8691E">
              <w:rPr>
                <w:b/>
                <w:i/>
              </w:rPr>
              <w:t>datoen herfor, anordningens identifikationsnummer og eventuelle andre oplysninger, der gør det muligt at identificere dens ejer.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 xml:space="preserve">Fremtidig identifikation af FAD'er bør baseres på </w:t>
      </w:r>
      <w:r w:rsidRPr="00D8691E">
        <w:t>forordning 1224/2009.</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45 c (nyt)</w:t>
      </w:r>
      <w:r w:rsidRPr="00D8691E">
        <w:rPr>
          <w:rStyle w:val="HideTWBExt"/>
        </w:rPr>
        <w:t>&lt;/Article&gt;</w:t>
      </w:r>
    </w:p>
    <w:p w:rsidR="00DD5018" w:rsidRPr="00D8691E" w:rsidRDefault="00BD7D87" w:rsidP="00DD5018">
      <w:r w:rsidRPr="00D8691E">
        <w:rPr>
          <w:rStyle w:val="HideTWBExt"/>
        </w:rPr>
        <w:t>&lt;DocAmend2&gt;</w:t>
      </w:r>
      <w:r w:rsidRPr="00D8691E">
        <w:t>For</w:t>
      </w:r>
      <w:r w:rsidRPr="00D8691E">
        <w:t>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89</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45c)</w:t>
            </w:r>
            <w:r w:rsidRPr="00D8691E">
              <w:tab/>
            </w:r>
            <w:r w:rsidRPr="00D8691E">
              <w:rPr>
                <w:b/>
                <w:i/>
              </w:rPr>
              <w:t>Følgende artikel indsættes mellem artikel 89 og 90 som artikel 89a: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89a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Specifikke foranstaltninger til bekæmpelse af </w:t>
            </w:r>
            <w:r w:rsidRPr="00D8691E">
              <w:rPr>
                <w:b/>
                <w:i/>
              </w:rPr>
              <w:t>IUU-fiskeri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 Hver medlemsstat drager omsorg for, at der findes hensigtsmæssige mekanismer til registrering af hvert fiskerfartøj i et nationalt flåderegister, indføring af fartøjets fangster og fiskeriindsats i logbogen og overvågning af </w:t>
            </w:r>
            <w:r w:rsidRPr="00D8691E">
              <w:rPr>
                <w:b/>
                <w:i/>
              </w:rPr>
              <w:t>fiskerfartøjers aktiviteter og landinger ved hjælp af undersøgelser og stikprøvekontrol af fangster og indsats i overensstemmelse med de regler, der er fastsat af medlemsstaten.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Medlemsstaterne udpeger landingssteder, hvor fartøjer, der fisker aktivt </w:t>
            </w:r>
            <w:r w:rsidRPr="00D8691E">
              <w:rPr>
                <w:b/>
                <w:i/>
              </w:rPr>
              <w:t>efter guldmakrel i Middelhavet, skal foretage landing. Den pågældende medlemsstat fastsætter for hver udpeget havn de nærmere tidspunkter og steder, hvor landing og omladning må finde sted. Medlemsstaterne sikrer også inspektionsdækning af sådanne aktivite</w:t>
            </w:r>
            <w:r w:rsidRPr="00D8691E">
              <w:rPr>
                <w:b/>
                <w:i/>
              </w:rPr>
              <w:t>ter på landings- og omladningstidspunkter på alle udpegede landingssteder på grundlag af en risikoanalyse.</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Det er forbudt at lande eller omlade nogen som helst mængde af guldmakrel, der er fanget i Middelhavet, ved andre steder end de landingssteder, </w:t>
            </w:r>
            <w:r w:rsidRPr="00D8691E">
              <w:rPr>
                <w:b/>
                <w:i/>
              </w:rPr>
              <w:t>der er udpeget af medlemsstaterne i overensstemmelse med stk. 2.</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Senest den 15. november hvert år meddeler medlemsstaterne Kommissionen eventuelle ændringer af listen over udpegede landingssteder, hvor landinger af guldmakrel, der er fanget i Middelha</w:t>
            </w:r>
            <w:r w:rsidRPr="00D8691E">
              <w:rPr>
                <w:b/>
                <w:i/>
              </w:rPr>
              <w:t>vet, kan finde sted, jf. stk. 2. Senest den 30. november hvert år sender Kommissionen disse ændringer til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De medlemsstater, der er parter, skal samarbejde om at bekæmpe IUU-fiskeri, navnlig ved at udveksle oplysninger og indsamle e</w:t>
            </w:r>
            <w:r w:rsidRPr="00D8691E">
              <w:rPr>
                <w:b/>
                <w:i/>
              </w:rPr>
              <w:t>fterretninger med henblik på at bekæmpe ulovlige aktiviteter.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GFCM/46/2023/14, stk. 55 til 62</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47</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94a</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ab/>
            </w:r>
            <w:r w:rsidRPr="00D8691E">
              <w:rPr>
                <w:b/>
                <w:i/>
              </w:rPr>
              <w:t>Medlemsstaterne udsteder en GFCM-fangstattest for at identificere oprindelsen af fangster af pighvar i geografisk underområde 29 på alle trin i forsyningskæden. Attesten anvendes til at bekræfte, at sådanne fangster er taget i overensstemmelse med de bevar</w:t>
            </w:r>
            <w:r w:rsidRPr="00D8691E">
              <w:rPr>
                <w:b/>
                <w:i/>
              </w:rPr>
              <w:t>elses- og forvaltningsforanstaltninger, der er fastsat i afsnit II, kapitel VIII.</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47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94a</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47a)</w:t>
            </w:r>
            <w:r w:rsidRPr="00D8691E">
              <w:tab/>
            </w:r>
            <w:r w:rsidRPr="00D8691E">
              <w:rPr>
                <w:b/>
                <w:i/>
              </w:rPr>
              <w:t xml:space="preserve">Artikel 94a (COM-forslag — </w:t>
            </w:r>
            <w:r w:rsidRPr="00D8691E">
              <w:rPr>
                <w:b/>
                <w:i/>
              </w:rPr>
              <w:t>2021/2022 GFCM-ændring) affattes således:</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94a Fangstdokumentationsordning for pighvar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Medlemsstaterne gennemfører dokumentationsordningen for pighvar i dens fulde udstrækning i hele forsyningskæden for at sikre sporbarheden af pighvar fanget</w:t>
            </w:r>
            <w:r w:rsidRPr="00D8691E">
              <w:rPr>
                <w:b/>
                <w:i/>
              </w:rPr>
              <w:t xml:space="preserve"> i Sortehavet og bidrage til bekæmpelsen af ulovligt, ureguleret og urapporteret fiskeri.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Den papirbaserede dokumentationsordning for fangst af pighvar, der er fastsat i stk. 1, berører ikke andre gældende nationale sporbarhedssystemer, der sikrer </w:t>
            </w:r>
            <w:r w:rsidRPr="00D8691E">
              <w:rPr>
                <w:b/>
                <w:i/>
              </w:rPr>
              <w:t>samme grad af kontrol fra medlemsstaternes side af sporbarheden ved pighvar, og skal omfatte de informationer, der er omhandlet i bilag XXIV.</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Den papirbaserede dokumentationsordning for fangst af pighvar gælder for første landinger, eksportvarer og re</w:t>
            </w:r>
            <w:r w:rsidRPr="00D8691E">
              <w:rPr>
                <w:b/>
                <w:i/>
              </w:rPr>
              <w:t>eksportvarer. Indenlandsk handel indgår ikke i valideringskæden.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Hver attest skal have et unikt dokumentidentifikationsnummer. Nummeret skal være specifikt for flagstaten og tildeles hvert fiskefartøj. Attesterne kan ikke overdrages til et andet fiske</w:t>
            </w:r>
            <w:r w:rsidRPr="00D8691E">
              <w:rPr>
                <w:b/>
                <w:i/>
              </w:rPr>
              <w:t>rfartøj.</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 må først validere attesterne, når det ved kontrol af bilag og de dertil hørende partier er konstateret, at alle de oplysninger, der er specificeret under fangstdokumentationsordningen for pighvar, er nøjagtige.</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6. Medlemssta</w:t>
            </w:r>
            <w:r w:rsidRPr="00D8691E">
              <w:rPr>
                <w:b/>
                <w:i/>
              </w:rPr>
              <w:t>terne aflægger rapport til Kommissionen om deres fangstdokumentationsordning samt eventuelle mærknings- og identifikations- og sporbarhedskrav for pighvar, som skal være i overensstemmelse med bestemmelserne i denne artikel for effektivt at sikre, at sporb</w:t>
            </w:r>
            <w:r w:rsidRPr="00D8691E">
              <w:rPr>
                <w:b/>
                <w:i/>
              </w:rPr>
              <w:t>arhedsmålet opfyldes. Kommissionen sender disse rapporter til GFCM's sekretariat senest den 1. juli 2025.</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7. Medlemsstaterne meddeleler Kommissionen deres kompetente myndigheder med ansvar for validering, kontrol og verifikation af fangstattester samt ko</w:t>
            </w:r>
            <w:r w:rsidRPr="00D8691E">
              <w:rPr>
                <w:b/>
                <w:i/>
              </w:rPr>
              <w:t>ntaktpunkter for fangstdokumentationsordningen, valideringssegl og andre oplysninger, der er relevante for gennemførelsen af ordningen. Kommissionen videresender disse oplysninger til GFCM's sekretariat senest den 1. juli 2025.</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8. Medlemsstaterne </w:t>
            </w:r>
            <w:r w:rsidRPr="00D8691E">
              <w:rPr>
                <w:b/>
                <w:i/>
              </w:rPr>
              <w:t>opbevarer de validerede papirbaserede pighvarfangstattester i en periode på fem år.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9. Medlemsstaterne aflægger hvert år rapport til Kommissionen om gennemførelsen af den papirbaserede fangstdokumentationsordning for pighvar med henblik på at underrette </w:t>
            </w:r>
            <w:r w:rsidRPr="00D8691E">
              <w:rPr>
                <w:b/>
                <w:i/>
              </w:rPr>
              <w:t>tilsynsudvalget, og fremlægger heri udførlige oplysninger og statistiske data om bl.a. årlige validerede mængder, årlige handlede mængder, antal validerede fangstattester og eventuelle relevante elementer, der anses for oplysende om situationen. Kommission</w:t>
            </w:r>
            <w:r w:rsidRPr="00D8691E">
              <w:rPr>
                <w:b/>
                <w:i/>
              </w:rPr>
              <w:t>en fremsender rapporterne til GFCM's sekretariat senest 30 dage inden tilsynsudvalget træder sammen.</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GFCM/46/2023/20.</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209</w:t>
      </w:r>
      <w:r w:rsidRPr="00D8691E">
        <w:rPr>
          <w:rStyle w:val="HideTWBExt"/>
        </w:rPr>
        <w:t>&lt;/NumAm&gt;</w:t>
      </w:r>
    </w:p>
    <w:p w:rsidR="00DD5018" w:rsidRPr="00D8691E" w:rsidRDefault="00BD7D87" w:rsidP="00DD5018">
      <w:pPr>
        <w:pStyle w:val="NormalBold"/>
      </w:pPr>
      <w:r w:rsidRPr="00D8691E">
        <w:rPr>
          <w:rStyle w:val="HideTWBExt"/>
        </w:rPr>
        <w:t>&lt;RepeatBlock-By&gt;&lt;M</w:t>
      </w:r>
      <w:r w:rsidRPr="00D8691E">
        <w:rPr>
          <w:rStyle w:val="HideTWBExt"/>
        </w:rPr>
        <w:t>embers&gt;</w:t>
      </w:r>
      <w:r w:rsidRPr="00D8691E">
        <w:t>Željana Zovko</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a</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Medlemsstaterne sikrer en høj grad af beskyttelse mod fiskeri for de haj- og rokkearter, der er opført i bilag II </w:t>
            </w:r>
            <w:r w:rsidRPr="00D8691E">
              <w:rPr>
                <w:b/>
                <w:i/>
              </w:rPr>
              <w:t xml:space="preserve">og III </w:t>
            </w:r>
            <w:r w:rsidRPr="00D8691E">
              <w:t>til protokollen om særligt beskyttede områder og den biologiske mangfoldighed i Middelhavet."</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Medlemsstaterne sikrer en høj grad af beskyttelse mod fiskeri for de haj- og rokkearter, der er opført i bilag II til protokollen om særligt beskyttede områder og den biologiske mangfoldighed i Middelhavet."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Artikel 1, stk. 49, i forslaget om ændring af artikel 98 i forordning (EU) 2023/2124 skal bringes i overensstemmelse med stk. 6 i GFCM-henstilling 42/2018/2 ved at fjerne henvisningen til bilag III til protokollen til Barcelonakonve</w:t>
      </w:r>
      <w:r w:rsidRPr="00D8691E">
        <w:t>ntionen fra bestemmelsen, da dette bilag indeholder en liste over bruskfisk, der er tilladt til kommerciel udnyttelse, men som kræver reguleret forvaltning.</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w:t>
      </w:r>
      <w:r w:rsidRPr="00D8691E">
        <w:rPr>
          <w:rStyle w:val="HideTWBExt"/>
        </w:rPr>
        <w:t>s&gt;</w:t>
      </w:r>
    </w:p>
    <w:p w:rsidR="00DD5018" w:rsidRPr="00D8691E" w:rsidRDefault="00BD7D87" w:rsidP="00DD5018">
      <w:r w:rsidRPr="00D8691E">
        <w:rPr>
          <w:rStyle w:val="HideTWBExt"/>
        </w:rPr>
        <w:t>&lt;AuNomDe&gt;</w:t>
      </w:r>
      <w:r w:rsidRPr="00D8691E">
        <w:rPr>
          <w:rStyle w:val="HideTWBInt"/>
          <w:color w:val="auto"/>
        </w:rPr>
        <w:t>{Greens/EFA}</w:t>
      </w:r>
      <w:r w:rsidRPr="00D8691E">
        <w:t>for Verts/ALE-Gruppen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a</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w:t>
      </w:r>
      <w:r w:rsidRPr="00D8691E">
        <w:t>. 1 a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1a.</w:t>
            </w:r>
            <w:r w:rsidRPr="00D8691E">
              <w:tab/>
            </w:r>
            <w:r w:rsidRPr="00D8691E">
              <w:rPr>
                <w:b/>
                <w:i/>
              </w:rPr>
              <w:t xml:space="preserve">Medlemsstaterne tilskynder til yderligere foranstaltninger til forbedring af bevaringsstatus for de haj- og rokkearter, der er opført i bilag II og III til protokollen om særligt </w:t>
            </w:r>
            <w:r w:rsidRPr="00D8691E">
              <w:rPr>
                <w:b/>
                <w:i/>
              </w:rPr>
              <w:t>beskyttede områder og den biologiske mangfoldighed, og til at afbøde eller i muligt omfang fjerne risikoen for utilsigtet fangst under fiskeriet og/eller den dermed forbundne dødelighed i særligt beskyttede områder og den biologiske mangfoldighed i Middelh</w:t>
            </w:r>
            <w:r w:rsidRPr="00D8691E">
              <w:rPr>
                <w:b/>
                <w:i/>
              </w:rPr>
              <w:t>avet.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Henstilling GFCM/44/2021/16, stk. 2, (anvendelsesområde).</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 xml:space="preserve">{The </w:t>
      </w:r>
      <w:r w:rsidRPr="00D8691E">
        <w:rPr>
          <w:rStyle w:val="HideTWBInt"/>
          <w:color w:val="auto"/>
        </w:rPr>
        <w:t>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 –4 (nyt)</w:t>
      </w:r>
      <w:r w:rsidRPr="00D8691E">
        <w:rPr>
          <w:rStyle w:val="HideTWBExt"/>
        </w:rPr>
        <w:t>&lt;/Article2</w:t>
      </w:r>
      <w:r w:rsidRPr="00D8691E">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w:t>
            </w:r>
            <w:r w:rsidRPr="00D8691E">
              <w:tab/>
            </w:r>
            <w:r w:rsidRPr="00D8691E">
              <w:rPr>
                <w:b/>
                <w:i/>
              </w:rPr>
              <w:t xml:space="preserve">Medlemsstaterne træffer de nødvendige foranstaltninger til at reducere dødeligheden for alle haj- og rokkearter, der utilsigtet fanges under fiskeri, ved at vedtage relevante afbødende foranstaltninger, </w:t>
            </w:r>
            <w:r w:rsidRPr="00D8691E">
              <w:rPr>
                <w:b/>
                <w:i/>
              </w:rPr>
              <w:t>herunder indførelse af en incitamentsordning for fartøjsførere med henblik på at reducere utilsigtet dødelighed i forbindelse med haj- og rokkearter samt tekniske uddannelses- og certificeringsordninger for fartøjsførere; og ved at gennemføre forskning med</w:t>
            </w:r>
            <w:r w:rsidRPr="00D8691E">
              <w:rPr>
                <w:b/>
                <w:i/>
              </w:rPr>
              <w:t xml:space="preserve"> henblik på at forbedre fiskeredskaber, udstyr og fangstmetoder med henblik på at reducere bifangstdødeligheden for haj- og rokkearter og øge overlevelsesraten efter genudsætning.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 xml:space="preserve">Denne </w:t>
      </w:r>
      <w:r w:rsidRPr="00D8691E">
        <w:t>ordlyd stammer fra henstilling GFCM/44/2021/16 og mangler i Kommissionens forslag.</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 –4 a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-4a.</w:t>
            </w:r>
            <w:r w:rsidRPr="00D8691E">
              <w:tab/>
            </w:r>
            <w:r w:rsidRPr="00D8691E">
              <w:rPr>
                <w:b/>
                <w:i/>
              </w:rPr>
              <w:t>Medlemsstaterne indfører afbødende foranstaltninger for at minimere og undgå, hvor det er muligt, bifangster af haj- og rokkearter i fiskeri, hvor SAC har konstateret en høj risiko for bifangster, og hvor det er muligt, i fiskeri med en lav risiko for bifa</w:t>
            </w:r>
            <w:r w:rsidRPr="00D8691E">
              <w:rPr>
                <w:b/>
                <w:i/>
              </w:rPr>
              <w:t>ngster. Sådanne foranstaltninger skal ledsages af en passende overvågning med henblik på at fastslå foranstaltningernes effektivitet og kan bl.a. omfatte: — ændringer af fiskeredskaber og alternative fiskeredskabstyper — forbedring af mærkning og detektion</w:t>
            </w:r>
            <w:r w:rsidRPr="00D8691E">
              <w:rPr>
                <w:b/>
                <w:i/>
              </w:rPr>
              <w:t xml:space="preserve"> af fiskeredskaber — fiskeribegrænsninger eller -lukninger i tidszoner, hvis det er relevant — gennemførelse af maksimale potentielle bifangsttærskler; og anvendelse af magnetiske alarmer, når de er baseret på videnskabelige undersøgelser og efter en cost-</w:t>
            </w:r>
            <w:r w:rsidRPr="00D8691E">
              <w:rPr>
                <w:b/>
                <w:i/>
              </w:rPr>
              <w:t>benefit-vurdering.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Denne ordlyd stammer fra henstilling GFCM/44/2021/16 og mangler i Kommissionens forslag.</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 –4 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-4b.</w:t>
            </w:r>
            <w:r w:rsidRPr="00D8691E">
              <w:tab/>
            </w:r>
            <w:r w:rsidRPr="00D8691E">
              <w:rPr>
                <w:b/>
                <w:i/>
              </w:rPr>
              <w:t>Kommissionen og medlemsstaterne kan også frivilligt overveje andre typer forvaltning, f.eks. incitamentbaseret forvaltning, der belønning af operatører med lav</w:t>
            </w:r>
            <w:r w:rsidRPr="00D8691E">
              <w:rPr>
                <w:b/>
                <w:i/>
              </w:rPr>
              <w:t xml:space="preserve"> påvirkning, samtidig med at operatører med dårlige præstationer anspores til at vedtage bedre metoder eller forlade industrien, eller markedsbaseret forvaltning af incitamenter med brug af f.eks. mærkningen "haj- og rokkesikker" eller "haj- og rokkevenlig</w:t>
            </w:r>
            <w:r w:rsidRPr="00D8691E">
              <w:rPr>
                <w:b/>
                <w:i/>
              </w:rPr>
              <w:t>" i fiskeri med middel til høj risiko.</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Denne ordlyd stammer fra henstilling GFCM/44/2021/16 og mangler i Kommissionens forslag.</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{Greens/EFA}</w:t>
      </w:r>
      <w:r w:rsidRPr="00D8691E">
        <w:t>for Verts/ALE-Gruppen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 xml:space="preserve">Forordning (EU) nr. </w:t>
      </w:r>
      <w:r w:rsidRPr="00D8691E">
        <w:t>2023/2124</w:t>
      </w:r>
      <w:r w:rsidRPr="00D8691E">
        <w:rPr>
          <w:rStyle w:val="HideTWBExt"/>
        </w:rPr>
        <w:t>&lt;/DocAmend2&gt;</w:t>
      </w:r>
    </w:p>
    <w:p w:rsidR="00DD5018" w:rsidRPr="00D8691E" w:rsidRDefault="00BD7D87" w:rsidP="00DD5018">
      <w:r w:rsidRPr="00D8691E">
        <w:rPr>
          <w:rStyle w:val="HideTWBExt"/>
        </w:rPr>
        <w:t>&lt;Article2&gt;</w:t>
      </w:r>
      <w:r w:rsidRPr="00D8691E">
        <w:t>Artikel 98 – stk. 5 a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5a.</w:t>
            </w:r>
            <w:r w:rsidRPr="00D8691E">
              <w:tab/>
            </w:r>
            <w:r w:rsidRPr="00D8691E">
              <w:rPr>
                <w:b/>
                <w:i/>
              </w:rPr>
              <w:t xml:space="preserve">Medlemsstaterne opfordres til at indføre en incitamentsordning for fartøjsførere med henblik på at reducere den utilsigtede dødelighed for </w:t>
            </w:r>
            <w:r w:rsidRPr="00D8691E">
              <w:rPr>
                <w:b/>
                <w:i/>
              </w:rPr>
              <w:t>haj- og rokker samt tekniske uddannelses- og certificeringsordninger for fartøjsførere samt gennemførelse af forskning med henblik på at forbedre fiskeredskaber, udstyr og fangstmetoder, reducere dødeligheden for bifangst af haj- og rokke og øge overlevels</w:t>
            </w:r>
            <w:r w:rsidRPr="00D8691E">
              <w:rPr>
                <w:b/>
                <w:i/>
              </w:rPr>
              <w:t>esraten efter genudsætning.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GFCM-henstilling 44/2021/16</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{Greens/EFA}</w:t>
      </w:r>
      <w:r w:rsidRPr="00D8691E">
        <w:t xml:space="preserve">for </w:t>
      </w:r>
      <w:r w:rsidRPr="00D8691E">
        <w:t>Verts/ALE-Gruppen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 xml:space="preserve"> Artikel 98 – stk. 5 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5b.</w:t>
            </w:r>
            <w:r w:rsidRPr="00D8691E">
              <w:tab/>
            </w:r>
            <w:r w:rsidRPr="00D8691E">
              <w:rPr>
                <w:b/>
                <w:i/>
              </w:rPr>
              <w:t xml:space="preserve">Medlemsstaterne opfordres til at indføre afbødende foranstaltninger for at minimere og, hvor det er muligt, undgå bifangster af haj- og rokkearter i fiskeri med en høj risiko for bifangster, og hvor det er </w:t>
            </w:r>
            <w:r w:rsidRPr="00D8691E">
              <w:rPr>
                <w:b/>
                <w:i/>
              </w:rPr>
              <w:t>muligt, i fiskeri med en lav risiko for bifangster. Sådanne foranstaltninger skal ledsages af passende overvågning med henblik på at fastslå foranstaltningernes effektivitet og kan bl.a. omfatte ændringer af fiskeredskaber og alternative fiskeredskabstyper</w:t>
            </w:r>
            <w:r w:rsidRPr="00D8691E">
              <w:rPr>
                <w:b/>
                <w:i/>
              </w:rPr>
              <w:t>, forbedring af mærkning og detektion af fiskeredskaber, begrænsning af tidsfiskeri eller lukning, hvis det er relevant, gennemførelse af maksimale potentielle bifangsttærskler og anvendelse af magnetiske alarmer, når de er baseret på videnskabelige unders</w:t>
            </w:r>
            <w:r w:rsidRPr="00D8691E">
              <w:rPr>
                <w:b/>
                <w:i/>
              </w:rPr>
              <w:t>øgelser og efter en cost-benefit-vurdering.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GFCM-henstilling 44/2021/16</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{Greens/EFA}</w:t>
      </w:r>
      <w:r w:rsidRPr="00D8691E">
        <w:t>for Verts/ALE-Gruppen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 5 c (nyt)</w:t>
      </w:r>
      <w:r w:rsidRPr="00D8691E">
        <w:rPr>
          <w:rStyle w:val="HideTWBExt"/>
        </w:rPr>
        <w:t>&lt;</w:t>
      </w:r>
      <w:r w:rsidRPr="00D8691E">
        <w:rPr>
          <w:rStyle w:val="HideTWBExt"/>
        </w:rPr>
        <w: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5c.</w:t>
            </w:r>
            <w:r w:rsidRPr="00D8691E">
              <w:tab/>
            </w:r>
            <w:r w:rsidRPr="00D8691E">
              <w:rPr>
                <w:b/>
                <w:i/>
              </w:rPr>
              <w:t xml:space="preserve">Medlemsstaterne tilskyndes til at oprette andre typer forvaltning, f.eks. incitamentbaseret forvaltning og belønning af operatører med lav påvirkning, samtidig med at operatører med dårlige </w:t>
            </w:r>
            <w:r w:rsidRPr="00D8691E">
              <w:rPr>
                <w:b/>
                <w:i/>
              </w:rPr>
              <w:t>præstationer anspores til at vedtage bedre metoder eller forlade industrien, eller markedsbaseret forvaltning af incitamenter med brug af f.eks. mærkningen "haj- og rokkesikker" eller "haj- og rokkevenlig" i fiskeri med middel til høj risiko.</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GFCM-henstilling 44/2021/16</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{Greens/EFA}</w:t>
      </w:r>
      <w:r w:rsidRPr="00D8691E">
        <w:t>for Verts/ALE-Gruppen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49 – litra b</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98 – stk. 5 d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5d.</w:t>
            </w:r>
            <w:r w:rsidRPr="00D8691E">
              <w:tab/>
            </w:r>
            <w:r w:rsidRPr="00D8691E">
              <w:rPr>
                <w:b/>
                <w:i/>
              </w:rPr>
              <w:t>Medlemsstaterne opfordres til at identificere habitater for haj og rokke, der er af kritisk betydning, og til at undersøge virkningerne af fiskeredskaber og eventuelle alternative fiskeredskaber.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GFCM-henstilling 44/2021/16</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Artikel 1 – stk. 1 – </w:t>
      </w:r>
      <w:r w:rsidRPr="00D8691E">
        <w:t>punkt 50</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102 – stk. 3 – litra b</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b)</w:t>
            </w:r>
            <w:r w:rsidRPr="00D8691E">
              <w:tab/>
              <w:t>Medlemsstaterne evaluerer</w:t>
            </w:r>
            <w:r w:rsidRPr="00D8691E">
              <w:rPr>
                <w:b/>
                <w:i/>
              </w:rPr>
              <w:t xml:space="preserve"> senest i 2024</w:t>
            </w:r>
            <w:r w:rsidRPr="00D8691E">
              <w:t xml:space="preserve">, hvor effektive mindst to af de </w:t>
            </w:r>
            <w:r w:rsidRPr="00D8691E">
              <w:t>overgangsafbødningsforanstaltninger, der er opført i bilag XVIII, er til at forbedre bevarelsesstatus for arter af havfugle og til at afbøde og, hvor det er muligt, eliminere risikoen for utilsigtet fangst af havfugle i fiskeri og den dermed forbundne døde</w:t>
            </w:r>
            <w:r w:rsidRPr="00D8691E">
              <w:t>lighed."</w:t>
            </w:r>
          </w:p>
        </w:tc>
        <w:tc>
          <w:tcPr>
            <w:tcW w:w="4876" w:type="dxa"/>
            <w:tcBorders>
              <w:top w:val="nil"/>
              <w:left w:val="nil"/>
              <w:bottom w:val="nil"/>
              <w:right w:val="nil"/>
            </w:tcBorders>
            <w:hideMark/>
          </w:tcPr>
          <w:p w:rsidR="00DD5018" w:rsidRPr="00D8691E" w:rsidRDefault="00BD7D87" w:rsidP="00F37D8F">
            <w:pPr>
              <w:pStyle w:val="Normal6a"/>
            </w:pPr>
            <w:r w:rsidRPr="00D8691E">
              <w:t>b)</w:t>
            </w:r>
            <w:r w:rsidRPr="00D8691E">
              <w:tab/>
              <w:t>Medlemsstaterne evaluerer, hvor effektive mindst to af de overgangsafbødningsforanstaltninger, der er opført i bilag XVIII, er til at forbedre bevarelsesstatus for arter af havfugle og til at afbøde og, hvor det er muligt, eliminere risikoen fo</w:t>
            </w:r>
            <w:r w:rsidRPr="00D8691E">
              <w:t>r utilsigtet fangst af havfugle i fiskeri og den dermed forbundne dødelighed."</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219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 xml:space="preserve">for The </w:t>
      </w:r>
      <w:r w:rsidRPr="00D8691E">
        <w:t>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51</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103a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Medlemsstaterne </w:t>
            </w:r>
            <w:r w:rsidRPr="00D8691E">
              <w:rPr>
                <w:b/>
                <w:i/>
              </w:rPr>
              <w:t>opfordres til at tage</w:t>
            </w:r>
            <w:r w:rsidRPr="00D8691E">
              <w:t xml:space="preserve"> de nødvendige skridt til at gennemføre gældende lovgivning og afbødningsforanstaltninger og, hvor det er muligt, eliminere de utilsigtede fangster af havskildpadde i forbindelse med fiskeri, såsom, men ikke begrænset til:</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Medlemsstaterne </w:t>
            </w:r>
            <w:r w:rsidRPr="00D8691E">
              <w:rPr>
                <w:b/>
                <w:i/>
              </w:rPr>
              <w:t>tager</w:t>
            </w:r>
            <w:r w:rsidRPr="00D8691E">
              <w:t xml:space="preserve"> de nødve</w:t>
            </w:r>
            <w:r w:rsidRPr="00D8691E">
              <w:t>ndige skridt til at gennemføre gældende lovgivning og afbødningsforanstaltninger og, hvor det er muligt, eliminere de utilsigtede fangster af havskildpadde i forbindelse med fiskeri, såsom, men ikke begrænset til:</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51</w:t>
      </w:r>
      <w:r w:rsidRPr="00D8691E">
        <w:rPr>
          <w:rStyle w:val="HideTWBExt"/>
        </w:rPr>
        <w:t>&lt;/Article</w:t>
      </w:r>
      <w:r w:rsidRPr="00D8691E">
        <w:rPr>
          <w:rStyle w:val="HideTWBExt"/>
        </w:rPr>
        <w:t>&gt;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103a – stk. 1 – litra e</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e)</w:t>
            </w:r>
            <w:r w:rsidRPr="00D8691E">
              <w:tab/>
              <w:t>regler om fiskeriadfærd og fiskeristrategier.</w:t>
            </w:r>
          </w:p>
        </w:tc>
        <w:tc>
          <w:tcPr>
            <w:tcW w:w="4876" w:type="dxa"/>
            <w:tcBorders>
              <w:top w:val="nil"/>
              <w:left w:val="nil"/>
              <w:bottom w:val="nil"/>
              <w:right w:val="nil"/>
            </w:tcBorders>
            <w:hideMark/>
          </w:tcPr>
          <w:p w:rsidR="00DD5018" w:rsidRPr="00D8691E" w:rsidRDefault="00BD7D87" w:rsidP="00F37D8F">
            <w:pPr>
              <w:pStyle w:val="Normal6a"/>
            </w:pPr>
            <w:r w:rsidRPr="00D8691E">
              <w:t>e)</w:t>
            </w:r>
            <w:r w:rsidRPr="00D8691E">
              <w:tab/>
              <w:t xml:space="preserve">regler om fiskeriadfærd og fiskeristrategier, </w:t>
            </w:r>
            <w:r w:rsidRPr="00D8691E">
              <w:rPr>
                <w:b/>
                <w:i/>
              </w:rPr>
              <w:t xml:space="preserve">såsom </w:t>
            </w:r>
            <w:r w:rsidRPr="00D8691E">
              <w:rPr>
                <w:b/>
                <w:i/>
              </w:rPr>
              <w:t>reduceret sættetid, indhaling af redskaber i dagtimerne og sætte kroge dybere end skildpadders normale dybdeinterval (40-100 meter).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GFCM/44/2021/14: del af stk. 3 mangler</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51</w:t>
      </w:r>
      <w:r w:rsidRPr="00D8691E">
        <w:rPr>
          <w:rStyle w:val="HideTWBExt"/>
        </w:rPr>
        <w:t>&lt;/Article&gt;</w:t>
      </w:r>
    </w:p>
    <w:p w:rsidR="00DD5018" w:rsidRPr="00D8691E" w:rsidRDefault="00BD7D87" w:rsidP="00DD5018">
      <w:r w:rsidRPr="00D8691E">
        <w:rPr>
          <w:rStyle w:val="HideTWBExt"/>
        </w:rPr>
        <w:t>&lt;DocA</w:t>
      </w:r>
      <w:r w:rsidRPr="00D8691E">
        <w:rPr>
          <w:rStyle w:val="HideTWBExt"/>
        </w:rPr>
        <w:t>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103a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 xml:space="preserve">Medlemsstaterne </w:t>
            </w:r>
            <w:r w:rsidRPr="00D8691E">
              <w:rPr>
                <w:b/>
                <w:i/>
              </w:rPr>
              <w:t>opfordres til</w:t>
            </w:r>
            <w:r w:rsidRPr="00D8691E">
              <w:t xml:space="preserve"> ved hjælp af passende retningslinjer og uddannelse</w:t>
            </w:r>
            <w:r w:rsidRPr="00D8691E">
              <w:rPr>
                <w:b/>
                <w:i/>
              </w:rPr>
              <w:t xml:space="preserve"> at lette</w:t>
            </w:r>
            <w:r w:rsidRPr="00D8691E">
              <w:t xml:space="preserve"> gennemførelsen foranstaltninger, der skal hindre, at dyr vikles ind i redskaberne, når de æder af fangsten, og mindske dødeligheden efter genudsætning.</w:t>
            </w:r>
          </w:p>
        </w:tc>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 xml:space="preserve">Medlemsstaterne </w:t>
            </w:r>
            <w:r w:rsidRPr="00D8691E">
              <w:rPr>
                <w:b/>
                <w:i/>
              </w:rPr>
              <w:t>letter</w:t>
            </w:r>
            <w:r w:rsidRPr="00D8691E">
              <w:t xml:space="preserve"> ved hjælp af passende retningslinjer og uddannelse gennemførelsen foranstaltn</w:t>
            </w:r>
            <w:r w:rsidRPr="00D8691E">
              <w:t>inger, der skal hindre, at dyr vikles ind i redskaberne, når de æder af fangsten, og mindske dødeligheden efter genudsætning.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51</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103a – stk. 4</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4.</w:t>
            </w:r>
            <w:r w:rsidRPr="00D8691E">
              <w:tab/>
              <w:t>Kommissionen underretter straks GFCM's sekretariat om sådanne foranstaltninger.</w:t>
            </w:r>
          </w:p>
        </w:tc>
        <w:tc>
          <w:tcPr>
            <w:tcW w:w="4876" w:type="dxa"/>
            <w:tcBorders>
              <w:top w:val="nil"/>
              <w:left w:val="nil"/>
              <w:bottom w:val="nil"/>
              <w:right w:val="nil"/>
            </w:tcBorders>
            <w:hideMark/>
          </w:tcPr>
          <w:p w:rsidR="00DD5018" w:rsidRPr="00D8691E" w:rsidRDefault="00BD7D87" w:rsidP="00F37D8F">
            <w:pPr>
              <w:pStyle w:val="Normal6a"/>
            </w:pPr>
            <w:r w:rsidRPr="00D8691E">
              <w:rPr>
                <w:i/>
              </w:rPr>
              <w:t>(Vedrører ikke den danske tekst)</w:t>
            </w:r>
            <w:r w:rsidRPr="00D8691E">
              <w:tab/>
              <w:t xml:space="preserve"> </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w:t>
      </w:r>
      <w:r w:rsidRPr="00D8691E">
        <w:rPr>
          <w:rStyle w:val="HideTWBExt"/>
        </w:rPr>
        <w:t>/DocAmend2&gt;</w:t>
      </w:r>
    </w:p>
    <w:p w:rsidR="00DD5018" w:rsidRPr="00D8691E" w:rsidRDefault="00BD7D87" w:rsidP="00DD5018">
      <w:r w:rsidRPr="00D8691E">
        <w:rPr>
          <w:rStyle w:val="HideTWBExt"/>
        </w:rPr>
        <w:t>&lt;Article2&gt;</w:t>
      </w:r>
      <w:r w:rsidRPr="00D8691E">
        <w:t>Artikel 105a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Medlemsstaterne </w:t>
            </w:r>
            <w:r w:rsidRPr="00D8691E">
              <w:rPr>
                <w:b/>
                <w:i/>
              </w:rPr>
              <w:t>opfordres til at udvide</w:t>
            </w:r>
            <w:r w:rsidRPr="00D8691E">
              <w:t xml:space="preserve"> foranstaltningerne til undgåelse af bifangster for at minimere og, hvor det er muligt, eliminere de utilsigtede fangster af hvaler i fiskeri, hvor SAC har konstateret en høj risiko for bifangster. Sådanne afbødningsforanstaltninger skal ledsages af passen</w:t>
            </w:r>
            <w:r w:rsidRPr="00D8691E">
              <w:t>de overvågning for at fastslå tiltagenes effektivitet og kan bl.a. omfatte:</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 xml:space="preserve">Medlemsstaterne </w:t>
            </w:r>
            <w:r w:rsidRPr="00D8691E">
              <w:rPr>
                <w:b/>
                <w:i/>
              </w:rPr>
              <w:t>udvider</w:t>
            </w:r>
            <w:r w:rsidRPr="00D8691E">
              <w:t xml:space="preserve"> foranstaltningerne til undgåelse af bifangster for at minimere og, hvor det er muligt, eliminere de utilsigtede fangster af hvaler i fiskeri, hvor SAC ha</w:t>
            </w:r>
            <w:r w:rsidRPr="00D8691E">
              <w:t>r konstateret en høj risiko for bifangster. Sådanne afbødningsforanstaltninger skal ledsages af passende overvågning for at fastslå tiltagenes effektivitet og kan bl.a. omfatte:</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52</w:t>
      </w:r>
      <w:r w:rsidRPr="00D8691E">
        <w:rPr>
          <w:rStyle w:val="HideTWBExt"/>
        </w:rPr>
        <w:t>&lt;/Article&gt;</w:t>
      </w:r>
    </w:p>
    <w:p w:rsidR="00DD5018" w:rsidRPr="00D8691E" w:rsidRDefault="00BD7D87" w:rsidP="00DD5018">
      <w:r w:rsidRPr="00D8691E">
        <w:rPr>
          <w:rStyle w:val="HideTWBExt"/>
        </w:rPr>
        <w:t>&lt;DocAmend2&gt;</w:t>
      </w:r>
      <w:r w:rsidRPr="00D8691E">
        <w:t>Forordning (EU) nr. 2</w:t>
      </w:r>
      <w:r w:rsidRPr="00D8691E">
        <w:t>023/2124</w:t>
      </w:r>
      <w:r w:rsidRPr="00D8691E">
        <w:rPr>
          <w:rStyle w:val="HideTWBExt"/>
        </w:rPr>
        <w:t>&lt;/DocAmend2&gt;</w:t>
      </w:r>
    </w:p>
    <w:p w:rsidR="00DD5018" w:rsidRPr="00D8691E" w:rsidRDefault="00BD7D87" w:rsidP="00DD5018">
      <w:r w:rsidRPr="00D8691E">
        <w:rPr>
          <w:rStyle w:val="HideTWBExt"/>
        </w:rPr>
        <w:t>&lt;Article2&gt;</w:t>
      </w:r>
      <w:r w:rsidRPr="00D8691E">
        <w:t>Artikel 105a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 xml:space="preserve">Medlemsstaterne </w:t>
            </w:r>
            <w:r w:rsidRPr="00D8691E">
              <w:rPr>
                <w:b/>
                <w:i/>
              </w:rPr>
              <w:t>opfordres til</w:t>
            </w:r>
            <w:r w:rsidRPr="00D8691E">
              <w:t xml:space="preserve"> ved hjælp af passende retningslinjer og uddannelse</w:t>
            </w:r>
            <w:r w:rsidRPr="00D8691E">
              <w:rPr>
                <w:b/>
                <w:i/>
              </w:rPr>
              <w:t xml:space="preserve"> at lette</w:t>
            </w:r>
            <w:r w:rsidRPr="00D8691E">
              <w:t xml:space="preserve"> gennemførelsen foranstaltninger, der skal hindre, at dyr vikles ind i redskaberne, når de æder af fangsten, og mindske dødeligheden efter genudsætning.</w:t>
            </w:r>
          </w:p>
        </w:tc>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t xml:space="preserve">Medlemsstaterne </w:t>
            </w:r>
            <w:r w:rsidRPr="00D8691E">
              <w:rPr>
                <w:b/>
                <w:i/>
              </w:rPr>
              <w:t>letter</w:t>
            </w:r>
            <w:r w:rsidRPr="00D8691E">
              <w:t xml:space="preserve"> ved hjælp af passende retningslinjer og uddannelse gennemførelsen foranstaltn</w:t>
            </w:r>
            <w:r w:rsidRPr="00D8691E">
              <w:t>inger, der skal hindre, at dyr vikles ind i redskaberne, når de æder af fangsten, og mindske dødeligheden efter genudsætning.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105a – stk. 3</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Medlemsstaterne </w:t>
            </w:r>
            <w:r w:rsidRPr="00D8691E">
              <w:rPr>
                <w:b/>
                <w:i/>
              </w:rPr>
              <w:t>opfordres til at kortlægge</w:t>
            </w:r>
            <w:r w:rsidRPr="00D8691E">
              <w:t xml:space="preserve"> områder med høj risiko for interaktioner mellem fiskeri og hvaler og kan, på grundlag af det eksisterende pres, overveje at ændre den gældende nationale lovgivning.</w:t>
            </w:r>
          </w:p>
        </w:tc>
        <w:tc>
          <w:tcPr>
            <w:tcW w:w="4876" w:type="dxa"/>
            <w:tcBorders>
              <w:top w:val="nil"/>
              <w:left w:val="nil"/>
              <w:bottom w:val="nil"/>
              <w:right w:val="nil"/>
            </w:tcBorders>
            <w:hideMark/>
          </w:tcPr>
          <w:p w:rsidR="00DD5018" w:rsidRPr="00D8691E" w:rsidRDefault="00BD7D87" w:rsidP="00F37D8F">
            <w:pPr>
              <w:pStyle w:val="Normal6a"/>
            </w:pPr>
            <w:r w:rsidRPr="00D8691E">
              <w:t>3.</w:t>
            </w:r>
            <w:r w:rsidRPr="00D8691E">
              <w:tab/>
              <w:t xml:space="preserve">Medlemsstaterne </w:t>
            </w:r>
            <w:r w:rsidRPr="00D8691E">
              <w:rPr>
                <w:b/>
                <w:i/>
              </w:rPr>
              <w:t>kortlægger</w:t>
            </w:r>
            <w:r w:rsidRPr="00D8691E">
              <w:t xml:space="preserve"> områder med høj risiko for interaktioner mellem fiskeri og h</w:t>
            </w:r>
            <w:r w:rsidRPr="00D8691E">
              <w:t>valer og kan, på grundlag af det eksisterende pres, overveje at ændre den gældende nationale lovgivning.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52</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105a – stk. 4</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4.</w:t>
            </w:r>
            <w:r w:rsidRPr="00D8691E">
              <w:tab/>
            </w:r>
            <w:r w:rsidRPr="00D8691E">
              <w:rPr>
                <w:b/>
                <w:i/>
              </w:rPr>
              <w:t>CPC'en</w:t>
            </w:r>
            <w:r w:rsidRPr="00D8691E">
              <w:t xml:space="preserve"> kan også frivilligt overveje andre typer forvaltning, f.eks. incitamentbaseret forvaltning og belønning af operatører med lav påvirkning, samtidig med at operatører med dårlige præstationer anspores til at v</w:t>
            </w:r>
            <w:r w:rsidRPr="00D8691E">
              <w:t>edtage bedre metoder eller forlade industrien, eller markedsbaseret forvaltning af incitamenter med brug af f.eks. mærkningen "delfinsikker" eller "delfinvenlig" i fiskeri med middel til høj risiko for interaktioner med hvaler.</w:t>
            </w:r>
          </w:p>
        </w:tc>
        <w:tc>
          <w:tcPr>
            <w:tcW w:w="4876" w:type="dxa"/>
            <w:tcBorders>
              <w:top w:val="nil"/>
              <w:left w:val="nil"/>
              <w:bottom w:val="nil"/>
              <w:right w:val="nil"/>
            </w:tcBorders>
            <w:hideMark/>
          </w:tcPr>
          <w:p w:rsidR="00DD5018" w:rsidRPr="00D8691E" w:rsidRDefault="00BD7D87" w:rsidP="00F37D8F">
            <w:pPr>
              <w:pStyle w:val="Normal6a"/>
            </w:pPr>
            <w:r w:rsidRPr="00D8691E">
              <w:t>4.</w:t>
            </w:r>
            <w:r w:rsidRPr="00D8691E">
              <w:tab/>
            </w:r>
            <w:r w:rsidRPr="00D8691E">
              <w:rPr>
                <w:b/>
                <w:i/>
              </w:rPr>
              <w:t>Kommissionen og medlemsst</w:t>
            </w:r>
            <w:r w:rsidRPr="00D8691E">
              <w:rPr>
                <w:b/>
                <w:i/>
              </w:rPr>
              <w:t>aterne</w:t>
            </w:r>
            <w:r w:rsidRPr="00D8691E">
              <w:t xml:space="preserve"> kan også frivilligt overveje andre typer forvaltning, f.eks. incitamentbaseret forvaltning og belønning af operatører med lav påvirkning, samtidig med at operatører med dårlige præstationer anspores til at vedtage bedre metoder eller forlade industr</w:t>
            </w:r>
            <w:r w:rsidRPr="00D8691E">
              <w:t>ien, eller markedsbaseret forvaltning af incitamenter med brug af f.eks. mærkningen "delfinsikker" eller "delfinvenlig" i fiskeri med middel til høj risiko for interaktioner med hvaler.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106a –</w:t>
      </w:r>
      <w:r w:rsidRPr="00D8691E">
        <w:t xml:space="preserve">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Ved dette underafsnit fastsættes minimumsstandarder for alle områder med fiskeribegrænsninger, der er oprettet på GFCM-niveau</w:t>
            </w:r>
            <w:r w:rsidRPr="00D8691E">
              <w:rPr>
                <w:b/>
                <w:i/>
              </w:rPr>
              <w:t xml:space="preserve">, som finder anvendelse på alle områder med fiskeribegrænsninger </w:t>
            </w:r>
            <w:r w:rsidRPr="00D8691E">
              <w:rPr>
                <w:b/>
                <w:i/>
              </w:rPr>
              <w:t>oprettet på GFCM-niveau efter 2022</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Ved dette underafsnit fastsættes minimumsstandarder for alle områder med fiskeribegrænsninger, der er oprettet på GFCM-niveau.</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w:t>
      </w:r>
      <w:r w:rsidRPr="00D8691E">
        <w:rPr>
          <w:rStyle w:val="HideTWBExt"/>
        </w:rPr>
        <w:t>/DocAmend2&gt;</w:t>
      </w:r>
    </w:p>
    <w:p w:rsidR="00DD5018" w:rsidRPr="00D8691E" w:rsidRDefault="00BD7D87" w:rsidP="00DD5018">
      <w:r w:rsidRPr="00D8691E">
        <w:rPr>
          <w:rStyle w:val="HideTWBExt"/>
        </w:rPr>
        <w:t>&lt;Article2&gt;</w:t>
      </w:r>
      <w:r w:rsidRPr="00D8691E">
        <w:t>Artikel 106c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Medlemsstaterne udarbejder en videnskabelig overvågningsplan for hvert område med fiskeribegrænsninger, herunder en værktøjskasse og integrerede retningslinjer </w:t>
            </w:r>
            <w:r w:rsidRPr="00D8691E">
              <w:t>med henblik på at levere de oplysninger, der er nødvendige for at vurdere effektiviteten af området med fiskeribegrænsninger med hensyn til genopbygning af bestandene og beskyttelse af levestederne og de sårbare marine økosystemer.</w:t>
            </w:r>
          </w:p>
        </w:tc>
        <w:tc>
          <w:tcPr>
            <w:tcW w:w="4876" w:type="dxa"/>
            <w:tcBorders>
              <w:top w:val="nil"/>
              <w:left w:val="nil"/>
              <w:bottom w:val="nil"/>
              <w:right w:val="nil"/>
            </w:tcBorders>
            <w:hideMark/>
          </w:tcPr>
          <w:p w:rsidR="00DD5018" w:rsidRPr="00D8691E" w:rsidRDefault="00BD7D87" w:rsidP="00F37D8F">
            <w:pPr>
              <w:pStyle w:val="Normal6a"/>
            </w:pPr>
            <w:r w:rsidRPr="00D8691E">
              <w:t>Medlemsstaterne udarbejd</w:t>
            </w:r>
            <w:r w:rsidRPr="00D8691E">
              <w:t>er en videnskabelig overvågningsplan for hvert område med fiskeribegrænsninger, herunder en værktøjskasse og integrerede retningslinjer med henblik på at levere de oplysninger, der er nødvendige for at vurdere effektiviteten af området med fiskeribegrænsni</w:t>
            </w:r>
            <w:r w:rsidRPr="00D8691E">
              <w:t>nger med hensyn til genopbygning af bestandene og beskyttelse af levestederne og de sårbare marine økosystemer</w:t>
            </w:r>
            <w:r w:rsidRPr="00D8691E">
              <w:rPr>
                <w:b/>
                <w:i/>
              </w:rPr>
              <w:t xml:space="preserve"> og styrkelse af densiteten af organismer med hensyn til biomasse og størrelse i området med fiskeribegrænsninger</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GFCM/45/2022/11</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229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 xml:space="preserve">Forslag </w:t>
      </w:r>
      <w:r w:rsidRPr="00D8691E">
        <w:t>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54</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106d – stk. 5</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5.</w:t>
            </w:r>
            <w:r w:rsidRPr="00D8691E">
              <w:tab/>
              <w:t xml:space="preserve">Den i stk. </w:t>
            </w:r>
            <w:r w:rsidRPr="00D8691E">
              <w:rPr>
                <w:b/>
                <w:i/>
              </w:rPr>
              <w:t>2</w:t>
            </w:r>
            <w:r w:rsidRPr="00D8691E">
              <w:t xml:space="preserve"> omhandlede rapport skal indeholde følgende:</w:t>
            </w:r>
          </w:p>
        </w:tc>
        <w:tc>
          <w:tcPr>
            <w:tcW w:w="4876" w:type="dxa"/>
            <w:tcBorders>
              <w:top w:val="nil"/>
              <w:left w:val="nil"/>
              <w:bottom w:val="nil"/>
              <w:right w:val="nil"/>
            </w:tcBorders>
            <w:hideMark/>
          </w:tcPr>
          <w:p w:rsidR="00DD5018" w:rsidRPr="00D8691E" w:rsidRDefault="00BD7D87" w:rsidP="00F37D8F">
            <w:pPr>
              <w:pStyle w:val="Normal6a"/>
            </w:pPr>
            <w:r w:rsidRPr="00D8691E">
              <w:t>5.</w:t>
            </w:r>
            <w:r w:rsidRPr="00D8691E">
              <w:tab/>
              <w:t xml:space="preserve">Den i stk. </w:t>
            </w:r>
            <w:r w:rsidRPr="00D8691E">
              <w:rPr>
                <w:b/>
                <w:i/>
              </w:rPr>
              <w:t>4</w:t>
            </w:r>
            <w:r w:rsidRPr="00D8691E">
              <w:t xml:space="preserve"> omhandlede rapport skal indeholde følgende:</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55</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107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r>
            <w:r w:rsidRPr="00D8691E">
              <w:t xml:space="preserve">Der etableres et område med fiskeribegrænsninger i den østlige del af Lionbugten </w:t>
            </w:r>
            <w:r w:rsidRPr="00D8691E">
              <w:rPr>
                <w:b/>
                <w:i/>
              </w:rPr>
              <w:t>som afgrænset af linjer, der forbinder de geografiske koordinater, der er angivet i bilag XI, del A</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1.</w:t>
            </w:r>
            <w:r w:rsidRPr="00D8691E">
              <w:tab/>
              <w:t>Der etableres et område med fiskeribegrænsninger i den østlige del af L</w:t>
            </w:r>
            <w:r w:rsidRPr="00D8691E">
              <w:t xml:space="preserve">ionbugten </w:t>
            </w:r>
            <w:r w:rsidRPr="00D8691E">
              <w:rPr>
                <w:b/>
                <w:i/>
              </w:rPr>
              <w:t>(underområde 7) med henblik på at styrke beskyttelsen af gydestimer og følsomme dybhavslevesteder</w:t>
            </w:r>
            <w:r w:rsidRPr="00D8691E">
              <w: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 stk. 1</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55</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107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r>
            <w:r w:rsidRPr="00D8691E">
              <w:rPr>
                <w:b/>
                <w:i/>
              </w:rPr>
              <w:t>I del A, zone (</w:t>
            </w:r>
            <w:r w:rsidRPr="00D8691E">
              <w:t>1</w:t>
            </w:r>
            <w:r w:rsidRPr="00D8691E">
              <w:rPr>
                <w:b/>
                <w:i/>
              </w:rPr>
              <w:t>), er erhvervsfiskerfartøjer, der fisker efter demersale bestande med trukne net, langliner til bundfiskeri</w:t>
            </w:r>
            <w:r w:rsidRPr="00D8691E">
              <w:t xml:space="preserve">, </w:t>
            </w:r>
            <w:r w:rsidRPr="00D8691E">
              <w:rPr>
                <w:b/>
                <w:i/>
              </w:rPr>
              <w:t>flydeliner samt bundsatte garn, og rekreativt fiskeri forbudt</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2.</w:t>
            </w:r>
            <w:r w:rsidRPr="00D8691E">
              <w:tab/>
            </w:r>
            <w:r w:rsidRPr="00D8691E">
              <w:rPr>
                <w:b/>
                <w:bCs/>
                <w:i/>
                <w:iCs/>
              </w:rPr>
              <w:t xml:space="preserve">Begrænsningsområdet </w:t>
            </w:r>
            <w:r w:rsidRPr="00D8691E">
              <w:rPr>
                <w:b/>
                <w:bCs/>
                <w:i/>
                <w:iCs/>
              </w:rPr>
              <w:t>omhandlet i stk. 1 opdeles i zone A og zone B og afgrænses af linjerne mellem de geografiske koordinater, der er fastsat i bilag XI, del A.</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 stk. 2</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232</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55</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w:t>
      </w:r>
      <w:r w:rsidRPr="00D8691E">
        <w:rPr>
          <w:rStyle w:val="HideTWBExt"/>
        </w:rPr>
        <w:t>e2&gt;</w:t>
      </w:r>
      <w:r w:rsidRPr="00D8691E">
        <w:t>Artikel 107 – stk. 3</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3.</w:t>
            </w:r>
            <w:r w:rsidRPr="00D8691E">
              <w:tab/>
            </w:r>
            <w:r w:rsidRPr="00D8691E">
              <w:rPr>
                <w:b/>
                <w:i/>
              </w:rPr>
              <w:t xml:space="preserve">Fiskeri efter demersale bestande med trukne net, langliner til bundfiskeri, flydeliner samt bundsatte garn er forbudt i del A, zone (2), fra den 1. november til den 30. april </w:t>
            </w:r>
            <w:r w:rsidRPr="00D8691E">
              <w:rPr>
                <w:b/>
                <w:i/>
              </w:rPr>
              <w:t>hvert år."</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Artikel 1 – stk. 1 – punkt 55 a </w:t>
      </w:r>
      <w:r w:rsidRPr="00D8691E">
        <w:t>(nyt)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107a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55a)</w:t>
            </w:r>
            <w:r w:rsidRPr="00D8691E">
              <w:tab/>
            </w:r>
            <w:r w:rsidRPr="00D8691E">
              <w:rPr>
                <w:b/>
                <w:i/>
              </w:rPr>
              <w:t>Følgende artikel indsættes mellem artikel 107 og 108 som artikel 107a: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107a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Forvaltning </w:t>
            </w:r>
            <w:r w:rsidRPr="00D8691E">
              <w:rPr>
                <w:b/>
                <w:i/>
              </w:rPr>
              <w:t>og overvågning af fiskerikapacitet og fiskeriindsats</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 Erhvervsfiskerfartøjer, der fisker efter demersale bestande og anvender trukne redskaber, langliner til bundfiskeri, flydeliner samt bundsatte garn, er med henblik på at bidrage til beskyttelsen af </w:t>
            </w:r>
            <w:r w:rsidRPr="00D8691E">
              <w:rPr>
                <w:b/>
                <w:i/>
              </w:rPr>
              <w:t>sårbare marine økosystemer og vigtige fiskelevesteder for demersale bestande såsom europæisk kulmule (Merluccius merluccius) forbudte i zone 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Fiskeri efter demersale bestande med trukne redskaber, langliner til bundfiskeri, flydeliner eller bundsatt</w:t>
            </w:r>
            <w:r w:rsidRPr="00D8691E">
              <w:rPr>
                <w:b/>
                <w:i/>
              </w:rPr>
              <w:t>e garn er forbudt i zone B i en periode fra 1. november til 30. april.</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Rekreativt fiskeri er forbudt i zone A og B.</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108 – stk. 1</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ab/>
            </w:r>
            <w:r w:rsidRPr="00D8691E">
              <w:rPr>
                <w:b/>
                <w:i/>
              </w:rPr>
              <w:t>Fiskeriindsatsen (antal havdage) for fartøjer, der fisker efter demersale bestande med trukne redskaber, langliner til bundfiskeri, flydeliner samt bundsatte garn i det område med fiskeribegrænsninger, der er omhandlet i artikel 107, må ikke overstige de e</w:t>
            </w:r>
            <w:r w:rsidRPr="00D8691E">
              <w:rPr>
                <w:b/>
                <w:i/>
              </w:rPr>
              <w:t>nkelte medlemsstaters fiskeriindsats i det pågældende område i 2008.</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235</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 xml:space="preserve">Forslag til </w:t>
      </w:r>
      <w:r w:rsidRPr="00D8691E">
        <w:t>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108 – stk. 1 a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1a.</w:t>
            </w:r>
            <w:r w:rsidRPr="00D8691E">
              <w:tab/>
            </w:r>
            <w:r w:rsidRPr="00D8691E">
              <w:rPr>
                <w:b/>
                <w:i/>
              </w:rPr>
              <w:t xml:space="preserve">Den årlige fiskeriindsats (antal </w:t>
            </w:r>
            <w:r w:rsidRPr="00D8691E">
              <w:rPr>
                <w:b/>
                <w:i/>
              </w:rPr>
              <w:t>havdage) vedrørende demersale bestande foretaget af fartøjer med tilladelse til at fiske i begrænsningsområdet med trukne redskaber, langliner til bundfiskeri, flydeliner samt bundsatte garn i området med fiskeribegrænsninger, må ikke overstige den fiskeri</w:t>
            </w:r>
            <w:r w:rsidRPr="00D8691E">
              <w:rPr>
                <w:b/>
                <w:i/>
              </w:rPr>
              <w:t>indsats, der er foretaget i referenceperioden (fastsat til årene 2015-2017).</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236</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 xml:space="preserve">Forslag til </w:t>
      </w:r>
      <w:r w:rsidRPr="00D8691E">
        <w:t>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108 – stk. 2</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2.</w:t>
            </w:r>
            <w:r w:rsidRPr="00D8691E">
              <w:tab/>
            </w:r>
            <w:r w:rsidRPr="00D8691E">
              <w:rPr>
                <w:b/>
                <w:i/>
              </w:rPr>
              <w:t xml:space="preserve">Medlemsstaterne må ikke overføre indsats </w:t>
            </w:r>
            <w:r w:rsidRPr="00D8691E">
              <w:rPr>
                <w:b/>
                <w:i/>
              </w:rPr>
              <w:t>mellem fartøjer med tilladelse til at fiske i området med fiskeribegrænsninger, og som anvender forskellige fiskeredskaber."</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udgår</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237</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w:t>
      </w:r>
      <w:r w:rsidRPr="00D8691E">
        <w:rPr>
          <w:rStyle w:val="HideTWBExt"/>
        </w:rPr>
        <w: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110</w:t>
      </w:r>
      <w:r w:rsidRPr="00D8691E">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Gældende ordlyd</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trHeight w:val="240"/>
          <w:jc w:val="center"/>
        </w:trPr>
        <w:tc>
          <w:tcPr>
            <w:tcW w:w="4876" w:type="dxa"/>
            <w:tcBorders>
              <w:top w:val="nil"/>
              <w:left w:val="nil"/>
              <w:bottom w:val="nil"/>
              <w:right w:val="nil"/>
            </w:tcBorders>
          </w:tcPr>
          <w:p w:rsidR="00DD5018" w:rsidRPr="00D8691E" w:rsidRDefault="00DD5018" w:rsidP="00F37D8F">
            <w:pPr>
              <w:pStyle w:val="AmColumnHeading"/>
            </w:pPr>
          </w:p>
        </w:tc>
        <w:tc>
          <w:tcPr>
            <w:tcW w:w="4876" w:type="dxa"/>
            <w:tcBorders>
              <w:top w:val="nil"/>
              <w:left w:val="nil"/>
              <w:bottom w:val="nil"/>
              <w:right w:val="nil"/>
            </w:tcBorders>
            <w:hideMark/>
          </w:tcPr>
          <w:p w:rsidR="00DD5018" w:rsidRPr="00D8691E" w:rsidRDefault="00BD7D87" w:rsidP="00F37D8F">
            <w:pPr>
              <w:pStyle w:val="AmColumnHeading"/>
              <w:jc w:val="left"/>
              <w:rPr>
                <w:b/>
              </w:rPr>
            </w:pPr>
            <w:r w:rsidRPr="00D8691E">
              <w:rPr>
                <w:b/>
              </w:rPr>
              <w:t>56a)</w:t>
            </w:r>
            <w:r w:rsidRPr="00D8691E">
              <w:rPr>
                <w:b/>
              </w:rPr>
              <w:tab/>
            </w:r>
            <w:r w:rsidRPr="00D8691E">
              <w:rPr>
                <w:b/>
              </w:rPr>
              <w:t>Artikel 110 affattes således:</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Artikel 110</w:t>
            </w:r>
          </w:p>
        </w:tc>
        <w:tc>
          <w:tcPr>
            <w:tcW w:w="4876" w:type="dxa"/>
            <w:tcBorders>
              <w:top w:val="nil"/>
              <w:left w:val="nil"/>
              <w:bottom w:val="nil"/>
              <w:right w:val="nil"/>
            </w:tcBorders>
            <w:hideMark/>
          </w:tcPr>
          <w:p w:rsidR="00DD5018" w:rsidRPr="00D8691E" w:rsidRDefault="00BD7D87" w:rsidP="00F37D8F">
            <w:pPr>
              <w:pStyle w:val="Normal6a"/>
            </w:pPr>
            <w:r w:rsidRPr="00D8691E">
              <w:t>Artikel 110</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Fartøjer med tilladelse</w:t>
            </w:r>
          </w:p>
        </w:tc>
        <w:tc>
          <w:tcPr>
            <w:tcW w:w="4876" w:type="dxa"/>
            <w:tcBorders>
              <w:top w:val="nil"/>
              <w:left w:val="nil"/>
              <w:bottom w:val="nil"/>
              <w:right w:val="nil"/>
            </w:tcBorders>
            <w:hideMark/>
          </w:tcPr>
          <w:p w:rsidR="00DD5018" w:rsidRPr="00D8691E" w:rsidRDefault="00BD7D87" w:rsidP="00F37D8F">
            <w:pPr>
              <w:pStyle w:val="Normal6a"/>
            </w:pPr>
            <w:r w:rsidRPr="00D8691E">
              <w:t>Fartøjer med tilladelse</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1. Fartøjer med tilladelse til at fiske i det område, der er omhandlet i denne forordnings artikel 107, skal af deres medlemsstat have udstedt en </w:t>
            </w:r>
            <w:r w:rsidRPr="00D8691E">
              <w:t>fiskeritilladelse i overensstemmelse med artikel 7 i forordning (EF) nr. 1224/2009.</w:t>
            </w:r>
          </w:p>
        </w:tc>
        <w:tc>
          <w:tcPr>
            <w:tcW w:w="4876" w:type="dxa"/>
            <w:tcBorders>
              <w:top w:val="nil"/>
              <w:left w:val="nil"/>
              <w:bottom w:val="nil"/>
              <w:right w:val="nil"/>
            </w:tcBorders>
            <w:hideMark/>
          </w:tcPr>
          <w:p w:rsidR="00DD5018" w:rsidRPr="00D8691E" w:rsidRDefault="00BD7D87" w:rsidP="00F37D8F">
            <w:pPr>
              <w:pStyle w:val="Normal6a"/>
            </w:pPr>
            <w:r w:rsidRPr="00D8691E">
              <w:t>1. Fartøjer med tilladelse til at fiske i det område, der er omhandlet i denne forordnings artikel 107, skal af deres medlemsstat have udstedt en fiskeritilladelse i overen</w:t>
            </w:r>
            <w:r w:rsidRPr="00D8691E">
              <w:t>sstemmelse med artikel 7 i forordning (EF) nr. 1224/2009.</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2. Fiskerfartøjer, der ikke kan dokumentere, at de før den 31.</w:t>
            </w:r>
            <w:r w:rsidRPr="00D8691E">
              <w:rPr>
                <w:b/>
                <w:i/>
              </w:rPr>
              <w:t xml:space="preserve"> </w:t>
            </w:r>
            <w:r w:rsidRPr="00D8691E">
              <w:t>december 2008 har fisket i det område, der er omhandlet i artikel</w:t>
            </w:r>
            <w:r w:rsidRPr="00D8691E">
              <w:rPr>
                <w:b/>
                <w:i/>
              </w:rPr>
              <w:t xml:space="preserve"> </w:t>
            </w:r>
            <w:r w:rsidRPr="00D8691E">
              <w:t>107, må ikke påbegynde fiskeri i det pågældende område.</w:t>
            </w:r>
          </w:p>
        </w:tc>
        <w:tc>
          <w:tcPr>
            <w:tcW w:w="4876" w:type="dxa"/>
            <w:tcBorders>
              <w:top w:val="nil"/>
              <w:left w:val="nil"/>
              <w:bottom w:val="nil"/>
              <w:right w:val="nil"/>
            </w:tcBorders>
            <w:hideMark/>
          </w:tcPr>
          <w:p w:rsidR="00DD5018" w:rsidRPr="00D8691E" w:rsidRDefault="00BD7D87" w:rsidP="00F37D8F">
            <w:pPr>
              <w:pStyle w:val="Normal6a"/>
            </w:pPr>
            <w:r w:rsidRPr="00D8691E">
              <w:t>2. Fiskerfar</w:t>
            </w:r>
            <w:r w:rsidRPr="00D8691E">
              <w:t>tøjer, der ikke kan dokumentere, at de før den 31.</w:t>
            </w:r>
            <w:r w:rsidRPr="00D8691E">
              <w:rPr>
                <w:b/>
                <w:i/>
              </w:rPr>
              <w:t> </w:t>
            </w:r>
            <w:r w:rsidRPr="00D8691E">
              <w:t>december 2008 har fisket i det område, der er omhandlet i artikel</w:t>
            </w:r>
            <w:r w:rsidRPr="00D8691E">
              <w:rPr>
                <w:b/>
                <w:i/>
              </w:rPr>
              <w:t> </w:t>
            </w:r>
            <w:r w:rsidRPr="00D8691E">
              <w:t>107, må ikke påbegynde fiskeri i det pågældende område.</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i/>
              </w:rPr>
            </w:pPr>
            <w:r w:rsidRPr="00D8691E">
              <w:t xml:space="preserve">3. Medlemsstaterne meddeler </w:t>
            </w:r>
            <w:r w:rsidRPr="00D8691E">
              <w:rPr>
                <w:b/>
                <w:i/>
              </w:rPr>
              <w:t xml:space="preserve">senest den 16. februar 2012 </w:t>
            </w:r>
            <w:r w:rsidRPr="00D8691E">
              <w:t>Kommissionen gældende nati</w:t>
            </w:r>
            <w:r w:rsidRPr="00D8691E">
              <w:t>onal lovgivning pr. 31.</w:t>
            </w:r>
            <w:r w:rsidRPr="00D8691E">
              <w:rPr>
                <w:b/>
                <w:i/>
              </w:rPr>
              <w:t xml:space="preserve"> </w:t>
            </w:r>
            <w:r w:rsidRPr="00D8691E">
              <w:t xml:space="preserve">december 2008 om: </w:t>
            </w:r>
          </w:p>
        </w:tc>
        <w:tc>
          <w:tcPr>
            <w:tcW w:w="4876" w:type="dxa"/>
            <w:tcBorders>
              <w:top w:val="nil"/>
              <w:left w:val="nil"/>
              <w:bottom w:val="nil"/>
              <w:right w:val="nil"/>
            </w:tcBorders>
            <w:hideMark/>
          </w:tcPr>
          <w:p w:rsidR="00DD5018" w:rsidRPr="00D8691E" w:rsidRDefault="00BD7D87" w:rsidP="00F37D8F">
            <w:pPr>
              <w:pStyle w:val="Normal6a"/>
            </w:pPr>
            <w:r w:rsidRPr="00D8691E">
              <w:t>3. Medlemsstaterne meddeler Kommissionen gældende national lovgivning pr. 31.</w:t>
            </w:r>
            <w:r w:rsidRPr="00D8691E">
              <w:rPr>
                <w:b/>
                <w:i/>
              </w:rPr>
              <w:t> </w:t>
            </w:r>
            <w:r w:rsidRPr="00D8691E">
              <w:t>december 2008 om:</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rPr>
                <w:b/>
                <w:i/>
              </w:rPr>
              <w:t>a)</w:t>
            </w:r>
            <w:r w:rsidRPr="00D8691E">
              <w:rPr>
                <w:b/>
                <w:i/>
              </w:rPr>
              <w:tab/>
              <w:t>det</w:t>
            </w:r>
            <w:r w:rsidRPr="00D8691E">
              <w:t xml:space="preserve"> maksimale </w:t>
            </w:r>
            <w:r w:rsidRPr="00D8691E">
              <w:rPr>
                <w:b/>
                <w:i/>
              </w:rPr>
              <w:t>antal timer pr. dag, som et fartøj må udøve</w:t>
            </w:r>
            <w:r w:rsidRPr="00D8691E">
              <w:t xml:space="preserve"> fiskeri</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a)</w:t>
            </w:r>
            <w:r w:rsidRPr="00D8691E">
              <w:tab/>
            </w:r>
            <w:r w:rsidRPr="00D8691E">
              <w:rPr>
                <w:b/>
                <w:i/>
              </w:rPr>
              <w:t>den</w:t>
            </w:r>
            <w:r w:rsidRPr="00D8691E">
              <w:t xml:space="preserve"> maksimale </w:t>
            </w:r>
            <w:r w:rsidRPr="00D8691E">
              <w:rPr>
                <w:b/>
                <w:i/>
              </w:rPr>
              <w:t>varighed af det daglige</w:t>
            </w:r>
            <w:r w:rsidRPr="00D8691E">
              <w:t xml:space="preserve"> fisker</w:t>
            </w:r>
            <w:r w:rsidRPr="00D8691E">
              <w:t>i</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rPr>
                <w:b/>
              </w:rPr>
            </w:pPr>
            <w:r w:rsidRPr="00D8691E">
              <w:rPr>
                <w:b/>
                <w:i/>
              </w:rPr>
              <w:t>b)</w:t>
            </w:r>
            <w:r w:rsidRPr="00D8691E">
              <w:rPr>
                <w:b/>
                <w:i/>
              </w:rPr>
              <w:tab/>
            </w:r>
            <w:r w:rsidRPr="00D8691E">
              <w:t xml:space="preserve">det maksimale antal </w:t>
            </w:r>
            <w:r w:rsidRPr="00D8691E">
              <w:rPr>
                <w:b/>
                <w:i/>
              </w:rPr>
              <w:t>dage pr. uge</w:t>
            </w:r>
            <w:r w:rsidRPr="00D8691E">
              <w:t xml:space="preserve">, </w:t>
            </w:r>
            <w:r w:rsidRPr="00D8691E">
              <w:rPr>
                <w:b/>
                <w:i/>
              </w:rPr>
              <w:t>som et fartøj må være ude af havn,</w:t>
            </w: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og </w:t>
            </w:r>
            <w:r w:rsidRPr="00D8691E">
              <w:t xml:space="preserve">b) det maksimale antal </w:t>
            </w:r>
            <w:r w:rsidRPr="00D8691E">
              <w:rPr>
                <w:b/>
                <w:i/>
              </w:rPr>
              <w:t>havdage</w:t>
            </w:r>
            <w:r w:rsidRPr="00D8691E">
              <w:t xml:space="preserve">, </w:t>
            </w:r>
          </w:p>
        </w:tc>
      </w:tr>
      <w:tr w:rsidR="00DF750B" w:rsidRPr="00D8691E" w:rsidTr="00F37D8F">
        <w:trPr>
          <w:jc w:val="center"/>
        </w:trPr>
        <w:tc>
          <w:tcPr>
            <w:tcW w:w="4876" w:type="dxa"/>
            <w:tcBorders>
              <w:top w:val="nil"/>
              <w:left w:val="nil"/>
              <w:bottom w:val="nil"/>
              <w:right w:val="nil"/>
            </w:tcBorders>
            <w:hideMark/>
          </w:tcPr>
          <w:p w:rsidR="00DD5018" w:rsidRPr="00D8691E" w:rsidRDefault="00BD7D87" w:rsidP="00F37D8F">
            <w:pPr>
              <w:pStyle w:val="Normal6a"/>
            </w:pPr>
            <w:r w:rsidRPr="00D8691E">
              <w:t xml:space="preserve">og c) </w:t>
            </w:r>
            <w:r w:rsidRPr="00D8691E">
              <w:rPr>
                <w:b/>
                <w:i/>
              </w:rPr>
              <w:t>den</w:t>
            </w:r>
            <w:r w:rsidRPr="00D8691E">
              <w:t xml:space="preserve"> bindende </w:t>
            </w:r>
            <w:r w:rsidRPr="00D8691E">
              <w:rPr>
                <w:b/>
                <w:i/>
              </w:rPr>
              <w:t>tidsramme, som fiskerfartøjer har, fra de forlader deres registreringshavn,</w:t>
            </w:r>
            <w:r w:rsidRPr="00D8691E">
              <w:t xml:space="preserve"> til </w:t>
            </w:r>
            <w:r w:rsidRPr="00D8691E">
              <w:rPr>
                <w:b/>
                <w:i/>
              </w:rPr>
              <w:t>at komme tilbage dertil</w:t>
            </w:r>
            <w:r w:rsidRPr="00D8691E">
              <w:t>.</w:t>
            </w:r>
          </w:p>
        </w:tc>
        <w:tc>
          <w:tcPr>
            <w:tcW w:w="4876" w:type="dxa"/>
            <w:tcBorders>
              <w:top w:val="nil"/>
              <w:left w:val="nil"/>
              <w:bottom w:val="nil"/>
              <w:right w:val="nil"/>
            </w:tcBorders>
            <w:hideMark/>
          </w:tcPr>
          <w:p w:rsidR="00DD5018" w:rsidRPr="00D8691E" w:rsidRDefault="00BD7D87" w:rsidP="00F37D8F">
            <w:pPr>
              <w:pStyle w:val="Normal6a"/>
            </w:pPr>
            <w:r w:rsidRPr="00D8691E">
              <w:t xml:space="preserve">og c) </w:t>
            </w:r>
            <w:r w:rsidRPr="00D8691E">
              <w:rPr>
                <w:b/>
                <w:i/>
              </w:rPr>
              <w:t>de retligt</w:t>
            </w:r>
            <w:r w:rsidRPr="00D8691E">
              <w:t xml:space="preserve"> bindende </w:t>
            </w:r>
            <w:r w:rsidRPr="00D8691E">
              <w:rPr>
                <w:b/>
                <w:i/>
              </w:rPr>
              <w:t>tider for udsejling og tilbagevenden</w:t>
            </w:r>
            <w:r w:rsidRPr="00D8691E">
              <w:t xml:space="preserve"> til </w:t>
            </w:r>
            <w:r w:rsidRPr="00D8691E">
              <w:rPr>
                <w:b/>
                <w:i/>
              </w:rPr>
              <w:t>registreringshavnen</w:t>
            </w:r>
            <w:r w:rsidRPr="00D8691E">
              <w: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3a.</w:t>
            </w:r>
            <w:r w:rsidRPr="00D8691E">
              <w:rPr>
                <w:b/>
                <w:i/>
              </w:rPr>
              <w:tab/>
              <w:t>Medlemsstaterne må ikke overføre indsats mellem fartøjer med tilladelse til at fiske i området med fiskeribegrænsninger, og som anvender forskellige fiskeredskaber."</w:t>
            </w:r>
          </w:p>
        </w:tc>
      </w:tr>
    </w:tbl>
    <w:p w:rsidR="00DD5018" w:rsidRPr="00D8691E" w:rsidRDefault="00BD7D87" w:rsidP="00DD5018">
      <w:pPr>
        <w:pStyle w:val="AmOrLang"/>
        <w:rPr>
          <w:lang w:eastAsia="en-US"/>
        </w:rPr>
      </w:pPr>
      <w:r w:rsidRPr="00D8691E">
        <w:t xml:space="preserve">Or. </w:t>
      </w:r>
      <w:r w:rsidRPr="00D8691E">
        <w:rPr>
          <w:rStyle w:val="HideTWBExt"/>
        </w:rPr>
        <w:t>&lt;Origin</w:t>
      </w:r>
      <w:r w:rsidRPr="00D8691E">
        <w:rPr>
          <w:rStyle w:val="HideTWBExt"/>
        </w:rPr>
        <w:t>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(32023R2124)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 stk. 9 og 10.</w:t>
      </w:r>
    </w:p>
    <w:p w:rsidR="00DD5018" w:rsidRPr="00D8691E" w:rsidRDefault="00BD7D87" w:rsidP="00DD5018">
      <w:pPr>
        <w:pStyle w:val="AmNumberTabs"/>
      </w:pPr>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238</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Sebastian Everding</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{The Left}</w:t>
      </w:r>
      <w:r w:rsidRPr="00D8691E">
        <w:t>for The Left-Gruppen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110a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56a)</w:t>
            </w:r>
            <w:r w:rsidRPr="00D8691E">
              <w:tab/>
            </w:r>
            <w:r w:rsidRPr="00D8691E">
              <w:rPr>
                <w:b/>
                <w:i/>
              </w:rPr>
              <w:t>Følgende indsættes som artikel 110a: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110a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Kontrol- og håndhævelsesforanstaltninger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Medlemsstaterne fører et register over de fartøjer, der har tilladelse til at fiske i området med fiskeribegrænsning.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Senest den 30. maj 2024 </w:t>
            </w:r>
            <w:r w:rsidRPr="00D8691E">
              <w:rPr>
                <w:b/>
                <w:i/>
              </w:rPr>
              <w:t>indsender medlemsstaterne via GFCM's referenceramme for dataindsamling (DCRF) listen over fartøjer, der fører deres flag, og som har tilladelse til at fiske i begrænsningsområdet til GFCM's sekretariat. Listen indeholder for hvert opført fartøj de oplysnin</w:t>
            </w:r>
            <w:r w:rsidRPr="00D8691E">
              <w:rPr>
                <w:b/>
                <w:i/>
              </w:rPr>
              <w:t>ger, der er omhandlet i bilag VIII.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Senest den 31. maj hvert år indsender medlemsstaterne til Kommissionen en rapport om de forvaltningsforanstaltninger, der er truffet i begrænsningsområderne. Rapporten skal for at fremme en fælles tilgang i hele GFC</w:t>
            </w:r>
            <w:r w:rsidRPr="00D8691E">
              <w:rPr>
                <w:b/>
                <w:i/>
              </w:rPr>
              <w:t>M-anvendelsesområdet udarbejdes i overensstemmelse med fælles retningslinjer fastlagt af GFCM's sekretariat. Rapporten offentliggøres på GFCM's websted senest to måneder efter modtagelsen på en måde, der er i overensstemmelse med GFCM's politik og procedur</w:t>
            </w:r>
            <w:r w:rsidRPr="00D8691E">
              <w:rPr>
                <w:b/>
                <w:i/>
              </w:rPr>
              <w:t>er for datafortrolighed.</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Medlemsstaterne meddeler senest den 30. maj 2024 GFCM's sekretariat de retlige betingelser, der er gældende den 31. december 2023, vedrørende den maksimale varighed af en fangstdag.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 sikrer, at fiskerfartøj</w:t>
            </w:r>
            <w:r w:rsidRPr="00D8691E">
              <w:rPr>
                <w:b/>
                <w:i/>
              </w:rPr>
              <w:t>er, der fisker i begrænsningsområdet, opfylder forpligtelserne i 1 og 2.</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6. Erhvervsfiskerfartøjer på over 12 m, der passerer gennem begrænsningsområdet, skal være udstyret med en operationel transponder beregnet til fartøjsovervågningssystemer (FOS) </w:t>
            </w:r>
            <w:r w:rsidRPr="00D8691E">
              <w:rPr>
                <w:b/>
                <w:i/>
              </w:rPr>
              <w:t>og/eller automatiske identifikationssystemer (AIS), der viser øget dataoverførsel, og de skal have alle fiskeredskaber fastsurret og stuvet under hele transitten. Erhvervsfiskerfartøjer skal i overensstemmelse med GFCM-henstillingen følge en direkte kurs m</w:t>
            </w:r>
            <w:r w:rsidRPr="00D8691E">
              <w:rPr>
                <w:b/>
                <w:i/>
              </w:rPr>
              <w:t>ed en konstant hastighed på mindst 6 knob, undtagen i tilfælde af force majeure eller ugunstige forhold. I sådanne tilfælde skal fartøjsføreren omgående underrette overvågningscentret i sin flagmedlemsstat, så dette kan underrette medlemsstaternes kompeten</w:t>
            </w:r>
            <w:r w:rsidRPr="00D8691E">
              <w:rPr>
                <w:b/>
                <w:i/>
              </w:rPr>
              <w:t>te myndigheder om force majeure-forholdet.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239</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Isabella Lövin</w:t>
      </w:r>
      <w:r w:rsidRPr="00D8691E">
        <w:rPr>
          <w:rStyle w:val="HideTWBExt"/>
        </w:rPr>
        <w:t>&lt;/Members&gt;</w:t>
      </w:r>
    </w:p>
    <w:p w:rsidR="00DD5018" w:rsidRPr="00D8691E" w:rsidRDefault="00BD7D87" w:rsidP="00DD5018">
      <w:r w:rsidRPr="00D8691E">
        <w:rPr>
          <w:rStyle w:val="HideTWBExt"/>
        </w:rPr>
        <w:t>&lt;AuNomDe&gt;</w:t>
      </w:r>
      <w:r w:rsidRPr="00D8691E">
        <w:rPr>
          <w:rStyle w:val="HideTWBInt"/>
          <w:color w:val="auto"/>
        </w:rPr>
        <w:t>{Greens/EFA}</w:t>
      </w:r>
      <w:r w:rsidRPr="00D8691E">
        <w:t>for Ver</w:t>
      </w:r>
      <w:r w:rsidRPr="00D8691E">
        <w:t>ts/ALE-Gruppen</w:t>
      </w:r>
      <w:r w:rsidRPr="00D8691E">
        <w:rPr>
          <w:rStyle w:val="HideTWBExt"/>
        </w:rPr>
        <w:t>&lt;/AuNomDe&gt;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110b (nyt)</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 xml:space="preserve">Kommissionens </w:t>
            </w:r>
            <w:r w:rsidRPr="00D8691E">
              <w:t>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hideMark/>
          </w:tcPr>
          <w:p w:rsidR="00DD5018" w:rsidRPr="00D8691E" w:rsidRDefault="00DD5018" w:rsidP="00F37D8F"/>
        </w:tc>
        <w:tc>
          <w:tcPr>
            <w:tcW w:w="4876" w:type="dxa"/>
            <w:tcBorders>
              <w:top w:val="nil"/>
              <w:left w:val="nil"/>
              <w:bottom w:val="nil"/>
              <w:right w:val="nil"/>
            </w:tcBorders>
            <w:hideMark/>
          </w:tcPr>
          <w:p w:rsidR="00DD5018" w:rsidRPr="00D8691E" w:rsidRDefault="00BD7D87" w:rsidP="00F37D8F">
            <w:pPr>
              <w:pStyle w:val="Normal6a"/>
            </w:pPr>
            <w:r w:rsidRPr="00D8691E">
              <w:rPr>
                <w:b/>
                <w:i/>
              </w:rPr>
              <w:t>56a)</w:t>
            </w:r>
            <w:r w:rsidRPr="00D8691E">
              <w:tab/>
            </w:r>
            <w:r w:rsidRPr="00D8691E">
              <w:rPr>
                <w:b/>
                <w:i/>
              </w:rPr>
              <w:t>Følgende artikel indsættes:</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110b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Kontrol- og håndhævelsesforanstaltninger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w:t>
            </w:r>
            <w:r w:rsidRPr="00D8691E">
              <w:t xml:space="preserve"> </w:t>
            </w:r>
            <w:r w:rsidRPr="00D8691E">
              <w:rPr>
                <w:b/>
                <w:i/>
              </w:rPr>
              <w:t>Medlemsstaterne fører et register over de fartøjer, der har tilladelse til at fiske i området med fiskeribegrænsning.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w:t>
            </w:r>
            <w:r w:rsidRPr="00D8691E">
              <w:rPr>
                <w:b/>
                <w:i/>
              </w:rPr>
              <w:t>Medlemsstaterne indsender via GFCM's referenceramme for dataindsamling (DCRF) listen over fartøjer, der fører deres flag, og som har tilladelse til at fiske i begrænsningsområdet til GFCM's sekretariat. Listen indeholder for hvert opført fartøj de oplysnin</w:t>
            </w:r>
            <w:r w:rsidRPr="00D8691E">
              <w:rPr>
                <w:b/>
                <w:i/>
              </w:rPr>
              <w:t>ger, der er omhandlet i bilag VIII.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Senest den 31. maj hvert år indsender medlemsstaterne til Kommissionen en rapport om de forvaltningsforanstaltninger, der er truffet i begrænsningsområderne. Rapporten skal for at fremme en fælles tilgang i hele GFC</w:t>
            </w:r>
            <w:r w:rsidRPr="00D8691E">
              <w:rPr>
                <w:b/>
                <w:i/>
              </w:rPr>
              <w:t>M-anvendelsesområdet udarbejdes i overensstemmelse med fælles retningslinjer fastlagt af GFCM's sekretariat. Rapporten offentliggøres på GFCM's websted senest to måneder efter modtagelsen på en måde, der er i overensstemmelse med GFCM's politik og procedur</w:t>
            </w:r>
            <w:r w:rsidRPr="00D8691E">
              <w:rPr>
                <w:b/>
                <w:i/>
              </w:rPr>
              <w:t>er for datafortrolighed.</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Medlemsstaterne meddeler GFCM's sekretariat de retlige betingelser, der er gældende den 31. december 2023, vedrørende den maksimale varighed af en fangstdag.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 sikrer, at fiskerfartøjer, der fisker i begræns</w:t>
            </w:r>
            <w:r w:rsidRPr="00D8691E">
              <w:rPr>
                <w:b/>
                <w:i/>
              </w:rPr>
              <w:t>ningsområdet, opfylder forpligtelserne i 1 og 2.</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6. Erhvervsfiskerfartøjer på over 12 m, der passerer gennem begrænsningsområdet, skal være udstyret med en operationel transponder beregnet til fartøjsovervågningssystemer (FOS) og/eller automatiske identi</w:t>
            </w:r>
            <w:r w:rsidRPr="00D8691E">
              <w:rPr>
                <w:b/>
                <w:i/>
              </w:rPr>
              <w:t>fikationssystemer (AIS), der viser øget dataoverførsel, og de skal have alle fiskeredskaber fastsurret og stuvet under hele transitten. Erhvervsfiskerfartøjer skal i overensstemmelse med GFCM-henstillingen følge en direkte kurs med en konstant hastighed på</w:t>
            </w:r>
            <w:r w:rsidRPr="00D8691E">
              <w:rPr>
                <w:b/>
                <w:i/>
              </w:rPr>
              <w:t xml:space="preserve"> mindst 6 knob, undtagen i tilfælde af force majeure eller ugunstige forhold. I sådanne tilfælde skal fartøjsføreren omgående underrette overvågningscentret i sin flagmedlemsstat, så dette kan underrette medlemsstaternes kompetente myndigheder om force maj</w:t>
            </w:r>
            <w:r w:rsidRPr="00D8691E">
              <w:rPr>
                <w:b/>
                <w:i/>
              </w:rPr>
              <w:t>eure-forholdet."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CrossRef"/>
      </w:pPr>
      <w:r w:rsidRPr="00D8691E">
        <w:t>(Forordning (EU) nr. 2023/2124)</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240</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56 c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110</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56c)</w:t>
            </w:r>
            <w:r w:rsidRPr="00D8691E">
              <w:tab/>
            </w:r>
            <w:r w:rsidRPr="00D8691E">
              <w:rPr>
                <w:b/>
                <w:i/>
              </w:rPr>
              <w:t xml:space="preserve">Følgende artikler </w:t>
            </w:r>
            <w:r w:rsidRPr="00D8691E">
              <w:rPr>
                <w:b/>
                <w:i/>
              </w:rPr>
              <w:t>indsættes mellem artikel 110 og 111 som artikel 110a og 110b: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110a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Videnskabelig overvågning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Medlemsstaterne drager omsorg for, 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der udarbejdes en videnskabelig overvågningsplan for området med fiskeribegrænsning.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Resultaterne af </w:t>
            </w:r>
            <w:r w:rsidRPr="00D8691E">
              <w:rPr>
                <w:b/>
                <w:i/>
              </w:rPr>
              <w:t>begrænsningsområdets overvågningsplan rapporteres og drøftes regelmæssigt i de relevante underorganer under Den Videnskabelige Rådgivende Komité for Fiskeri (SAC). Overvågningsplanen og dens effektivitet vurderes regelmæssigt af SAC.</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Oplysningerne om </w:t>
            </w:r>
            <w:r w:rsidRPr="00D8691E">
              <w:rPr>
                <w:b/>
                <w:i/>
              </w:rPr>
              <w:t>de fartøjer, der har tilladelse til at fiske i zone B i begrænsningsområdet, registreres af medlemsstaterne (jf. bilag VIII) og gøres offentligt tilgængelige på GFCM's websted på en måde, der er i overensstemmelse med GFCM's datafortrolighedspolitik og -pr</w:t>
            </w:r>
            <w:r w:rsidRPr="00D8691E">
              <w:rPr>
                <w:b/>
                <w:i/>
              </w:rPr>
              <w:t>ocedurer.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Oplysninger om fiskeri, fangst af vigtige arter, utilsigtede fangster, genudsætning og/eller udsmid af følsomme arter, der er opført i bilag II eller III til protokollen om særligt beskyttede områder og den biologiske mangfoldighed i Middelh</w:t>
            </w:r>
            <w:r w:rsidRPr="00D8691E">
              <w:rPr>
                <w:b/>
                <w:i/>
              </w:rPr>
              <w:t>avet (SPA/BD-protokollen) til konventionen om beskyttelse af Middelhavets havmiljø og kystområder, registreres af rederen i den elektroniske logbog eller i et tilsvarende dokument i overensstemmelse med de internationale standarder og datarapporteringskrav</w:t>
            </w:r>
            <w:r w:rsidRPr="00D8691E">
              <w:rPr>
                <w:b/>
                <w:i/>
              </w:rPr>
              <w:t xml:space="preserve"> i relevante GFCM-henstillinger.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Sådanne oplysninger indberettes til de nationale myndigheder med henblik på meddelelse til GFCM's sekretariat i overensstemmelse med DCRF-håndbogen om referencerammen for dataindsamling.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6. Enhver anden yderligere </w:t>
            </w:r>
            <w:r w:rsidRPr="00D8691E">
              <w:rPr>
                <w:b/>
                <w:i/>
              </w:rPr>
              <w:t>foranstaltning, f.eks. 5 % dækning af observatører om bord eller elektronisk fjernovervågning for at skabe lige vilkår for alle fartøjer, træffes med henblik på at forbedre dataindsamlingen til gavn for videnskabelig overvågning af vigtige arter.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w:t>
            </w:r>
            <w:r w:rsidRPr="00D8691E">
              <w:rPr>
                <w:b/>
                <w:i/>
              </w:rPr>
              <w:t> 110b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Kontrol- og håndhævelsesforanstaltninger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Medlemsstaterne fører et register over de fartøjer, der har tilladelse til at fiske i området med fiskeribegrænsning.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Medlemsstaterne indsender via GFCM's referenceramme for dataindsamling (DCRF) l</w:t>
            </w:r>
            <w:r w:rsidRPr="00D8691E">
              <w:rPr>
                <w:b/>
                <w:i/>
              </w:rPr>
              <w:t>isten over fartøjer, der fører deres flag, og som har tilladelse til at fiske i begrænsningsområdet til GFCM's sekretariat. Listen indeholder for hvert opført fartøj de oplysninger, der er omhandlet i bilag VIII.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Senest den 15. maj hvert år indsender </w:t>
            </w:r>
            <w:r w:rsidRPr="00D8691E">
              <w:rPr>
                <w:b/>
                <w:i/>
              </w:rPr>
              <w:t>medlemsstaterne til Kommissionen en rapport om de forvaltningsforanstaltninger, der er truffet i begrænsningsområderne. Kommissionen fremsender denne rapport til GFCM's sekretariat senest den 31. maj hvert år. Rapporten skal for at fremme en fælles tilgang</w:t>
            </w:r>
            <w:r w:rsidRPr="00D8691E">
              <w:rPr>
                <w:b/>
                <w:i/>
              </w:rPr>
              <w:t xml:space="preserve"> i hele GFCM-anvendelsesområdet udarbejdes i overensstemmelse med fælles retningslinjer fastlagt af GFCM's sekretariat. Rapporten offentliggøres på GFCM's websted senest to måneder efter modtagelsen på en måde, der er i overensstemmelse med GFCM's politik </w:t>
            </w:r>
            <w:r w:rsidRPr="00D8691E">
              <w:rPr>
                <w:b/>
                <w:i/>
              </w:rPr>
              <w:t>og procedurer for datafortrolighed.</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Medlemsstaterne meddeler Kommissionen de retlige betingelser, der er gældende den 31. december 2023, vedrørende den maksimale varighed af en fangstdag. Kommissionen videresender disse oplysninger til GFCM's sekretar</w:t>
            </w:r>
            <w:r w:rsidRPr="00D8691E">
              <w:rPr>
                <w:b/>
                <w:i/>
              </w:rPr>
              <w:t>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 sikrer, at fiskerfartøjer, der fisker i begrænsningsområdet, opfylder forpligtelserne i 1 og 2.</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6. Erhvervsfiskerfartøjer på over 12 m, der passerer gennem begrænsningsområdet, skal være udstyret med en operationel transponder </w:t>
            </w:r>
            <w:r w:rsidRPr="00D8691E">
              <w:rPr>
                <w:b/>
                <w:i/>
              </w:rPr>
              <w:t>beregnet til fartøjsovervågningssystemer (FOS) og/eller automatiske identifikationssystemer (AIS), der viser øget dataoverførsel, og de skal have alle fiskeredskaber fastsurret og stuvet under hele transitten. Erhvervsfiskerfartøjer skal følge en direkte k</w:t>
            </w:r>
            <w:r w:rsidRPr="00D8691E">
              <w:rPr>
                <w:b/>
                <w:i/>
              </w:rPr>
              <w:t>urs med en konstant hastighed på mindst 6 knob, undtagen i tilfælde af force majeure eller ugunstige forhold. I sådanne tilfælde skal fartøjsføreren omgående underrette overvågningscentret i sin flagmedlemsstat, så dette kan underrette medlemsstaternes kom</w:t>
            </w:r>
            <w:r w:rsidRPr="00D8691E">
              <w:rPr>
                <w:b/>
                <w:i/>
              </w:rPr>
              <w:t>petente myndigheder om force majeure-forholdet.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GFCM/46/2023/1, stk. 11 og stk. 12-17</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241</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stk. 1 – punkt 59 a (nyt)</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Artikel 116</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59a)</w:t>
            </w:r>
            <w:r w:rsidRPr="00D8691E">
              <w:tab/>
            </w:r>
            <w:r w:rsidRPr="00D8691E">
              <w:rPr>
                <w:b/>
                <w:i/>
              </w:rPr>
              <w:t xml:space="preserve">Ny </w:t>
            </w:r>
            <w:r w:rsidRPr="00D8691E">
              <w:rPr>
                <w:b/>
                <w:i/>
              </w:rPr>
              <w:t>artikel 116a og 116b indsættes efter artikel 116.</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116a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Fiskeribegrænsninger i Otrantostrædet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 Demersalt fiskeri eller rekreativt demersalt fiskeri er ikke tilladt i zone A, som afgrænses af linjer, der forbinder de koordinater, der er </w:t>
            </w:r>
            <w:r w:rsidRPr="00D8691E">
              <w:rPr>
                <w:b/>
                <w:i/>
              </w:rPr>
              <w:t>angivet i bilag XI, del Da.</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I en tomånedersperiode mellem september og november hvert år er fiskeri med bundsatte garn, bundtrawl, faststående langliner og fælder forbudt i zone B, som afgrænses af linjer, der forbinder de koordinater, der er angivet </w:t>
            </w:r>
            <w:r w:rsidRPr="00D8691E">
              <w:rPr>
                <w:b/>
                <w:i/>
              </w:rPr>
              <w:t>i bilag XI, del Da. 3. Fiskeri med not og pelagisk trawl efter ansjos eller sardin er forbudt i det område, som afgrænses af linjer, der forbinder de koordinater, der er angivet i bilag XI, del D.</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116b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Tilladte fartøjer i Otrantostrædeområdet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Uden at det berører artikel 116a, stk. 2, er erhvervsfiskeri med bundsatte garn, bundtrawl, faststående langliner og fælder kun tilladt i de områder, der er omhandlet i nævnte stykke, hvis fartøjet har en særlig tilladelse, og hvis det kan påvise, at d</w:t>
            </w:r>
            <w:r w:rsidRPr="00D8691E">
              <w:rPr>
                <w:b/>
                <w:i/>
              </w:rPr>
              <w:t>et tidligere har fisket i de pågældende områder.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I det i artikel 116a, stk. 2, omhandlede område er det for fiskerfartøjer, der har en tilladelse, ikke tilladt at fiske i mere end halvfjerds fiskedage om året og højst to fiskedage om ugen.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w:t>
            </w:r>
            <w:r w:rsidRPr="00D8691E">
              <w:rPr>
                <w:b/>
                <w:i/>
              </w:rPr>
              <w:t xml:space="preserve">Fartøjer, der har tilladelse til at fiske i det i artikel 116a, stk. 2, omhandlede område, og som fisker med de i nærværende artikels stk. 1 omhandlede redskaber, skal af deres medlemsstat have udstedt en fiskeritilladelse i overensstemmelse med artikel 7 </w:t>
            </w:r>
            <w:r w:rsidRPr="00D8691E">
              <w:rPr>
                <w:b/>
                <w:i/>
              </w:rPr>
              <w:t>i forordning (EF) nr. 1224/2009.</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 sender senest den 31. marts hvert år Kommissionen listen over fartøjer, til hvilke de har udstedt den i stk. 1 omhandlede tilladelse. Senest den 30. april hvert år meddeler Kommissionen GFCM's sekretari</w:t>
            </w:r>
            <w:r w:rsidRPr="00D8691E">
              <w:rPr>
                <w:b/>
                <w:i/>
              </w:rPr>
              <w:t>at listen over fartøjer med tilladelse for det kommende år. For hvert fartøj indeholder listen de oplysninger, der er omhandlet i bilag VIII.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6. Fiskerfartøjer med tilladelse må kun lande fangster af demersale bestande i udpegede landingssteder. Med </w:t>
            </w:r>
            <w:r w:rsidRPr="00D8691E">
              <w:rPr>
                <w:b/>
                <w:i/>
              </w:rPr>
              <w:t>henblik herpå udpeger hver af de berørte medlemsstater landingssteder, hvor det er tilladt at lande fangster fra området med fiskeribegrænsninger Otrantostrædet. Listen over disse udpegede landingssteder fremsendes til Kommissionen senest den 10. april hve</w:t>
            </w:r>
            <w:r w:rsidRPr="00D8691E">
              <w:rPr>
                <w:b/>
                <w:i/>
              </w:rPr>
              <w:t>rt år. Kommissionen videresender denne liste til GFCM's sekretariat senest den 30. april hvert år.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7. Fiskerfartøjer med tilladelse til at fiske i de i artikel 116a, stk. 2, omhandlede områder med de i nærværende artikels stk. 1 omhandlede redskaber skal</w:t>
            </w:r>
            <w:r w:rsidRPr="00D8691E">
              <w:rPr>
                <w:b/>
                <w:i/>
              </w:rPr>
              <w:t xml:space="preserve"> have FOS og/eller et automatiseret identifikationssystem (AIS), der fungerer korrekt, og de fiskeredskaber, der forefindes om bord eller er i brug, skal være behørigt identificeret, nummereret og mærket, før fiskeri eller sejlads i de pågældende områder p</w:t>
            </w:r>
            <w:r w:rsidRPr="00D8691E">
              <w:rPr>
                <w:b/>
                <w:i/>
              </w:rPr>
              <w:t>åbegyndes. 8. Det er kun tilladt for fiskerfartøjer, der er udstyret med bundsatte garn, bundtrawl, faststående langliner og fælder, og som ikke har en tilladelse, at sejle gennem området med fiskeribegrænsninger, hvis de følger en direkte kurs ved en kons</w:t>
            </w:r>
            <w:r w:rsidRPr="00D8691E">
              <w:rPr>
                <w:b/>
                <w:i/>
              </w:rPr>
              <w:t>tant hastighed på ikke under 7 knob, og hvis FOS og/eller AIS om bord er aktivt, og hvis de ikke udfører fiskeri af nogen art.</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GFCM/47/2024/6.</w:t>
      </w:r>
    </w:p>
    <w:p w:rsidR="00DD5018" w:rsidRPr="00D8691E" w:rsidRDefault="00BD7D87" w:rsidP="00DD5018">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242</w:t>
      </w:r>
      <w:r w:rsidRPr="00D8691E">
        <w:rPr>
          <w:rStyle w:val="HideTWBExt"/>
        </w:rPr>
        <w:t>&lt;/</w:t>
      </w:r>
      <w:r w:rsidRPr="00D8691E">
        <w:rPr>
          <w:rStyle w:val="HideTWBExt"/>
        </w:rPr>
        <w: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Artikel 1 – paragraph 1 – punkt 60</w:t>
      </w:r>
      <w:r w:rsidRPr="00D8691E">
        <w:rPr>
          <w:rStyle w:val="HideTWBExt"/>
        </w:rPr>
        <w:t>&lt;/Article&gt;</w:t>
      </w:r>
    </w:p>
    <w:p w:rsidR="00DD5018" w:rsidRPr="00D8691E" w:rsidRDefault="00BD7D87" w:rsidP="00DD5018">
      <w:r w:rsidRPr="00D8691E">
        <w:rPr>
          <w:rStyle w:val="HideTWBExt"/>
        </w:rPr>
        <w:t>&lt;DocAmend2&gt;</w:t>
      </w:r>
      <w:r w:rsidRPr="00D8691E">
        <w:t>Forordning (EU) nr. 2023/2124</w:t>
      </w:r>
      <w:r w:rsidRPr="00D8691E">
        <w:rPr>
          <w:rStyle w:val="HideTWBExt"/>
        </w:rPr>
        <w:t>&lt;/DocAmend2&gt;</w:t>
      </w:r>
    </w:p>
    <w:p w:rsidR="00DD5018" w:rsidRPr="00D8691E" w:rsidRDefault="00BD7D87" w:rsidP="00DD5018">
      <w:r w:rsidRPr="00D8691E">
        <w:rPr>
          <w:rStyle w:val="HideTWBExt"/>
        </w:rPr>
        <w:t>&lt;Article2&gt;</w:t>
      </w:r>
      <w:r w:rsidRPr="00D8691E">
        <w:t>Kapitel III</w:t>
      </w:r>
      <w:r w:rsidRPr="00D8691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750B" w:rsidRPr="00D8691E" w:rsidTr="00F37D8F">
        <w:trPr>
          <w:trHeight w:val="240"/>
          <w:jc w:val="center"/>
        </w:trPr>
        <w:tc>
          <w:tcPr>
            <w:tcW w:w="9752" w:type="dxa"/>
            <w:gridSpan w:val="2"/>
            <w:tcBorders>
              <w:top w:val="nil"/>
              <w:left w:val="nil"/>
              <w:bottom w:val="nil"/>
              <w:right w:val="nil"/>
            </w:tcBorders>
          </w:tcPr>
          <w:p w:rsidR="00DD5018" w:rsidRPr="00D8691E" w:rsidRDefault="00DD5018" w:rsidP="00F37D8F"/>
        </w:tc>
      </w:tr>
      <w:tr w:rsidR="00DF750B" w:rsidRPr="00D8691E" w:rsidTr="00F37D8F">
        <w:trPr>
          <w:trHeight w:val="240"/>
          <w:jc w:val="center"/>
        </w:trPr>
        <w:tc>
          <w:tcPr>
            <w:tcW w:w="4876" w:type="dxa"/>
            <w:tcBorders>
              <w:top w:val="nil"/>
              <w:left w:val="nil"/>
              <w:bottom w:val="nil"/>
              <w:right w:val="nil"/>
            </w:tcBorders>
            <w:hideMark/>
          </w:tcPr>
          <w:p w:rsidR="00DD5018" w:rsidRPr="00D8691E" w:rsidRDefault="00BD7D87" w:rsidP="00F37D8F">
            <w:pPr>
              <w:pStyle w:val="AmColumnHeading"/>
            </w:pPr>
            <w:r w:rsidRPr="00D8691E">
              <w:t>Kommissionens forslag</w:t>
            </w:r>
          </w:p>
        </w:tc>
        <w:tc>
          <w:tcPr>
            <w:tcW w:w="4876" w:type="dxa"/>
            <w:tcBorders>
              <w:top w:val="nil"/>
              <w:left w:val="nil"/>
              <w:bottom w:val="nil"/>
              <w:right w:val="nil"/>
            </w:tcBorders>
            <w:hideMark/>
          </w:tcPr>
          <w:p w:rsidR="00DD5018" w:rsidRPr="00D8691E" w:rsidRDefault="00BD7D87" w:rsidP="00F37D8F">
            <w:pPr>
              <w:pStyle w:val="AmColumnHeading"/>
            </w:pPr>
            <w:r w:rsidRPr="00D8691E">
              <w:t>Ændringsforslag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2a.</w:t>
            </w:r>
            <w:r w:rsidRPr="00D8691E">
              <w:tab/>
            </w:r>
            <w:r w:rsidRPr="00D8691E">
              <w:rPr>
                <w:b/>
                <w:i/>
              </w:rPr>
              <w:t>Der indsættes et nyt afsnit før afdeling I i kapitel III med følgende nye artikler 121a, 121b og 121c mellem artikel 121 og artikel 122:</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Afdeling 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Inspektioner og overtrædelser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Artikel 121a </w:t>
            </w:r>
            <w:r w:rsidRPr="00D8691E">
              <w:rPr>
                <w:b/>
                <w:i/>
              </w:rPr>
              <w:t>International ordning for fælles inspektion og overvågning</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Medlemsstaterne kan udføre inspektions- og overvågningsaktiviteter inden for rammerne af en international ordning for fælles inspektion og overvågning ("ordningen"), der omfatter farvandene ud</w:t>
            </w:r>
            <w:r w:rsidRPr="00D8691E">
              <w:rPr>
                <w:b/>
                <w:i/>
              </w:rPr>
              <w:t>en for national jurisdiktion i GFCM's geografiske underområder, som defineret i bilag I ("inspektions- og overvågningsområdet"), i forbindelse med hver af de i artikel 22, 31, 57, 73 og 81 omhandlede arter.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2. Medlemsstaterne kan tildele kontrollører og </w:t>
            </w:r>
            <w:r w:rsidRPr="00D8691E">
              <w:rPr>
                <w:b/>
                <w:i/>
              </w:rPr>
              <w:t>inspektionsmidler og gennemføre inspektioner under ordningen. Kommissionen eller et organ udpeget af denne kan også udpege EU-kontrollører til ordningen.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3. Kommissionen eller et organ udpeget af denne samordner overvågnings- og inspektionsaktiviteterne </w:t>
            </w:r>
            <w:r w:rsidRPr="00D8691E">
              <w:rPr>
                <w:b/>
                <w:i/>
              </w:rPr>
              <w:t>for Unionen og kan i samarbejde med de berørte medlemsstater udarbejde en fælles plan for ressourceanvendelse med henblik på at sætte Unionen i stand til at leve op til sin forpligtelse i henhold til ordningen. Medlemsstater træffer de nødvendige foranstal</w:t>
            </w:r>
            <w:r w:rsidRPr="00D8691E">
              <w:rPr>
                <w:b/>
                <w:i/>
              </w:rPr>
              <w:t>tninger til at lette gennemførelsen af planerne, navnlig hvad angår de menneskelige og materielle ressourcer, der er nødvendige, og de perioder og geografiske områder, hvor de pågældende ressourcer skal anvendes.</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4. Senest den 15. november hvert år </w:t>
            </w:r>
            <w:r w:rsidRPr="00D8691E">
              <w:rPr>
                <w:b/>
                <w:i/>
              </w:rPr>
              <w:t xml:space="preserve">fremsender hver medlemsstat Kommissionen eller det af denne udpegede organ listen med navnene på kontrollører, der er bemyndiget til at udføre inspektion og overvågning i det i stk. 1 omhandlede område, samt navnene på de fartøjer og fly, der anvendes til </w:t>
            </w:r>
            <w:r w:rsidRPr="00D8691E">
              <w:rPr>
                <w:b/>
                <w:i/>
              </w:rPr>
              <w:t>inspektion og overvågning, som de har til hensigt at tilknytte ordningen i det følgende år. Kommissionen eller det af denne udpegede organ sender disse oplysninger til GFCM's sekretariat senest den 1. december hvert år, eller hurtigst muligt inden inspekti</w:t>
            </w:r>
            <w:r w:rsidRPr="00D8691E">
              <w:rPr>
                <w:b/>
                <w:i/>
              </w:rPr>
              <w:t>onsaktiviteterne påbegyndes.</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Kontrollører, der er tilknyttet ordningen, skal bære et GFCM-kontrollørkort, der er udstedt af de kompetente myndigheder og udformet som angivet i bilag IV.</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6. Fartøjer, der udfører bording- og inspektionsopgaver i </w:t>
            </w:r>
            <w:r w:rsidRPr="00D8691E">
              <w:rPr>
                <w:b/>
                <w:i/>
              </w:rPr>
              <w:t>overensstemmelse med ordningen, skal føre et særligt flag eller en særlig vimpel, som beskrevet i bilag V.</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7. Den enkelte medlemsstat sikrer, at enhver inspektionsplatform, der har ret til at føre medlemsstatens flag, og som opererer i det i stk. 1 omhan</w:t>
            </w:r>
            <w:r w:rsidRPr="00D8691E">
              <w:rPr>
                <w:b/>
                <w:i/>
              </w:rPr>
              <w:t>dlede område, opretholder sikker kontakt, om muligt dagligt, med alle andre inspektionsplatforme, der opererer i området, med henblik på at udveksle de nødvendige oplysninger og koordinere aktiviteterne.</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8. Den enkelte medlemsstat med inspektions- eller </w:t>
            </w:r>
            <w:r w:rsidRPr="00D8691E">
              <w:rPr>
                <w:b/>
                <w:i/>
              </w:rPr>
              <w:t>overvågningstilstedeværelse i det i stk. 1 omhandlede område forsyner, efter at den er kommet ind i området, hver enkel inspektionsplatform med en liste over observationer fastsat i overensstemmelse med bilag VII og over bordinger og inspektioner, som medl</w:t>
            </w:r>
            <w:r w:rsidRPr="00D8691E">
              <w:rPr>
                <w:b/>
                <w:i/>
              </w:rPr>
              <w:t>emsstaten har udført i de seneste 10 dage, herunder datoer, koordinater og andre relevante oplysninger.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121b</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Gennemførelse af inspektioner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1. De til ordningen tilknyttede kontrollører: a) underretter før bording fiskerfartøjet om inspektionsf</w:t>
            </w:r>
            <w:r w:rsidRPr="00D8691E">
              <w:rPr>
                <w:b/>
                <w:i/>
              </w:rPr>
              <w:t>artøjets navn b) viser på inspektionsfartøjet og bordingfartøjet den vimpel, der er beskrevet i bilag V c) begrænser inspektionsholdet til højst tre kontrollører.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Efter bording fremviser kontrollørerne det ID-kort, der er beskrevet i bilag IV, for før</w:t>
            </w:r>
            <w:r w:rsidRPr="00D8691E">
              <w:rPr>
                <w:b/>
                <w:i/>
              </w:rPr>
              <w:t>eren af fiskerfartøjet. Inspektionen udføres på et af GFCM's officielle sprog og, om muligt, på det sprog, som tales af føreren af fiskerfartøjet.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Kontrollørerne udarbejder en rapport om inspektionen i det format, der er angivet i bilag VI.</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4. </w:t>
            </w:r>
            <w:r w:rsidRPr="00D8691E">
              <w:rPr>
                <w:b/>
                <w:i/>
              </w:rPr>
              <w:t>Kontrollørerne underskriver rapporten i nærværelse af fartøjsføreren, som har ret til at tilføje eventuelle bemærkninger, som vedkommende finder passende, og som også skal underskrive rapporten.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Der udleveres en kopi af rapporten til fartøjsføreren og</w:t>
            </w:r>
            <w:r w:rsidRPr="00D8691E">
              <w:rPr>
                <w:b/>
                <w:i/>
              </w:rPr>
              <w:t xml:space="preserve"> til inspektionsholdets myndigheder, som sender en kopi til myndighederne i det inspicerede fartøjs flagstat og til Kommissionen og/eller et organ, denne har udpeget. Kommissionen videresender kopien til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6. Inspektionsfartøjets befali</w:t>
            </w:r>
            <w:r w:rsidRPr="00D8691E">
              <w:rPr>
                <w:b/>
                <w:i/>
              </w:rPr>
              <w:t>ngshavende bestemmer størrelsen af inspektionsholdet og inspektionens varighed under hensyntagen til de relevante omstændigheder.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Artikel 121c</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Overtrædelser</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 xml:space="preserve">1. I nærværende artikel forstås ved overtrædelser følgende aktiviteter: a) de aktiviteter, </w:t>
            </w:r>
            <w:r w:rsidRPr="00D8691E">
              <w:rPr>
                <w:b/>
                <w:i/>
              </w:rPr>
              <w:t>der er omhandlet i artikel 3, stk. 1, litra a), b), c), e), f), g) og h), i forordning (EF) nr. 1005/2008 b) indgriben i satellitovervågningssystemet og c) fiskeri uden FOS-system.</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2. Observerer kontrollørerne ved bording og inspektion af et fiskerfartøj</w:t>
            </w:r>
            <w:r w:rsidRPr="00D8691E">
              <w:rPr>
                <w:b/>
                <w:i/>
              </w:rPr>
              <w:t xml:space="preserve"> en overtrædelse, underretter myndighederne i inspektionsfartøjets flagmedlemsstat omgående Kommissionen eller et organ, denne har udpeget, som underretter det inspicerede fiskerfartøjs flagstat både direkte og gennem GFCM's sekretariat. De underretter ogs</w:t>
            </w:r>
            <w:r w:rsidRPr="00D8691E">
              <w:rPr>
                <w:b/>
                <w:i/>
              </w:rPr>
              <w:t>å ethvert inspektionsskib fra fiskerfartøjets flagstat, som vides at være i nærheden.</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3. Fiskerfartøjets flagmedlemsstat sikrer, at det pågældende fiskerfartøj efter en inspektion, hvorunder en overtrædelse er blevet afsløret, indstiller alt fiskeri. Fla</w:t>
            </w:r>
            <w:r w:rsidRPr="00D8691E">
              <w:rPr>
                <w:b/>
                <w:i/>
              </w:rPr>
              <w:t>gmedlemsstaten beordrer fiskerfartøjet til inden for 72 timer at sejle til en havn, som den har udpeget, hvor der skal indledes en undersøgelse.</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4. I tilfælde, hvor en overtrædelse er blevet afsløret i forbindelse med en inspektion, meddeles de foranstal</w:t>
            </w:r>
            <w:r w:rsidRPr="00D8691E">
              <w:rPr>
                <w:b/>
                <w:i/>
              </w:rPr>
              <w:t>tninger og opfølgningsaktiviteter, som flagmedlemsstaten foretager, til Kommissionen eller et organ udpeget af denne. Kommissionen eller et organ udpeget af denne fremsender besked om foranstaltningerne og opfølgningsaktiviteterne til GFCM's sekretariat.</w:t>
            </w:r>
          </w:p>
        </w:tc>
      </w:tr>
      <w:tr w:rsidR="00DF750B" w:rsidRPr="00D8691E" w:rsidTr="00F37D8F">
        <w:trPr>
          <w:jc w:val="center"/>
        </w:trPr>
        <w:tc>
          <w:tcPr>
            <w:tcW w:w="4876" w:type="dxa"/>
            <w:tcBorders>
              <w:top w:val="nil"/>
              <w:left w:val="nil"/>
              <w:bottom w:val="nil"/>
              <w:right w:val="nil"/>
            </w:tcBorders>
          </w:tcPr>
          <w:p w:rsidR="00DD5018" w:rsidRPr="00D8691E" w:rsidRDefault="00DD5018" w:rsidP="00F37D8F">
            <w:pPr>
              <w:pStyle w:val="Normal6a"/>
            </w:pPr>
          </w:p>
        </w:tc>
        <w:tc>
          <w:tcPr>
            <w:tcW w:w="4876" w:type="dxa"/>
            <w:tcBorders>
              <w:top w:val="nil"/>
              <w:left w:val="nil"/>
              <w:bottom w:val="nil"/>
              <w:right w:val="nil"/>
            </w:tcBorders>
            <w:hideMark/>
          </w:tcPr>
          <w:p w:rsidR="00DD5018" w:rsidRPr="00D8691E" w:rsidRDefault="00BD7D87" w:rsidP="00F37D8F">
            <w:pPr>
              <w:pStyle w:val="Normal6a"/>
            </w:pPr>
            <w:r w:rsidRPr="00D8691E">
              <w:rPr>
                <w:b/>
                <w:i/>
              </w:rPr>
              <w:t>5. Medlemsstaternes myndigheder følger op på inspektionsrapporter som omhandlet i artikel 121b, stk. 3, oplysningsark for observation som fastsat i bilag VII og erklæringer fra dokumentbaserede inspektioner, som kontrollørerne har foretaget, på samme måde</w:t>
            </w:r>
            <w:r w:rsidRPr="00D8691E">
              <w:rPr>
                <w:b/>
                <w:i/>
              </w:rPr>
              <w:t>, som de følger op på rapporter og erklæringer fra nationale kontrollører, der er udarbejdet i overensstemmelse med deres nationale lovgivning.</w:t>
            </w:r>
          </w:p>
        </w:tc>
      </w:tr>
    </w:tbl>
    <w:p w:rsidR="00DD5018" w:rsidRPr="00D8691E" w:rsidRDefault="00BD7D87" w:rsidP="00DD5018">
      <w:pPr>
        <w:pStyle w:val="AmOrLang"/>
        <w:rPr>
          <w:lang w:eastAsia="en-US"/>
        </w:rPr>
      </w:pPr>
      <w:r w:rsidRPr="00D8691E">
        <w:t xml:space="preserve">Or. </w:t>
      </w:r>
      <w:r w:rsidRPr="00D8691E">
        <w:rPr>
          <w:rStyle w:val="HideTWBExt"/>
        </w:rPr>
        <w:t>&lt;Original&gt;</w:t>
      </w:r>
      <w:r w:rsidRPr="00D8691E">
        <w:rPr>
          <w:rStyle w:val="HideTWBInt"/>
        </w:rPr>
        <w:t>{EN}</w:t>
      </w:r>
      <w:r w:rsidRPr="00D8691E">
        <w:t>en</w:t>
      </w:r>
      <w:r w:rsidRPr="00D8691E">
        <w:rPr>
          <w:rStyle w:val="HideTWBExt"/>
        </w:rPr>
        <w:t>&lt;/Original&gt;</w:t>
      </w:r>
    </w:p>
    <w:p w:rsidR="00DD5018" w:rsidRPr="00D8691E" w:rsidRDefault="00BD7D87" w:rsidP="00DD5018">
      <w:pPr>
        <w:pStyle w:val="AmJustTitle"/>
      </w:pPr>
      <w:r w:rsidRPr="00D8691E">
        <w:rPr>
          <w:rStyle w:val="HideTWBExt"/>
        </w:rPr>
        <w:t>&lt;TitreJust&gt;</w:t>
      </w:r>
      <w:r w:rsidRPr="00D8691E">
        <w:t>Begrundelse</w:t>
      </w:r>
      <w:r w:rsidRPr="00D8691E">
        <w:rPr>
          <w:rStyle w:val="HideTWBExt"/>
        </w:rPr>
        <w:t>&lt;/TitreJust&gt;</w:t>
      </w:r>
    </w:p>
    <w:p w:rsidR="00DD5018" w:rsidRPr="00D8691E" w:rsidRDefault="00BD7D87" w:rsidP="00DD5018">
      <w:pPr>
        <w:pStyle w:val="AmJustText"/>
      </w:pPr>
      <w:r w:rsidRPr="00D8691E">
        <w:t xml:space="preserve">I stedet for alle bestemmelser om: 1 - </w:t>
      </w:r>
      <w:r w:rsidRPr="00D8691E">
        <w:t>International ordning for fælles inspektion og overvågning 2 - Gennemførelse af inspektioner 3 — Overtrædelser, Kommissionens forslag til erstatning af: Kommissionens nye artikler 30b, 30c og 30d, nye artikler 37b, 37c og 37d samt artikel 63, 64 og 65, nye</w:t>
      </w:r>
      <w:r w:rsidRPr="00D8691E">
        <w:t xml:space="preserve"> artikler 75, stk. 1, stk. 2 og stk. 3 og nye artikler 89b, 89c og 89d.</w:t>
      </w:r>
    </w:p>
    <w:p w:rsidR="00DD5018" w:rsidRPr="00D8691E" w:rsidRDefault="00BD7D87" w:rsidP="00DD5018">
      <w:pPr>
        <w:rPr>
          <w:szCs w:val="24"/>
        </w:rPr>
      </w:pPr>
      <w:r w:rsidRPr="00D8691E">
        <w:rPr>
          <w:rStyle w:val="HideTWBExt"/>
        </w:rPr>
        <w:t>&lt;/Amend&gt;</w:t>
      </w:r>
    </w:p>
    <w:p w:rsidR="00DD5018" w:rsidRPr="00D8691E" w:rsidRDefault="00BD7D87" w:rsidP="00DD5018">
      <w:pPr>
        <w:pStyle w:val="AmNumberTabs"/>
      </w:pPr>
      <w:r w:rsidRPr="00D8691E">
        <w:rPr>
          <w:rStyle w:val="HideTWBExt"/>
        </w:rPr>
        <w:t>&lt;Amend&gt;</w:t>
      </w:r>
      <w:r w:rsidRPr="00D8691E">
        <w:t>Ændringsforslag</w:t>
      </w:r>
      <w:r w:rsidRPr="00D8691E">
        <w:tab/>
      </w:r>
      <w:r w:rsidRPr="00D8691E">
        <w:tab/>
      </w:r>
      <w:r w:rsidRPr="00D8691E">
        <w:rPr>
          <w:rStyle w:val="HideTWBExt"/>
        </w:rPr>
        <w:t>&lt;NumAm&gt;</w:t>
      </w:r>
      <w:r w:rsidRPr="00D8691E">
        <w:t>243</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 xml:space="preserve">Bilag I – </w:t>
      </w:r>
      <w:r w:rsidRPr="00D8691E">
        <w:t>nr. 1</w:t>
      </w:r>
      <w:r w:rsidRPr="00D8691E">
        <w:rPr>
          <w:rStyle w:val="HideTWBExt"/>
        </w:rPr>
        <w:t>&lt;/Article&gt;</w:t>
      </w:r>
    </w:p>
    <w:p w:rsidR="00DD5018" w:rsidRPr="00D8691E" w:rsidRDefault="00BD7D87" w:rsidP="00DD5018">
      <w:pPr>
        <w:keepNext/>
      </w:pPr>
      <w:r w:rsidRPr="00D8691E">
        <w:rPr>
          <w:rStyle w:val="HideTWBExt"/>
        </w:rPr>
        <w:t>&lt;DocAmend2&gt;</w:t>
      </w:r>
      <w:r w:rsidRPr="00D8691E">
        <w:t>Forordning (EU) nr. 2023/2124</w:t>
      </w:r>
      <w:r w:rsidRPr="00D8691E">
        <w:rPr>
          <w:rStyle w:val="HideTWBExt"/>
        </w:rPr>
        <w:t>&lt;/DocAmend2&gt;</w:t>
      </w:r>
    </w:p>
    <w:p w:rsidR="00DD5018" w:rsidRPr="00D8691E" w:rsidRDefault="00BD7D87" w:rsidP="00DD5018">
      <w:pPr>
        <w:rPr>
          <w:rStyle w:val="HideTWBExt"/>
        </w:rPr>
      </w:pPr>
      <w:r w:rsidRPr="00D8691E">
        <w:rPr>
          <w:rStyle w:val="HideTWBExt"/>
        </w:rPr>
        <w:t>&lt;Article2&gt;</w:t>
      </w:r>
      <w:r w:rsidRPr="00D8691E">
        <w:t>Bilag I</w:t>
      </w:r>
      <w:r w:rsidRPr="00D8691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DF750B" w:rsidRPr="00D8691E" w:rsidTr="00F37D8F">
        <w:trPr>
          <w:jc w:val="center"/>
        </w:trPr>
        <w:tc>
          <w:tcPr>
            <w:tcW w:w="5387" w:type="dxa"/>
            <w:hideMark/>
          </w:tcPr>
          <w:p w:rsidR="00DD5018" w:rsidRPr="00D8691E" w:rsidRDefault="00BD7D87" w:rsidP="00F37D8F">
            <w:pPr>
              <w:pStyle w:val="ColumnHeading"/>
              <w:keepNext/>
            </w:pPr>
            <w:r w:rsidRPr="00D8691E">
              <w:t>Kommissionens forslag</w:t>
            </w:r>
          </w:p>
        </w:tc>
        <w:tc>
          <w:tcPr>
            <w:tcW w:w="4365" w:type="dxa"/>
            <w:hideMark/>
          </w:tcPr>
          <w:p w:rsidR="00DD5018" w:rsidRPr="00D8691E" w:rsidRDefault="00DD5018" w:rsidP="00F37D8F"/>
        </w:tc>
      </w:tr>
    </w:tbl>
    <w:p w:rsidR="00DD5018" w:rsidRPr="00D8691E" w:rsidRDefault="00DD5018" w:rsidP="00DD5018">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DF750B" w:rsidRPr="00D8691E" w:rsidTr="00F37D8F">
        <w:trPr>
          <w:jc w:val="center"/>
        </w:trPr>
        <w:tc>
          <w:tcPr>
            <w:tcW w:w="5387" w:type="dxa"/>
            <w:hideMark/>
          </w:tcPr>
          <w:p w:rsidR="00DD5018" w:rsidRPr="00D8691E" w:rsidRDefault="00BD7D87" w:rsidP="00F37D8F">
            <w:pPr>
              <w:pStyle w:val="Normal6"/>
              <w:jc w:val="center"/>
              <w:rPr>
                <w:i/>
                <w:szCs w:val="24"/>
              </w:rPr>
            </w:pPr>
            <w:r w:rsidRPr="00D8691E">
              <w:rPr>
                <w:i/>
              </w:rPr>
              <w:t>Ændringsforslag</w:t>
            </w:r>
          </w:p>
        </w:tc>
        <w:tc>
          <w:tcPr>
            <w:tcW w:w="4365" w:type="dxa"/>
          </w:tcPr>
          <w:p w:rsidR="00DD5018" w:rsidRPr="00D8691E" w:rsidRDefault="00DD5018" w:rsidP="00F37D8F">
            <w:pPr>
              <w:pStyle w:val="TableParagraph"/>
              <w:spacing w:before="154" w:line="252" w:lineRule="exact"/>
              <w:ind w:left="110"/>
              <w:rPr>
                <w:noProof/>
                <w:sz w:val="24"/>
                <w:szCs w:val="24"/>
              </w:rPr>
            </w:pPr>
          </w:p>
        </w:tc>
      </w:tr>
      <w:tr w:rsidR="00DF750B" w:rsidRPr="00D8691E" w:rsidTr="00F37D8F">
        <w:trPr>
          <w:jc w:val="center"/>
        </w:trPr>
        <w:tc>
          <w:tcPr>
            <w:tcW w:w="9752" w:type="dxa"/>
            <w:gridSpan w:val="2"/>
            <w:hideMark/>
          </w:tcPr>
          <w:p w:rsidR="00DD5018" w:rsidRPr="00D8691E" w:rsidRDefault="00BD7D87" w:rsidP="00F37D8F">
            <w:pPr>
              <w:pStyle w:val="TableParagraph"/>
              <w:spacing w:before="154" w:line="252" w:lineRule="exact"/>
              <w:ind w:left="110"/>
              <w:rPr>
                <w:noProof/>
                <w:sz w:val="24"/>
                <w:szCs w:val="24"/>
              </w:rPr>
            </w:pPr>
            <w:r w:rsidRPr="00D8691E">
              <w:t>I bilag VII indføjes et nyt stykke Da.</w:t>
            </w:r>
          </w:p>
        </w:tc>
      </w:tr>
    </w:tbl>
    <w:p w:rsidR="00DD5018" w:rsidRPr="00D8691E" w:rsidRDefault="00BD7D87" w:rsidP="00DD5018">
      <w:pPr>
        <w:pStyle w:val="Normal6"/>
        <w:rPr>
          <w:b/>
        </w:rPr>
      </w:pPr>
      <w:r w:rsidRPr="00D8691E">
        <w:rPr>
          <w:b/>
        </w:rPr>
        <w:t xml:space="preserve">Da) Jomfruhummer, område og sæsonlukninger i Adriaterhavet (geografisk </w:t>
      </w:r>
      <w:r w:rsidRPr="00D8691E">
        <w:rPr>
          <w:b/>
        </w:rPr>
        <w:t>underområde 17 og 18)</w:t>
      </w:r>
    </w:p>
    <w:tbl>
      <w:tblPr>
        <w:tblW w:w="0" w:type="dxa"/>
        <w:jc w:val="center"/>
        <w:tblLayout w:type="fixed"/>
        <w:tblLook w:val="04A0" w:firstRow="1" w:lastRow="0" w:firstColumn="1" w:lastColumn="0" w:noHBand="0" w:noVBand="1"/>
      </w:tblPr>
      <w:tblGrid>
        <w:gridCol w:w="1568"/>
        <w:gridCol w:w="1701"/>
        <w:gridCol w:w="2126"/>
      </w:tblGrid>
      <w:tr w:rsidR="00DF750B" w:rsidRPr="00D8691E" w:rsidTr="00F37D8F">
        <w:trPr>
          <w:jc w:val="center"/>
        </w:trPr>
        <w:tc>
          <w:tcPr>
            <w:tcW w:w="5395" w:type="dxa"/>
            <w:gridSpan w:val="3"/>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rPr>
                <w:b/>
              </w:rPr>
            </w:pPr>
            <w:r w:rsidRPr="00D8691E">
              <w:rPr>
                <w:b/>
              </w:rPr>
              <w:t>Område A</w:t>
            </w:r>
          </w:p>
        </w:tc>
      </w:tr>
      <w:tr w:rsidR="00DF750B" w:rsidRPr="00D8691E"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rPr>
                <w:b/>
              </w:rPr>
            </w:pPr>
            <w:r w:rsidRPr="00D8691E">
              <w:rPr>
                <w:b/>
              </w:rPr>
              <w:t>Breddegrad</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rPr>
                <w:b/>
              </w:rPr>
            </w:pPr>
            <w:r w:rsidRPr="00D8691E">
              <w:rPr>
                <w:b/>
              </w:rPr>
              <w:t xml:space="preserve">Længdegrad </w:t>
            </w:r>
          </w:p>
        </w:tc>
        <w:tc>
          <w:tcPr>
            <w:tcW w:w="212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Lukningsperiode</w:t>
            </w:r>
          </w:p>
        </w:tc>
      </w:tr>
      <w:tr w:rsidR="00DF750B" w:rsidRPr="00D8691E"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43,45498395</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14,31352476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DD5018" w:rsidRPr="00D8691E" w:rsidRDefault="00BD7D87" w:rsidP="00F37D8F">
            <w:pPr>
              <w:spacing w:before="120" w:after="120"/>
            </w:pPr>
            <w:r w:rsidRPr="00D8691E">
              <w:t>15. oktober — 15. december</w:t>
            </w:r>
          </w:p>
        </w:tc>
      </w:tr>
      <w:tr w:rsidR="00DF750B" w:rsidRPr="00D8691E"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43,45498395</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r w:rsidR="00DF750B" w:rsidRPr="00D8691E"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43,73796819</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r w:rsidR="00DF750B" w:rsidRPr="00D8691E"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43,73796819</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r w:rsidR="00DF750B" w:rsidRPr="00D8691E" w:rsidTr="00F37D8F">
        <w:trPr>
          <w:jc w:val="center"/>
        </w:trPr>
        <w:tc>
          <w:tcPr>
            <w:tcW w:w="1568"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43,45498395</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bl>
    <w:p w:rsidR="00DD5018" w:rsidRPr="00D8691E" w:rsidRDefault="00DD5018" w:rsidP="00DD5018">
      <w:pPr>
        <w:tabs>
          <w:tab w:val="left" w:pos="1681"/>
          <w:tab w:val="left" w:pos="3382"/>
        </w:tabs>
        <w:spacing w:before="120" w:after="120"/>
        <w:ind w:left="113"/>
        <w:rPr>
          <w:szCs w:val="24"/>
        </w:rPr>
      </w:pPr>
    </w:p>
    <w:tbl>
      <w:tblPr>
        <w:tblW w:w="0" w:type="dxa"/>
        <w:jc w:val="center"/>
        <w:tblLayout w:type="fixed"/>
        <w:tblLook w:val="04A0" w:firstRow="1" w:lastRow="0" w:firstColumn="1" w:lastColumn="0" w:noHBand="0" w:noVBand="1"/>
      </w:tblPr>
      <w:tblGrid>
        <w:gridCol w:w="1830"/>
        <w:gridCol w:w="1842"/>
        <w:gridCol w:w="1701"/>
      </w:tblGrid>
      <w:tr w:rsidR="00DF750B" w:rsidRPr="00D8691E" w:rsidTr="00F37D8F">
        <w:trPr>
          <w:jc w:val="center"/>
        </w:trPr>
        <w:tc>
          <w:tcPr>
            <w:tcW w:w="5373" w:type="dxa"/>
            <w:gridSpan w:val="3"/>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rPr>
                <w:b/>
              </w:rPr>
            </w:pPr>
            <w:r w:rsidRPr="00D8691E">
              <w:rPr>
                <w:b/>
              </w:rPr>
              <w:t>Område B</w:t>
            </w:r>
          </w:p>
        </w:tc>
      </w:tr>
      <w:tr w:rsidR="00DF750B" w:rsidRPr="00D8691E"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rPr>
                <w:b/>
              </w:rPr>
            </w:pPr>
            <w:r w:rsidRPr="00D8691E">
              <w:rPr>
                <w:b/>
              </w:rPr>
              <w:t>Breddegrad</w:t>
            </w:r>
          </w:p>
        </w:tc>
        <w:tc>
          <w:tcPr>
            <w:tcW w:w="184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rPr>
                <w:b/>
              </w:rPr>
            </w:pPr>
            <w:r w:rsidRPr="00D8691E">
              <w:rPr>
                <w:b/>
              </w:rPr>
              <w:t xml:space="preserve">Længdegrad </w:t>
            </w:r>
          </w:p>
        </w:tc>
        <w:tc>
          <w:tcPr>
            <w:tcW w:w="170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Lukningsperiode</w:t>
            </w:r>
          </w:p>
        </w:tc>
      </w:tr>
      <w:tr w:rsidR="00DF750B" w:rsidRPr="00D8691E"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41,75575813</w:t>
            </w:r>
          </w:p>
        </w:tc>
        <w:tc>
          <w:tcPr>
            <w:tcW w:w="184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16,94671418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D5018" w:rsidRPr="00D8691E" w:rsidRDefault="00BD7D87" w:rsidP="00F37D8F">
            <w:pPr>
              <w:spacing w:before="120" w:after="120"/>
            </w:pPr>
            <w:r w:rsidRPr="00D8691E">
              <w:t>15. oktober — 15. december</w:t>
            </w:r>
          </w:p>
        </w:tc>
      </w:tr>
      <w:tr w:rsidR="00DF750B" w:rsidRPr="00D8691E"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41,75575813</w:t>
            </w:r>
          </w:p>
        </w:tc>
        <w:tc>
          <w:tcPr>
            <w:tcW w:w="184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r w:rsidR="00DF750B" w:rsidRPr="00D8691E"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42,07296819</w:t>
            </w:r>
          </w:p>
        </w:tc>
        <w:tc>
          <w:tcPr>
            <w:tcW w:w="184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r w:rsidR="00DF750B" w:rsidRPr="00D8691E"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42,07296819</w:t>
            </w:r>
          </w:p>
        </w:tc>
        <w:tc>
          <w:tcPr>
            <w:tcW w:w="184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r w:rsidR="00DF750B" w:rsidRPr="00D8691E" w:rsidTr="00F37D8F">
        <w:trPr>
          <w:jc w:val="center"/>
        </w:trPr>
        <w:tc>
          <w:tcPr>
            <w:tcW w:w="1830"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41,75575813</w:t>
            </w:r>
          </w:p>
        </w:tc>
        <w:tc>
          <w:tcPr>
            <w:tcW w:w="184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spacing w:before="120" w:after="120"/>
            </w:pPr>
            <w:r w:rsidRPr="00D8691E">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5018" w:rsidRPr="00D8691E" w:rsidRDefault="00DD5018" w:rsidP="00F37D8F"/>
        </w:tc>
      </w:tr>
    </w:tbl>
    <w:p w:rsidR="00DD5018" w:rsidRPr="00D8691E" w:rsidRDefault="00DD5018" w:rsidP="00DD5018">
      <w:pPr>
        <w:rPr>
          <w:rFonts w:cstheme="minorHAnsi"/>
          <w:b/>
          <w:i/>
          <w:noProof/>
          <w:lang w:eastAsia="en-US"/>
        </w:rPr>
      </w:pPr>
    </w:p>
    <w:p w:rsidR="00DD5018" w:rsidRPr="00D8691E" w:rsidRDefault="00BD7D87" w:rsidP="00DD5018">
      <w:pPr>
        <w:pStyle w:val="Olang"/>
      </w:pPr>
      <w:r w:rsidRPr="00D8691E">
        <w:rPr>
          <w:noProof w:val="0"/>
        </w:rPr>
        <w:t xml:space="preserve">Or. </w:t>
      </w:r>
      <w:r w:rsidRPr="00D8691E">
        <w:rPr>
          <w:rStyle w:val="HideTWBExt"/>
          <w:noProof w:val="0"/>
        </w:rPr>
        <w:t>&lt;Original&gt;</w:t>
      </w:r>
      <w:r w:rsidRPr="00D8691E">
        <w:rPr>
          <w:rStyle w:val="HideTWBInt"/>
          <w:noProof w:val="0"/>
        </w:rPr>
        <w:t>{EN}</w:t>
      </w:r>
      <w:r w:rsidRPr="00D8691E">
        <w:rPr>
          <w:noProof w:val="0"/>
        </w:rPr>
        <w:t>en</w:t>
      </w:r>
      <w:r w:rsidRPr="00D8691E">
        <w:rPr>
          <w:rStyle w:val="HideTWBExt"/>
          <w:noProof w:val="0"/>
        </w:rPr>
        <w:t>&lt;/Original&gt;</w:t>
      </w:r>
    </w:p>
    <w:p w:rsidR="00DD5018" w:rsidRPr="00D8691E" w:rsidRDefault="00BD7D87" w:rsidP="00DD5018">
      <w:pPr>
        <w:pStyle w:val="Normal12Italic"/>
        <w:jc w:val="center"/>
      </w:pPr>
      <w:r w:rsidRPr="00D8691E">
        <w:t>(32023R2124)</w:t>
      </w:r>
    </w:p>
    <w:p w:rsidR="00DD5018" w:rsidRPr="00D8691E" w:rsidRDefault="00BD7D87" w:rsidP="00DD5018">
      <w:pPr>
        <w:pStyle w:val="Normal12Italic"/>
        <w:jc w:val="center"/>
        <w:rPr>
          <w:noProof w:val="0"/>
        </w:rPr>
      </w:pPr>
      <w:r w:rsidRPr="00D8691E">
        <w:t>GFCM/47/2024/5</w:t>
      </w:r>
    </w:p>
    <w:p w:rsidR="00DD5018" w:rsidRPr="00D8691E" w:rsidRDefault="00BD7D87" w:rsidP="00DD5018">
      <w:r w:rsidRPr="00D8691E">
        <w:rPr>
          <w:rStyle w:val="HideTWBExt"/>
        </w:rPr>
        <w:t>&lt;/Amend&gt;</w:t>
      </w:r>
    </w:p>
    <w:p w:rsidR="00DD5018" w:rsidRPr="00D8691E" w:rsidRDefault="00BD7D87" w:rsidP="00DD5018">
      <w:pPr>
        <w:pStyle w:val="AmNumberTabs"/>
        <w:keepNext/>
      </w:pPr>
      <w:r w:rsidRPr="00D8691E">
        <w:rPr>
          <w:rStyle w:val="HideTWBExt"/>
        </w:rPr>
        <w:t>&lt;Amend&gt;</w:t>
      </w:r>
      <w:r w:rsidRPr="00D8691E">
        <w:t>Ændringsforslag</w:t>
      </w:r>
      <w:r w:rsidRPr="00D8691E">
        <w:tab/>
      </w:r>
      <w:r w:rsidRPr="00D8691E">
        <w:tab/>
      </w:r>
      <w:r w:rsidRPr="00D8691E">
        <w:rPr>
          <w:rStyle w:val="HideTWBExt"/>
        </w:rPr>
        <w:t>&lt;NumAm&gt;</w:t>
      </w:r>
      <w:r w:rsidRPr="00D8691E">
        <w:t>244</w:t>
      </w:r>
      <w:r w:rsidRPr="00D8691E">
        <w:rPr>
          <w:rStyle w:val="HideTWBExt"/>
        </w:rPr>
        <w:t>&lt;/NumAm&gt;</w:t>
      </w:r>
    </w:p>
    <w:p w:rsidR="00DD5018" w:rsidRPr="00D8691E" w:rsidRDefault="00BD7D87" w:rsidP="00DD5018">
      <w:pPr>
        <w:pStyle w:val="NormalBold"/>
      </w:pPr>
      <w:r w:rsidRPr="00D8691E">
        <w:rPr>
          <w:rStyle w:val="HideTWBExt"/>
        </w:rPr>
        <w:t>&lt;RepeatBlock-By&gt;&lt;Members&gt;</w:t>
      </w:r>
      <w:r w:rsidRPr="00D8691E">
        <w:t>Thomas Bajada</w:t>
      </w:r>
      <w:r w:rsidRPr="00D8691E">
        <w:rPr>
          <w:rStyle w:val="HideTWBExt"/>
        </w:rPr>
        <w:t>&lt;/Members&gt;</w:t>
      </w:r>
    </w:p>
    <w:p w:rsidR="00DD5018" w:rsidRPr="00D8691E" w:rsidRDefault="00BD7D87" w:rsidP="00DD5018">
      <w:pPr>
        <w:pStyle w:val="NormalBold"/>
      </w:pPr>
      <w:r w:rsidRPr="00D8691E">
        <w:rPr>
          <w:rStyle w:val="HideTWBExt"/>
        </w:rPr>
        <w:t>&lt;/RepeatBlock-By&gt;</w:t>
      </w:r>
    </w:p>
    <w:p w:rsidR="00DD5018" w:rsidRPr="00D8691E" w:rsidRDefault="00BD7D87" w:rsidP="00DD5018">
      <w:pPr>
        <w:pStyle w:val="NormalBold"/>
      </w:pPr>
      <w:r w:rsidRPr="00D8691E">
        <w:rPr>
          <w:rStyle w:val="HideTWBExt"/>
        </w:rPr>
        <w:t>&lt;DocAmend&gt;</w:t>
      </w:r>
      <w:r w:rsidRPr="00D8691E">
        <w:t>Forslag til forordning</w:t>
      </w:r>
      <w:r w:rsidRPr="00D8691E">
        <w:rPr>
          <w:rStyle w:val="HideTWBExt"/>
        </w:rPr>
        <w:t>&lt;/DocAmend&gt;</w:t>
      </w:r>
    </w:p>
    <w:p w:rsidR="00DD5018" w:rsidRPr="00D8691E" w:rsidRDefault="00BD7D87" w:rsidP="00DD5018">
      <w:pPr>
        <w:pStyle w:val="NormalBold"/>
      </w:pPr>
      <w:r w:rsidRPr="00D8691E">
        <w:rPr>
          <w:rStyle w:val="HideTWBExt"/>
        </w:rPr>
        <w:t>&lt;Article&gt;</w:t>
      </w:r>
      <w:r w:rsidRPr="00D8691E">
        <w:t>Bilag XI – nr. 1</w:t>
      </w:r>
      <w:r w:rsidRPr="00D8691E">
        <w:rPr>
          <w:rStyle w:val="HideTWBExt"/>
        </w:rPr>
        <w:t>&lt;/Article&gt;</w:t>
      </w:r>
    </w:p>
    <w:p w:rsidR="00DD5018" w:rsidRPr="00D8691E" w:rsidRDefault="00BD7D87" w:rsidP="00DD5018">
      <w:pPr>
        <w:keepNext/>
      </w:pPr>
      <w:r w:rsidRPr="00D8691E">
        <w:rPr>
          <w:rStyle w:val="HideTWBExt"/>
        </w:rPr>
        <w:t>&lt;DocAmend2&gt;</w:t>
      </w:r>
      <w:r w:rsidRPr="00D8691E">
        <w:t>Forordning (EU) nr. 2023/2124</w:t>
      </w:r>
      <w:r w:rsidRPr="00D8691E">
        <w:rPr>
          <w:rStyle w:val="HideTWBExt"/>
        </w:rPr>
        <w:t>&lt;/DocAmend2&gt;</w:t>
      </w:r>
    </w:p>
    <w:p w:rsidR="00DD5018" w:rsidRPr="00D8691E" w:rsidRDefault="00BD7D87" w:rsidP="00DD5018">
      <w:pPr>
        <w:rPr>
          <w:rStyle w:val="HideTWBExt"/>
        </w:rPr>
      </w:pPr>
      <w:r w:rsidRPr="00D8691E">
        <w:rPr>
          <w:rStyle w:val="HideTWBExt"/>
        </w:rPr>
        <w:t>&lt;Article2&gt;</w:t>
      </w:r>
      <w:r w:rsidRPr="00D8691E">
        <w:t>Bilag XI</w:t>
      </w:r>
      <w:r w:rsidRPr="00D8691E">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DF750B" w:rsidRPr="00D8691E" w:rsidTr="00F37D8F">
        <w:trPr>
          <w:jc w:val="center"/>
        </w:trPr>
        <w:tc>
          <w:tcPr>
            <w:tcW w:w="5387" w:type="dxa"/>
            <w:hideMark/>
          </w:tcPr>
          <w:p w:rsidR="00DD5018" w:rsidRPr="00D8691E" w:rsidRDefault="00BD7D87" w:rsidP="00F37D8F">
            <w:pPr>
              <w:pStyle w:val="ColumnHeading"/>
              <w:keepNext/>
            </w:pPr>
            <w:r w:rsidRPr="00D8691E">
              <w:t>Kommissionens forslag</w:t>
            </w:r>
          </w:p>
        </w:tc>
        <w:tc>
          <w:tcPr>
            <w:tcW w:w="4365" w:type="dxa"/>
            <w:hideMark/>
          </w:tcPr>
          <w:p w:rsidR="00DD5018" w:rsidRPr="00D8691E" w:rsidRDefault="00DD5018" w:rsidP="00F37D8F"/>
        </w:tc>
      </w:tr>
    </w:tbl>
    <w:p w:rsidR="00DD5018" w:rsidRPr="00D8691E" w:rsidRDefault="00DD5018" w:rsidP="00DD5018">
      <w:pPr>
        <w:pStyle w:val="AmOrLang"/>
        <w:jc w:val="left"/>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DF750B" w:rsidRPr="00D8691E" w:rsidTr="00F37D8F">
        <w:trPr>
          <w:jc w:val="center"/>
        </w:trPr>
        <w:tc>
          <w:tcPr>
            <w:tcW w:w="5387" w:type="dxa"/>
            <w:hideMark/>
          </w:tcPr>
          <w:p w:rsidR="00DD5018" w:rsidRPr="00D8691E" w:rsidRDefault="00BD7D87" w:rsidP="00F37D8F">
            <w:pPr>
              <w:pStyle w:val="Normal6"/>
              <w:jc w:val="center"/>
              <w:rPr>
                <w:i/>
                <w:szCs w:val="24"/>
              </w:rPr>
            </w:pPr>
            <w:r w:rsidRPr="00D8691E">
              <w:rPr>
                <w:i/>
              </w:rPr>
              <w:t>Ændringsforslag</w:t>
            </w:r>
          </w:p>
        </w:tc>
        <w:tc>
          <w:tcPr>
            <w:tcW w:w="4365" w:type="dxa"/>
          </w:tcPr>
          <w:p w:rsidR="00DD5018" w:rsidRPr="00D8691E" w:rsidRDefault="00DD5018" w:rsidP="00F37D8F">
            <w:pPr>
              <w:pStyle w:val="TableParagraph"/>
              <w:spacing w:before="154" w:line="252" w:lineRule="exact"/>
              <w:ind w:left="110"/>
              <w:rPr>
                <w:noProof/>
                <w:sz w:val="24"/>
                <w:szCs w:val="24"/>
              </w:rPr>
            </w:pPr>
          </w:p>
        </w:tc>
      </w:tr>
      <w:tr w:rsidR="00DF750B" w:rsidRPr="00D8691E" w:rsidTr="00F37D8F">
        <w:trPr>
          <w:jc w:val="center"/>
        </w:trPr>
        <w:tc>
          <w:tcPr>
            <w:tcW w:w="9752" w:type="dxa"/>
            <w:gridSpan w:val="2"/>
            <w:hideMark/>
          </w:tcPr>
          <w:p w:rsidR="00DD5018" w:rsidRPr="00D8691E" w:rsidRDefault="00BD7D87" w:rsidP="00F37D8F">
            <w:pPr>
              <w:pStyle w:val="TableParagraph"/>
              <w:spacing w:before="154" w:line="252" w:lineRule="exact"/>
              <w:ind w:left="110"/>
              <w:rPr>
                <w:noProof/>
                <w:sz w:val="24"/>
                <w:szCs w:val="24"/>
              </w:rPr>
            </w:pPr>
            <w:r w:rsidRPr="00D8691E">
              <w:t>Der indsættes et nyt stykke Da</w:t>
            </w:r>
          </w:p>
        </w:tc>
      </w:tr>
    </w:tbl>
    <w:p w:rsidR="00DD5018" w:rsidRPr="00D8691E" w:rsidRDefault="00BD7D87" w:rsidP="00DD5018">
      <w:pPr>
        <w:pStyle w:val="AmOrLang"/>
        <w:jc w:val="left"/>
      </w:pPr>
      <w:r w:rsidRPr="00D8691E">
        <w:t>Da.</w:t>
      </w:r>
      <w:r w:rsidRPr="00D8691E">
        <w:tab/>
        <w:t>Fishing restrictions in the in the Otranto Channel (geographical subarea 18) in the Adriatic Sea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992"/>
        <w:gridCol w:w="2835"/>
        <w:gridCol w:w="2693"/>
      </w:tblGrid>
      <w:tr w:rsidR="00DF750B" w:rsidRPr="00D8691E" w:rsidTr="00F37D8F">
        <w:trPr>
          <w:trHeight w:val="110"/>
          <w:jc w:val="center"/>
        </w:trPr>
        <w:tc>
          <w:tcPr>
            <w:tcW w:w="7616" w:type="dxa"/>
            <w:gridSpan w:val="4"/>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ZONE A (KERNEOMRÅDE)</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ORDENSTAL</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ID</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Breddegrad</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Længdegrad</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57′ 43,84800000′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33′ 17,85600000′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2</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B</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58′ 28,03368000′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42′ 45,85824000′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3</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C</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55′ 15,45024000′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46′ 23,21868000′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4</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D</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52′ 28,76988000′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48′ 11,33568000′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5</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D2</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50′ 10,64724000′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 xml:space="preserve">018° 50′ 36,78360000′ </w:t>
            </w:r>
            <w:r w:rsidRPr="00D8691E">
              <w:rPr>
                <w:rFonts w:ascii="Times New Roman" w:hAnsi="Times New Roman"/>
              </w:rPr>
              <w:t>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6</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E</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46′ 36,26328000′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52′ 23,60856000′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7</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F</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39′ 36,98856000′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57′ 26,91756000′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8</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G</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30′ 42,01848000′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59′ 22,69464000′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9</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H</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21′ 40,96800000′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019° 04′ 21,28800000′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10</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I</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18′ 30,42000000′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 xml:space="preserve">018° 54′ </w:t>
            </w:r>
            <w:r w:rsidRPr="00D8691E">
              <w:rPr>
                <w:rFonts w:ascii="Times New Roman" w:hAnsi="Times New Roman"/>
              </w:rPr>
              <w:t>06,12000000′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11</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P</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18′ 09,88610400′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44′ 56,45333400′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12</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O</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21′ 35,41141080′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42′ 55,44978840′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13</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33′ 48,79144800′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41′ 47,41117440′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14</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M</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42′ 56,59378560′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37′ 57,75797640′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15</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L</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48′ 08,42628600′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30′ 02,37403440′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16</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K</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50′ 53,47825080′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21 ′ 48,06343080 ′ Ø</w:t>
            </w:r>
          </w:p>
        </w:tc>
      </w:tr>
      <w:tr w:rsidR="00DF750B" w:rsidRPr="00D8691E" w:rsidTr="00F37D8F">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17</w:t>
            </w:r>
          </w:p>
        </w:tc>
        <w:tc>
          <w:tcPr>
            <w:tcW w:w="992"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J</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52′ 12,60584760′ N</w:t>
            </w:r>
          </w:p>
        </w:tc>
        <w:tc>
          <w:tcPr>
            <w:tcW w:w="2693"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19′ 11,93260080′ Ø</w:t>
            </w:r>
          </w:p>
        </w:tc>
      </w:tr>
    </w:tbl>
    <w:p w:rsidR="00DD5018" w:rsidRPr="00D8691E" w:rsidRDefault="00DD5018" w:rsidP="00DD5018">
      <w:pPr>
        <w:pStyle w:val="AmOrLa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2835"/>
        <w:gridCol w:w="2835"/>
      </w:tblGrid>
      <w:tr w:rsidR="00DF750B" w:rsidRPr="00D8691E" w:rsidTr="00F37D8F">
        <w:trPr>
          <w:trHeight w:val="110"/>
          <w:jc w:val="center"/>
        </w:trPr>
        <w:tc>
          <w:tcPr>
            <w:tcW w:w="7650" w:type="dxa"/>
            <w:gridSpan w:val="4"/>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ZONE B (STØDPUDEOMRÅDE)</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ORDENSTAL</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ID</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Breddegrad</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Længdegrad</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Q</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59′ 23,96400000′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32′ 23,78400000′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2</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R</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 xml:space="preserve">40° </w:t>
            </w:r>
            <w:r w:rsidRPr="00D8691E">
              <w:rPr>
                <w:rFonts w:ascii="Times New Roman" w:hAnsi="Times New Roman"/>
              </w:rPr>
              <w:t>52′ 28,12800000′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13′ 56,20800000′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3</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S</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49′ 07,64400000′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20′ 31,88400000′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4</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T</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46′ 24,38400000′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28′ 43,32000000′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5</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U</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41′ 39,37200000′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35′ 56,79600000′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6</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V</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33′ 24,44400000′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39′ 13,14000000′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7</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W</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21′ 05,61600000′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40′ 20,71200000′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8</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X</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16′ 05,62800000′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43′ 17,50800000′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9</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Y</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16′ 31,94400000′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54′ 19,65600000′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10</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Z</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20′ 34,40400000′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019° 06′ 31,70916000′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11</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AA</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30′ 59,31612000′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 xml:space="preserve">019° 00′ 54,54936000′ </w:t>
            </w:r>
            <w:r w:rsidRPr="00D8691E">
              <w:rPr>
                <w:rFonts w:ascii="Times New Roman" w:hAnsi="Times New Roman"/>
              </w:rPr>
              <w:t>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12</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AB</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40′ 45,02136000′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58′ 40,49868000′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13</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AC</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45′ 45,86436000′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54′ 12,23640000′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14</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AD</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47′ 56,52672000′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53′ 17,58480000′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15</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AD2</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49′ 19,90344000′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51′ 20,36196000′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16</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AF</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40° 53′ 15,18144000′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 xml:space="preserve">018° </w:t>
            </w:r>
            <w:r w:rsidRPr="00D8691E">
              <w:rPr>
                <w:rFonts w:ascii="Times New Roman" w:hAnsi="Times New Roman"/>
              </w:rPr>
              <w:t>48′ 36,66528000′ Ø</w:t>
            </w:r>
          </w:p>
        </w:tc>
      </w:tr>
      <w:tr w:rsidR="00DF750B" w:rsidRPr="00D8691E" w:rsidTr="00F37D8F">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b/>
              </w:rPr>
              <w:t>17</w:t>
            </w:r>
          </w:p>
        </w:tc>
        <w:tc>
          <w:tcPr>
            <w:tcW w:w="851"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AE</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41° 00′ 17,90856000′ N</w:t>
            </w:r>
          </w:p>
        </w:tc>
        <w:tc>
          <w:tcPr>
            <w:tcW w:w="2835" w:type="dxa"/>
            <w:tcBorders>
              <w:top w:val="single" w:sz="4" w:space="0" w:color="auto"/>
              <w:left w:val="single" w:sz="4" w:space="0" w:color="auto"/>
              <w:bottom w:val="single" w:sz="4" w:space="0" w:color="auto"/>
              <w:right w:val="single" w:sz="4" w:space="0" w:color="auto"/>
            </w:tcBorders>
            <w:hideMark/>
          </w:tcPr>
          <w:p w:rsidR="00DD5018" w:rsidRPr="00D8691E" w:rsidRDefault="00BD7D87" w:rsidP="00F37D8F">
            <w:pPr>
              <w:pStyle w:val="Default"/>
              <w:jc w:val="center"/>
              <w:rPr>
                <w:rFonts w:ascii="Times New Roman" w:hAnsi="Times New Roman" w:cs="Times New Roman"/>
              </w:rPr>
            </w:pPr>
            <w:r w:rsidRPr="00D8691E">
              <w:rPr>
                <w:rFonts w:ascii="Times New Roman" w:hAnsi="Times New Roman"/>
              </w:rPr>
              <w:t>018° 44′ 47,24772000′ Ø</w:t>
            </w:r>
          </w:p>
        </w:tc>
      </w:tr>
    </w:tbl>
    <w:p w:rsidR="00DD5018" w:rsidRPr="00D8691E" w:rsidRDefault="00BD7D87" w:rsidP="00DD5018">
      <w:pPr>
        <w:pStyle w:val="AmOrLang"/>
      </w:pPr>
      <w:r w:rsidRPr="00D8691E">
        <w:t xml:space="preserve">Or. </w:t>
      </w:r>
      <w:r w:rsidRPr="00D8691E">
        <w:rPr>
          <w:rStyle w:val="HideTWBExt"/>
          <w:rFonts w:eastAsiaTheme="majorEastAsia"/>
        </w:rPr>
        <w:t>&lt;Original&gt;</w:t>
      </w:r>
      <w:r w:rsidRPr="00D8691E">
        <w:rPr>
          <w:rStyle w:val="HideTWBInt"/>
        </w:rPr>
        <w:t>{EN}</w:t>
      </w:r>
      <w:r w:rsidRPr="00D8691E">
        <w:t>en</w:t>
      </w:r>
      <w:r w:rsidRPr="00D8691E">
        <w:rPr>
          <w:rStyle w:val="HideTWBExt"/>
          <w:rFonts w:eastAsiaTheme="majorEastAsia"/>
        </w:rPr>
        <w:t>&lt;/Original&gt;</w:t>
      </w:r>
    </w:p>
    <w:p w:rsidR="00DD5018" w:rsidRPr="00D8691E" w:rsidRDefault="00BD7D87" w:rsidP="00DD5018">
      <w:pPr>
        <w:pStyle w:val="Normal12Italic"/>
        <w:jc w:val="center"/>
      </w:pPr>
      <w:r w:rsidRPr="00D8691E">
        <w:t>(32023R2124)</w:t>
      </w:r>
    </w:p>
    <w:p w:rsidR="00DD5018" w:rsidRPr="00D8691E" w:rsidRDefault="00BD7D87" w:rsidP="00DD5018">
      <w:pPr>
        <w:pStyle w:val="Normal12Italic"/>
        <w:jc w:val="center"/>
        <w:rPr>
          <w:noProof w:val="0"/>
        </w:rPr>
      </w:pPr>
      <w:r w:rsidRPr="00D8691E">
        <w:t>GFCM/47/2024/5</w:t>
      </w:r>
    </w:p>
    <w:p w:rsidR="00DD5018" w:rsidRPr="00D8691E" w:rsidRDefault="00DD5018" w:rsidP="00DD5018">
      <w:pPr>
        <w:pStyle w:val="AmCrossRef"/>
      </w:pPr>
    </w:p>
    <w:p w:rsidR="00DD5018" w:rsidRPr="00D8691E" w:rsidRDefault="00BD7D87" w:rsidP="00DD5018">
      <w:r w:rsidRPr="00D8691E">
        <w:rPr>
          <w:rStyle w:val="HideTWBExt"/>
        </w:rPr>
        <w:t>&lt;/Amend&gt;&lt;/RepeatBlock-Amend&gt;</w:t>
      </w:r>
    </w:p>
    <w:p w:rsidR="00FA192C" w:rsidRPr="00D8691E" w:rsidRDefault="00FA192C" w:rsidP="00DD5018"/>
    <w:sectPr w:rsidR="00FA192C" w:rsidRPr="00D8691E" w:rsidSect="00D8691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8691E" w:rsidRDefault="00BD7D87">
      <w:r w:rsidRPr="00D8691E">
        <w:separator/>
      </w:r>
    </w:p>
  </w:endnote>
  <w:endnote w:type="continuationSeparator" w:id="0">
    <w:p w:rsidR="00000000" w:rsidRPr="00D8691E" w:rsidRDefault="00BD7D87">
      <w:r w:rsidRPr="00D869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1E" w:rsidRPr="00D8691E" w:rsidRDefault="00D8691E" w:rsidP="00D8691E">
    <w:pPr>
      <w:pStyle w:val="EPFooter"/>
    </w:pPr>
    <w:r w:rsidRPr="00D8691E">
      <w:t>PE</w:t>
    </w:r>
    <w:r w:rsidRPr="00D8691E">
      <w:rPr>
        <w:rStyle w:val="HideTWBExt"/>
      </w:rPr>
      <w:t>&lt;NoPE&gt;</w:t>
    </w:r>
    <w:r w:rsidRPr="00D8691E">
      <w:t>771.930</w:t>
    </w:r>
    <w:r w:rsidRPr="00D8691E">
      <w:rPr>
        <w:rStyle w:val="HideTWBExt"/>
      </w:rPr>
      <w:t>&lt;/NoPE&gt;&lt;Version&gt;</w:t>
    </w:r>
    <w:r w:rsidRPr="00D8691E">
      <w:t>v03-00</w:t>
    </w:r>
    <w:r w:rsidRPr="00D8691E">
      <w:rPr>
        <w:rStyle w:val="HideTWBExt"/>
      </w:rPr>
      <w:t>&lt;/Version&gt;</w:t>
    </w:r>
    <w:r w:rsidRPr="00D8691E">
      <w:tab/>
    </w:r>
    <w:r w:rsidRPr="00D8691E">
      <w:fldChar w:fldCharType="begin"/>
    </w:r>
    <w:r w:rsidRPr="00D8691E">
      <w:instrText xml:space="preserve"> PAGE  \* MERGEFORMAT </w:instrText>
    </w:r>
    <w:r w:rsidRPr="00D8691E">
      <w:fldChar w:fldCharType="separate"/>
    </w:r>
    <w:r w:rsidR="00BD7D87">
      <w:rPr>
        <w:noProof/>
      </w:rPr>
      <w:t>2</w:t>
    </w:r>
    <w:r w:rsidRPr="00D8691E">
      <w:fldChar w:fldCharType="end"/>
    </w:r>
    <w:r w:rsidRPr="00D8691E">
      <w:t>/</w:t>
    </w:r>
    <w:fldSimple w:instr=" NUMPAGES  \* MERGEFORMAT ">
      <w:r w:rsidR="00BD7D87">
        <w:rPr>
          <w:noProof/>
        </w:rPr>
        <w:t>98</w:t>
      </w:r>
    </w:fldSimple>
    <w:r w:rsidRPr="00D8691E">
      <w:tab/>
    </w:r>
    <w:r w:rsidRPr="00D8691E">
      <w:rPr>
        <w:rStyle w:val="HideTWBExt"/>
      </w:rPr>
      <w:t>&lt;PathFdR&gt;</w:t>
    </w:r>
    <w:r w:rsidRPr="00D8691E">
      <w:t>AM\1319572DA.docx</w:t>
    </w:r>
    <w:r w:rsidRPr="00D8691E">
      <w:rPr>
        <w:rStyle w:val="HideTWBExt"/>
      </w:rPr>
      <w:t>&lt;/PathFdR&gt;</w:t>
    </w:r>
  </w:p>
  <w:p w:rsidR="00203D96" w:rsidRPr="00D8691E" w:rsidRDefault="00D8691E" w:rsidP="00D8691E">
    <w:pPr>
      <w:pStyle w:val="EPFooter2"/>
    </w:pPr>
    <w:r w:rsidRPr="00D8691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1E" w:rsidRPr="00D8691E" w:rsidRDefault="00D8691E" w:rsidP="00D8691E">
    <w:pPr>
      <w:pStyle w:val="EPFooter"/>
    </w:pPr>
    <w:r w:rsidRPr="00D8691E">
      <w:rPr>
        <w:rStyle w:val="HideTWBExt"/>
      </w:rPr>
      <w:t>&lt;PathFdR&gt;</w:t>
    </w:r>
    <w:r w:rsidRPr="00D8691E">
      <w:t>AM\1319572DA.docx</w:t>
    </w:r>
    <w:r w:rsidRPr="00D8691E">
      <w:rPr>
        <w:rStyle w:val="HideTWBExt"/>
      </w:rPr>
      <w:t>&lt;/PathFdR&gt;</w:t>
    </w:r>
    <w:r w:rsidRPr="00D8691E">
      <w:tab/>
    </w:r>
    <w:r w:rsidRPr="00D8691E">
      <w:fldChar w:fldCharType="begin"/>
    </w:r>
    <w:r w:rsidRPr="00D8691E">
      <w:instrText xml:space="preserve"> PAGE  \* MERGEFORMAT </w:instrText>
    </w:r>
    <w:r w:rsidRPr="00D8691E">
      <w:fldChar w:fldCharType="separate"/>
    </w:r>
    <w:r w:rsidR="00BD7D87">
      <w:rPr>
        <w:noProof/>
      </w:rPr>
      <w:t>3</w:t>
    </w:r>
    <w:r w:rsidRPr="00D8691E">
      <w:fldChar w:fldCharType="end"/>
    </w:r>
    <w:r w:rsidRPr="00D8691E">
      <w:t>/</w:t>
    </w:r>
    <w:fldSimple w:instr=" NUMPAGES  \* MERGEFORMAT ">
      <w:r w:rsidR="00BD7D87">
        <w:rPr>
          <w:noProof/>
        </w:rPr>
        <w:t>98</w:t>
      </w:r>
    </w:fldSimple>
    <w:r w:rsidRPr="00D8691E">
      <w:tab/>
      <w:t>PE</w:t>
    </w:r>
    <w:r w:rsidRPr="00D8691E">
      <w:rPr>
        <w:rStyle w:val="HideTWBExt"/>
      </w:rPr>
      <w:t>&lt;NoPE&gt;</w:t>
    </w:r>
    <w:r w:rsidRPr="00D8691E">
      <w:t>771.930</w:t>
    </w:r>
    <w:r w:rsidRPr="00D8691E">
      <w:rPr>
        <w:rStyle w:val="HideTWBExt"/>
      </w:rPr>
      <w:t>&lt;/NoPE&gt;&lt;Version&gt;</w:t>
    </w:r>
    <w:r w:rsidRPr="00D8691E">
      <w:t>v03-00</w:t>
    </w:r>
    <w:r w:rsidRPr="00D8691E">
      <w:rPr>
        <w:rStyle w:val="HideTWBExt"/>
      </w:rPr>
      <w:t>&lt;/Version&gt;</w:t>
    </w:r>
  </w:p>
  <w:p w:rsidR="00203D96" w:rsidRPr="00D8691E" w:rsidRDefault="00D8691E" w:rsidP="00D8691E">
    <w:pPr>
      <w:pStyle w:val="EPFooter2"/>
    </w:pPr>
    <w:r w:rsidRPr="00D8691E">
      <w:tab/>
    </w:r>
    <w:r w:rsidRPr="00D8691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1E" w:rsidRPr="00D8691E" w:rsidRDefault="00D8691E" w:rsidP="00D8691E">
    <w:pPr>
      <w:pStyle w:val="EPFooter"/>
    </w:pPr>
    <w:r w:rsidRPr="00D8691E">
      <w:rPr>
        <w:rStyle w:val="HideTWBExt"/>
      </w:rPr>
      <w:t>&lt;PathFdR&gt;</w:t>
    </w:r>
    <w:r w:rsidRPr="00D8691E">
      <w:t>AM\1319572DA.docx</w:t>
    </w:r>
    <w:r w:rsidRPr="00D8691E">
      <w:rPr>
        <w:rStyle w:val="HideTWBExt"/>
      </w:rPr>
      <w:t>&lt;/PathFdR&gt;</w:t>
    </w:r>
    <w:r w:rsidRPr="00D8691E">
      <w:tab/>
    </w:r>
    <w:r w:rsidRPr="00D8691E">
      <w:tab/>
      <w:t>PE</w:t>
    </w:r>
    <w:r w:rsidRPr="00D8691E">
      <w:rPr>
        <w:rStyle w:val="HideTWBExt"/>
      </w:rPr>
      <w:t>&lt;NoPE&gt;</w:t>
    </w:r>
    <w:r w:rsidRPr="00D8691E">
      <w:t>771.930</w:t>
    </w:r>
    <w:r w:rsidRPr="00D8691E">
      <w:rPr>
        <w:rStyle w:val="HideTWBExt"/>
      </w:rPr>
      <w:t>&lt;/NoPE&gt;&lt;Version&gt;</w:t>
    </w:r>
    <w:r w:rsidRPr="00D8691E">
      <w:t>v03-00</w:t>
    </w:r>
    <w:r w:rsidRPr="00D8691E">
      <w:rPr>
        <w:rStyle w:val="HideTWBExt"/>
      </w:rPr>
      <w:t>&lt;/Version&gt;</w:t>
    </w:r>
  </w:p>
  <w:p w:rsidR="00203D96" w:rsidRPr="00D8691E" w:rsidRDefault="00D8691E" w:rsidP="00D8691E">
    <w:pPr>
      <w:pStyle w:val="EPFooter2"/>
    </w:pPr>
    <w:r w:rsidRPr="00D8691E">
      <w:t>DA</w:t>
    </w:r>
    <w:r w:rsidRPr="00D8691E">
      <w:tab/>
    </w:r>
    <w:r w:rsidRPr="00D8691E">
      <w:rPr>
        <w:b w:val="0"/>
        <w:i/>
        <w:color w:val="C0C0C0"/>
        <w:sz w:val="22"/>
      </w:rPr>
      <w:t>Forenet i mangfoldighed</w:t>
    </w:r>
    <w:r w:rsidRPr="00D8691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D96" w:rsidRPr="00D8691E" w:rsidRDefault="00BD7D87">
      <w:r w:rsidRPr="00D8691E">
        <w:separator/>
      </w:r>
    </w:p>
  </w:footnote>
  <w:footnote w:type="continuationSeparator" w:id="0">
    <w:p w:rsidR="00203D96" w:rsidRPr="00D8691E" w:rsidRDefault="00BD7D87">
      <w:r w:rsidRPr="00D8691E">
        <w:continuationSeparator/>
      </w:r>
    </w:p>
  </w:footnote>
  <w:footnote w:id="1">
    <w:p w:rsidR="00DD5018" w:rsidRPr="00D8691E" w:rsidRDefault="00BD7D87" w:rsidP="00DD5018">
      <w:pPr>
        <w:pStyle w:val="FootnoteText"/>
      </w:pPr>
      <w:r w:rsidRPr="00D8691E">
        <w:rPr>
          <w:rStyle w:val="FootnoteReference"/>
        </w:rPr>
        <w:footnoteRef/>
      </w:r>
      <w:r w:rsidRPr="00D8691E">
        <w:t xml:space="preserve"> Rådets forordning (EF) nr. 1005/2008 af 29. september 2008 om en EF-ordning, der skal forebygge, afværge og standse ulovligt, urapporteret og ureguleret fiskeri, om ændring af forordning (EØF) nr. 2847/93, (EF) nr. 1936/2001 og (EF) nr. 601/2004 og om oph</w:t>
      </w:r>
      <w:r w:rsidRPr="00D8691E">
        <w:t xml:space="preserve">ævelse af forordning (EF) nr. 1093/94 og (EF) nr. 1447/1999 (EUT L 286 af 29.10.2008, s. 1, ELI: http://data.europa.eu/eli/reg/2008/1005/oj). http://data.europa.eu/eli/reg/2008/1005/oj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D87" w:rsidRDefault="00BD7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D87" w:rsidRDefault="00BD7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D87" w:rsidRDefault="00BD7D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PECH"/>
    <w:docVar w:name="CVA" w:val="244"/>
    <w:docVar w:name="DOCCODMNU" w:val=" 1"/>
    <w:docVar w:name="DOCDT" w:val="09/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63731 HideTWBInt;}}{\*\rsidtbl \rsid24658\rsid223860\rsid735077\rsid1718133\rsid2892074\rsid3554127_x000d__x000a_\rsid3565327\rsid4666813\rsid6641733\rsid7823322\rsid9636012\rsid9663731\rsid10377208\rsid11215221\rsid11549030\rsid12154954\rsid14382809\rsid14424199\rsid15204470\rsid15285974\rsid15950462\rsid16324206\rsid16662270}{\mmathPr\mmathFont34\mbrkBin0_x000d__x000a_\mbrkBinSub0\msmallFrac0\mdispDef1\mlMargin0\mrMargin0\mdefJc1\mwrapIndent1440\mintLim0\mnaryLim1}{\info{\author NENICKOVA Sylvia}{\operator NENICKOVA Sylvia}{\creatim\yr2025\mo4\dy8\hr19}{\revtim\yr2025\mo4\dy8\hr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63731\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3554127 \chftnsep _x000d__x000a_\par }}{\*\ftnsepc \ltrpar \pard\plain \ltrpar\ql \li0\ri0\widctlpar\wrapdefault\aspalpha\aspnum\faauto\adjustright\rin0\lin0\itap0 \rtlch\fcs1 \af0\afs20\alang1025 \ltrch\fcs0 \fs24\lang2057\langfe2057\cgrid\langnp2057\langfenp2057 {\rtlch\fcs1 \af0 _x000d__x000a_\ltrch\fcs0 \insrsid3554127 \chftnsepc _x000d__x000a_\par }}{\*\aftnsep \ltrpar \pard\plain \ltrpar\ql \li0\ri0\widctlpar\wrapdefault\aspalpha\aspnum\faauto\adjustright\rin0\lin0\itap0 \rtlch\fcs1 \af0\afs20\alang1025 \ltrch\fcs0 \fs24\lang2057\langfe2057\cgrid\langnp2057\langfenp2057 {\rtlch\fcs1 \af0 _x000d__x000a_\ltrch\fcs0 \insrsid3554127 \chftnsep _x000d__x000a_\par }}{\*\aftnsepc \ltrpar \pard\plain \ltrpar\ql \li0\ri0\widctlpar\wrapdefault\aspalpha\aspnum\faauto\adjustright\rin0\lin0\itap0 \rtlch\fcs1 \af0\afs20\alang1025 \ltrch\fcs0 \fs24\lang2057\langfe2057\cgrid\langnp2057\langfenp2057 {\rtlch\fcs1 \af0 _x000d__x000a_\ltrch\fcs0 \insrsid3554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663731\charrsid11683480 {\*\bkmkstart ReplaceBookmark}#}{\rtlch\fcs1 \af1 \ltrch\fcs0 _x000d__x000a_\cs17\v\f1\fs20\cf15\insrsid9663731\charrsid11683480 &gt;&gt;&gt;CVAR@@AmendA}{\rtlch\fcs1 \af0 \ltrch\fcs0 \insrsid9663731\charrsid116834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b_x000d__x000a_6d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5556 HideTWBExt;}{\*\cs18 \additive \v\f1\fs20\cf15 _x000d__x000a_\spriority0 \styrsid13435556 HideTWBInt;}{\s19\ql \li0\ri0\sa120\nowidctlpar\wrapdefault\aspalpha\aspnum\faauto\adjustright\rin0\lin0\itap0 \rtlch\fcs1 \af0\afs20\alang1025 \ltrch\fcs0 \fs24\lang2057\langfe2057\cgrid\langnp2057\langfenp2057 _x000d__x000a_\sbasedon0 \snext19 \spriority0 \styrsid13435556 Normal6a;}{\s20\ql \li0\ri0\nowidctlpar\wrapdefault\aspalpha\aspnum\faauto\adjustright\rin0\lin0\itap0 \rtlch\fcs1 \af0\afs20\alang1025 \ltrch\fcs0 \b\fs24\lang2057\langfe2057\cgrid\langnp2057\langfenp2057 _x000d__x000a_\sbasedon0 \snext20 \spriority0 \styrsid13435556 NormalBold;}{\s21\qr \li0\ri0\sb240\sa240\nowidctlpar\wrapdefault\aspalpha\aspnum\faauto\adjustright\rin0\lin0\itap0 \rtlch\fcs1 \af0\afs20\alang1025 \ltrch\fcs0 _x000d__x000a_\fs24\lang2057\langfe2057\cgrid\langnp2057\langfenp2057 \sbasedon0 \snext21 \spriority0 \styrsid13435556 AmOrLang;}{\s22\qc \li0\ri0\sa240\nowidctlpar\wrapdefault\aspalpha\aspnum\faauto\adjustright\rin0\lin0\itap0 \rtlch\fcs1 \af0\afs20\alang1025 _x000d__x000a_\ltrch\fcs0 \i\fs24\lang2057\langfe2057\cgrid\langnp2057\langfenp2057 \sbasedon0 \snext22 \spriority0 \styrsid13435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435556 AmNumberTabs;}}{\*\rsidtbl \rsid24658\rsid223860\rsid735077\rsid1718133\rsid2892074\rsid3565327\rsid4666813\rsid6641733\rsid7823322_x000d__x000a_\rsid9469515\rsid9636012\rsid10377208\rsid11215221\rsid11549030\rsid12154954\rsid13435556\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5556\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9469515 \chftnsep _x000d__x000a_\par }}{\*\ftnsepc \ltrpar \pard\plain \ltrpar\ql \li0\ri0\widctlpar\wrapdefault\aspalpha\aspnum\faauto\adjustright\rin0\lin0\itap0 \rtlch\fcs1 \af0\afs20\alang1025 \ltrch\fcs0 \fs24\lang2057\langfe2057\cgrid\langnp2057\langfenp2057 {\rtlch\fcs1 \af0 _x000d__x000a_\ltrch\fcs0 \insrsid9469515 \chftnsepc _x000d__x000a_\par }}{\*\aftnsep \ltrpar \pard\plain \ltrpar\ql \li0\ri0\widctlpar\wrapdefault\aspalpha\aspnum\faauto\adjustright\rin0\lin0\itap0 \rtlch\fcs1 \af0\afs20\alang1025 \ltrch\fcs0 \fs24\lang2057\langfe2057\cgrid\langnp2057\langfenp2057 {\rtlch\fcs1 \af0 _x000d__x000a_\ltrch\fcs0 \insrsid9469515 \chftnsep _x000d__x000a_\par }}{\*\aftnsepc \ltrpar \pard\plain \ltrpar\ql \li0\ri0\widctlpar\wrapdefault\aspalpha\aspnum\faauto\adjustright\rin0\lin0\itap0 \rtlch\fcs1 \af0\afs20\alang1025 \ltrch\fcs0 \fs24\lang2057\langfe2057\cgrid\langnp2057\langfenp2057 {\rtlch\fcs1 \af0 _x000d__x000a_\ltrch\fcs0 \insrsid946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435556 \rtlch\fcs1 _x000d__x000a_\af0\afs20\alang1025 \ltrch\fcs0 \b\fs24\lang2057\langfe2057\cgrid\langnp2057\langfenp2057 {\rtlch\fcs1 \af0 \ltrch\fcs0 \cs17\b0\v\fs20\cf9\lang1024\langfe1024\loch\af1\hich\af1\dbch\af31501\noproof\insrsid13435556\charrsid11683480 {\*\bkmkstart restartA_x000d__x000a_}\hich\af1\dbch\af31501\loch\f1 &lt;AmendA&gt;}{\rtlch\fcs1 \af0 \ltrch\fcs0 \insrsid13435556\charrsid11683480 Amendment\tab \tab }{\rtlch\fcs1 \af0 \ltrch\fcs0 _x000d__x000a_\cs17\b0\v\fs20\cf9\lang1024\langfe1024\loch\af1\hich\af1\dbch\af31501\noproof\insrsid13435556\charrsid11683480 \hich\af1\dbch\af31501\loch\f1 &lt;NumAmA&gt;}{\rtlch\fcs1 \af0 \ltrch\fcs0 \insrsid13435556\charrsid11683480 #}{\rtlch\fcs1 \af1 \ltrch\fcs0 _x000d__x000a_\cs18\v\f1\fs20\cf15\insrsid13435556\charrsid11683480 ENMIENDA@NRAM@}{\rtlch\fcs1 \af0 \ltrch\fcs0 \insrsid13435556\charrsid11683480 #}{\rtlch\fcs1 \af0 \ltrch\fcs0 _x000d__x000a_\cs17\b0\v\fs20\cf9\lang1024\langfe1024\loch\af1\hich\af1\dbch\af31501\noproof\insrsid13435556\charrsid11683480 \hich\af1\dbch\af31501\loch\f1 &lt;/NumAmA&gt;}{\rtlch\fcs1 \af0 \ltrch\fcs0 \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RepeatBlock-By&gt;}{\rtlch\fcs1 \af0 \ltrch\fcs0 \insrsid13435556\charrsid11683480 #}{\rtlch\fcs1 _x000d__x000a_\af1 \ltrch\fcs0 \cs18\v\f1\fs20\cf15\insrsid13435556\charrsid11683480 (MOD@InsideLoop()}{\rtlch\fcs1 \af0 \ltrch\fcs0 \insrsid13435556\charrsid11683480 ##}{\rtlch\fcs1 \af1 \ltrch\fcs0 \cs18\v\f1\fs20\cf15\insrsid13435556\charrsid11683480 _x000d__x000a_&gt;&gt;&gt;@[ZMEMBERSMSG]@}{\rtlch\fcs1 \af0 \ltrch\fcs0 \insrsid13435556\charrsid11683480 #}{\rtlch\fcs1 \af0 \ltrch\fcs0 \cs17\b0\v\fs20\cf9\lang1024\langfe1024\loch\af1\hich\af1\dbch\af31501\noproof\insrsid13435556\charrsid11683480 _x000d__x000a_\hich\af1\dbch\af31501\loch\f1 &lt;Members&gt;}{\rtlch\fcs1 \af0 \ltrch\fcs0 \insrsid13435556\charrsid11683480 #}{\rtlch\fcs1 \af1 \ltrch\fcs0 \cs18\v\f1\fs20\cf15\insrsid13435556\charrsid11683480 (MOD@InsideLoop(\'a7)}{\rtlch\fcs1 \af0 \ltrch\fcs0 _x000d__x000a_\insrsid13435556\charrsid11683480 #}{\rtlch\fcs1 \af0 \ltrch\fcs0 \cf10\insrsid13435556\charrsid11683480 \u9668\'3f}{\rtlch\fcs1 \af0 \ltrch\fcs0 \insrsid13435556\charrsid11683480 #}{\rtlch\fcs1 \af1 \ltrch\fcs0 _x000d__x000a_\cs18\v\f1\fs20\cf15\insrsid13435556\charrsid11683480 TVTMEMBERS\'a7@MEMBERS@}{\rtlch\fcs1 \af0 \ltrch\fcs0 \insrsid13435556\charrsid11683480 #}{\rtlch\fcs1 \af0 \ltrch\fcs0 \cf10\insrsid13435556\charrsid11683480 \u9658\'3f}{\rtlch\fcs1 \af0 \ltrch\fcs0 _x000d__x000a_\cs17\b0\v\fs20\cf9\lang1024\langfe1024\loch\af1\hich\af1\dbch\af31501\noproof\insrsid13435556\charrsid11683480 \hich\af1\dbch\af31501\loch\f1 &lt;/Members&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uNomDe&gt;&lt;OptDel&gt;}{\rtlch\fcs1 \af0 \ltrch\fcs0 \insrsid13435556\charrsid11683480 #}{\rtlch\fcs1 \af1 \ltrch\fcs0 _x000d__x000a_\cs18\v\f1\fs20\cf15\insrsid13435556\charrsid11683480 MNU[ONBEHALFYES][NOTAPP]@CHOICE@}{\rtlch\fcs1 \af0 \ltrch\fcs0 \insrsid13435556\charrsid11683480 #}{\rtlch\fcs1 \af0 \ltrch\fcs0 _x000d__x000a_\cs17\v\fs20\cf9\lang1024\langfe1024\loch\af1\hich\af1\dbch\af31501\noproof\insrsid13435556\charrsid11683480 \hich\af1\dbch\af31501\loch\f1 &lt;/OptDel&gt;&lt;/AuNomDe&gt;}{\rtlch\fcs1 \af0 \ltrch\fcs0 \insrsid13435556\charrsid11683480 _x000d__x000a_\par &lt;&lt;&lt;}{\rtlch\fcs1 \af0 \ltrch\fcs0 \cs17\v\fs20\cf9\lang1024\langfe1024\loch\af1\hich\af1\dbch\af31501\noproof\insrsid13435556\charrsid11683480 \hich\af1\dbch\af31501\loch\f1 &lt;/RepeatBlock-By&gt;}{\rtlch\fcs1 \af0 \ltrch\fcs0 _x000d__x000a_\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DocAmend&gt;}{\rtlch\fcs1 \af0 \ltrch\fcs0 \insrsid13435556\charrsid11683480 _x000d__x000a_Draft legislative resolution}{\rtlch\fcs1 \af0 \ltrch\fcs0 \cs17\b0\v\fs20\cf9\lang1024\langfe1024\loch\af1\hich\af1\dbch\af31501\noproof\insrsid13435556\charrsid11683480 \hich\af1\dbch\af31501\loch\f1 &lt;/DocAmend&gt;}{\rtlch\fcs1 \af0 \ltrch\fcs0 _x000d__x000a_\insrsid13435556\charrsid11683480 _x000d__x000a_\par }{\rtlch\fcs1 \af0 \ltrch\fcs0 \cs17\b0\v\fs20\cf9\lang1024\langfe1024\loch\af1\hich\af1\dbch\af31501\noproof\insrsid13435556\charrsid11683480 \hich\af1\dbch\af31501\loch\f1 &lt;Article&gt;}{\rtlch\fcs1 \af0 \ltrch\fcs0 \cf10\insrsid13435556\charrsid11683480 _x000d__x000a_\u9668\'3f}{\rtlch\fcs1 \af0 \ltrch\fcs0 \insrsid13435556\charrsid11683480 #}{\rtlch\fcs1 \af1 \ltrch\fcs0 \cs18\v\f1\fs20\cf15\insrsid13435556\charrsid11683480 TVTRESPART@RESPART@}{\rtlch\fcs1 \af0 \ltrch\fcs0 \insrsid13435556\charrsid11683480 #}{_x000d__x000a_\rtlch\fcs1 \af0 \ltrch\fcs0 \cf10\insrsid13435556\charrsid11683480 \u9658\'3f}{\rtlch\fcs1 \af0 \ltrch\fcs0 \cs17\b0\v\fs20\cf9\lang1024\langfe1024\loch\af1\hich\af1\dbch\af31501\noproof\insrsid13435556\charrsid11683480 \hich\af1\dbch\af31501\loch\f1 _x000d__x000a_&lt;/Article&gt;}{\rtlch\fcs1 \af0 \ltrch\fcs0 \insrsid13435556\charrsid116834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435556\charrsid11683480 Draft legislative resolution\cell Amendment\cell }\pard\plain \ltrpar\ql \li0\ri0\widctlpar\intbl\wrapdefault\aspalpha\aspnum\faauto\adjustright\rin0\lin0 \rtlch\fcs1 \af0\afs20\alang1025 _x000d__x000a_\ltrch\fcs0 \fs24\lang2057\langfe2057\cgrid\langnp2057\langfenp2057 {\rtlch\fcs1 \af0 \ltrch\fcs0 \insrsid13435556\charrsid116834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435556\charrsid11683480 ##\cell ##}{\rtlch\fcs1 \af0\afs24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435556 \rtlch\fcs1 \af0\afs20\alang1025 \ltrch\fcs0 \fs24\lang2057\langfe2057\cgrid\langnp2057\langfenp2057 {\rtlch\fcs1 \af0 \ltrch\fcs0 _x000d__x000a_\insrsid13435556\charrsid11683480 Or. }{\rtlch\fcs1 \af0 \ltrch\fcs0 \cs17\v\fs20\cf9\lang1024\langfe1024\loch\af1\hich\af1\dbch\af31501\noproof\insrsid13435556\charrsid11683480 \hich\af1\dbch\af31501\loch\f1 &lt;Original&gt;}{\rtlch\fcs1 \af0 \ltrch\fcs0 _x000d__x000a_\insrsid13435556\charrsid11683480 #}{\rtlch\fcs1 \af1 \ltrch\fcs0 \cs18\v\f1\fs20\cf15\insrsid13435556\charrsid11683480 KEY(MAIN/LANGMIN)sh@ORLANGMSG@}{\rtlch\fcs1 \af0 \ltrch\fcs0 \insrsid13435556\charrsid11683480 #}{\rtlch\fcs1 \af0 \ltrch\fcs0 _x000d__x000a_\cs17\v\fs20\cf9\lang1024\langfe1024\loch\af1\hich\af1\dbch\af31501\noproof\insrsid13435556\charrsid11683480 \hich\af1\dbch\af31501\loch\f1 &lt;/Original&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b_x000d__x000a_7044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3705 HideTWBExt;}{\*\cs18 \additive \v\f1\fs20\cf15 _x000d__x000a_\spriority0 \styrsid4523705 HideTWBInt;}{\s19\ql \li0\ri0\sa120\nowidctlpar\wrapdefault\aspalpha\aspnum\faauto\adjustright\rin0\lin0\itap0 \rtlch\fcs1 \af0\afs20\alang1025 \ltrch\fcs0 \fs24\lang2057\langfe2057\cgrid\langnp2057\langfenp2057 _x000d__x000a_\sbasedon0 \snext19 \spriority0 \styrsid4523705 Normal6a;}{\s20\ql \li0\ri0\nowidctlpar\wrapdefault\aspalpha\aspnum\faauto\adjustright\rin0\lin0\itap0 \rtlch\fcs1 \af0\afs20\alang1025 \ltrch\fcs0 \b\fs24\lang2057\langfe2057\cgrid\langnp2057\langfenp2057 _x000d__x000a_\sbasedon0 \snext20 \spriority0 \styrsid4523705 NormalBold;}{\s21\ql \li0\ri0\sa240\nowidctlpar\wrapdefault\aspalpha\aspnum\faauto\adjustright\rin0\lin0\itap0 \rtlch\fcs1 \af0\afs20\alang1025 \ltrch\fcs0 _x000d__x000a_\i\fs24\lang2057\langfe2057\cgrid\langnp2057\langfenp2057 \sbasedon0 \snext21 \spriority0 \styrsid4523705 AmJustText;}{\s22\qc \li0\ri0\sb240\sa240\nowidctlpar\wrapdefault\aspalpha\aspnum\faauto\adjustright\rin0\lin0\itap0 \rtlch\fcs1 _x000d__x000a_\af0\afs20\alang1025 \ltrch\fcs0 \i\fs24\lang2057\langfe2057\cgrid\langnp2057\langfenp2057 \sbasedon0 \snext22 \spriority0 \styrsid4523705 AmCrossRef;}{_x000d__x000a_\s23\qc \li0\ri0\sb240\sa240\keepn\nowidctlpar\wrapdefault\aspalpha\aspnum\faauto\adjustright\rin0\lin0\itap0 \rtlch\fcs1 \af0\afs20\alang1025 \ltrch\fcs0 \i\fs24\lang2057\langfe2057\cgrid\langnp2057\langfenp2057 _x000d__x000a_\sbasedon0 \snext21 \spriority0 \styrsid4523705 AmJustTitle;}{\s24\qr \li0\ri0\sb240\sa240\nowidctlpar\wrapdefault\aspalpha\aspnum\faauto\adjustright\rin0\lin0\itap0 \rtlch\fcs1 \af0\afs20\alang1025 \ltrch\fcs0 _x000d__x000a_\fs24\lang2057\langfe2057\cgrid\langnp2057\langfenp2057 \sbasedon0 \snext24 \spriority0 \styrsid4523705 AmOrLang;}{\s25\qc \li0\ri0\sa240\nowidctlpar\wrapdefault\aspalpha\aspnum\faauto\adjustright\rin0\lin0\itap0 \rtlch\fcs1 \af0\afs20\alang1025 _x000d__x000a_\ltrch\fcs0 \i\fs24\lang2057\langfe2057\cgrid\langnp2057\langfenp2057 \sbasedon0 \snext25 \spriority0 \styrsid45237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3705 AmNumberTabs;}}{\*\rsidtbl \rsid24658\rsid223860\rsid735077\rsid1718133\rsid2892074\rsid3565327\rsid4523705\rsid4666813\rsid6044855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23705\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6044855 \chftnsep _x000d__x000a_\par }}{\*\ftnsepc \ltrpar \pard\plain \ltrpar\ql \li0\ri0\widctlpar\wrapdefault\aspalpha\aspnum\faauto\adjustright\rin0\lin0\itap0 \rtlch\fcs1 \af0\afs20\alang1025 \ltrch\fcs0 \fs24\lang2057\langfe2057\cgrid\langnp2057\langfenp2057 {\rtlch\fcs1 \af0 _x000d__x000a_\ltrch\fcs0 \insrsid6044855 \chftnsepc _x000d__x000a_\par }}{\*\aftnsep \ltrpar \pard\plain \ltrpar\ql \li0\ri0\widctlpar\wrapdefault\aspalpha\aspnum\faauto\adjustright\rin0\lin0\itap0 \rtlch\fcs1 \af0\afs20\alang1025 \ltrch\fcs0 \fs24\lang2057\langfe2057\cgrid\langnp2057\langfenp2057 {\rtlch\fcs1 \af0 _x000d__x000a_\ltrch\fcs0 \insrsid6044855 \chftnsep _x000d__x000a_\par }}{\*\aftnsepc \ltrpar \pard\plain \ltrpar\ql \li0\ri0\widctlpar\wrapdefault\aspalpha\aspnum\faauto\adjustright\rin0\lin0\itap0 \rtlch\fcs1 \af0\afs20\alang1025 \ltrch\fcs0 \fs24\lang2057\langfe2057\cgrid\langnp2057\langfenp2057 {\rtlch\fcs1 \af0 _x000d__x000a_\ltrch\fcs0 \insrsid60448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3705 \rtlch\fcs1 _x000d__x000a_\af0\afs20\alang1025 \ltrch\fcs0 \b\fs24\lang2057\langfe2057\cgrid\langnp2057\langfenp2057 {\rtlch\fcs1 \af0 \ltrch\fcs0 \cs17\b0\v\fs20\cf9\lang1024\langfe1024\loch\af1\hich\af1\dbch\af31501\noproof\insrsid4523705\charrsid11683480 {\*\bkmkstart restartB}_x000d__x000a_\hich\af1\dbch\af31501\loch\f1 &lt;AmendB&gt;}{\rtlch\fcs1 \af0 \ltrch\fcs0 \insrsid4523705\charrsid11683480 Amendment\tab \tab }{\rtlch\fcs1 \af0 \ltrch\fcs0 _x000d__x000a_\cs17\b0\v\fs20\cf9\lang1024\langfe1024\loch\af1\hich\af1\dbch\af31501\noproof\insrsid4523705\charrsid11683480 \hich\af1\dbch\af31501\loch\f1 &lt;NumAmB&gt;}{\rtlch\fcs1 \af0 \ltrch\fcs0 \insrsid4523705\charrsid11683480 #}{\rtlch\fcs1 \af1 \ltrch\fcs0 _x000d__x000a_\cs18\v\f1\fs20\cf15\insrsid4523705\charrsid11683480 ENMIENDA@NRAM@}{\rtlch\fcs1 \af0 \ltrch\fcs0 \insrsid4523705\charrsid11683480 #}{\rtlch\fcs1 \af0 \ltrch\fcs0 _x000d__x000a_\cs17\b0\v\fs20\cf9\lang1024\langfe1024\loch\af1\hich\af1\dbch\af31501\noproof\insrsid4523705\charrsid11683480 \hich\af1\dbch\af31501\loch\f1 &lt;/NumAmB&gt;}{\rtlch\fcs1 \af0 \ltrch\fcs0 \insrsid4523705\charrsid11683480 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RepeatBlock-By&gt;}{\rtlch\fcs1 \af0 \ltrch\fcs0 \insrsid4523705\charrsid11683480 #}{\rtlch\fcs1 \af1 _x000d__x000a_\ltrch\fcs0 \cs18\v\f1\fs20\cf15\insrsid4523705\charrsid11683480 (MOD@InsideLoop()}{\rtlch\fcs1 \af0 \ltrch\fcs0 \insrsid4523705\charrsid11683480 ##}{\rtlch\fcs1 \af1 \ltrch\fcs0 \cs18\v\f1\fs20\cf15\insrsid4523705\charrsid11683480 &gt;&gt;&gt;@[ZMEMBERSMSG]@}{_x000d__x000a_\rtlch\fcs1 \af0 \ltrch\fcs0 \insrsid4523705\charrsid11683480 #}{\rtlch\fcs1 \af0 \ltrch\fcs0 \cs17\b0\v\fs20\cf9\lang1024\langfe1024\loch\af1\hich\af1\dbch\af31501\noproof\insrsid4523705\charrsid11683480 \hich\af1\dbch\af31501\loch\f1 &lt;Members&gt;}{_x000d__x000a_\rtlch\fcs1 \af0 \ltrch\fcs0 \insrsid4523705\charrsid11683480 #}{\rtlch\fcs1 \af1 \ltrch\fcs0 \cs18\v\f1\fs20\cf15\insrsid4523705\charrsid11683480 (MOD@InsideLoop(\'a7)}{\rtlch\fcs1 \af0 \ltrch\fcs0 \insrsid4523705\charrsid11683480 #}{\rtlch\fcs1 \af0 _x000d__x000a_\ltrch\fcs0 \cf10\insrsid4523705\charrsid11683480 \u9668\'3f}{\rtlch\fcs1 \af0 \ltrch\fcs0 \insrsid4523705\charrsid11683480 #}{\rtlch\fcs1 \af1 \ltrch\fcs0 \cs18\v\f1\fs20\cf15\insrsid4523705\charrsid11683480 TVTMEMBERS\'a7@MEMBERS@}{\rtlch\fcs1 \af0 _x000d__x000a_\ltrch\fcs0 \insrsid4523705\charrsid11683480 #}{\rtlch\fcs1 \af0 \ltrch\fcs0 \cf10\insrsid4523705\charrsid11683480 \u9658\'3f}{\rtlch\fcs1 \af0 \ltrch\fcs0 _x000d__x000a_\cs17\b0\v\fs20\cf9\lang1024\langfe1024\loch\af1\hich\af1\dbch\af31501\noproof\insrsid4523705\charrsid11683480 \hich\af1\dbch\af31501\loch\f1 &lt;/Members&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uNomDe&gt;&lt;OptDel&gt;}{\rtlch\fcs1 \af0 \ltrch\fcs0 \insrsid4523705\charrsid11683480 #}{\rtlch\fcs1 \af1 \ltrch\fcs0 _x000d__x000a_\cs18\v\f1\fs20\cf15\insrsid4523705\charrsid11683480 MNU[ONBEHALFYES][NOTAPP]@CHOICE@}{\rtlch\fcs1 \af0 \ltrch\fcs0 \insrsid4523705\charrsid11683480 #}{\rtlch\fcs1 \af0 \ltrch\fcs0 _x000d__x000a_\cs17\v\fs20\cf9\lang1024\langfe1024\loch\af1\hich\af1\dbch\af31501\noproof\insrsid4523705\charrsid11683480 \hich\af1\dbch\af31501\loch\f1 &lt;/OptDel&gt;&lt;/AuNomDe&gt;}{\rtlch\fcs1 \af0 \ltrch\fcs0 \insrsid4523705\charrsid11683480 _x000d__x000a_\par &lt;&lt;&lt;}{\rtlch\fcs1 \af0 \ltrch\fcs0 \cs17\v\fs20\cf9\lang1024\langfe1024\loch\af1\hich\af1\dbch\af31501\noproof\insrsid4523705\charrsid11683480 \hich\af1\dbch\af31501\loch\f1 &lt;/RepeatBlock-By&gt;}{\rtlch\fcs1 \af0 \ltrch\fcs0 \insrsid4523705\charrsid11683480 _x000d__x000a_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DocAmend&gt;}{\rtlch\fcs1 \af0 \ltrch\fcs0 \insrsid4523705\charrsid11683480 #}{\rtlch\fcs1 \af1 _x000d__x000a_\ltrch\fcs0 \cs18\v\f1\fs20\cf15\insrsid4523705\charrsid11683480 MNU[OPTPROPOSALCOD][OPTPROPOSALCNS][OPTPROPOSALNLE]@CHOICE@CODEMNU}{\rtlch\fcs1 \af0 \ltrch\fcs0 \insrsid4523705\charrsid11683480 #}{\rtlch\fcs1 \af0 \ltrch\fcs0 _x000d__x000a_\cs17\b0\v\fs20\cf9\lang1024\langfe1024\loch\af1\hich\af1\dbch\af31501\noproof\insrsid4523705\charrsid11683480 \hich\af1\dbch\af31501\loch\f1 &lt;/DocAmend&gt;}{\rtlch\fcs1 \af0 \ltrch\fcs0 \insrsid4523705\charrsid11683480 _x000d__x000a_\par }\pard \ltrpar\s20\ql \li0\ri0\keepn\nowidctlpar\wrapdefault\aspalpha\aspnum\faauto\adjustright\rin0\lin0\itap0\pararsid4523705 {\rtlch\fcs1 \af0 \ltrch\fcs0 _x000d__x000a_\cs17\b0\v\fs20\cf9\lang1024\langfe1024\loch\af1\hich\af1\dbch\af31501\noproof\insrsid4523705\charrsid11683480 \hich\af1\dbch\af31501\loch\f1 &lt;Article&gt;}{\rtlch\fcs1 \af0 \ltrch\fcs0 \insrsid4523705\charrsid11683480 #}{\rtlch\fcs1 \af1 \ltrch\fcs0 _x000d__x000a_\cs18\v\f1\fs20\cf15\insrsid4523705\charrsid11683480 MNU[AMACTPARTYES][AMACTPARTNO]@CHOICE@AMACTMNU}{\rtlch\fcs1 \af0 \ltrch\fcs0 \insrsid4523705\charrsid11683480 #}{\rtlch\fcs1 \af0 \ltrch\fcs0 _x000d__x000a_\cs17\b0\v\fs20\cf9\lang1024\langfe1024\loch\af1\hich\af1\dbch\af31501\noproof\insrsid4523705\charrsid11683480 \hich\af1\dbch\af31501\loch\f1 &lt;/Article&gt;}{\rtlch\fcs1 \af0 \ltrch\fcs0 \insrsid4523705\charrsid11683480 _x000d__x000a_\par }\pard\plain \ltrpar\ql \li0\ri0\keepn\widctlpar\wrapdefault\aspalpha\aspnum\faauto\adjustright\rin0\lin0\itap0\pararsid4523705 \rtlch\fcs1 \af0\afs20\alang1025 \ltrch\fcs0 \fs24\lang2057\langfe2057\cgrid\langnp2057\langfenp2057 {\rtlch\fcs1 \af0 _x000d__x000a_\ltrch\fcs0 \cs17\v\fs20\cf9\lang1024\langfe1024\loch\af1\hich\af1\dbch\af31501\noproof\insrsid4523705\charrsid11683480 \hich\af1\dbch\af31501\loch\f1 &lt;DocAmend2&gt;&lt;OptDel&gt;}{\rtlch\fcs1 \af0 \ltrch\fcs0 \insrsid4523705\charrsid11683480 #}{\rtlch\fcs1 \af1 _x000d__x000a_\ltrch\fcs0 \cs18\v\f1\fs20\cf15\insrsid4523705\charrsid11683480 MNU[OPTNRACTYES][NOTAPP]@CHOICE@AMACTMNU}{\rtlch\fcs1 \af0 \ltrch\fcs0 \insrsid4523705\charrsid11683480 #}{\rtlch\fcs1 \af0 \ltrch\fcs0 _x000d__x000a_\cs17\v\fs20\cf9\lang1024\langfe1024\loch\af1\hich\af1\dbch\af31501\noproof\insrsid4523705\charrsid11683480 \hich\af1\dbch\af31501\loch\f1 &lt;/OptDel&gt;&lt;/DocAmend2&gt;}{\rtlch\fcs1 \af0 \ltrch\fcs0 \insrsid4523705\charrsid11683480 _x000d__x000a_\par }\pard \ltrpar\ql \li0\ri0\widctlpar\wrapdefault\aspalpha\aspnum\faauto\adjustright\rin0\lin0\itap0\pararsid4523705 {\rtlch\fcs1 \af0 \ltrch\fcs0 \cs17\v\fs20\cf9\lang1024\langfe1024\loch\af1\hich\af1\dbch\af31501\noproof\insrsid4523705\charrsid11683480 _x000d__x000a_\hich\af1\dbch\af31501\loch\f1 &lt;Article2&gt;&lt;OptDel&gt;}{\rtlch\fcs1 \af0 \ltrch\fcs0 \insrsid4523705\charrsid11683480 #}{\rtlch\fcs1 \af1 \ltrch\fcs0 \cs18\v\f1\fs20\cf15\insrsid4523705\charrsid11683480 MNU[OPTACTPARTYES][NOTAPP]@CHOICE@AMACTMNU}{\rtlch\fcs1 _x000d__x000a_\af0 \ltrch\fcs0 \insrsid4523705\charrsid11683480 #}{\rtlch\fcs1 \af0 \ltrch\fcs0 \cs17\v\fs20\cf9\lang1024\langfe1024\loch\af1\hich\af1\dbch\af31501\noproof\insrsid4523705\charrsid11683480 \hich\af1\dbch\af31501\loch\f1 &lt;/OptDel&gt;&lt;/Article2&gt;}{\rtlch\fcs1 _x000d__x000a_\af0 \ltrch\fcs0 \insrsid4523705\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523705\charrsid11683480 #}{\rtlch\fcs1 \af1 \ltrch\fcs0 \cs18\v\f1\fs20\cf15\insrsid4523705\charrsid11683480 MNU[OPTLEFTAMACT][LEFTPROP]@CHOICE@AMACTMNU}{_x000d__x000a_\rtlch\fcs1 \af0 \ltrch\fcs0 \insrsid4523705\charrsid11683480 #\cell Amendment\cell }\pard\plain \ltrpar\ql \li0\ri0\widctlpar\intbl\wrapdefault\aspalpha\aspnum\faauto\adjustright\rin0\lin0 \rtlch\fcs1 \af0\afs20\alang1025 \ltrch\fcs0 _x000d__x000a_\fs24\lang2057\langfe2057\cgrid\langnp2057\langfenp2057 {\rtlch\fcs1 \af0 \ltrch\fcs0 \insrsid4523705\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523705\charrsid11683480 ##\cell ##}{\rtlch\fcs1 \af0\afs24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23705 \rtlch\fcs1 \af0\afs20\alang1025 \ltrch\fcs0 \fs24\lang2057\langfe2057\cgrid\langnp2057\langfenp2057 {\rtlch\fcs1 \af0 \ltrch\fcs0 _x000d__x000a_\insrsid4523705\charrsid11683480 Or. }{\rtlch\fcs1 \af0 \ltrch\fcs0 \cs17\v\fs20\cf9\lang1024\langfe1024\loch\af1\hich\af1\dbch\af31501\noproof\insrsid4523705\charrsid11683480 \hich\af1\dbch\af31501\loch\f1 &lt;Original&gt;}{\rtlch\fcs1 \af0 \ltrch\fcs0 _x000d__x000a_\insrsid4523705\charrsid11683480 #}{\rtlch\fcs1 \af1 \ltrch\fcs0 \cs18\v\f1\fs20\cf15\insrsid4523705\charrsid11683480 KEY(MAIN/LANGMIN)sh@ORLANGMSG@}{\rtlch\fcs1 \af0 \ltrch\fcs0 \insrsid4523705\charrsid11683480 #}{\rtlch\fcs1 \af0 \ltrch\fcs0 _x000d__x000a_\cs17\v\fs20\cf9\lang1024\langfe1024\loch\af1\hich\af1\dbch\af31501\noproof\insrsid4523705\charrsid11683480 \hich\af1\dbch\af31501\loch\f1 &lt;/Original&gt;}{\rtlch\fcs1 \af0 \ltrch\fcs0 \insrsid4523705\charrsid11683480 _x000d__x000a_\par }\pard\plain \ltrpar\s22\qc \li0\ri0\sb240\sa240\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OptDel&gt;}{\rtlch\fcs1 \af0 \ltrch\fcs0 \insrsid4523705\charrsid11683480 #}{_x000d__x000a_\rtlch\fcs1 \af1 \ltrch\fcs0 \cs18\v\f1\fs20\cf15\insrsid4523705\charrsid11683480 MNU[CROSSREFNO][CROSSREFYES]@CHOICE@}{\rtlch\fcs1 \af0 \ltrch\fcs0 \insrsid4523705\charrsid11683480 #}{\rtlch\fcs1 \af0 \ltrch\fcs0 _x000d__x000a_\cs17\i0\v\fs20\cf9\lang1024\langfe1024\loch\af1\hich\af1\dbch\af31501\noproof\insrsid4523705\charrsid11683480 \hich\af1\dbch\af31501\loch\f1 &lt;/OptDel&gt;}{\rtlch\fcs1 \af0 \ltrch\fcs0 \insrsid4523705\charrsid11683480 _x000d__x000a_\par }\pard\plain \ltrpar\s23\qc \li0\ri0\sb240\sa240\keepn\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TitreJust&gt;}{\rtlch\fcs1 \af0 \ltrch\fcs0 \insrsid4523705\charrsid11683480 _x000d__x000a_Justification}{\rtlch\fcs1 \af0 \ltrch\fcs0 \cs17\i0\v\fs20\cf9\lang1024\langfe1024\loch\af1\hich\af1\dbch\af31501\noproof\insrsid4523705\charrsid11683480 \hich\af1\dbch\af31501\loch\f1 &lt;/TitreJust&gt;}{\rtlch\fcs1 \af0 \ltrch\fcs0 _x000d__x000a_\insrsid4523705\charrsid11683480 _x000d__x000a_\par }\pard\plain \ltrpar\s21\ql \li0\ri0\sa240\nowidctlpar\wrapdefault\aspalpha\aspnum\faauto\adjustright\rin0\lin0\itap0\pararsid4523705 \rtlch\fcs1 \af0\afs20\alang1025 \ltrch\fcs0 \i\fs24\lang2057\langfe2057\cgrid\langnp2057\langfenp2057 {\rtlch\fcs1 \af0 _x000d__x000a_\ltrch\fcs0 \cs17\i0\v\fs20\cf9\lang1024\langfe1024\loch\af1\hich\af1\dbch\af31501\noproof\insrsid4523705\charrsid11683480 \hich\af1\dbch\af31501\loch\f1 &lt;OptDelPrev&gt;}{\rtlch\fcs1 \af0 \ltrch\fcs0 \insrsid4523705\charrsid11683480 #}{\rtlch\fcs1 \af1 _x000d__x000a_\ltrch\fcs0 \cs18\v\f1\fs20\cf15\insrsid4523705\charrsid11683480 MNU[TEXTJUSTYES][TEXTJUSTNO]@CHOICE@}{\rtlch\fcs1 \af0 \ltrch\fcs0 \insrsid4523705\charrsid11683480 #}{\rtlch\fcs1 \af0 \ltrch\fcs0 _x000d__x000a_\cs17\i0\v\fs20\cf9\lang1024\langfe1024\loch\af1\hich\af1\dbch\af31501\noproof\insrsid4523705\charrsid11683480 \hich\af1\dbch\af31501\loch\f1 &lt;/OptDelPrev&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c_x000d__x000a_7145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6262 HideTWBExt;}{\*\cs18 \additive \v\f1\fs20\cf15 _x000d__x000a_\spriority0 \styrsid1196262 HideTWBInt;}{\s19\ql \li0\ri0\sa120\nowidctlpar\wrapdefault\aspalpha\aspnum\faauto\adjustright\rin0\lin0\itap0 \rtlch\fcs1 \af0\afs20\alang1025 \ltrch\fcs0 \fs24\lang2057\langfe2057\cgrid\langnp2057\langfenp2057 _x000d__x000a_\sbasedon0 \snext19 \spriority0 \styrsid1196262 Normal6a;}{\s20\ql \li0\ri0\nowidctlpar\wrapdefault\aspalpha\aspnum\faauto\adjustright\rin0\lin0\itap0 \rtlch\fcs1 \af0\afs20\alang1025 \ltrch\fcs0 \b\fs24\lang2057\langfe2057\cgrid\langnp2057\langfenp2057 _x000d__x000a_\sbasedon0 \snext20 \spriority0 \styrsid1196262 NormalBold;}{\s21\ql \li0\ri0\sa240\nowidctlpar\wrapdefault\aspalpha\aspnum\faauto\adjustright\rin0\lin0\itap0 \rtlch\fcs1 \af0\afs20\alang1025 \ltrch\fcs0 _x000d__x000a_\i\fs24\lang2057\langfe2057\cgrid\langnp2057\langfenp2057 \sbasedon0 \snext21 \spriority0 \styrsid1196262 AmJustText;}{\s22\qc \li0\ri0\sb240\sa240\nowidctlpar\wrapdefault\aspalpha\aspnum\faauto\adjustright\rin0\lin0\itap0 \rtlch\fcs1 _x000d__x000a_\af0\afs20\alang1025 \ltrch\fcs0 \i\fs24\lang2057\langfe2057\cgrid\langnp2057\langfenp2057 \sbasedon0 \snext22 \spriority0 \styrsid1196262 AmCrossRef;}{_x000d__x000a_\s23\qc \li0\ri0\sb240\sa240\keepn\nowidctlpar\wrapdefault\aspalpha\aspnum\faauto\adjustright\rin0\lin0\itap0 \rtlch\fcs1 \af0\afs20\alang1025 \ltrch\fcs0 \i\fs24\lang2057\langfe2057\cgrid\langnp2057\langfenp2057 _x000d__x000a_\sbasedon0 \snext21 \spriority0 \styrsid1196262 AmJustTitle;}{\s24\qr \li0\ri0\sb240\sa240\nowidctlpar\wrapdefault\aspalpha\aspnum\faauto\adjustright\rin0\lin0\itap0 \rtlch\fcs1 \af0\afs20\alang1025 \ltrch\fcs0 _x000d__x000a_\fs24\lang2057\langfe2057\cgrid\langnp2057\langfenp2057 \sbasedon0 \snext24 \spriority0 \styrsid1196262 AmOrLang;}{\s25\qc \li0\ri0\sa240\nowidctlpar\wrapdefault\aspalpha\aspnum\faauto\adjustright\rin0\lin0\itap0 \rtlch\fcs1 \af0\afs20\alang1025 _x000d__x000a_\ltrch\fcs0 \i\fs24\lang2057\langfe2057\cgrid\langnp2057\langfenp2057 \sbasedon0 \snext25 \spriority0 \styrsid1196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6262 AmNumberTabs;}}{\*\rsidtbl \rsid24658\rsid223860\rsid735077\rsid863474\rsid1196262\rsid1718133\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9}{\revtim\yr2025\mo4\dy8\hr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6262\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863474 \chftnsep _x000d__x000a_\par }}{\*\ftnsepc \ltrpar \pard\plain \ltrpar\ql \li0\ri0\widctlpar\wrapdefault\aspalpha\aspnum\faauto\adjustright\rin0\lin0\itap0 \rtlch\fcs1 \af0\afs20\alang1025 \ltrch\fcs0 \fs24\lang2057\langfe2057\cgrid\langnp2057\langfenp2057 {\rtlch\fcs1 \af0 _x000d__x000a_\ltrch\fcs0 \insrsid863474 \chftnsepc _x000d__x000a_\par }}{\*\aftnsep \ltrpar \pard\plain \ltrpar\ql \li0\ri0\widctlpar\wrapdefault\aspalpha\aspnum\faauto\adjustright\rin0\lin0\itap0 \rtlch\fcs1 \af0\afs20\alang1025 \ltrch\fcs0 \fs24\lang2057\langfe2057\cgrid\langnp2057\langfenp2057 {\rtlch\fcs1 \af0 _x000d__x000a_\ltrch\fcs0 \insrsid863474 \chftnsep _x000d__x000a_\par }}{\*\aftnsepc \ltrpar \pard\plain \ltrpar\ql \li0\ri0\widctlpar\wrapdefault\aspalpha\aspnum\faauto\adjustright\rin0\lin0\itap0 \rtlch\fcs1 \af0\afs20\alang1025 \ltrch\fcs0 \fs24\lang2057\langfe2057\cgrid\langnp2057\langfenp2057 {\rtlch\fcs1 \af0 _x000d__x000a_\ltrch\fcs0 \insrsid863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6262 \rtlch\fcs1 _x000d__x000a_\af0\afs20\alang1025 \ltrch\fcs0 \b\fs24\lang2057\langfe2057\cgrid\langnp2057\langfenp2057 {\rtlch\fcs1 \af0 \ltrch\fcs0 \cs17\b0\v\fs20\cf9\lang1024\langfe1024\loch\af1\hich\af1\dbch\af31501\noproof\insrsid1196262\charrsid11683480 {\*\bkmkstart restart}_x000d__x000a_\hich\af1\dbch\af31501\loch\f1 &lt;}{\rtlch\fcs1 \af0 \ltrch\fcs0 \cs17\b0\v\fs20\cf9\lang1024\langfe1024\loch\af1\hich\af1\dbch\af31501\noproof\insrsid1196262 \hich\af1\dbch\af31501\loch\f1 Amend}{\rtlch\fcs1 \af0 \ltrch\fcs0 _x000d__x000a_\cs17\b0\v\fs20\cf9\lang1024\langfe1024\loch\af1\hich\af1\dbch\af31501\noproof\insrsid1196262\charrsid11683480 \hich\af1\dbch\af31501\loch\f1 &gt;}{\rtlch\fcs1 \af0 \ltrch\fcs0 \insrsid1196262\charrsid11683480 Amendment\tab \tab }{\rtlch\fcs1 \af0 _x000d__x000a_\ltrch\fcs0 \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rtlch\fcs1 \af1 \ltrch\fcs0 _x000d__x000a_\cs18\v\f1\fs20\cf15\insrsid1196262\charrsid11683480 ENMIENDA@NRAM@}{\rtlch\fcs1 \af0 \ltrch\fcs0 \insrsid1196262\charrsid11683480 #}{\rtlch\fcs1 \af0 \ltrch\fcs0 _x000d__x000a_\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hich\af1\dbch\af31501\loch\f1 RepeatBlock-By&gt;}{\rtlch\fcs1 \af0 \ltrch\fcs0 _x000d__x000a_\insrsid1196262\charrsid11683480 #}{\rtlch\fcs1 \af1 \ltrch\fcs0 \cs18\v\f1\fs20\cf15\insrsid1196262\charrsid11683480 (MOD@InsideLoop()}{\rtlch\fcs1 \af0 \ltrch\fcs0 \insrsid1196262\charrsid11683480 ##}{\rtlch\fcs1 \af1 \ltrch\fcs0 _x000d__x000a_\cs18\v\f1\fs20\cf15\insrsid1196262\charrsid11683480 &gt;&gt;&gt;@[ZMEMBERSMSG]@}{\rtlch\fcs1 \af0 \ltrch\fcs0 \insrsid1196262\charrsid11683480 #}{\rtlch\fcs1 \af0 \ltrch\fcs0 _x000d__x000a_\cs17\b0\v\fs20\cf9\lang1024\langfe1024\loch\af1\hich\af1\dbch\af31501\noproof\insrsid1196262\charrsid11683480 \hich\af1\dbch\af31501\loch\f1 &lt;Members&gt;}{\rtlch\fcs1 \af0 \ltrch\fcs0 \insrsid1196262\charrsid11683480 #}{\rtlch\fcs1 \af1 \ltrch\fcs0 _x000d__x000a_\cs18\v\f1\fs20\cf15\insrsid1196262\charrsid11683480 (MOD@InsideLoop(\'a7)}{\rtlch\fcs1 \af0 \ltrch\fcs0 \insrsid1196262\charrsid11683480 #}{\rtlch\fcs1 \af0 \ltrch\fcs0 \cf10\insrsid1196262\charrsid2112918 \u9668\'3f}{\rtlch\fcs1 \af0 \ltrch\fcs0 _x000d__x000a_\insrsid1196262\charrsid11683480 #}{\rtlch\fcs1 \af1 \ltrch\fcs0 \cs18\v\f1\fs20\cf15\insrsid1196262\charrsid11683480 TVTMEMBERS\'a7@MEMBERS@}{\rtlch\fcs1 \af0 \ltrch\fcs0 \insrsid1196262\charrsid11683480 #}{\rtlch\fcs1 \af0 \ltrch\fcs0 _x000d__x000a_\cf10\insrsid1196262\charrsid2112918 \u9658\'3f}{\rtlch\fcs1 \af0 \ltrch\fcs0 \cs17\b0\v\fs20\cf9\lang1024\langfe1024\loch\af1\hich\af1\dbch\af31501\noproof\insrsid1196262\charrsid11683480 \hich\af1\dbch\af31501\loch\f1 &lt;/Members&gt;}{\rtlch\fcs1 \af0 _x000d__x000a_\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AuNomDe&gt;&lt;OptDel&gt;}{\rtlch\fcs1 \af0 \ltrch\fcs0 \insrsid1196262\charrsid11683480 #}{\rtlch\fcs1 \af1 \ltrch\fcs0 _x000d__x000a_\cs18\v\f1\fs20\cf15\insrsid1196262\charrsid11683480 MNU[ONBEHALFYES][NOTAPP]@CHOICE@}{\rtlch\fcs1 \af0 \ltrch\fcs0 \insrsid1196262\charrsid11683480 #}{\rtlch\fcs1 \af0 \ltrch\fcs0 _x000d__x000a_\cs17\v\fs20\cf9\lang1024\langfe1024\loch\af1\hich\af1\dbch\af31501\noproof\insrsid1196262\charrsid11683480 \hich\af1\dbch\af31501\loch\f1 &lt;/OptDel&gt;&lt;/AuNomDe&gt;}{\rtlch\fcs1 \af0 \ltrch\fcs0 \insrsid1196262\charrsid11683480 _x000d__x000a_\par &lt;&lt;&lt;}{\rtlch\fcs1 \af0 \ltrch\fcs0 \cs17\v\fs20\cf9\lang1024\langfe1024\loch\af1\hich\af1\dbch\af31501\noproof\insrsid1196262\charrsid11683480 \hich\af1\dbch\af31501\loch\f1 &lt;/RepeatBlock-By&gt;}{\rtlch\fcs1 \af0 \ltrch\fcs0 \insrsid1196262\charrsid11683480 _x000d__x000a_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DocAmend&gt;}{\rtlch\fcs1 \af0 \ltrch\fcs0 \insrsid1196262\charrsid11683480 #}{\rtlch\fcs1 \af1 _x000d__x000a_\ltrch\fcs0 \cs18\v\f1\fs20\cf15\insrsid1196262\charrsid11683480 MNU[OPTPROPOSALCOD][OPTPROPOSALCNS][OPTPROPOSALNLE]@CHOICE@CODEMNU}{\rtlch\fcs1 \af0 \ltrch\fcs0 \insrsid1196262\charrsid11683480 #}{\rtlch\fcs1 \af0 \ltrch\fcs0 _x000d__x000a_\cs17\b0\v\fs20\cf9\lang1024\langfe1024\loch\af1\hich\af1\dbch\af31501\noproof\insrsid1196262\charrsid11683480 \hich\af1\dbch\af31501\loch\f1 &lt;/DocAmend&gt;}{\rtlch\fcs1 \af0 \ltrch\fcs0 \insrsid1196262\charrsid11683480 _x000d__x000a_\par }\pard \ltrpar\s20\ql \li0\ri0\keepn\nowidctlpar\wrapdefault\aspalpha\aspnum\faauto\adjustright\rin0\lin0\itap0\pararsid1196262 {\rtlch\fcs1 \af0 \ltrch\fcs0 _x000d__x000a_\cs17\b0\v\fs20\cf9\lang1024\langfe1024\loch\af1\hich\af1\dbch\af31501\noproof\insrsid1196262\charrsid11683480 \hich\af1\dbch\af31501\loch\f1 &lt;Article&gt;}{\rtlch\fcs1 \af0 \ltrch\fcs0 \insrsid1196262\charrsid11683480 #}{\rtlch\fcs1 \af1 \ltrch\fcs0 _x000d__x000a_\cs18\v\f1\fs20\cf15\insrsid1196262\charrsid11683480 MNU[AMACTPARTYES][AMACTPARTNO]@CHOICE@AMACTMNU}{\rtlch\fcs1 \af0 \ltrch\fcs0 \insrsid1196262\charrsid11683480 #}{\rtlch\fcs1 \af0 \ltrch\fcs0 _x000d__x000a_\cs17\b0\v\fs20\cf9\lang1024\langfe1024\loch\af1\hich\af1\dbch\af31501\noproof\insrsid1196262\charrsid11683480 \hich\af1\dbch\af31501\loch\f1 &lt;/Article&gt;}{\rtlch\fcs1 \af0 \ltrch\fcs0 \insrsid1196262\charrsid11683480 _x000d__x000a_\par }\pard\plain \ltrpar\ql \li0\ri0\keepn\widctlpar\wrapdefault\aspalpha\aspnum\faauto\adjustright\rin0\lin0\itap0\pararsid1196262 \rtlch\fcs1 \af0\afs20\alang1025 \ltrch\fcs0 \fs24\lang2057\langfe2057\cgrid\langnp2057\langfenp2057 {\rtlch\fcs1 \af0 _x000d__x000a_\ltrch\fcs0 \cs17\v\fs20\cf9\lang1024\langfe1024\loch\af1\hich\af1\dbch\af31501\noproof\insrsid1196262\charrsid11683480 \hich\af1\dbch\af31501\loch\f1 &lt;DocAmend2&gt;&lt;OptDel&gt;}{\rtlch\fcs1 \af0 \ltrch\fcs0 \insrsid1196262\charrsid11683480 #}{\rtlch\fcs1 \af1 _x000d__x000a_\ltrch\fcs0 \cs18\v\f1\fs20\cf15\insrsid1196262\charrsid11683480 MNU[OPTNRACTYES][NOTAPP]@CHOICE@AMACTMNU}{\rtlch\fcs1 \af0 \ltrch\fcs0 \insrsid1196262\charrsid11683480 #}{\rtlch\fcs1 \af0 \ltrch\fcs0 _x000d__x000a_\cs17\v\fs20\cf9\lang1024\langfe1024\loch\af1\hich\af1\dbch\af31501\noproof\insrsid1196262\charrsid11683480 \hich\af1\dbch\af31501\loch\f1 &lt;/OptDel&gt;&lt;/DocAmend2&gt;}{\rtlch\fcs1 \af0 \ltrch\fcs0 \insrsid1196262\charrsid11683480 _x000d__x000a_\par }\pard \ltrpar\ql \li0\ri0\widctlpar\wrapdefault\aspalpha\aspnum\faauto\adjustright\rin0\lin0\itap0\pararsid1196262 {\rtlch\fcs1 \af0 \ltrch\fcs0 \cs17\v\fs20\cf9\lang1024\langfe1024\loch\af1\hich\af1\dbch\af31501\noproof\insrsid1196262\charrsid11683480 _x000d__x000a_\hich\af1\dbch\af31501\loch\f1 &lt;Article2&gt;&lt;OptDel&gt;}{\rtlch\fcs1 \af0 \ltrch\fcs0 \insrsid1196262\charrsid11683480 #}{\rtlch\fcs1 \af1 \ltrch\fcs0 \cs18\v\f1\fs20\cf15\insrsid1196262\charrsid11683480 MNU[OPTACTPARTYES][NOTAPP]@CHOICE@AMACTMNU}{\rtlch\fcs1 _x000d__x000a_\af0 \ltrch\fcs0 \insrsid1196262\charrsid11683480 #}{\rtlch\fcs1 \af0 \ltrch\fcs0 \cs17\v\fs20\cf9\lang1024\langfe1024\loch\af1\hich\af1\dbch\af31501\noproof\insrsid1196262\charrsid11683480 \hich\af1\dbch\af31501\loch\f1 &lt;/OptDel&gt;&lt;/Article2&gt;}{\rtlch\fcs1 _x000d__x000a_\af0 \ltrch\fcs0 \insrsid1196262\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96262\charrsid11683480 #}{\rtlch\fcs1 \af1 \ltrch\fcs0 \cs18\v\f1\fs20\cf15\insrsid1196262\charrsid11683480 MNU[OPTLEFTAMACT][LEFTPROP]@CHOICE@AMACTMNU}{_x000d__x000a_\rtlch\fcs1 \af0 \ltrch\fcs0 \insrsid1196262\charrsid11683480 #\cell Amendment\cell }\pard\plain \ltrpar\ql \li0\ri0\widctlpar\intbl\wrapdefault\aspalpha\aspnum\faauto\adjustright\rin0\lin0 \rtlch\fcs1 \af0\afs20\alang1025 \ltrch\fcs0 _x000d__x000a_\fs24\lang2057\langfe2057\cgrid\langnp2057\langfenp2057 {\rtlch\fcs1 \af0 \ltrch\fcs0 \insrsid1196262\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6262\charrsid11683480 ##\cell ##}{\rtlch\fcs1 \af0\afs24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6262 \rtlch\fcs1 \af0\afs20\alang1025 \ltrch\fcs0 \fs24\lang2057\langfe2057\cgrid\langnp2057\langfenp2057 {\rtlch\fcs1 \af0 \ltrch\fcs0 _x000d__x000a_\insrsid1196262\charrsid11683480 Or. }{\rtlch\fcs1 \af0 \ltrch\fcs0 \cs17\v\fs20\cf9\lang1024\langfe1024\loch\af1\hich\af1\dbch\af31501\noproof\insrsid1196262\charrsid11683480 \hich\af1\dbch\af31501\loch\f1 &lt;Original&gt;}{\rtlch\fcs1 \af0 \ltrch\fcs0 _x000d__x000a_\insrsid1196262\charrsid11683480 #}{\rtlch\fcs1 \af1 \ltrch\fcs0 \cs18\v\f1\fs20\cf15\insrsid1196262\charrsid11683480 KEY(MAIN/LANGMIN)sh@ORLANGMSG@}{\rtlch\fcs1 \af0 \ltrch\fcs0 \insrsid1196262\charrsid11683480 #}{\rtlch\fcs1 \af0 \ltrch\fcs0 _x000d__x000a_\cs17\v\fs20\cf9\lang1024\langfe1024\loch\af1\hich\af1\dbch\af31501\noproof\insrsid1196262\charrsid11683480 \hich\af1\dbch\af31501\loch\f1 &lt;/Original&gt;}{\rtlch\fcs1 \af0 \ltrch\fcs0 \insrsid1196262\charrsid11683480 _x000d__x000a_\par }\pard\plain \ltrpar\s22\qc \li0\ri0\sb240\sa240\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OptDel&gt;}{\rtlch\fcs1 \af0 \ltrch\fcs0 \insrsid1196262\charrsid11683480 #}{_x000d__x000a_\rtlch\fcs1 \af1 \ltrch\fcs0 \cs18\v\f1\fs20\cf15\insrsid1196262\charrsid11683480 MNU[CROSSREFNO][CROSSREFYES]@CHOICE@}{\rtlch\fcs1 \af0 \ltrch\fcs0 \insrsid1196262\charrsid11683480 #}{\rtlch\fcs1 \af0 \ltrch\fcs0 _x000d__x000a_\cs17\i0\v\fs20\cf9\lang1024\langfe1024\loch\af1\hich\af1\dbch\af31501\noproof\insrsid1196262\charrsid11683480 \hich\af1\dbch\af31501\loch\f1 &lt;/OptDel&gt;}{\rtlch\fcs1 \af0 \ltrch\fcs0 \insrsid1196262\charrsid11683480 _x000d__x000a_\par }\pard\plain \ltrpar\s23\qc \li0\ri0\sb240\sa240\keepn\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TitreJust&gt;}{\rtlch\fcs1 \af0 \ltrch\fcs0 \insrsid1196262\charrsid11683480 _x000d__x000a_Justification}{\rtlch\fcs1 \af0 \ltrch\fcs0 \cs17\i0\v\fs20\cf9\lang1024\langfe1024\loch\af1\hich\af1\dbch\af31501\noproof\insrsid1196262\charrsid11683480 \hich\af1\dbch\af31501\loch\f1 &lt;/TitreJust&gt;}{\rtlch\fcs1 \af0 \ltrch\fcs0 _x000d__x000a_\insrsid1196262\charrsid11683480 _x000d__x000a_\par }\pard\plain \ltrpar\s21\ql \li0\ri0\sa240\nowidctlpar\wrapdefault\aspalpha\aspnum\faauto\adjustright\rin0\lin0\itap0\pararsid1196262 \rtlch\fcs1 \af0\afs20\alang1025 \ltrch\fcs0 \i\fs24\lang2057\langfe2057\cgrid\langnp2057\langfenp2057 {\rtlch\fcs1 \af0 _x000d__x000a_\ltrch\fcs0 \cs17\i0\v\fs20\cf9\lang1024\langfe1024\loch\af1\hich\af1\dbch\af31501\noproof\insrsid1196262\charrsid11683480 \hich\af1\dbch\af31501\loch\f1 &lt;OptDelPrev&gt;}{\rtlch\fcs1 \af0 \ltrch\fcs0 \insrsid1196262\charrsid11683480 #}{\rtlch\fcs1 \af1 _x000d__x000a_\ltrch\fcs0 \cs18\v\f1\fs20\cf15\insrsid1196262\charrsid11683480 MNU[TEXTJUSTYES][TEXTJUSTNO]@CHOICE@}{\rtlch\fcs1 \af0 \ltrch\fcs0 \insrsid1196262\charrsid11683480 #}{\rtlch\fcs1 \af0 \ltrch\fcs0 _x000d__x000a_\cs17\i0\v\fs20\cf9\lang1024\langfe1024\loch\af1\hich\af1\dbch\af31501\noproof\insrsid1196262\charrsid11683480 \hich\af1\dbch\af31501\loch\f1 &lt;/OptDelPrev&gt;}{\rtlch\fcs1 \af0 \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rtlch\fcs1 \af0 \ltrch\fcs0 _x000d__x000a_\cs17\v\fs20\cf9\lang1024\langfe1024\loch\af1\hich\af1\dbch\af31501\noproof\insrsid1196262 \hich\af1\dbch\af31501\loch\f1 Ame\hich\af1\dbch\af31501\loch\f1 nd}{\rtlch\fcs1 \af0 \ltrch\fcs0 _x000d__x000a_\cs17\v\fs20\cf9\lang1024\langfe1024\loch\af1\hich\af1\dbch\af31501\noproof\insrsid1196262\charrsid116834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e1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XTAUTHOR" w:val="Željana Zovko"/>
    <w:docVar w:name="TXTLANGUE" w:val="EN"/>
    <w:docVar w:name="TXTLANGUEMIN" w:val="en"/>
    <w:docVar w:name="TXTNRC" w:val="0006/2024"/>
    <w:docVar w:name="TXTNRCOM" w:val="(2024)0183"/>
    <w:docVar w:name="TXTNRFIRSTAM" w:val="127"/>
    <w:docVar w:name="TXTNRLASTAM" w:val="244"/>
    <w:docVar w:name="TXTNRPE" w:val="771.930"/>
    <w:docVar w:name="TXTNRPE2" w:val="765.292"/>
    <w:docVar w:name="TXTNRPROC" w:val="2024"/>
    <w:docVar w:name="TXTPEorAP" w:val="PE"/>
    <w:docVar w:name="TXTROUTE" w:val="AM\1319572EN.docx"/>
    <w:docVar w:name="TXTTITLE" w:val="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
    <w:docVar w:name="TXTVERSION" w:val="03-00"/>
    <w:docVar w:name="TXTVERSION2" w:val="01-00"/>
  </w:docVars>
  <w:rsids>
    <w:rsidRoot w:val="00B24698"/>
    <w:rsid w:val="000111BD"/>
    <w:rsid w:val="00073830"/>
    <w:rsid w:val="00075DBE"/>
    <w:rsid w:val="000B0781"/>
    <w:rsid w:val="000D446F"/>
    <w:rsid w:val="000E7234"/>
    <w:rsid w:val="000F2A80"/>
    <w:rsid w:val="000F7815"/>
    <w:rsid w:val="001177CB"/>
    <w:rsid w:val="00126BC4"/>
    <w:rsid w:val="0013748B"/>
    <w:rsid w:val="00150057"/>
    <w:rsid w:val="00166CCB"/>
    <w:rsid w:val="0017484C"/>
    <w:rsid w:val="001809DD"/>
    <w:rsid w:val="001838DC"/>
    <w:rsid w:val="001A4802"/>
    <w:rsid w:val="001B761C"/>
    <w:rsid w:val="001C2054"/>
    <w:rsid w:val="001C502E"/>
    <w:rsid w:val="001D13C9"/>
    <w:rsid w:val="001D5CC4"/>
    <w:rsid w:val="001D7A49"/>
    <w:rsid w:val="001F0FDD"/>
    <w:rsid w:val="0020367C"/>
    <w:rsid w:val="00203D96"/>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4902"/>
    <w:rsid w:val="0037660F"/>
    <w:rsid w:val="00384E84"/>
    <w:rsid w:val="0038706C"/>
    <w:rsid w:val="003923F7"/>
    <w:rsid w:val="003A3BB5"/>
    <w:rsid w:val="003A5102"/>
    <w:rsid w:val="003C6E39"/>
    <w:rsid w:val="003D466C"/>
    <w:rsid w:val="003D70F2"/>
    <w:rsid w:val="003E08BF"/>
    <w:rsid w:val="003E43AC"/>
    <w:rsid w:val="003E5426"/>
    <w:rsid w:val="003F21EB"/>
    <w:rsid w:val="003F3B0C"/>
    <w:rsid w:val="00422BB2"/>
    <w:rsid w:val="004367B3"/>
    <w:rsid w:val="00441413"/>
    <w:rsid w:val="00441D7D"/>
    <w:rsid w:val="00461E32"/>
    <w:rsid w:val="00464338"/>
    <w:rsid w:val="00495E20"/>
    <w:rsid w:val="004E0AAC"/>
    <w:rsid w:val="004E1C4C"/>
    <w:rsid w:val="004F03F0"/>
    <w:rsid w:val="004F2903"/>
    <w:rsid w:val="004F2CB9"/>
    <w:rsid w:val="005246D8"/>
    <w:rsid w:val="00547F73"/>
    <w:rsid w:val="00557617"/>
    <w:rsid w:val="00571479"/>
    <w:rsid w:val="005A7205"/>
    <w:rsid w:val="005A7EB4"/>
    <w:rsid w:val="005B32E3"/>
    <w:rsid w:val="005E50C2"/>
    <w:rsid w:val="006051F7"/>
    <w:rsid w:val="00607ABE"/>
    <w:rsid w:val="006337D4"/>
    <w:rsid w:val="00637384"/>
    <w:rsid w:val="0066168A"/>
    <w:rsid w:val="00665DDA"/>
    <w:rsid w:val="00672807"/>
    <w:rsid w:val="006746CD"/>
    <w:rsid w:val="00687070"/>
    <w:rsid w:val="00695CC1"/>
    <w:rsid w:val="006965BE"/>
    <w:rsid w:val="006A2838"/>
    <w:rsid w:val="006B4B58"/>
    <w:rsid w:val="006B6438"/>
    <w:rsid w:val="006D4E12"/>
    <w:rsid w:val="006D6B15"/>
    <w:rsid w:val="006F3F81"/>
    <w:rsid w:val="006F4B73"/>
    <w:rsid w:val="00702F62"/>
    <w:rsid w:val="007059E9"/>
    <w:rsid w:val="00706049"/>
    <w:rsid w:val="007152AF"/>
    <w:rsid w:val="00736FBA"/>
    <w:rsid w:val="0074160E"/>
    <w:rsid w:val="007418EC"/>
    <w:rsid w:val="007659AC"/>
    <w:rsid w:val="0079060C"/>
    <w:rsid w:val="007A42AB"/>
    <w:rsid w:val="007C71DE"/>
    <w:rsid w:val="00822C94"/>
    <w:rsid w:val="008363E4"/>
    <w:rsid w:val="00851460"/>
    <w:rsid w:val="0085430F"/>
    <w:rsid w:val="0087052C"/>
    <w:rsid w:val="00870CF2"/>
    <w:rsid w:val="0087412A"/>
    <w:rsid w:val="00874862"/>
    <w:rsid w:val="00875A9C"/>
    <w:rsid w:val="00887FDC"/>
    <w:rsid w:val="008B251A"/>
    <w:rsid w:val="008D6D06"/>
    <w:rsid w:val="008F0DDD"/>
    <w:rsid w:val="00900CAE"/>
    <w:rsid w:val="00904AD5"/>
    <w:rsid w:val="00907CCA"/>
    <w:rsid w:val="009154FF"/>
    <w:rsid w:val="00917A85"/>
    <w:rsid w:val="0094646B"/>
    <w:rsid w:val="00966038"/>
    <w:rsid w:val="009A65D8"/>
    <w:rsid w:val="009B0305"/>
    <w:rsid w:val="009B4539"/>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1432"/>
    <w:rsid w:val="00AE4459"/>
    <w:rsid w:val="00AF003F"/>
    <w:rsid w:val="00AF25FC"/>
    <w:rsid w:val="00AF2819"/>
    <w:rsid w:val="00B0638A"/>
    <w:rsid w:val="00B06E5B"/>
    <w:rsid w:val="00B10564"/>
    <w:rsid w:val="00B24698"/>
    <w:rsid w:val="00B41B4D"/>
    <w:rsid w:val="00B72691"/>
    <w:rsid w:val="00B77A45"/>
    <w:rsid w:val="00B8066A"/>
    <w:rsid w:val="00B85286"/>
    <w:rsid w:val="00B90B7F"/>
    <w:rsid w:val="00B9188F"/>
    <w:rsid w:val="00BA48D2"/>
    <w:rsid w:val="00BC1B1F"/>
    <w:rsid w:val="00BD7D87"/>
    <w:rsid w:val="00BE0C84"/>
    <w:rsid w:val="00BE293C"/>
    <w:rsid w:val="00BE5062"/>
    <w:rsid w:val="00C046F3"/>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3D18"/>
    <w:rsid w:val="00D42398"/>
    <w:rsid w:val="00D44842"/>
    <w:rsid w:val="00D677D5"/>
    <w:rsid w:val="00D755F1"/>
    <w:rsid w:val="00D767AC"/>
    <w:rsid w:val="00D773DF"/>
    <w:rsid w:val="00D82FCC"/>
    <w:rsid w:val="00D85E21"/>
    <w:rsid w:val="00D8691E"/>
    <w:rsid w:val="00D87B31"/>
    <w:rsid w:val="00DB429F"/>
    <w:rsid w:val="00DB65C2"/>
    <w:rsid w:val="00DC4160"/>
    <w:rsid w:val="00DC6A1B"/>
    <w:rsid w:val="00DD5018"/>
    <w:rsid w:val="00DE672F"/>
    <w:rsid w:val="00DF750B"/>
    <w:rsid w:val="00E15A86"/>
    <w:rsid w:val="00E25DC5"/>
    <w:rsid w:val="00E44BB0"/>
    <w:rsid w:val="00E471BE"/>
    <w:rsid w:val="00E57F50"/>
    <w:rsid w:val="00E660E2"/>
    <w:rsid w:val="00EA25AE"/>
    <w:rsid w:val="00EB3A71"/>
    <w:rsid w:val="00EE011D"/>
    <w:rsid w:val="00EE3E0D"/>
    <w:rsid w:val="00EF03A3"/>
    <w:rsid w:val="00EF11AD"/>
    <w:rsid w:val="00F1688F"/>
    <w:rsid w:val="00F27170"/>
    <w:rsid w:val="00F37D8F"/>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28213"/>
  <w15:chartTrackingRefBased/>
  <w15:docId w15:val="{C96CA274-2611-4930-A483-DECAFDDC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D96"/>
    <w:rPr>
      <w:rFonts w:ascii="Arial" w:hAnsi="Arial"/>
      <w:b/>
      <w:kern w:val="28"/>
      <w:sz w:val="28"/>
    </w:rPr>
  </w:style>
  <w:style w:type="character" w:customStyle="1" w:styleId="Heading2Char">
    <w:name w:val="Heading 2 Char"/>
    <w:basedOn w:val="DefaultParagraphFont"/>
    <w:link w:val="Heading2"/>
    <w:semiHidden/>
    <w:rsid w:val="00203D96"/>
    <w:rPr>
      <w:rFonts w:ascii="Arial" w:hAnsi="Arial"/>
      <w:b/>
      <w:i/>
      <w:sz w:val="24"/>
    </w:rPr>
  </w:style>
  <w:style w:type="character" w:customStyle="1" w:styleId="Heading3Char">
    <w:name w:val="Heading 3 Char"/>
    <w:basedOn w:val="DefaultParagraphFont"/>
    <w:link w:val="Heading3"/>
    <w:semiHidden/>
    <w:rsid w:val="00203D96"/>
    <w:rPr>
      <w:rFonts w:ascii="Arial" w:hAnsi="Arial"/>
      <w:sz w:val="24"/>
    </w:rPr>
  </w:style>
  <w:style w:type="character" w:customStyle="1" w:styleId="Heading4Char">
    <w:name w:val="Heading 4 Char"/>
    <w:basedOn w:val="DefaultParagraphFont"/>
    <w:link w:val="Heading4"/>
    <w:semiHidden/>
    <w:rsid w:val="00203D96"/>
    <w:rPr>
      <w:rFonts w:ascii="Arial" w:hAnsi="Arial"/>
      <w:b/>
      <w:sz w:val="24"/>
    </w:rPr>
  </w:style>
  <w:style w:type="character" w:customStyle="1" w:styleId="Heading5Char">
    <w:name w:val="Heading 5 Char"/>
    <w:basedOn w:val="DefaultParagraphFont"/>
    <w:link w:val="Heading5"/>
    <w:semiHidden/>
    <w:rsid w:val="00203D96"/>
    <w:rPr>
      <w:sz w:val="22"/>
    </w:rPr>
  </w:style>
  <w:style w:type="character" w:customStyle="1" w:styleId="Heading6Char">
    <w:name w:val="Heading 6 Char"/>
    <w:basedOn w:val="DefaultParagraphFont"/>
    <w:link w:val="Heading6"/>
    <w:semiHidden/>
    <w:rsid w:val="00203D96"/>
    <w:rPr>
      <w:i/>
      <w:sz w:val="22"/>
    </w:rPr>
  </w:style>
  <w:style w:type="character" w:customStyle="1" w:styleId="Heading7Char">
    <w:name w:val="Heading 7 Char"/>
    <w:basedOn w:val="DefaultParagraphFont"/>
    <w:link w:val="Heading7"/>
    <w:semiHidden/>
    <w:rsid w:val="00203D96"/>
    <w:rPr>
      <w:rFonts w:ascii="Arial" w:hAnsi="Arial"/>
      <w:sz w:val="24"/>
    </w:rPr>
  </w:style>
  <w:style w:type="character" w:customStyle="1" w:styleId="Heading8Char">
    <w:name w:val="Heading 8 Char"/>
    <w:basedOn w:val="DefaultParagraphFont"/>
    <w:link w:val="Heading8"/>
    <w:semiHidden/>
    <w:rsid w:val="00203D96"/>
    <w:rPr>
      <w:rFonts w:ascii="Arial" w:hAnsi="Arial"/>
      <w:i/>
      <w:sz w:val="24"/>
    </w:rPr>
  </w:style>
  <w:style w:type="character" w:customStyle="1" w:styleId="Heading9Char">
    <w:name w:val="Heading 9 Char"/>
    <w:basedOn w:val="DefaultParagraphFont"/>
    <w:link w:val="Heading9"/>
    <w:semiHidden/>
    <w:rsid w:val="00203D96"/>
    <w:rPr>
      <w:rFonts w:ascii="Arial" w:hAnsi="Arial"/>
      <w:b/>
      <w:i/>
      <w:sz w:val="18"/>
    </w:rPr>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03D96"/>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noteTextChar">
    <w:name w:val="Footnote Text Char"/>
    <w:basedOn w:val="DefaultParagraphFont"/>
    <w:link w:val="FootnoteText"/>
    <w:uiPriority w:val="99"/>
    <w:rsid w:val="00203D96"/>
    <w:rPr>
      <w:rFonts w:eastAsiaTheme="minorHAnsi"/>
      <w:lang w:eastAsia="en-US"/>
    </w:rPr>
  </w:style>
  <w:style w:type="paragraph" w:styleId="FootnoteText">
    <w:name w:val="footnote text"/>
    <w:basedOn w:val="Normal"/>
    <w:link w:val="FootnoteTextChar"/>
    <w:uiPriority w:val="99"/>
    <w:unhideWhenUsed/>
    <w:rsid w:val="00203D96"/>
    <w:pPr>
      <w:widowControl/>
      <w:ind w:left="720" w:hanging="720"/>
      <w:jc w:val="both"/>
    </w:pPr>
    <w:rPr>
      <w:rFonts w:eastAsiaTheme="minorHAnsi"/>
      <w:sz w:val="20"/>
      <w:lang w:eastAsia="en-US"/>
    </w:rPr>
  </w:style>
  <w:style w:type="character" w:customStyle="1" w:styleId="CommentTextChar">
    <w:name w:val="Comment Text Char"/>
    <w:basedOn w:val="DefaultParagraphFont"/>
    <w:link w:val="CommentText"/>
    <w:rsid w:val="00203D96"/>
  </w:style>
  <w:style w:type="paragraph" w:styleId="CommentText">
    <w:name w:val="annotation text"/>
    <w:basedOn w:val="Normal"/>
    <w:link w:val="CommentTextChar"/>
    <w:unhideWhenUsed/>
    <w:rsid w:val="00203D96"/>
    <w:rPr>
      <w:sz w:val="20"/>
    </w:rPr>
  </w:style>
  <w:style w:type="character" w:customStyle="1" w:styleId="FooterChar">
    <w:name w:val="Footer Char"/>
    <w:basedOn w:val="DefaultParagraphFont"/>
    <w:link w:val="Footer"/>
    <w:semiHidden/>
    <w:rsid w:val="00203D96"/>
    <w:rPr>
      <w:sz w:val="24"/>
    </w:rPr>
  </w:style>
  <w:style w:type="paragraph" w:styleId="Footer">
    <w:name w:val="footer"/>
    <w:basedOn w:val="Normal"/>
    <w:link w:val="FooterChar"/>
    <w:semiHidden/>
    <w:unhideWhenUsed/>
    <w:rsid w:val="00203D96"/>
    <w:pPr>
      <w:tabs>
        <w:tab w:val="center" w:pos="4513"/>
        <w:tab w:val="right" w:pos="9026"/>
      </w:tabs>
    </w:pPr>
  </w:style>
  <w:style w:type="character" w:customStyle="1" w:styleId="CommentSubjectChar">
    <w:name w:val="Comment Subject Char"/>
    <w:basedOn w:val="CommentTextChar"/>
    <w:link w:val="CommentSubject"/>
    <w:semiHidden/>
    <w:rsid w:val="00203D96"/>
    <w:rPr>
      <w:b/>
      <w:bCs/>
    </w:rPr>
  </w:style>
  <w:style w:type="paragraph" w:styleId="CommentSubject">
    <w:name w:val="annotation subject"/>
    <w:basedOn w:val="CommentText"/>
    <w:next w:val="CommentText"/>
    <w:link w:val="CommentSubjectChar"/>
    <w:semiHidden/>
    <w:unhideWhenUsed/>
    <w:rsid w:val="00203D96"/>
    <w:rPr>
      <w:b/>
      <w:bCs/>
    </w:rPr>
  </w:style>
  <w:style w:type="character" w:customStyle="1" w:styleId="BalloonTextChar">
    <w:name w:val="Balloon Text Char"/>
    <w:basedOn w:val="DefaultParagraphFont"/>
    <w:link w:val="BalloonText"/>
    <w:semiHidden/>
    <w:rsid w:val="00203D96"/>
    <w:rPr>
      <w:rFonts w:ascii="Segoe UI" w:hAnsi="Segoe UI" w:cs="Segoe UI"/>
      <w:sz w:val="18"/>
      <w:szCs w:val="18"/>
    </w:rPr>
  </w:style>
  <w:style w:type="paragraph" w:styleId="BalloonText">
    <w:name w:val="Balloon Text"/>
    <w:basedOn w:val="Normal"/>
    <w:link w:val="BalloonTextChar"/>
    <w:semiHidden/>
    <w:unhideWhenUsed/>
    <w:rsid w:val="00203D96"/>
    <w:rPr>
      <w:rFonts w:ascii="Segoe UI" w:hAnsi="Segoe UI" w:cs="Segoe UI"/>
      <w:sz w:val="18"/>
      <w:szCs w:val="18"/>
    </w:rPr>
  </w:style>
  <w:style w:type="character" w:customStyle="1" w:styleId="Normal6Char">
    <w:name w:val="Normal6 Char"/>
    <w:basedOn w:val="DefaultParagraphFont"/>
    <w:link w:val="Normal6"/>
    <w:locked/>
    <w:rsid w:val="00203D96"/>
    <w:rPr>
      <w:sz w:val="24"/>
      <w:lang w:val="da-DK"/>
    </w:rPr>
  </w:style>
  <w:style w:type="paragraph" w:customStyle="1" w:styleId="Normal6">
    <w:name w:val="Normal6"/>
    <w:basedOn w:val="Normal"/>
    <w:link w:val="Normal6Char"/>
    <w:rsid w:val="00203D96"/>
    <w:pPr>
      <w:spacing w:after="120"/>
    </w:pPr>
  </w:style>
  <w:style w:type="paragraph" w:customStyle="1" w:styleId="ColumnHeading">
    <w:name w:val="ColumnHeading"/>
    <w:basedOn w:val="Normal"/>
    <w:rsid w:val="00203D96"/>
    <w:pPr>
      <w:spacing w:after="240"/>
      <w:jc w:val="center"/>
    </w:pPr>
    <w:rPr>
      <w:i/>
    </w:rPr>
  </w:style>
  <w:style w:type="paragraph" w:customStyle="1" w:styleId="Normal12Italic">
    <w:name w:val="Normal12Italic"/>
    <w:basedOn w:val="Normal"/>
    <w:rsid w:val="00203D96"/>
    <w:pPr>
      <w:spacing w:after="240"/>
    </w:pPr>
    <w:rPr>
      <w:i/>
      <w:noProof/>
    </w:rPr>
  </w:style>
  <w:style w:type="paragraph" w:customStyle="1" w:styleId="TableParagraph">
    <w:name w:val="Table Paragraph"/>
    <w:basedOn w:val="Normal"/>
    <w:uiPriority w:val="1"/>
    <w:qFormat/>
    <w:rsid w:val="00203D96"/>
    <w:pPr>
      <w:spacing w:line="252" w:lineRule="auto"/>
    </w:pPr>
    <w:rPr>
      <w:sz w:val="22"/>
      <w:szCs w:val="22"/>
      <w:lang w:eastAsia="en-US"/>
    </w:rPr>
  </w:style>
  <w:style w:type="paragraph" w:customStyle="1" w:styleId="Olang">
    <w:name w:val="Olang"/>
    <w:basedOn w:val="Normal"/>
    <w:rsid w:val="00203D96"/>
    <w:pPr>
      <w:spacing w:before="240" w:after="240"/>
      <w:jc w:val="right"/>
    </w:pPr>
    <w:rPr>
      <w:noProof/>
      <w:szCs w:val="24"/>
    </w:rPr>
  </w:style>
  <w:style w:type="character" w:styleId="FootnoteReference">
    <w:name w:val="footnote reference"/>
    <w:basedOn w:val="DefaultParagraphFont"/>
    <w:uiPriority w:val="99"/>
    <w:unhideWhenUsed/>
    <w:rsid w:val="00203D96"/>
    <w:rPr>
      <w:vertAlign w:val="superscript"/>
    </w:rPr>
  </w:style>
  <w:style w:type="paragraph" w:customStyle="1" w:styleId="Default">
    <w:name w:val="Default"/>
    <w:rsid w:val="0017484C"/>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21637</Words>
  <Characters>134372</Characters>
  <Application>Microsoft Office Word</Application>
  <DocSecurity>0</DocSecurity>
  <Lines>6107</Lines>
  <Paragraphs>2557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2025-04-24T13:09:00Z</dcterms:created>
  <dcterms:modified xsi:type="dcterms:W3CDTF">2025-04-24T13:09:00Z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1319572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NOK(META) - 2025/04/24 15:08</vt:lpwstr>
  </property>
  <property fmtid="{D5CDD505-2E9C-101B-9397-08002B2CF9AE}" pid="9" name="Created with">
    <vt:lpwstr>10.0.1 Build [20250315]</vt:lpwstr>
  </property>
  <property fmtid="{D5CDD505-2E9C-101B-9397-08002B2CF9AE}" pid="10" name="FooterPath">
    <vt:lpwstr>AM\1319572DA.docx</vt:lpwstr>
  </property>
  <property fmtid="{D5CDD505-2E9C-101B-9397-08002B2CF9AE}" pid="11" name="LastEdited with">
    <vt:lpwstr>10.1.0 Build [20250401]</vt:lpwstr>
  </property>
  <property fmtid="{D5CDD505-2E9C-101B-9397-08002B2CF9AE}" pid="12" name="PE number">
    <vt:lpwstr>771.930</vt:lpwstr>
  </property>
  <property fmtid="{D5CDD505-2E9C-101B-9397-08002B2CF9AE}" pid="13" name="SDLStudio">
    <vt:lpwstr/>
  </property>
  <property fmtid="{D5CDD505-2E9C-101B-9397-08002B2CF9AE}" pid="14" name="SendToEpades">
    <vt:lpwstr>OK(AMNUM) - 2025/04/09 09:01</vt:lpwstr>
  </property>
</Properties>
</file>