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04E6C" w:rsidRPr="004126E0" w:rsidTr="00203D96">
        <w:trPr>
          <w:trHeight w:hRule="exact" w:val="1418"/>
        </w:trPr>
        <w:tc>
          <w:tcPr>
            <w:tcW w:w="6804" w:type="dxa"/>
            <w:shd w:val="clear" w:color="auto" w:fill="auto"/>
            <w:vAlign w:val="center"/>
          </w:tcPr>
          <w:p w:rsidR="00BE5062" w:rsidRPr="004126E0" w:rsidRDefault="00EC7CD2" w:rsidP="00203D96">
            <w:pPr>
              <w:pStyle w:val="EPName"/>
            </w:pPr>
            <w:r w:rsidRPr="004126E0">
              <w:t>Ευρωπαϊκό Κοινοβούλιο</w:t>
            </w:r>
          </w:p>
          <w:p w:rsidR="00BE5062" w:rsidRPr="004126E0" w:rsidRDefault="00EC7CD2" w:rsidP="00203D96">
            <w:pPr>
              <w:pStyle w:val="EPTerm"/>
            </w:pPr>
            <w:r w:rsidRPr="004126E0">
              <w:t>2024-2029</w:t>
            </w:r>
          </w:p>
        </w:tc>
        <w:tc>
          <w:tcPr>
            <w:tcW w:w="2268" w:type="dxa"/>
            <w:shd w:val="clear" w:color="auto" w:fill="auto"/>
          </w:tcPr>
          <w:p w:rsidR="00BE5062" w:rsidRPr="004126E0" w:rsidRDefault="00EC7CD2" w:rsidP="00203D96">
            <w:pPr>
              <w:pStyle w:val="EPLogo"/>
            </w:pPr>
            <w:r w:rsidRPr="004126E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126E0" w:rsidRDefault="000E7234" w:rsidP="000E7234">
      <w:pPr>
        <w:pStyle w:val="LineTop"/>
      </w:pPr>
    </w:p>
    <w:p w:rsidR="000E7234" w:rsidRPr="004126E0" w:rsidRDefault="00EC7CD2" w:rsidP="000E7234">
      <w:pPr>
        <w:pStyle w:val="EPBody"/>
      </w:pPr>
      <w:r w:rsidRPr="004126E0">
        <w:rPr>
          <w:rStyle w:val="HideTWBExt"/>
        </w:rPr>
        <w:t>&lt;</w:t>
      </w:r>
      <w:r w:rsidRPr="004126E0">
        <w:rPr>
          <w:rStyle w:val="HideTWBExt"/>
          <w:i w:val="0"/>
        </w:rPr>
        <w:t>Commission</w:t>
      </w:r>
      <w:r w:rsidRPr="004126E0">
        <w:rPr>
          <w:rStyle w:val="HideTWBExt"/>
        </w:rPr>
        <w:t>&gt;</w:t>
      </w:r>
      <w:r w:rsidRPr="004126E0">
        <w:rPr>
          <w:rStyle w:val="HideTWBInt"/>
          <w:color w:val="auto"/>
        </w:rPr>
        <w:t>{PECH}</w:t>
      </w:r>
      <w:r w:rsidRPr="004126E0">
        <w:t>Επιτροπή Αλιείας</w:t>
      </w:r>
      <w:r w:rsidRPr="004126E0">
        <w:rPr>
          <w:rStyle w:val="HideTWBExt"/>
        </w:rPr>
        <w:t>&lt;/</w:t>
      </w:r>
      <w:r w:rsidRPr="004126E0">
        <w:rPr>
          <w:rStyle w:val="HideTWBExt"/>
          <w:i w:val="0"/>
        </w:rPr>
        <w:t>Commission</w:t>
      </w:r>
      <w:r w:rsidRPr="004126E0">
        <w:rPr>
          <w:rStyle w:val="HideTWBExt"/>
        </w:rPr>
        <w:t>&gt;</w:t>
      </w:r>
    </w:p>
    <w:p w:rsidR="000E7234" w:rsidRPr="004126E0" w:rsidRDefault="000E7234" w:rsidP="000E7234">
      <w:pPr>
        <w:pStyle w:val="LineBottom"/>
      </w:pPr>
    </w:p>
    <w:p w:rsidR="00B85286" w:rsidRPr="004126E0" w:rsidRDefault="00EC7CD2">
      <w:pPr>
        <w:pStyle w:val="CoverReference"/>
      </w:pPr>
      <w:r w:rsidRPr="004126E0">
        <w:rPr>
          <w:rStyle w:val="HideTWBExt"/>
          <w:b w:val="0"/>
        </w:rPr>
        <w:t>&lt;RefProc&gt;</w:t>
      </w:r>
      <w:r w:rsidRPr="004126E0">
        <w:t>2024/0098</w:t>
      </w:r>
      <w:r w:rsidRPr="004126E0">
        <w:rPr>
          <w:rStyle w:val="HideTWBExt"/>
          <w:b w:val="0"/>
        </w:rPr>
        <w:t>&lt;/RefProc&gt;&lt;RefTypeProc&gt;</w:t>
      </w:r>
      <w:r w:rsidRPr="004126E0">
        <w:t>(COD)</w:t>
      </w:r>
      <w:r w:rsidRPr="004126E0">
        <w:rPr>
          <w:rStyle w:val="HideTWBExt"/>
          <w:b w:val="0"/>
        </w:rPr>
        <w:t>&lt;/RefTypeProc&gt;</w:t>
      </w:r>
    </w:p>
    <w:p w:rsidR="00B85286" w:rsidRPr="004126E0" w:rsidRDefault="00EC7CD2">
      <w:pPr>
        <w:pStyle w:val="CoverDate"/>
      </w:pPr>
      <w:r w:rsidRPr="004126E0">
        <w:rPr>
          <w:rStyle w:val="HideTWBExt"/>
        </w:rPr>
        <w:t>&lt;Date&gt;</w:t>
      </w:r>
      <w:r w:rsidRPr="004126E0">
        <w:rPr>
          <w:rStyle w:val="HideTWBInt"/>
          <w:color w:val="auto"/>
        </w:rPr>
        <w:t>{09/04/2025}</w:t>
      </w:r>
      <w:r w:rsidRPr="004126E0">
        <w:t>16.4.2025</w:t>
      </w:r>
      <w:r w:rsidRPr="004126E0">
        <w:rPr>
          <w:rStyle w:val="HideTWBExt"/>
        </w:rPr>
        <w:t>&lt;/Date&gt;</w:t>
      </w:r>
    </w:p>
    <w:p w:rsidR="009B0305" w:rsidRPr="004126E0" w:rsidRDefault="00EC7CD2" w:rsidP="009B0305">
      <w:pPr>
        <w:pStyle w:val="CoverDocType"/>
      </w:pPr>
      <w:r w:rsidRPr="004126E0">
        <w:rPr>
          <w:rStyle w:val="HideTWBExt"/>
          <w:b w:val="0"/>
        </w:rPr>
        <w:t>&lt;TypeAM&gt;</w:t>
      </w:r>
      <w:r w:rsidRPr="004126E0">
        <w:t>ΤΡΟΠΟΛΟΓΙΕΣ</w:t>
      </w:r>
      <w:r w:rsidRPr="004126E0">
        <w:rPr>
          <w:rStyle w:val="HideTWBExt"/>
          <w:b w:val="0"/>
        </w:rPr>
        <w:t>&lt;/TypeAM&gt;</w:t>
      </w:r>
    </w:p>
    <w:p w:rsidR="00B85286" w:rsidRPr="004126E0" w:rsidRDefault="00EC7CD2" w:rsidP="001C2054">
      <w:pPr>
        <w:pStyle w:val="CoverDocType24a"/>
      </w:pPr>
      <w:r w:rsidRPr="004126E0">
        <w:rPr>
          <w:rStyle w:val="HideTWBExt"/>
          <w:b w:val="0"/>
        </w:rPr>
        <w:t>&lt;RangeAM&gt;</w:t>
      </w:r>
      <w:r w:rsidRPr="004126E0">
        <w:t>127 - 244</w:t>
      </w:r>
      <w:r w:rsidRPr="004126E0">
        <w:rPr>
          <w:rStyle w:val="HideTWBExt"/>
          <w:b w:val="0"/>
        </w:rPr>
        <w:t>&lt;/RangeAM&gt;</w:t>
      </w:r>
    </w:p>
    <w:p w:rsidR="001C2054" w:rsidRPr="004126E0" w:rsidRDefault="00EC7CD2" w:rsidP="00A93F8C">
      <w:pPr>
        <w:pStyle w:val="CoverBold"/>
      </w:pPr>
      <w:r w:rsidRPr="004126E0">
        <w:rPr>
          <w:rStyle w:val="HideTWBExt"/>
          <w:b w:val="0"/>
        </w:rPr>
        <w:t>&lt;TitreType&gt;</w:t>
      </w:r>
      <w:r w:rsidRPr="004126E0">
        <w:t>Σχέδιο έκθεσης</w:t>
      </w:r>
      <w:r w:rsidRPr="004126E0">
        <w:rPr>
          <w:rStyle w:val="HideTWBExt"/>
          <w:b w:val="0"/>
        </w:rPr>
        <w:t>&lt;/TitreType&gt;</w:t>
      </w:r>
    </w:p>
    <w:p w:rsidR="00B85286" w:rsidRPr="004126E0" w:rsidRDefault="00EC7CD2" w:rsidP="00A93F8C">
      <w:pPr>
        <w:pStyle w:val="CoverBold"/>
      </w:pPr>
      <w:r w:rsidRPr="004126E0">
        <w:rPr>
          <w:rStyle w:val="HideTWBExt"/>
          <w:b w:val="0"/>
        </w:rPr>
        <w:t>&lt;Rapporteur&gt;</w:t>
      </w:r>
      <w:r w:rsidRPr="004126E0">
        <w:t>Željana Zovko</w:t>
      </w:r>
      <w:r w:rsidRPr="004126E0">
        <w:rPr>
          <w:rStyle w:val="HideTWBExt"/>
          <w:b w:val="0"/>
        </w:rPr>
        <w:t>&lt;/Rapporteur&gt;</w:t>
      </w:r>
    </w:p>
    <w:p w:rsidR="00B85286" w:rsidRPr="004126E0" w:rsidRDefault="00EC7CD2">
      <w:pPr>
        <w:pStyle w:val="CoverNormal24a"/>
      </w:pPr>
      <w:r w:rsidRPr="004126E0">
        <w:rPr>
          <w:rStyle w:val="HideTWBExt"/>
        </w:rPr>
        <w:t>&lt;DocRefPE&gt;</w:t>
      </w:r>
      <w:r w:rsidRPr="004126E0">
        <w:t>(PE765.292v01-00)</w:t>
      </w:r>
      <w:r w:rsidRPr="004126E0">
        <w:rPr>
          <w:rStyle w:val="HideTWBExt"/>
        </w:rPr>
        <w:t>&lt;/DocRefPE&gt;</w:t>
      </w:r>
    </w:p>
    <w:p w:rsidR="00B85286" w:rsidRPr="004126E0" w:rsidRDefault="00EC7CD2">
      <w:pPr>
        <w:pStyle w:val="CoverNormal24a"/>
      </w:pPr>
      <w:r w:rsidRPr="004126E0">
        <w:rPr>
          <w:rStyle w:val="HideTWBExt"/>
        </w:rPr>
        <w:t>&lt;Titre&gt;</w:t>
      </w:r>
      <w:r w:rsidRPr="004126E0">
        <w:t xml:space="preserve">Πρόταση κανονισμού του Ευρωπαϊκού Κοινοβουλίου και του Συμβουλίου για την τροποποίηση του κανονισμού (ΕΕ) 2023/2124 του Ευρωπαϊκού Κοινοβουλίου </w:t>
      </w:r>
      <w:r w:rsidRPr="004126E0">
        <w:t>και του Συμβουλίου, της 4ης Οκτωβρίου 2023, σχετικά με ορισμένες διατάξεις περί αλιείας στην περιοχή της συμφωνίας της ΓΕΑΜ (Γενική Επιτροπή Αλιείας για τη Μεσόγειο)</w:t>
      </w:r>
      <w:r w:rsidRPr="004126E0">
        <w:rPr>
          <w:rStyle w:val="HideTWBExt"/>
        </w:rPr>
        <w:t>&lt;/Titre&gt;</w:t>
      </w:r>
    </w:p>
    <w:p w:rsidR="006337D4" w:rsidRPr="004126E0" w:rsidRDefault="00EC7CD2" w:rsidP="006337D4">
      <w:pPr>
        <w:pStyle w:val="CoverNormal"/>
      </w:pPr>
      <w:r w:rsidRPr="004126E0">
        <w:rPr>
          <w:rStyle w:val="HideTWBExt"/>
        </w:rPr>
        <w:t>&lt;DocAmend&gt;</w:t>
      </w:r>
      <w:r w:rsidRPr="004126E0">
        <w:t>Πρόταση κανονισμού</w:t>
      </w:r>
      <w:r w:rsidRPr="004126E0">
        <w:rPr>
          <w:rStyle w:val="HideTWBExt"/>
        </w:rPr>
        <w:t>&lt;/DocAmend&gt;</w:t>
      </w:r>
    </w:p>
    <w:p w:rsidR="00B85286" w:rsidRPr="004126E0" w:rsidRDefault="00EC7CD2">
      <w:pPr>
        <w:pStyle w:val="CoverNormal24a"/>
      </w:pPr>
      <w:r w:rsidRPr="004126E0">
        <w:rPr>
          <w:rStyle w:val="HideTWBExt"/>
        </w:rPr>
        <w:t>&lt;DocRef&gt;</w:t>
      </w:r>
      <w:r w:rsidRPr="004126E0">
        <w:t>(COM(2024)0183 – C10</w:t>
      </w:r>
      <w:r w:rsidRPr="004126E0">
        <w:noBreakHyphen/>
        <w:t>0006/2024 – 2</w:t>
      </w:r>
      <w:r w:rsidRPr="004126E0">
        <w:t>024/0098(COD))</w:t>
      </w:r>
      <w:r w:rsidRPr="004126E0">
        <w:rPr>
          <w:rStyle w:val="HideTWBExt"/>
        </w:rPr>
        <w:t>&lt;/DocRef&gt;</w:t>
      </w:r>
    </w:p>
    <w:p w:rsidR="00B85286" w:rsidRPr="004126E0" w:rsidRDefault="00EC7CD2" w:rsidP="00E660E2">
      <w:pPr>
        <w:widowControl/>
        <w:tabs>
          <w:tab w:val="center" w:pos="4677"/>
        </w:tabs>
      </w:pPr>
      <w:r w:rsidRPr="004126E0">
        <w:br w:type="page"/>
      </w:r>
      <w:r w:rsidRPr="004126E0">
        <w:lastRenderedPageBreak/>
        <w:t>AM_Com_LegReport</w:t>
      </w:r>
    </w:p>
    <w:p w:rsidR="00DD5018" w:rsidRPr="004126E0" w:rsidRDefault="00EC7CD2" w:rsidP="00DD5018">
      <w:pPr>
        <w:pStyle w:val="AmNumberTabs"/>
      </w:pPr>
      <w:r w:rsidRPr="004126E0">
        <w:br w:type="page"/>
      </w:r>
      <w:r w:rsidRPr="004126E0">
        <w:rPr>
          <w:rStyle w:val="HideTWBExt"/>
          <w:b w:val="0"/>
        </w:rPr>
        <w:lastRenderedPageBreak/>
        <w:t>&lt;RepeatBlock-Amend&gt;</w:t>
      </w:r>
      <w:r w:rsidRPr="004126E0">
        <w:rPr>
          <w:rStyle w:val="HideTWBExt"/>
        </w:rPr>
        <w:t>&lt;Amend&gt;</w:t>
      </w:r>
      <w:r w:rsidRPr="004126E0">
        <w:t>Τροπολογία</w:t>
      </w:r>
      <w:r w:rsidRPr="004126E0">
        <w:tab/>
      </w:r>
      <w:r w:rsidRPr="004126E0">
        <w:tab/>
      </w:r>
      <w:r w:rsidRPr="004126E0">
        <w:rPr>
          <w:rStyle w:val="HideTWBExt"/>
        </w:rPr>
        <w:t>&lt;NumAm&gt;</w:t>
      </w:r>
      <w:r w:rsidRPr="004126E0">
        <w:t>127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Stephen Nikola Bartulica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1</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Η συμφωνία για την ίδρυση της Γενικής Επιτροπής Αλιείας για τη Μεσόγειο (στο εξής: συμφωνία ΓΕΑΜ) προβλέπει κατάλληλο πλαίσιο πολυμερούς συνεργασίας για την προώθηση της ανάπτυξης, της διατήρησης, της </w:t>
            </w:r>
            <w:r w:rsidRPr="004126E0">
              <w:t>ορθολογικής διαχείρισης και της βέλτιστης χρήσης των έμβιων θαλάσσιων πόρων στη Μεσόγειο και στον Εύξεινο Πόντο, σε επίπεδα που θεωρούνται βιώσιμα και εμφανίζουν μικρό κίνδυνο κατάρρευσης.</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Η συμφωνία για την ίδρυση της Γενικής Επιτροπής Αλιείας για τη </w:t>
            </w:r>
            <w:r w:rsidRPr="004126E0">
              <w:t>Μεσόγειο (στο εξής: συμφωνία ΓΕΑΜ) προβλέπει κατάλληλο πλαίσιο πολυμερούς συνεργασίας για την προώθηση της ανάπτυξης, της διατήρησης, της ορθολογικής διαχείρισης και της βέλτιστης χρήσης των έμβιων θαλάσσιων πόρων στη Μεσόγειο και στον Εύξεινο Πόντο, σε επ</w:t>
            </w:r>
            <w:r w:rsidRPr="004126E0">
              <w:t>ίπεδα που θεωρούνται βιώσιμα και εμφανίζουν μικρό κίνδυνο κατάρρευσης</w:t>
            </w:r>
            <w:r w:rsidRPr="004126E0">
              <w:rPr>
                <w:b/>
                <w:i/>
              </w:rPr>
              <w:t xml:space="preserve"> και που συνάδουν με τις επιστημονικές γνωμοδοτήσεις και λαμβάνουν υπόψη τους την κοινωνικοοικονομική ανάλυση</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{HR}</w:t>
      </w:r>
      <w:r w:rsidRPr="004126E0">
        <w:t>hr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128</w:t>
      </w:r>
      <w:r w:rsidRPr="004126E0">
        <w:rPr>
          <w:rStyle w:val="HideTWBExt"/>
        </w:rPr>
        <w:t>&lt;/Num</w:t>
      </w:r>
      <w:r w:rsidRPr="004126E0">
        <w:rPr>
          <w:rStyle w:val="HideTWBExt"/>
        </w:rPr>
        <w:t>Am&gt;</w:t>
      </w:r>
    </w:p>
    <w:p w:rsidR="00DD5018" w:rsidRPr="004126E0" w:rsidRDefault="00EC7CD2" w:rsidP="00DD5018">
      <w:pPr>
        <w:pStyle w:val="NormalBold"/>
      </w:pPr>
      <w:r w:rsidRPr="004126E0">
        <w:rPr>
          <w:rStyle w:val="HideTWBExt"/>
        </w:rPr>
        <w:t>&lt;RepeatBlock-By&gt;&lt;Members&gt;</w:t>
      </w:r>
      <w:r w:rsidRPr="004126E0">
        <w:t>France Jamet,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1</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Η συμφωνία για την</w:t>
            </w:r>
            <w:r w:rsidRPr="004126E0">
              <w:t xml:space="preserve"> ίδρυση της Γενικής Επιτροπής Αλιείας για τη Μεσόγειο (στο εξής: συμφωνία ΓΕΑΜ) προβλέπει κατάλληλο πλαίσιο πολυμερούς συνεργασίας για την προώθηση της ανάπτυξης, της διατήρησης, της ορθολογικής διαχείρισης και της βέλτιστης χρήσης των έμβιων θαλάσσιων πόρ</w:t>
            </w:r>
            <w:r w:rsidRPr="004126E0">
              <w:t>ων στη Μεσόγειο και στον Εύξεινο Πόντο</w:t>
            </w:r>
            <w:r w:rsidRPr="004126E0">
              <w:rPr>
                <w:b/>
                <w:bCs/>
                <w:i/>
                <w:iCs/>
              </w:rPr>
              <w:t>, σε επίπεδα που θεωρούνται βιώσιμα και εμφανίζουν μικρό κίνδυνο κατάρρευσης</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Η συμφωνία για την ίδρυση της Γενικής Επιτροπής Αλιείας για τη Μεσόγειο (στο εξής: συμφωνία ΓΕΑΜ) προβλέπει κατάλληλο πλαίσιο πολυμερούς</w:t>
            </w:r>
            <w:r w:rsidRPr="004126E0">
              <w:t xml:space="preserve"> συνεργασίας για την προώθηση της ανάπτυξης, της διατήρησης, της ορθολογικής διαχείρισης και της βέλτιστης χρήσης των έμβιων θαλάσσιων πόρων στη Μεσόγειο και στον Εύξεινο Πόντο.</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129</w:t>
      </w:r>
      <w:r w:rsidRPr="004126E0">
        <w:rPr>
          <w:rStyle w:val="HideTWBExt"/>
        </w:rPr>
        <w:t>&lt;/NumAm</w:t>
      </w:r>
      <w:r w:rsidRPr="004126E0">
        <w:rPr>
          <w:rStyle w:val="HideTWBExt"/>
        </w:rPr>
        <w:t>&gt;</w:t>
      </w:r>
    </w:p>
    <w:p w:rsidR="00DD5018" w:rsidRPr="004126E0" w:rsidRDefault="00EC7CD2" w:rsidP="00DD5018">
      <w:pPr>
        <w:pStyle w:val="NormalBold"/>
      </w:pPr>
      <w:r w:rsidRPr="004126E0">
        <w:rPr>
          <w:rStyle w:val="HideTWBExt"/>
        </w:rPr>
        <w:t>&lt;RepeatBlock-By&gt;&lt;Members&gt;</w:t>
      </w:r>
      <w:r w:rsidRPr="004126E0">
        <w:t>Giuseppe Milazzo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1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(1α)</w:t>
            </w:r>
            <w:r w:rsidRPr="004126E0">
              <w:tab/>
            </w:r>
            <w:r w:rsidRPr="004126E0">
              <w:rPr>
                <w:b/>
                <w:i/>
              </w:rPr>
              <w:t xml:space="preserve">Προτείνει τη θέσπιση μέτρων διατήρησης, </w:t>
            </w:r>
            <w:r w:rsidRPr="004126E0">
              <w:rPr>
                <w:b/>
                <w:i/>
              </w:rPr>
              <w:t>διαχείρισης και ελέγχου για βασικά αποθέματα στη Μεσόγειο και στον Εύξεινο Πόντο, τα οποία συνάδουν με τις επιστημονικές γνωμοδοτήσεις, λαμβάνοντας παράλληλα υπόψη τις κοινωνικοοικονομικές επιπτώσεις·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1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(1α)</w:t>
            </w:r>
            <w:r w:rsidRPr="004126E0">
              <w:tab/>
            </w:r>
            <w:r w:rsidRPr="004126E0">
              <w:rPr>
                <w:b/>
                <w:i/>
              </w:rPr>
              <w:t>Ο ευρωπαϊκός αλιευτικός στόλος στη Μεσόγειο έχει καταβάλει σημαντικές προσπάθειες για διάφορα σχέδια διαχείρισης.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 xml:space="preserve">Stephen Nikola </w:t>
      </w:r>
      <w:r w:rsidRPr="004126E0">
        <w:t>Bartulica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3</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Οι συστάσεις που υιοθετεί η Γενική Επιτροπή Αλιείας για τη Μεσόγειο (ΓΕΑΜ) είναι </w:t>
            </w:r>
            <w:r w:rsidRPr="004126E0">
              <w:t>δεσμευτικές για τα συμβαλλόμενα μέρη της. Ως εκ τούτου, οι εν λόγω συστάσεις είναι δεσμευτικές για την Ένωση και θα πρέπει, συνεπώς, να ενσωματωθούν στο δίκαιο της Ένωσης, εκτός εάν το περιεχόμενό τους καλύπτεται ήδη από αυτό. Η Ένωση πρέπει να μεριμνά ώστ</w:t>
            </w:r>
            <w:r w:rsidRPr="004126E0">
              <w:t>ε οι αλιευτικές δραστηριότητες της Ένωσης εκτός των υδάτων της να βασίζονται στις ίδιες αρχές και στα ίδια πρότυπα με την ισχύουσα νομοθεσία της Ένωσης και να προωθεί τον θεμιτό ανταγωνισμό μεταξύ των φορέων εκμετάλλευσης της Ένωσης και των φορέων εκμετάλλ</w:t>
            </w:r>
            <w:r w:rsidRPr="004126E0">
              <w:t>ευσης τρίτων χωρών.</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Οι συστάσεις που υιοθετεί η Γενική Επιτροπή Αλιείας για τη Μεσόγειο (ΓΕΑΜ) είναι δεσμευτικές για τα συμβαλλόμενα μέρη της. Ως εκ τούτου, οι εν λόγω συστάσεις είναι δεσμευτικές για την Ένωση και θα πρέπει, συνεπώς, να ενσωματωθούν στ</w:t>
            </w:r>
            <w:r w:rsidRPr="004126E0">
              <w:t>ο δίκαιο της Ένωσης, εκτός εάν το περιεχόμενό τους καλύπτεται ήδη από αυτό. Η Ένωση πρέπει να μεριμνά ώστε οι αλιευτικές δραστηριότητες της Ένωσης εκτός των υδάτων της να βασίζονται στις ίδιες αρχές και στα ίδια πρότυπα με την ισχύουσα νομοθεσία της Ένωσης</w:t>
            </w:r>
            <w:r w:rsidRPr="004126E0">
              <w:t xml:space="preserve"> και να προωθεί τον θεμιτό ανταγωνισμό μεταξύ των φορέων εκμετάλλευσης της Ένωσης και των φορέων εκμετάλλευσης τρίτων χωρών. </w:t>
            </w:r>
            <w:r w:rsidRPr="004126E0">
              <w:rPr>
                <w:b/>
                <w:i/>
              </w:rPr>
              <w:t xml:space="preserve">Οι συστάσεις της ΓΕΑΜ πρέπει να μεταφερθούν αυστηρά, προκειμένου να δημιουργηθούν ισότιμοι όροι ανταγωνισμού για όλους τους φορείς </w:t>
            </w:r>
            <w:r w:rsidRPr="004126E0">
              <w:rPr>
                <w:b/>
                <w:i/>
              </w:rPr>
              <w:t>εκμετάλλευσης, οι οποίοι δεν πρέπει να επιβαρύνονται πέραν των νομικών ορίων που καθορίζονται στις συστάσεις της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{HR}</w:t>
      </w:r>
      <w:r w:rsidRPr="004126E0">
        <w:t>hr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Giuseppe Milazzo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3</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Οι συστάσεις που υιοθετεί η Γενική Επιτροπή Αλιείας για τη Μεσόγειο (ΓΕΑΜ) είναι δεσμευτικές για τα </w:t>
            </w:r>
            <w:r w:rsidRPr="004126E0">
              <w:t>συμβαλλόμενα μέρη της. Ως εκ τούτου, οι εν λόγω συστάσεις είναι δεσμευτικές για την Ένωση και θα πρέπει, συνεπώς, να ενσωματωθούν στο δίκαιο της Ένωσης, εκτός εάν το περιεχόμενό τους καλύπτεται ήδη από αυτό. Η Ένωση πρέπει να μεριμνά ώστε οι αλιευτικές δρα</w:t>
            </w:r>
            <w:r w:rsidRPr="004126E0">
              <w:t>στηριότητες της Ένωσης εκτός των υδάτων της να βασίζονται στις ίδιες αρχές και στα ίδια πρότυπα με την ισχύουσα νομοθεσία της Ένωσης και να προωθεί τον θεμιτό ανταγωνισμό μεταξύ των φορέων εκμετάλλευσης της Ένωσης και των φορέων εκμετάλλευσης τρίτων χωρών.</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Οι συστάσεις που υιοθετεί η Γενική Επιτροπή Αλιείας για τη Μεσόγειο (ΓΕΑΜ) είναι δεσμευτικές για τα συμβαλλόμενα μέρη της. Ως εκ τούτου, οι εν λόγω συστάσεις είναι δεσμευτικές για την Ένωση και θα πρέπει, συνεπώς, να ενσωματωθούν στο δίκαιο της Ένωσης</w:t>
            </w:r>
            <w:r w:rsidRPr="004126E0">
              <w:t xml:space="preserve"> </w:t>
            </w:r>
            <w:r w:rsidRPr="004126E0">
              <w:rPr>
                <w:b/>
                <w:i/>
              </w:rPr>
              <w:t>κατά τρόπο ώστε να διασφαλίζονται ισότιμοι όροι ανταγωνισμού για τους φορείς εκμετάλλευσης της ΕΕ έναντι των φορέων εκμετάλλευσης από άλλα συμβαλλόμενα μέρη της συμφωνίας ΓΕΑΜ</w:t>
            </w:r>
            <w:r w:rsidRPr="004126E0">
              <w:t>, εκτός εάν το περιεχόμενό τους καλύπτεται ήδη από αυτό. Η Ένωση πρέπει να μεριμ</w:t>
            </w:r>
            <w:r w:rsidRPr="004126E0">
              <w:t>νά ώστε οι αλιευτικές δραστηριότητες της Ένωσης εκτός των υδάτων της να βασίζονται στις ίδιες αρχές και στα ίδια πρότυπα με την ισχύουσα νομοθεσία της Ένωσης και να προωθεί τον θεμιτό ανταγωνισμό μεταξύ των φορέων εκμετάλλευσης της Ένωσης και των φορέων εκ</w:t>
            </w:r>
            <w:r w:rsidRPr="004126E0">
              <w:t>μετάλλευσης τρίτων χωρών.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{IT}</w:t>
      </w:r>
      <w:r w:rsidRPr="004126E0">
        <w:t>it</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Giuseppe Milazzo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3</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Οι συστάσεις που υιοθετεί η Γενική Επιτροπή Αλιείας για τη Μεσόγειο (ΓΕΑΜ) είναι δεσμευτικές για τα συμβαλλόμενα μέρη της. Ως εκ τούτου, οι εν λόγω συστάσεις είναι δεσμευτικές για την Ένωση και θα πρέπει, σ</w:t>
            </w:r>
            <w:r w:rsidRPr="004126E0">
              <w:t>υνεπώς, να ενσωματωθούν στο δίκαιο της Ένωσης, εκτός εάν το περιεχόμενό τους καλύπτεται ήδη από αυτό. Η Ένωση πρέπει να μεριμνά ώστε οι αλιευτικές δραστηριότητες της Ένωσης εκτός των υδάτων της να βασίζονται στις ίδιες αρχές και στα ίδια πρότυπα με την ισχ</w:t>
            </w:r>
            <w:r w:rsidRPr="004126E0">
              <w:t>ύουσα νομοθεσία της Ένωσης και να προωθεί τον θεμιτό ανταγωνισμό μεταξύ των φορέων εκμετάλλευσης της Ένωσης και των φορέων εκμετάλλευσης τρίτων χωρών.</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Οι συστάσεις που υιοθετεί η Γενική Επιτροπή Αλιείας για τη Μεσόγειο (ΓΕΑΜ) είναι δεσμευτικές για τα σ</w:t>
            </w:r>
            <w:r w:rsidRPr="004126E0">
              <w:t xml:space="preserve">υμβαλλόμενα μέρη της </w:t>
            </w:r>
            <w:r w:rsidRPr="004126E0">
              <w:rPr>
                <w:b/>
                <w:i/>
              </w:rPr>
              <w:t>και διασφαλίζουν ότι τα τεχνικά μέτρα θεσπίζονται στο πλαίσιο ισότιμων όρων ανταγωνισμού μεταξύ όλων των συμβαλλομένων μερών</w:t>
            </w:r>
            <w:r w:rsidRPr="004126E0">
              <w:t>. Ως εκ τούτου, οι εν λόγω συστάσεις είναι δεσμευτικές για την Ένωση και θα πρέπει, συνεπώς, να ενσωματωθούν στ</w:t>
            </w:r>
            <w:r w:rsidRPr="004126E0">
              <w:t>ο δίκαιο της Ένωσης, εκτός εάν το περιεχόμενό τους καλύπτεται ήδη από αυτό. Η Ένωση πρέπει να μεριμνά ώστε οι αλιευτικές δραστηριότητες της Ένωσης εκτός των υδάτων της να βασίζονται στις ίδιες αρχές και στα ίδια πρότυπα με την ισχύουσα νομοθεσία της Ένωσης</w:t>
            </w:r>
            <w:r w:rsidRPr="004126E0">
              <w:t xml:space="preserve"> και να προωθεί τον θεμιτό ανταγωνισμό μεταξύ των φορέων εκμετάλλευσης της Ένωσης και των φορέων εκμετάλλευσης τρίτων χωρών.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 xml:space="preserve">France Jamet, Ton </w:t>
      </w:r>
      <w:r w:rsidRPr="004126E0">
        <w:t>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3</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Οι συστάσεις που υιοθετεί η Γενική Επιτροπή Αλιείας για τη </w:t>
            </w:r>
            <w:r w:rsidRPr="004126E0">
              <w:t>Μεσόγειο (ΓΕΑΜ) είναι δεσμευτικές για τα συμβαλλόμενα μέρη της. Ως εκ τούτου, οι εν λόγω συστάσεις είναι δεσμευτικές για την Ένωση και θα πρέπει, συνεπώς, να ενσωματωθούν στο δίκαιο της Ένωσης, εκτός εάν το περιεχόμενό τους καλύπτεται ήδη από αυτό. Η Ένωση</w:t>
            </w:r>
            <w:r w:rsidRPr="004126E0">
              <w:t xml:space="preserve"> πρέπει να μεριμνά ώστε οι αλιευτικές δραστηριότητες της Ένωσης εκτός των υδάτων της να βασίζονται στις ίδιες αρχές και στα ίδια πρότυπα με την ισχύουσα νομοθεσία της Ένωσης και να προωθεί τον θεμιτό ανταγωνισμό μεταξύ των φορέων εκμετάλλευσης της Ένωσης κ</w:t>
            </w:r>
            <w:r w:rsidRPr="004126E0">
              <w:t>αι των φορέων εκμετάλλευσης τρίτων χωρών.</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Οι συστάσεις που υιοθετεί η Γενική Επιτροπή Αλιείας για τη Μεσόγειο (ΓΕΑΜ) είναι δεσμευτικές για τα συμβαλλόμενα μέρη της. Ως εκ τούτου, οι εν λόγω συστάσεις είναι δεσμευτικές για την Ένωση και θα πρέπει, συνεπ</w:t>
            </w:r>
            <w:r w:rsidRPr="004126E0">
              <w:t>ώς, να ενσωματωθούν στο δίκαιο της Ένωσης, εκτός εάν το περιεχόμενό τους καλύπτεται ήδη από αυτό</w:t>
            </w:r>
            <w:r w:rsidRPr="004126E0">
              <w:rPr>
                <w:b/>
                <w:i/>
              </w:rPr>
              <w:t>, ώστε να αποφεύγεται παράλληλα η περιττή ενσωμάτωση στο εθνικό δίκαιο</w:t>
            </w:r>
            <w:r w:rsidRPr="004126E0">
              <w:t xml:space="preserve">. Η Ένωση πρέπει να μεριμνά ώστε οι αλιευτικές δραστηριότητες της Ένωσης εκτός των υδάτων </w:t>
            </w:r>
            <w:r w:rsidRPr="004126E0">
              <w:t>της να βασίζονται στις ίδιες αρχές και στα ίδια πρότυπα με την ισχύουσα νομοθεσία της Ένωσης και να προωθεί τον θεμιτό ανταγωνισμό μεταξύ των φορέων εκμετάλλευσης της Ένωσης και των φορέων εκμετάλλευσης τρίτων χωρών.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Emma Wiesner, Oihane Agirregoitia Martínez</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3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 xml:space="preserve">Κείμενο που προτείνει η </w:t>
            </w:r>
            <w:r w:rsidRPr="004126E0">
              <w:t>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(3α)</w:t>
            </w:r>
            <w:r w:rsidRPr="004126E0">
              <w:tab/>
            </w:r>
            <w:r w:rsidRPr="004126E0">
              <w:rPr>
                <w:b/>
                <w:i/>
              </w:rPr>
              <w:t>Είναι σημαντικό η Ένωση να εφαρμόζει εγκαίρως και ορθά τη διεθνή υποχρέωσή της. Τούτο προκειμένου να εξασφαλιστεί προβλεψιμότητα για τους φορείς εκμετάλλευσης, καθώς και ισότιμοι όροι ανταγωνισμού και να διασφαλίσουμε ότι είμαστε</w:t>
            </w:r>
            <w:r w:rsidRPr="004126E0">
              <w:rPr>
                <w:b/>
                <w:i/>
              </w:rPr>
              <w:t xml:space="preserve"> αξιόπιστοι διεθνείς εταίροι. Για να διασφαλιστεί αυτό, είναι εξαιρετικά σημαντικό τα αρμόδια θεσμικά όργανα της ΕΕ να αναπτύξουν μια εύρυθμη συνεργασία που θα διασφαλίζει ισχυρές διαπραγματευτικές θέσεις οι οποίες, μετά την έγκρισή τους στη ΓΕΑΜ, θα μπορο</w:t>
            </w:r>
            <w:r w:rsidRPr="004126E0">
              <w:rPr>
                <w:b/>
                <w:i/>
              </w:rPr>
              <w:t>ύν να ενσωματωθούν ταχέως στο δίκαιο της ΕΕ. Η μείωση της τρέχουσας καθυστέρησης των διεθνών μας υποχρεώσεων πρέπει να αντιμετωπιστεί ταχύτερα.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Stephen</w:t>
      </w:r>
      <w:r w:rsidRPr="004126E0">
        <w:t xml:space="preserve"> Nikola Bartulica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3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(3α)</w:t>
            </w:r>
            <w:r w:rsidRPr="004126E0">
              <w:tab/>
            </w:r>
            <w:r w:rsidRPr="004126E0">
              <w:rPr>
                <w:b/>
                <w:i/>
              </w:rPr>
              <w:t xml:space="preserve">Τα αλιευτικά σκάφη της ΕΕ δεν μπορούν να υπόκεινται σε διαφορετικά ή </w:t>
            </w:r>
            <w:r w:rsidRPr="004126E0">
              <w:rPr>
                <w:b/>
                <w:i/>
              </w:rPr>
              <w:t>αυστηρότερα μέτρα από εκείνα που ισχύουν για άλλα συμβαλλόμενα μέρη της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{HR}</w:t>
      </w:r>
      <w:r w:rsidRPr="004126E0">
        <w:t>hr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6</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(6)</w:t>
            </w:r>
            <w:r w:rsidRPr="004126E0">
              <w:tab/>
            </w:r>
            <w:r w:rsidRPr="004126E0">
              <w:t xml:space="preserve">Ο παρών κανονισμός θα πρέπει να ενσωματώσει στο δίκαιο της Ένωσης τα μέτρα που καθορίζονται στις ακόλουθες συστάσεις </w:t>
            </w:r>
            <w:r w:rsidRPr="004126E0">
              <w:rPr>
                <w:b/>
                <w:i/>
              </w:rPr>
              <w:t>και</w:t>
            </w:r>
            <w:r w:rsidRPr="004126E0">
              <w:t xml:space="preserve"> δεν καλύπτονται ήδη από το δίκαιο της Ένωσης.</w:t>
            </w:r>
          </w:p>
        </w:tc>
        <w:tc>
          <w:tcPr>
            <w:tcW w:w="4876" w:type="dxa"/>
            <w:tcBorders>
              <w:top w:val="nil"/>
              <w:left w:val="nil"/>
              <w:bottom w:val="nil"/>
              <w:right w:val="nil"/>
            </w:tcBorders>
            <w:hideMark/>
          </w:tcPr>
          <w:p w:rsidR="00DD5018" w:rsidRPr="004126E0" w:rsidRDefault="00EC7CD2" w:rsidP="00F37D8F">
            <w:pPr>
              <w:pStyle w:val="Normal6a"/>
            </w:pPr>
            <w:r w:rsidRPr="004126E0">
              <w:t>(6)</w:t>
            </w:r>
            <w:r w:rsidRPr="004126E0">
              <w:tab/>
              <w:t>Ο παρών κανονισμός θα πρέπει να ενσωματώσει στο δίκαιο της Ένωσης</w:t>
            </w:r>
            <w:r w:rsidRPr="004126E0">
              <w:rPr>
                <w:b/>
                <w:i/>
              </w:rPr>
              <w:t>, αποφεύγοντας περιτ</w:t>
            </w:r>
            <w:r w:rsidRPr="004126E0">
              <w:rPr>
                <w:b/>
                <w:i/>
              </w:rPr>
              <w:t>τές διαδικασίες μεταφοράς σε εθνικό δίκαιο,</w:t>
            </w:r>
            <w:r w:rsidRPr="004126E0">
              <w:t xml:space="preserve"> τα μέτρα που καθορίζονται στις ακόλουθες συστάσεις </w:t>
            </w:r>
            <w:r w:rsidRPr="004126E0">
              <w:rPr>
                <w:b/>
                <w:i/>
              </w:rPr>
              <w:t>εφόσον</w:t>
            </w:r>
            <w:r w:rsidRPr="004126E0">
              <w:t xml:space="preserve"> δεν καλύπτονται ήδη από το δίκαιο της Ένωσης.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6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(6α)</w:t>
            </w:r>
            <w:r w:rsidRPr="004126E0">
              <w:tab/>
            </w:r>
            <w:r w:rsidRPr="004126E0">
              <w:rPr>
                <w:b/>
                <w:i/>
              </w:rPr>
              <w:t>Η ορθή μεταφορά στο εθνικό δίκαιο των</w:t>
            </w:r>
            <w:r w:rsidRPr="004126E0">
              <w:rPr>
                <w:b/>
                <w:i/>
              </w:rPr>
              <w:t xml:space="preserve"> διατάξεων της συμφωνίας ΓΕΑΜ θα πρέπει να λαμβάνει υπόψη τις κοινωνικοοικονομικές επιπτώσεις.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139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 xml:space="preserve">εξ </w:t>
      </w:r>
      <w:r w:rsidRPr="004126E0">
        <w:t>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7</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(7)</w:t>
            </w:r>
            <w:r w:rsidRPr="004126E0">
              <w:tab/>
              <w:t xml:space="preserve">Κατά την ετήσια σύνοδό της το 2021, η ΓΕΑΜ εξέδωσε τη σύσταση </w:t>
            </w:r>
            <w:r w:rsidRPr="004126E0">
              <w:t xml:space="preserve">GFCM/44/2021/2 σχετικά με τη θέσπιση απαγορευμένης περιοχής αλιείας στην περιοχή Jabuka/Pomo Pit στην Αδριατική θάλασσα, με την οποία τροποποιήθηκαν η σύσταση GFCM/41/2017/3 και η σύσταση GFCM/44/2021/5 σχετικά με τη θέσπιση απαγορευμένης περιοχής αλιείας </w:t>
            </w:r>
            <w:r w:rsidRPr="004126E0">
              <w:t>στον Κόλπο του Λέοντος για την προστασία των αναπαραγωγικών συγκεντρώσεων και των ευαίσθητων ενδιαιτημάτων βαθέων υδάτων, και καταργήθηκε η σύσταση GFCM/33/2009/1.</w:t>
            </w:r>
          </w:p>
        </w:tc>
        <w:tc>
          <w:tcPr>
            <w:tcW w:w="4876" w:type="dxa"/>
            <w:tcBorders>
              <w:top w:val="nil"/>
              <w:left w:val="nil"/>
              <w:bottom w:val="nil"/>
              <w:right w:val="nil"/>
            </w:tcBorders>
            <w:hideMark/>
          </w:tcPr>
          <w:p w:rsidR="00DD5018" w:rsidRPr="004126E0" w:rsidRDefault="00EC7CD2" w:rsidP="00F37D8F">
            <w:pPr>
              <w:pStyle w:val="Normal6a"/>
            </w:pPr>
            <w:r w:rsidRPr="004126E0">
              <w:t>(7)</w:t>
            </w:r>
            <w:r w:rsidRPr="004126E0">
              <w:tab/>
              <w:t xml:space="preserve">Κατά την ετήσια σύνοδό της το 2021, η ΓΕΑΜ εξέδωσε τη σύσταση GFCM/44/2021/2 σχετικά με </w:t>
            </w:r>
            <w:r w:rsidRPr="004126E0">
              <w:t>τη θέσπιση απαγορευμένης περιοχής αλιείας στην περιοχή Jabuka/Pomo Pit στην Αδριατική θάλασσα, με την οποία τροποποιήθηκαν η σύσταση GFCM/41/2017/3 και η σύσταση GFCM/44/2021/5 σχετικά με τη θέσπιση απαγορευμένης περιοχής αλιείας στον Κόλπο του Λέοντος για</w:t>
            </w:r>
            <w:r w:rsidRPr="004126E0">
              <w:t xml:space="preserve"> την προστασία των αναπαραγωγικών συγκεντρώσεων και των ευαίσθητων ενδιαιτημάτων βαθέων υδάτων, και καταργήθηκε η σύσταση GFCM/33/2009/1. </w:t>
            </w:r>
            <w:r w:rsidRPr="004126E0">
              <w:rPr>
                <w:b/>
                <w:i/>
              </w:rPr>
              <w:t>Η Ένωση θα πρέπει να εντείνει τις προσπάθειές της κατά τα επόμενα έτη για την ενίσχυση του επιπέδου προστασίας της απα</w:t>
            </w:r>
            <w:r w:rsidRPr="004126E0">
              <w:rPr>
                <w:b/>
                <w:i/>
              </w:rPr>
              <w:t>γορευμένης περιοχής αλιείας στον Κόλπο του Λέοντος, με τη θέσπιση μόνιμης απαγόρευσης της χρήσης εργαλείων βυθού, ώστε να διασφαλιστεί η αποκατάσταση των ιχθυοπληθυσμών και των θαλάσσιων οικοσυστημάτων, ως περιοχή προτεραιότητας για τη διατήρηση στη Μεσόγε</w:t>
            </w:r>
            <w:r w:rsidRPr="004126E0">
              <w:rPr>
                <w:b/>
                <w:i/>
              </w:rPr>
              <w:t>ιο.</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9</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(9)</w:t>
            </w:r>
            <w:r w:rsidRPr="004126E0">
              <w:tab/>
              <w:t xml:space="preserve">Κατά την ετήσια σύνοδό της το 2021, η ΓΕΑΜ εξέδωσε επίσης τη σύσταση GFCM/44/2021/13 σχετικά με τον μετριασμό των επιπτώσεων της αλιείας για τη διατήρηση των </w:t>
            </w:r>
            <w:r w:rsidRPr="004126E0">
              <w:t>θαλάσσιων πτηνών στη Μεσόγειο θάλασσα, τη σύσταση GFCM/44/2021/14 σχετικά με τον μετριασμό των επιπτώσεων της αλιείας για τη διατήρηση των θαλάσσιων χελωνών, τη σύσταση GFCM/44/2021/15 σχετικά με τον μετριασμό των επιπτώσεων της αλιείας για τη διατήρηση τω</w:t>
            </w:r>
            <w:r w:rsidRPr="004126E0">
              <w:t>ν κητοειδών και τη σύσταση GFCM/44/2021/16 σχετικά με πρόσθετα μέτρα μετριασμού για τη διατήρηση των ελασμοβραγχίων στη Μεσόγειο θάλασσα.</w:t>
            </w:r>
          </w:p>
        </w:tc>
        <w:tc>
          <w:tcPr>
            <w:tcW w:w="4876" w:type="dxa"/>
            <w:tcBorders>
              <w:top w:val="nil"/>
              <w:left w:val="nil"/>
              <w:bottom w:val="nil"/>
              <w:right w:val="nil"/>
            </w:tcBorders>
            <w:hideMark/>
          </w:tcPr>
          <w:p w:rsidR="00DD5018" w:rsidRPr="004126E0" w:rsidRDefault="00EC7CD2" w:rsidP="00F37D8F">
            <w:pPr>
              <w:pStyle w:val="Normal6a"/>
            </w:pPr>
            <w:r w:rsidRPr="004126E0">
              <w:t>(9)</w:t>
            </w:r>
            <w:r w:rsidRPr="004126E0">
              <w:tab/>
              <w:t xml:space="preserve">Κατά την ετήσια σύνοδό της το 2021, η ΓΕΑΜ εξέδωσε επίσης τη σύσταση GFCM/44/2021/13 σχετικά με τον μετριασμό των </w:t>
            </w:r>
            <w:r w:rsidRPr="004126E0">
              <w:t>επιπτώσεων της αλιείας για τη διατήρηση των θαλάσσιων πτηνών στη Μεσόγειο θάλασσα, τη σύσταση GFCM/44/2021/14 σχετικά με τον μετριασμό των επιπτώσεων της αλιείας για τη διατήρηση των θαλάσσιων χελωνών, τη σύσταση GFCM/44/2021/15 σχετικά με τον μετριασμό τω</w:t>
            </w:r>
            <w:r w:rsidRPr="004126E0">
              <w:t xml:space="preserve">ν επιπτώσεων της αλιείας για τη διατήρηση των κητοειδών και τη σύσταση GFCM/44/2021/16 σχετικά με πρόσθετα μέτρα μετριασμού για τη διατήρηση των ελασμοβραγχίων στη Μεσόγειο θάλασσα. </w:t>
            </w:r>
            <w:r w:rsidRPr="004126E0">
              <w:rPr>
                <w:b/>
                <w:i/>
              </w:rPr>
              <w:t>Ένας από τους στόχους του κανονισμού για τα τεχνικά μέτρα [κανονισμός (ΕΕ)</w:t>
            </w:r>
            <w:r w:rsidRPr="004126E0">
              <w:rPr>
                <w:b/>
                <w:i/>
              </w:rPr>
              <w:t xml:space="preserve"> 2019/1241] είναι η ελαχιστοποίηση και, όπου είναι δυνατόν, η εξάλειψη των παρεμπιπτόντων αλιευμάτων ευαίσθητων θαλάσσιων ειδών. Ως εκ τούτου, τα κράτη μέλη θα πρέπει να εντείνουν τη δράση τους και να θεσπίσουν μέτρα για τη μείωση ή, όπου είναι δυνατόν, τη</w:t>
            </w:r>
            <w:r w:rsidRPr="004126E0">
              <w:rPr>
                <w:b/>
                <w:i/>
              </w:rPr>
              <w:t>ν εξάλειψη των παρεμπιπτόντων αλιευμάτων ευαίσθητων ειδών.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13</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(13)</w:t>
            </w:r>
            <w:r w:rsidRPr="004126E0">
              <w:tab/>
            </w:r>
            <w:r w:rsidRPr="004126E0">
              <w:rPr>
                <w:b/>
                <w:i/>
              </w:rPr>
              <w:t xml:space="preserve">Κατά την ετήσια σύνοδό της το 2022, η ΓΕΑΜ εξέδωσε τη σύσταση GFCM/45/2022/1 σχετικά με πολυετές σχέδιο διαχείρισης για το ευρωπαϊκό χέλι στη Μεσόγειο θάλασσα, με την οποία </w:t>
            </w:r>
            <w:r w:rsidRPr="004126E0">
              <w:rPr>
                <w:b/>
                <w:i/>
              </w:rPr>
              <w:t>τροποποιήθηκε η σύσταση GFCM/42/2018/1.</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Καταργήθηκε με τη νέα σύσταση GFCM/46/2023/16 που περιλαμβάνεται στη νέα αιτιολογική σκέψη 23α.</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14</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(14)</w:t>
            </w:r>
            <w:r w:rsidRPr="004126E0">
              <w:tab/>
            </w:r>
            <w:r w:rsidRPr="004126E0">
              <w:rPr>
                <w:b/>
                <w:i/>
              </w:rPr>
              <w:t xml:space="preserve">Κατά την ετήσια σύνοδό της το 2022, η ΓΕΑΜ </w:t>
            </w:r>
            <w:r w:rsidRPr="004126E0">
              <w:rPr>
                <w:b/>
                <w:i/>
              </w:rPr>
              <w:t>εξέδωσε επίσης τη σύσταση GFCM/45/2022/2 σχετικά με σχέδιο διαχείρισης για τη βιώσιμη εκμετάλλευση του κόκκινου κοραλλιού στη Μεσόγειο θάλασσα, με την οποία τροποποιήθηκε η σύσταση GFCM/43/2019/4.</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Αντικαθίσταται από το GFCM/47/2024/2 ώστε να συμπεριληφθεί ως νέα αιτιολογική σκέψη 23β.</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 xml:space="preserve">εξ ονόματος της Ομάδας </w:t>
      </w:r>
      <w:r w:rsidRPr="004126E0">
        <w:t>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21</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(21)</w:t>
            </w:r>
            <w:r w:rsidRPr="004126E0">
              <w:tab/>
              <w:t xml:space="preserve">Κατά την ετήσια σύνοδό της το 2022, η ΓΕΑΜ εξέδωσε επίσης τη σύσταση GFCM/45/2022/11 </w:t>
            </w:r>
            <w:r w:rsidRPr="004126E0">
              <w:t>για τη θέσπιση δέσμης ελάχιστων προτύπων για τις απαγορευμένες περιοχές αλιείας στην περιοχή εφαρμογής της ΓΕΑΜ.</w:t>
            </w:r>
          </w:p>
        </w:tc>
        <w:tc>
          <w:tcPr>
            <w:tcW w:w="4876" w:type="dxa"/>
            <w:tcBorders>
              <w:top w:val="nil"/>
              <w:left w:val="nil"/>
              <w:bottom w:val="nil"/>
              <w:right w:val="nil"/>
            </w:tcBorders>
            <w:hideMark/>
          </w:tcPr>
          <w:p w:rsidR="00DD5018" w:rsidRPr="004126E0" w:rsidRDefault="00EC7CD2" w:rsidP="00F37D8F">
            <w:pPr>
              <w:pStyle w:val="Normal6a"/>
            </w:pPr>
            <w:r w:rsidRPr="004126E0">
              <w:t>(21)</w:t>
            </w:r>
            <w:r w:rsidRPr="004126E0">
              <w:tab/>
              <w:t>Κατά την ετήσια σύνοδό της το 2022, η ΓΕΑΜ εξέδωσε επίσης τη σύσταση GFCM/45/2022/11 για τη θέσπιση δέσμης ελάχιστων προτύπων για τις απαγ</w:t>
            </w:r>
            <w:r w:rsidRPr="004126E0">
              <w:t xml:space="preserve">ορευμένες περιοχές αλιείας στην περιοχή εφαρμογής της ΓΕΑΜ. </w:t>
            </w:r>
            <w:r w:rsidRPr="004126E0">
              <w:rPr>
                <w:b/>
                <w:i/>
              </w:rPr>
              <w:t>Οι απαγορευμένες περιοχές αλιείας (FRA) στη Μεσόγειο Θάλασσα, όταν διαθέτουν επαρκές επίπεδο προστασίας, ελαχιστοποιούν τα παρεμπίπτοντα αλιεύματα, προστατεύουν τις περιοχές ωοτοκίας και αναπαραγω</w:t>
            </w:r>
            <w:r w:rsidRPr="004126E0">
              <w:rPr>
                <w:b/>
                <w:i/>
              </w:rPr>
              <w:t>γής ιχθύων και τα ιχθύδια, και μειώνουν τις επιπτώσεις σε ευαίσθητα ενδιαιτήματα, ιδίως στον θαλάσσιο βυθό. Ως εκ τούτου, η Ένωση αυξάνει το δίκτυο των FRA και το επίπεδο προστασίας τους.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23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(23α)</w:t>
            </w:r>
            <w:r w:rsidRPr="004126E0">
              <w:tab/>
            </w:r>
            <w:r w:rsidRPr="004126E0">
              <w:rPr>
                <w:b/>
                <w:i/>
              </w:rPr>
              <w:t>Κατά την ετήσια σύνοδό της το 2023,</w:t>
            </w:r>
            <w:r w:rsidRPr="004126E0">
              <w:rPr>
                <w:b/>
                <w:i/>
              </w:rPr>
              <w:t xml:space="preserve"> η ΓΕΑΜ εξέδωσε επίσης τη σύσταση GFCM/46/2023/16 σχετικά με μακροπρόθεσμο σχέδιο διαχείρισης για το ευρωπαϊκό χέλι στη Μεσόγειο θάλασσα, με την οποία καταργήθηκαν οι συστάσεις GFCM/45/2022/1 και GFCM/42/2018/1.</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23 β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(23β)</w:t>
            </w:r>
            <w:r w:rsidRPr="004126E0">
              <w:tab/>
            </w:r>
            <w:r w:rsidRPr="004126E0">
              <w:rPr>
                <w:b/>
                <w:i/>
              </w:rPr>
              <w:t xml:space="preserve">Κατά την </w:t>
            </w:r>
            <w:r w:rsidRPr="004126E0">
              <w:rPr>
                <w:b/>
                <w:i/>
              </w:rPr>
              <w:t>ετήσια σύνοδό της το 2024, η ΓΕΑΜ εξέδωσε επίσης τη σύσταση GFCM/47/2024/2 σχετικά με μακροπρόθεσμα μέτρα για τη βιώσιμη εκμετάλλευση του κόκκινου κοραλλιού, την τροποποίηση της σύστασης GFCM/43/2019/4 και την κατάργηση των συστάσεων GFCM/45/2022/2 και GFC</w:t>
            </w:r>
            <w:r w:rsidRPr="004126E0">
              <w:rPr>
                <w:b/>
                <w:i/>
              </w:rPr>
              <w:t>M/46/2023/13.</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24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(24α)</w:t>
            </w:r>
            <w:r w:rsidRPr="004126E0">
              <w:tab/>
            </w:r>
            <w:r w:rsidRPr="004126E0">
              <w:rPr>
                <w:b/>
                <w:i/>
              </w:rPr>
              <w:t>Κατά την ετήσια συνεδρίασή της το 2024, η ΓΕΑΜ εξέδωσε τη σύσταση GFCM/47/2024/5 σχετικά με την εφαρμογή καθεστώτος αλιευτικής προσπάθειας για βασικά βενθοπελαγικά αποθέματα στην Αδριατική Θάλασσα (γεωγρα</w:t>
            </w:r>
            <w:r w:rsidRPr="004126E0">
              <w:rPr>
                <w:b/>
                <w:i/>
              </w:rPr>
              <w:t>φικές υποπεριοχές 17 και 18) το 2025 ως απόρροια της σύστασης GFCM/43/2019/5.</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Αιτιολογική σκέψη 25 α (νέα)</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(25α)</w:t>
            </w:r>
            <w:r w:rsidRPr="004126E0">
              <w:tab/>
            </w:r>
            <w:r w:rsidRPr="004126E0">
              <w:rPr>
                <w:b/>
                <w:i/>
              </w:rPr>
              <w:t xml:space="preserve">Κατά την ετήσια σύνοδό της το 2024, η ΓΕΑΜ εξέδωσε τη σύσταση GFCM/47/2024/6 σχετικά με τη θέσπιση απαγορευμένης περιοχής αλιείας στο Στενό </w:t>
            </w:r>
            <w:r w:rsidRPr="004126E0">
              <w:rPr>
                <w:b/>
                <w:i/>
              </w:rPr>
              <w:t>του Οτράντο (γεωγραφική υποπεριοχή 18), ως απόρροια της σύστασης GFCM/43/2019/5 και του ψηφίσματος GFCM/44/2021/3.</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 – σημείο 9</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 xml:space="preserve">Κείμενο που προτείνει η </w:t>
            </w:r>
            <w:r w:rsidRPr="004126E0">
              <w:t>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(9)</w:t>
            </w:r>
            <w:r w:rsidRPr="004126E0">
              <w:tab/>
            </w:r>
            <w:r w:rsidRPr="004126E0">
              <w:rPr>
                <w:b/>
                <w:i/>
              </w:rPr>
              <w:t>«απαγορευμένη περιοχή αλιείας»: γεωγραφικά καθορισμένη περιοχή στην οποία ορισμένες ειδικές αλιευτικές δραστηριότητες προσωρινά απαγορεύονται ή περιορίζονται με σκοπό τη βελτίωση της διατήρησης και της βιώσιμης χρήσης των έμβιων θα</w:t>
            </w:r>
            <w:r w:rsidRPr="004126E0">
              <w:rPr>
                <w:b/>
                <w:i/>
              </w:rPr>
              <w:t>λάσσιων πόρων στην περιοχή εφαρμογής της ΓΕΑΜ·</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149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 – σημείο 10</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(10)</w:t>
            </w:r>
            <w:r w:rsidRPr="004126E0">
              <w:tab/>
            </w:r>
            <w:r w:rsidRPr="004126E0">
              <w:t>«καθορισμένο σημείο εκφόρτωσης»: λιμένες ή τόποι κοντά στην ακτή, υπεράκτιοι τερματικοί σταθμοί και άλλες εγκαταστάσεις εκφόρτωσης, μεταφόρτωσης, συσκευασίας, μεταποίησης, ανεφοδιασμού σε καύσιμα ή άλλα εφόδια για αλιευτικά σκάφη, όπου επιτρέπονται οι εκφο</w:t>
            </w:r>
            <w:r w:rsidRPr="004126E0">
              <w:t xml:space="preserve">ρτώσεις, οι μεταφορτώσεις, οι εργασίες συσκευασίας και/ή μεταποίησης αλιευτικών προϊόντων, τα οποία καθορίζονται από τα συμβαλλόμενα μέρη και τα συνεργαζόμενα μη συμβαλλόμενα μέρη </w:t>
            </w:r>
            <w:r w:rsidRPr="004126E0">
              <w:rPr>
                <w:b/>
                <w:i/>
              </w:rPr>
              <w:t>σύμφωνα με τη σύσταση GFCM/40/2016/1 σχετικά με περιφερειακό πρόγραμμα</w:t>
            </w:r>
            <w:r w:rsidRPr="004126E0">
              <w:t xml:space="preserve"> μέτρω</w:t>
            </w:r>
            <w:r w:rsidRPr="004126E0">
              <w:t>ν κράτους λιμένα για την καταπολέμηση των δραστηριοτήτων παράνομης, αδήλωτης και ανεξέλεγκτης αλιείας στην περιοχή εφαρμογής της ΓΕΑΜ·</w:t>
            </w:r>
          </w:p>
        </w:tc>
        <w:tc>
          <w:tcPr>
            <w:tcW w:w="4876" w:type="dxa"/>
            <w:tcBorders>
              <w:top w:val="nil"/>
              <w:left w:val="nil"/>
              <w:bottom w:val="nil"/>
              <w:right w:val="nil"/>
            </w:tcBorders>
            <w:hideMark/>
          </w:tcPr>
          <w:p w:rsidR="00DD5018" w:rsidRPr="004126E0" w:rsidRDefault="00EC7CD2" w:rsidP="00F37D8F">
            <w:pPr>
              <w:pStyle w:val="Normal6a"/>
            </w:pPr>
            <w:r w:rsidRPr="004126E0">
              <w:t>(10)</w:t>
            </w:r>
            <w:r w:rsidRPr="004126E0">
              <w:tab/>
              <w:t>«καθορισμένο σημείο εκφόρτωσης»: λιμένες ή τόποι κοντά στην ακτή, υπεράκτιοι τερματικοί σταθμοί και άλλες εγκαταστάσ</w:t>
            </w:r>
            <w:r w:rsidRPr="004126E0">
              <w:t>εις εκφόρτωσης, μεταφόρτωσης, συσκευασίας, μεταποίησης, ανεφοδιασμού σε καύσιμα ή άλλα εφόδια για αλιευτικά σκάφη, όπου επιτρέπονται οι εκφορτώσεις, οι μεταφορτώσεις, οι εργασίες συσκευασίας και/ή μεταποίησης αλιευτικών προϊόντων, τα οποία καθορίζονται από</w:t>
            </w:r>
            <w:r w:rsidRPr="004126E0">
              <w:t xml:space="preserve"> τα συμβαλλόμενα μέρη και τα συνεργαζόμενα μη συμβαλλόμενα μέρη </w:t>
            </w:r>
            <w:r w:rsidRPr="004126E0">
              <w:rPr>
                <w:b/>
                <w:i/>
              </w:rPr>
              <w:t>δυνάμει του περιφερειακού προγράμματος</w:t>
            </w:r>
            <w:r w:rsidRPr="004126E0">
              <w:t xml:space="preserve"> μέτρων κράτους λιμένα για την καταπολέμηση των δραστηριοτήτων παράνομης, αδήλωτης και ανεξέλεγκτης αλιείας στην περιοχή εφαρμογής της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Η διαγραφή της σύστασης της ΓΕΑΜ γίνεται προς αποφυγή των διασταυρούμενων παραπομπών.</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Anna Maria Cisint, Ton</w:t>
      </w:r>
      <w:r w:rsidRPr="004126E0">
        <w:t xml:space="preserve">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4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Το παρόν άρθρο εφαρμόζεται σε όλες τις αλιευτικές δραστηριότητες αλίευσης ευρωπαϊκού χελιού (Anguilla anguilla), συγκεκριμένα </w:t>
            </w:r>
            <w:r w:rsidRPr="004126E0">
              <w:rPr>
                <w:b/>
                <w:i/>
              </w:rPr>
              <w:t>στη στοχευμένη, την παρεμπίπτουσα</w:t>
            </w:r>
            <w:r w:rsidRPr="004126E0">
              <w:t xml:space="preserve"> και την ερασιτεχνική αλιεία, σε όλα τα ύδατα της Με</w:t>
            </w:r>
            <w:r w:rsidRPr="004126E0">
              <w:t>σογείου θάλασσας όπως προβλέπεται στο παράρτημα I</w:t>
            </w:r>
            <w:r w:rsidRPr="004126E0">
              <w:rPr>
                <w:b/>
                <w:i/>
              </w:rPr>
              <w:t>, συμπεριλαμβανομένων των γλυκών υδάτων και των μεταβατικών και υφάλμυρων υδάτων, όπως οι λιμνοθάλασσες και οι εκβολές ποταμών</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Το παρόν άρθρο εφαρμόζεται σε όλες τις αλιευτικές δραστηριότητες αλίευσης ευρωπ</w:t>
            </w:r>
            <w:r w:rsidRPr="004126E0">
              <w:t xml:space="preserve">αϊκού χελιού (Anguilla anguilla), συγκεκριμένα </w:t>
            </w:r>
            <w:r w:rsidRPr="004126E0">
              <w:rPr>
                <w:b/>
                <w:i/>
              </w:rPr>
              <w:t>στην επαγγελματική</w:t>
            </w:r>
            <w:r w:rsidRPr="004126E0">
              <w:t xml:space="preserve"> και την ερασιτεχνική αλιεία, σε όλα τα ύδατα της Μεσογείου θάλασσας όπως προβλέπεται στο παράρτημα I.</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 xml:space="preserve">Τα εσωτερικά ύδατα </w:t>
      </w:r>
      <w:r w:rsidRPr="004126E0">
        <w:t>δεν μπορούν να θεωρηθούν θαλάσσια περιοχή ή μέρος θαλάσσιας περιοχής, καθώς δεν εμπίπτουν στην αρμοδιότητα της ΓΕΑΜ (άρθρο 3 της συμφωνίας ΓΕΑΜ). Επιπλέον, μια παρεμπίπτουσα δραστηριότητα δεν μπορεί να ρυθμιστεί νομικώς, διότι αποκλείεται σιωπηρώς από τη ρ</w:t>
      </w:r>
      <w:r w:rsidRPr="004126E0">
        <w:t>ύθμιση της ίδιας της δραστηριότητας και, ως εκ τούτου, εμπίπτει στο πεδίο των παραβάσεων της ρυθμιζόμενης δραστηριότητας.</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w:t>
      </w:r>
      <w:r w:rsidRPr="004126E0">
        <w:t>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12 – παράγραφοι 4 και 5 (νέες)</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(2α)</w:t>
            </w:r>
            <w:r w:rsidRPr="004126E0">
              <w:tab/>
            </w:r>
            <w:r w:rsidRPr="004126E0">
              <w:rPr>
                <w:b/>
                <w:i/>
              </w:rPr>
              <w:t xml:space="preserve">Στο άρθρο 12, </w:t>
            </w:r>
            <w:r w:rsidRPr="004126E0">
              <w:rPr>
                <w:b/>
                <w:i/>
              </w:rPr>
              <w:t>προστίθενται οι ακόλουθες παράγραφοι:</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«4. Τα κράτη μέλη θεσπίζουν σύστημα ιχνηλασιμότητας για τις εκφορτώσεις, τις πωλήσεις και τις εξαγωγές, το οποίο επιτρέπει τον εντοπισμό των αλιευμάτων από το εγκεκριμένο σημείο εκφόρτωσης έως τον τελικό προορισμό, </w:t>
            </w:r>
            <w:r w:rsidRPr="004126E0">
              <w:rPr>
                <w:b/>
                <w:i/>
              </w:rPr>
              <w:t>ανεξάρτητα από το αν τα δείγματα πωλούνται ζωντανά, νεκρά ή μετασχηματισμένα.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Κάθε κράτος μέλος τηρεί και ενημερώνει κατάλογο των ιχθυοσκαλών, των οργανισμών ή των προσώπων που είναι εξουσιοδοτημένα από αυτό το κράτος μέλος να αναλαμβάνουν την πρώτη ε</w:t>
            </w:r>
            <w:r w:rsidRPr="004126E0">
              <w:rPr>
                <w:b/>
                <w:i/>
              </w:rPr>
              <w:t>μπορία ευρωπαϊκού χελιού.»</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GFCM/46/2023/16 παράγραφοι 42 και 43.</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Anna Maria Cisint, Ton Diepeveen, António Tânger Co</w:t>
      </w:r>
      <w:r w:rsidRPr="004126E0">
        <w:t>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 – εισαγωγικό μέρος</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r>
            <w:r w:rsidRPr="004126E0">
              <w:t xml:space="preserve">Μεταξύ των άρθρων 12 και 13 </w:t>
            </w:r>
            <w:r w:rsidRPr="004126E0">
              <w:rPr>
                <w:b/>
                <w:bCs/>
                <w:i/>
                <w:iCs/>
              </w:rPr>
              <w:t>παρεμβάλλεται το ακόλουθο άρθρο</w:t>
            </w:r>
            <w:r w:rsidRPr="004126E0">
              <w:t xml:space="preserve"> 12α:</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Μεταξύ των άρθρων 12 και 13 </w:t>
            </w:r>
            <w:r w:rsidRPr="004126E0">
              <w:rPr>
                <w:b/>
                <w:bCs/>
                <w:i/>
                <w:iCs/>
              </w:rPr>
              <w:t>παρεμβάλλονται τα ακόλουθα άρθρα</w:t>
            </w:r>
            <w:r w:rsidRPr="004126E0">
              <w:t xml:space="preserve"> 12α </w:t>
            </w:r>
            <w:r w:rsidRPr="004126E0">
              <w:rPr>
                <w:b/>
                <w:bCs/>
                <w:i/>
                <w:iCs/>
              </w:rPr>
              <w:t>και 12β</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 – εισαγωγικό μέρος</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Μεταξύ των άρθρων 12 και 13 </w:t>
            </w:r>
            <w:r w:rsidRPr="004126E0">
              <w:rPr>
                <w:b/>
                <w:bCs/>
                <w:i/>
                <w:iCs/>
              </w:rPr>
              <w:t>παρεμβάλλεται το ακόλουθο άρθρο</w:t>
            </w:r>
            <w:r w:rsidRPr="004126E0">
              <w:t xml:space="preserve"> 12α:</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Μεταξύ των άρθρων 12 και 13 </w:t>
            </w:r>
            <w:r w:rsidRPr="004126E0">
              <w:rPr>
                <w:b/>
                <w:bCs/>
                <w:i/>
                <w:iCs/>
              </w:rPr>
              <w:t>παρεμβάλλονται τα ακόλουθα άρθρα</w:t>
            </w:r>
            <w:r w:rsidRPr="004126E0">
              <w:t xml:space="preserve"> 12α </w:t>
            </w:r>
            <w:r w:rsidRPr="004126E0">
              <w:rPr>
                <w:b/>
                <w:bCs/>
                <w:i/>
                <w:iCs/>
              </w:rPr>
              <w:t>και 12β</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Anna Maria Cisint,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w:t>
      </w:r>
      <w:r w:rsidRPr="004126E0">
        <w:rPr>
          <w:rStyle w:val="HideTWBExt"/>
        </w:rPr>
        <w:t>&lt;/Article&gt;</w:t>
      </w:r>
    </w:p>
    <w:p w:rsidR="00DD5018" w:rsidRPr="004126E0" w:rsidRDefault="00EC7CD2" w:rsidP="00DD5018">
      <w:r w:rsidRPr="004126E0">
        <w:rPr>
          <w:rStyle w:val="HideTWBExt"/>
        </w:rPr>
        <w:t>&lt;DocAmend2&gt;</w:t>
      </w:r>
      <w:r w:rsidRPr="004126E0">
        <w:t xml:space="preserve">Κανονισμός </w:t>
      </w:r>
      <w:r w:rsidRPr="004126E0">
        <w:t>(ΕΕ) 2023/2124</w:t>
      </w:r>
      <w:r w:rsidRPr="004126E0">
        <w:rPr>
          <w:rStyle w:val="HideTWBExt"/>
        </w:rPr>
        <w:t>&lt;/DocAmend2&gt;</w:t>
      </w:r>
    </w:p>
    <w:p w:rsidR="00DD5018" w:rsidRPr="004126E0" w:rsidRDefault="00EC7CD2" w:rsidP="00DD5018">
      <w:r w:rsidRPr="004126E0">
        <w:rPr>
          <w:rStyle w:val="HideTWBExt"/>
        </w:rPr>
        <w:t>&lt;Article2&gt;</w:t>
      </w:r>
      <w:r w:rsidRPr="004126E0">
        <w:t>Άρθρο 12 α – τίτλος</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bCs/>
                <w:i/>
                <w:iCs/>
              </w:rPr>
              <w:t>Ερασιτεχνική</w:t>
            </w:r>
            <w:r w:rsidRPr="004126E0">
              <w:t xml:space="preserve"> αλιεία</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Επαγγελματική</w:t>
            </w:r>
            <w:r w:rsidRPr="004126E0">
              <w:t xml:space="preserve"> αλιεία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Anna Maria Cisint,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w:t>
      </w:r>
      <w:r w:rsidRPr="004126E0">
        <w:rPr>
          <w:rStyle w:val="HideTWBExt"/>
        </w:rPr>
        <w:t>cle2&gt;</w:t>
      </w:r>
      <w:r w:rsidRPr="004126E0">
        <w:t>Άρθρο 12 α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Τα κράτη μέλη μεριμνούν ώστε να απαγορεύεται η </w:t>
            </w:r>
            <w:r w:rsidRPr="004126E0">
              <w:rPr>
                <w:b/>
                <w:i/>
              </w:rPr>
              <w:t>ερασιτεχνική</w:t>
            </w:r>
            <w:r w:rsidRPr="004126E0">
              <w:t xml:space="preserve"> αλιεία </w:t>
            </w:r>
            <w:r w:rsidRPr="004126E0">
              <w:rPr>
                <w:b/>
                <w:i/>
              </w:rPr>
              <w:t>ευρωπαϊκού</w:t>
            </w:r>
            <w:r w:rsidRPr="004126E0">
              <w:t xml:space="preserve"> χελιού σε όλα τα στάδια </w:t>
            </w:r>
            <w:r w:rsidRPr="004126E0">
              <w:rPr>
                <w:b/>
                <w:i/>
              </w:rPr>
              <w:t>της</w:t>
            </w:r>
            <w:r w:rsidRPr="004126E0">
              <w:t xml:space="preserve"> ζωής του (υαλόχελο, κιτρινόχελο, αργυρόχελο) σε όλα τα </w:t>
            </w:r>
            <w:r w:rsidRPr="004126E0">
              <w:rPr>
                <w:b/>
                <w:i/>
              </w:rPr>
              <w:t>ενδιαιτήματα.»</w:t>
            </w:r>
            <w:r w:rsidRPr="004126E0">
              <w:t>·</w:t>
            </w:r>
          </w:p>
        </w:tc>
        <w:tc>
          <w:tcPr>
            <w:tcW w:w="4876" w:type="dxa"/>
            <w:tcBorders>
              <w:top w:val="nil"/>
              <w:left w:val="nil"/>
              <w:bottom w:val="nil"/>
              <w:right w:val="nil"/>
            </w:tcBorders>
            <w:hideMark/>
          </w:tcPr>
          <w:p w:rsidR="00DD5018" w:rsidRPr="004126E0" w:rsidRDefault="00EC7CD2" w:rsidP="001838DC">
            <w:pPr>
              <w:pStyle w:val="Normal6a"/>
            </w:pPr>
            <w:r w:rsidRPr="004126E0">
              <w:t xml:space="preserve">Τα κράτη μέλη μεριμνούν ώστε να απαγορεύεται η </w:t>
            </w:r>
            <w:r w:rsidRPr="004126E0">
              <w:rPr>
                <w:b/>
                <w:i/>
              </w:rPr>
              <w:t>επαγγελματική</w:t>
            </w:r>
            <w:r w:rsidRPr="004126E0">
              <w:t xml:space="preserve"> αλιεία χελιού σε όλα τα στάδια </w:t>
            </w:r>
            <w:r w:rsidRPr="004126E0">
              <w:rPr>
                <w:b/>
                <w:i/>
              </w:rPr>
              <w:t>του κύκλου</w:t>
            </w:r>
            <w:r w:rsidRPr="004126E0">
              <w:t xml:space="preserve"> ζωής του (υαλόχελο, κιτρινόχελο, αργυρόχελο) σε όλα τα </w:t>
            </w:r>
            <w:r w:rsidRPr="004126E0">
              <w:rPr>
                <w:b/>
                <w:i/>
              </w:rPr>
              <w:t>ύδατα της Μεσογείου που απαριθμούνται στο Παράρτημα Ι.»</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w:t>
      </w:r>
      <w:r w:rsidRPr="004126E0">
        <w:t>23/2124</w:t>
      </w:r>
      <w:r w:rsidRPr="004126E0">
        <w:rPr>
          <w:rStyle w:val="HideTWBExt"/>
        </w:rPr>
        <w:t>&lt;/DocAmend2&gt;</w:t>
      </w:r>
    </w:p>
    <w:p w:rsidR="00DD5018" w:rsidRPr="004126E0" w:rsidRDefault="00EC7CD2" w:rsidP="00DD5018">
      <w:r w:rsidRPr="004126E0">
        <w:rPr>
          <w:rStyle w:val="HideTWBExt"/>
        </w:rPr>
        <w:t>&lt;Article2&gt;</w:t>
      </w:r>
      <w:r w:rsidRPr="004126E0">
        <w:t>Άρθρο 12 β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(3α)</w:t>
            </w:r>
            <w:r w:rsidRPr="004126E0">
              <w:tab/>
            </w:r>
            <w:r w:rsidRPr="004126E0">
              <w:rPr>
                <w:b/>
                <w:i/>
              </w:rPr>
              <w:t>Μεταξύ των άρθρων 12 και 13 παρεμβάλλεται το ακόλουθο άρθρο 12β: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12β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Συλλογή δεδομένων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Τα κράτη μέλη διαβιβάζουν στην Επιτροπή, ή</w:t>
            </w:r>
            <w:r w:rsidRPr="004126E0">
              <w:rPr>
                <w:b/>
                <w:i/>
              </w:rPr>
              <w:t xml:space="preserve"> σε φορέα οριζόμενο από αυτή, τα διαθέσιμα δεδομένα, συμπεριλαμβανομένων των εκτιμήσεων στις οποίες είναι γνωστή η ύπαρξη παράνομης, αδήλωτης και ανεξέλεγκτης αλιείας. Η Επιτροπή, ή φορέας οριζόμενος από αυτή, διαβιβάζει, το συντομότερο δυνατό, τις πληροφο</w:t>
            </w:r>
            <w:r w:rsidRPr="004126E0">
              <w:rPr>
                <w:b/>
                <w:i/>
              </w:rPr>
              <w:t>ρίες περί παράνομης, αδήλωτης και ανεξέλεγκτης αλιείας στη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2. Τα κράτη μέλη κοινοποιούν δεδομένα σχετικά με δραστηριότητες πάχυνσης στην Επιτροπή έως την 15η Δεκεμβρίου. Η Επιτροπή διαβιβάζει τα δεδομένα αυτά στη γραμματεία της ΓΕΑΜ </w:t>
            </w:r>
            <w:r w:rsidRPr="004126E0">
              <w:rPr>
                <w:b/>
                <w:i/>
              </w:rPr>
              <w:t>έως την 31η Ιουνίου.</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Σε εθελοντική βάση, τα κράτη μέλη μπορούν επίσης να διαβιβάζουν στην Επιτροπή τυχόν πρόσθετες πληροφορίες τις οποίες η τελευταία διαβιβάζει στη γραμματεία της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GFCM/46/2023/16 παράγραφοι 28 έως 30 και GFCM/41/2017/1 παράγραφος 2.</w:t>
      </w:r>
    </w:p>
    <w:p w:rsidR="00DD5018" w:rsidRPr="004126E0" w:rsidRDefault="00EC7CD2" w:rsidP="00DD5018">
      <w:pPr>
        <w:pStyle w:val="AmNumberTabs"/>
        <w:rPr>
          <w:rStyle w:val="HideTWBExt"/>
        </w:rPr>
      </w:pPr>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12 β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12β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Συλλογή δεδομένων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Όταν είναι γνωστή η ύπαρξη ΠΑΑ αλιείας, τα διαθέσιμα δεδομένα, συμπεριλαμβανομένων των εκτιμήσεων, διαβιβάζονται επίσης στη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Τα κράτη μέλη κοινοποιούν τα δεδομένα που αφορούν τις δραστηριότητες πάχυνσης στη</w:t>
            </w:r>
            <w:r w:rsidRPr="004126E0">
              <w:rPr>
                <w:b/>
                <w:i/>
              </w:rPr>
              <w:t xml:space="preserve"> γραμματεία της ΓΕΑΜ, σύμφωνα με τις προθεσμίες που ορίζονται στη σύσταση GFCM/41/2017/1 σχετικά με την υποβολή δεδομένων υδατοκαλλιέργειας και πληροφοριών για την κατάργηση της σύστασης GFCM/35/2011/6.</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Τα κράτη μέλη μπορούν επίσης να διαβιβάσουν στη </w:t>
            </w:r>
            <w:r w:rsidRPr="004126E0">
              <w:rPr>
                <w:b/>
                <w:i/>
              </w:rPr>
              <w:t>γραμματεία της ΓΕΑΜ τυχόν πρόσθετες πληροφορίες σε εθελοντική βάση, ει δυνατόν, το αργότερο έως την τεσσαρακοστή έβδομη σύνοδο της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GFCM/46/2023/16</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Anna Maria Cisint,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12 β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Άρθρο 12β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Ερασιτεχνική αλιεία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Τα κράτη μέλη διασφαλίζουν ότι η ερασιτεχνική αλιεία χελιού μπορεί να επιτρέπεται, μόνο για τη φάση του κιτρινόχελου, υπό </w:t>
            </w:r>
            <w:r w:rsidRPr="004126E0">
              <w:rPr>
                <w:b/>
                <w:i/>
              </w:rPr>
              <w:t>αυστηρά ελεγχόμενες συνθήκες και επιλεκτικά για μικρές ποσότητες.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 xml:space="preserve">Η ερασιτεχνική αλιεία χελιού αποτελεί πολύ σημαντική πολιτιστική παράδοση σε μερικές ευρωπαϊκές χώρες. Η ερασιτεχνική </w:t>
      </w:r>
      <w:r w:rsidRPr="004126E0">
        <w:t>αλιεία ορισμένων δειγμάτων θα μπορούσε να επιτραπεί για σύντομες περιόδους και να περιοριστεί μόνο στην κατηγορία των ατόμων πριν την ενηλικίωση (κιτρινόχελο), προστατεύοντας έτσι τα άτομα σε αναπαραγωγική ηλικία (αργυρόχελα). Μια εισφορά υψηλής ποσόστωσης</w:t>
      </w:r>
      <w:r w:rsidRPr="004126E0">
        <w:t xml:space="preserve"> δεν θα είχε σημαντικό αντίκτυπο στον πληθυσμό του είδους σε επίπεδο Ένωσης, καθώς περιλαμβάνεται στο ποσοστό απωλειών που υφίσταται το είδος στη φυσική του κατάσταση.</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159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Isabella Lövin</w:t>
      </w:r>
      <w:r w:rsidRPr="004126E0">
        <w:rPr>
          <w:rStyle w:val="HideTWBExt"/>
        </w:rPr>
        <w:t>&lt;/</w:t>
      </w:r>
      <w:r w:rsidRPr="004126E0">
        <w:rPr>
          <w:rStyle w:val="HideTWBExt"/>
        </w:rPr>
        <w: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w:t>
      </w:r>
      <w:r w:rsidRPr="004126E0">
        <w:t xml:space="preserve"> 12 β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Άρθρο 12β </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Συλλογή δεδομένων</w:t>
            </w:r>
          </w:p>
        </w:tc>
      </w:tr>
      <w:tr w:rsidR="00604E6C" w:rsidRPr="004126E0" w:rsidTr="00F37D8F">
        <w:trPr>
          <w:jc w:val="center"/>
        </w:trPr>
        <w:tc>
          <w:tcPr>
            <w:tcW w:w="4876" w:type="dxa"/>
            <w:tcBorders>
              <w:top w:val="nil"/>
              <w:left w:val="nil"/>
              <w:bottom w:val="nil"/>
              <w:right w:val="nil"/>
            </w:tcBorders>
            <w:hideMark/>
          </w:tcPr>
          <w:p w:rsidR="00DD5018" w:rsidRPr="004126E0" w:rsidRDefault="00DD5018" w:rsidP="00F37D8F"/>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«1.</w:t>
            </w:r>
            <w:r w:rsidRPr="004126E0">
              <w:t xml:space="preserve"> </w:t>
            </w:r>
            <w:r w:rsidRPr="004126E0">
              <w:rPr>
                <w:b/>
                <w:i/>
              </w:rPr>
              <w:t>Όταν είναι γνωστή η ύπαρξη ΠΑΑ αλιείας, τα διαθέσιμα δεδομένα, συμπεριλαμβανομένων των εκτιμήσεων, διαβιβάζονται επίσης στη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Τα κράτη μέλη κοινοποιούν τα δεδομένα που αφορούν τις δραστηριότητες πάχυνσης στη γραμματεία της ΓΕΑΜ, σύμφωνα με τις προθεσμίες που ορίζονται στη σύσταση GFCM/41/2017/1 σχετικά με την υποβολή δεδομένων υδατοκαλλιέργειας και πληροφοριών για την κατάργησ</w:t>
            </w:r>
            <w:r w:rsidRPr="004126E0">
              <w:rPr>
                <w:b/>
                <w:i/>
              </w:rPr>
              <w:t>η της σύστασης GFCM/35/2011/6.</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w:t>
            </w:r>
            <w:r w:rsidRPr="004126E0">
              <w:rPr>
                <w:b/>
                <w:bCs/>
                <w:i/>
                <w:iCs/>
              </w:rPr>
              <w:t>Τα κράτη μέλη μπορούν επίσης να διαβιβάσουν στη γραμματεία της ΓΕΑΜ τυχόν πρόσθετες πληροφορίες σε εθελοντική βάση, ει δυνατόν, το αργότερο έως την επικείμενη σύνοδο της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(https://eur-lex.europa.eu/eli/reg/2023/2124/oj/eng)</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Σύσταση GFCM/46/2023/16 παράγραφοι 28, 29, 30.</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&lt;/Members&gt;</w:t>
      </w:r>
    </w:p>
    <w:p w:rsidR="00DD5018" w:rsidRPr="004126E0" w:rsidRDefault="00EC7CD2" w:rsidP="00DD5018">
      <w:pPr>
        <w:pStyle w:val="NormalBold"/>
      </w:pPr>
      <w:r w:rsidRPr="004126E0">
        <w:rPr>
          <w:rStyle w:val="HideTWBExt"/>
        </w:rPr>
        <w:t>&lt;/RepeatBlo</w:t>
      </w:r>
      <w:r w:rsidRPr="004126E0">
        <w:rPr>
          <w:rStyle w:val="HideTWBExt"/>
        </w:rPr>
        <w:t>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14 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(4)</w:t>
            </w:r>
            <w:r w:rsidRPr="004126E0">
              <w:tab/>
            </w:r>
            <w:r w:rsidRPr="004126E0">
              <w:rPr>
                <w:b/>
                <w:i/>
              </w:rPr>
              <w:t>Μεταξύ των άρθρων 14 και</w:t>
            </w:r>
            <w:r w:rsidRPr="004126E0">
              <w:rPr>
                <w:b/>
                <w:i/>
              </w:rPr>
              <w:t xml:space="preserve"> 15 παρεμβάλλεται το ακόλουθο άρθρο 14α:</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14α</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Μέτρα διαχείρισης του στόλου</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Τα κράτη μέλη μεριμνούν ώστε η συνολική αλιευτική ικανότητα του στόλου ή η αλιευτική προσπάθεια των στόλων που αλιεύουν ενεργά με βενθοπελαγικές τράτες βασικά</w:t>
            </w:r>
            <w:r w:rsidRPr="004126E0">
              <w:rPr>
                <w:b/>
                <w:i/>
              </w:rPr>
              <w:t xml:space="preserve"> αποθέματα, όσον αφορά την ολική χωρητικότητα (GT) και/ή τους κόρους ολικής χωρητικότητας (ΚΟΧ), την ισχύ κινητήρα (kW) και τον αριθμό των σκαφών, όπως καταγράφονται τόσο στα εθνικά μητρώα όσο και στο μητρώο ΓΕΑΜ, να μην υπερβαίνει τον αριθμό των σκαφών ή </w:t>
            </w:r>
            <w:r w:rsidRPr="004126E0">
              <w:rPr>
                <w:b/>
                <w:i/>
              </w:rPr>
              <w:t>την αλιευτική προσπάθεια των μηχανοτρατών με πόρτες που αλίευσαν γαρίδες βαθέων υδάτων κατά την περίοδο 2014-2017 ή άλλη περίοδο τριών διαδοχικών ετών, όπως την περίοδο 2015-2018, υπό την προϋπόθεση ότι η αύξηση δεν μπορεί να υπερβαίνει το 50 % σε σχέση με</w:t>
            </w:r>
            <w:r w:rsidRPr="004126E0">
              <w:rPr>
                <w:b/>
                <w:i/>
              </w:rPr>
              <w:t xml:space="preserve"> την περίοδο αναφοράς 2014-2017.».</w:t>
            </w:r>
          </w:p>
        </w:tc>
        <w:tc>
          <w:tcPr>
            <w:tcW w:w="4876" w:type="dxa"/>
            <w:tcBorders>
              <w:top w:val="nil"/>
              <w:left w:val="nil"/>
              <w:bottom w:val="nil"/>
              <w:right w:val="nil"/>
            </w:tcBorders>
          </w:tcPr>
          <w:p w:rsidR="00DD5018" w:rsidRPr="004126E0" w:rsidRDefault="00DD5018" w:rsidP="00F37D8F">
            <w:pPr>
              <w:pStyle w:val="Normal6a"/>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w:t>
      </w:r>
      <w:r w:rsidRPr="004126E0">
        <w:t xml:space="preserve"> – σημείο 4</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14 α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Τα κράτη μέλη μεριμνούν ώστε η συνολική αλιευτική ικανότητα του στόλου ή η αλιευτική προσπάθεια των στόλων που αλιεύουν ενεργά </w:t>
            </w:r>
            <w:r w:rsidRPr="004126E0">
              <w:rPr>
                <w:b/>
                <w:i/>
              </w:rPr>
              <w:t>με βενθοπελαγικές τράτες</w:t>
            </w:r>
            <w:r w:rsidRPr="004126E0">
              <w:t xml:space="preserve"> βασικά αποθέματα, όσον αφορά την ολική χωρητικότητα (GT) και/ή τους κόρους ολικής χωρητικότητας (ΚΟΧ), τ</w:t>
            </w:r>
            <w:r w:rsidRPr="004126E0">
              <w:t xml:space="preserve">ην ισχύ κινητήρα (kW) και τον αριθμό των σκαφών, όπως καταγράφονται τόσο στα εθνικά μητρώα όσο και στο μητρώο ΓΕΑΜ, να μην υπερβαίνει τον αριθμό των σκαφών ή την αλιευτική προσπάθεια των </w:t>
            </w:r>
            <w:r w:rsidRPr="004126E0">
              <w:rPr>
                <w:b/>
                <w:i/>
              </w:rPr>
              <w:t>μηχανοτρατών με πόρτες</w:t>
            </w:r>
            <w:r w:rsidRPr="004126E0">
              <w:t xml:space="preserve"> που αλίευσαν γαρίδες βαθέων υδάτων κατά την πε</w:t>
            </w:r>
            <w:r w:rsidRPr="004126E0">
              <w:t>ρίοδο 2014-2017 ή άλλη περίοδο τριών διαδοχικών ετών, όπως την περίοδο 2015-2018, υπό την προϋπόθεση ότι η αύξηση δεν μπορεί να υπερβαίνει το 50 % σε σχέση με την περίοδο αναφοράς 2014-2017.</w:t>
            </w:r>
          </w:p>
        </w:tc>
        <w:tc>
          <w:tcPr>
            <w:tcW w:w="4876" w:type="dxa"/>
            <w:tcBorders>
              <w:top w:val="nil"/>
              <w:left w:val="nil"/>
              <w:bottom w:val="nil"/>
              <w:right w:val="nil"/>
            </w:tcBorders>
            <w:hideMark/>
          </w:tcPr>
          <w:p w:rsidR="00DD5018" w:rsidRPr="004126E0" w:rsidRDefault="00EC7CD2" w:rsidP="00F37D8F">
            <w:pPr>
              <w:pStyle w:val="Normal6a"/>
            </w:pPr>
            <w:r w:rsidRPr="004126E0">
              <w:t>Τα κράτη μέλη μεριμνούν ώστε η συνολική αλιευτική ικανότητα του σ</w:t>
            </w:r>
            <w:r w:rsidRPr="004126E0">
              <w:t>τόλου ή η αλιευτική προσπάθεια των στόλων που αλιεύουν ενεργά βασικά αποθέματα, όσον αφορά την ολική χωρητικότητα (GT) και/ή τους κόρους ολικής χωρητικότητας (ΚΟΧ), την ισχύ κινητήρα (kW) και τον αριθμό των σκαφών, όπως καταγράφονται τόσο στα εθνικά μητρώα</w:t>
            </w:r>
            <w:r w:rsidRPr="004126E0">
              <w:t xml:space="preserve"> όσο και στο μητρώο ΓΕΑΜ, να μην υπερβαίνει τον αριθμό των σκαφών ή την αλιευτική προσπάθεια των </w:t>
            </w:r>
            <w:r w:rsidRPr="004126E0">
              <w:rPr>
                <w:b/>
                <w:i/>
              </w:rPr>
              <w:t>σκαφών</w:t>
            </w:r>
            <w:r w:rsidRPr="004126E0">
              <w:t xml:space="preserve"> που αλίευσαν γαρίδες βαθέων υδάτων κατά την περίοδο 2014-2017 ή άλλη περίοδο τριών διαδοχικών ετών, όπως την περίοδο 2015-2018, υπό την προϋπόθεση ότι η</w:t>
            </w:r>
            <w:r w:rsidRPr="004126E0">
              <w:t xml:space="preserve"> αύξηση δεν μπορεί να υπερβαίνει το 50 % σε σχέση με την περίοδο αναφοράς 2014-2017.</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 xml:space="preserve">Πρόταση </w:t>
      </w:r>
      <w:r w:rsidRPr="004126E0">
        <w:t>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7</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17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r>
            <w:r w:rsidRPr="004126E0">
              <w:rPr>
                <w:b/>
                <w:i/>
              </w:rPr>
              <w:t>Οι μηχανότρατες βυθού</w:t>
            </w:r>
            <w:r w:rsidRPr="004126E0">
              <w:t xml:space="preserve"> που αλιεύουν αναπαραγωγικές συγκεντρώσεις κόκκινης γαρίδας βαθέων υδάτων διακόπτουν την αλιεία για 30 διαδοχικές ημέρες μεταξύ των μηνών Μαρτίου και Δεκεμβρίου.</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r>
            <w:r w:rsidRPr="004126E0">
              <w:rPr>
                <w:b/>
                <w:i/>
              </w:rPr>
              <w:t>Τα αλιευτικά σκάφη</w:t>
            </w:r>
            <w:r w:rsidRPr="004126E0">
              <w:t xml:space="preserve"> που αλιεύουν αναπαραγωγικές συγκεντρώσεις κόκκινης γαρίδας βαθέων υδάτων</w:t>
            </w:r>
            <w:r w:rsidRPr="004126E0">
              <w:t xml:space="preserve"> διακόπτουν την αλιεία για 30 διαδοχικές ημέρες μεταξύ των μηνών Μαρτίου και Δεκεμβρίου.</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9</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20</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bCs/>
                <w:i/>
                <w:iCs/>
              </w:rPr>
              <w:t>Κατά παρέκκλιση από</w:t>
            </w:r>
            <w:r w:rsidRPr="004126E0">
              <w:rPr>
                <w:b/>
                <w:bCs/>
                <w:i/>
                <w:iCs/>
              </w:rPr>
              <w:t xml:space="preserve"> το άρθρο 9 του κανονισμού (ΕΚ) αριθ. 1224/2009,</w:t>
            </w:r>
            <w:r w:rsidRPr="004126E0">
              <w:t xml:space="preserve"> όλα τα σκάφη ολικού μήκους (LOA) άνω των 12 μέτρων που αλιεύουν ενεργά εντός του πεδίου εφαρμογής του παρόντος τμήματος είναι εξοπλισμένα με δορυφορικό σύστημα παρακολούθησης σκαφών (VMS).</w:t>
            </w:r>
          </w:p>
        </w:tc>
        <w:tc>
          <w:tcPr>
            <w:tcW w:w="4876" w:type="dxa"/>
            <w:tcBorders>
              <w:top w:val="nil"/>
              <w:left w:val="nil"/>
              <w:bottom w:val="nil"/>
              <w:right w:val="nil"/>
            </w:tcBorders>
            <w:hideMark/>
          </w:tcPr>
          <w:p w:rsidR="00DD5018" w:rsidRPr="004126E0" w:rsidRDefault="00EC7CD2" w:rsidP="00F37D8F">
            <w:pPr>
              <w:pStyle w:val="Normal6a"/>
            </w:pPr>
            <w:r w:rsidRPr="004126E0">
              <w:t>Όλα τα σκάφη ολικο</w:t>
            </w:r>
            <w:r w:rsidRPr="004126E0">
              <w:t>ύ μήκους (LOA) άνω των 12 μέτρων που αλιεύουν ενεργά εντός του πεδίου εφαρμογής του παρόντος τμήματος είναι εξοπλισμένα με δορυφορικό σύστημα παρακολούθησης σκαφών (VMS).</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9</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20</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bCs/>
                <w:i/>
                <w:iCs/>
              </w:rPr>
              <w:t>Κατά παρέκκλιση από το άρθρο 9 του κανονισμού (ΕΚ) αριθ. 1224/2009,</w:t>
            </w:r>
            <w:r w:rsidRPr="004126E0">
              <w:t xml:space="preserve"> όλα τα σκάφη ολικού μήκους (LOA) άνω των 12 μέτρων που αλιεύουν ενεργά εντός του πεδίου εφαρμογής του παρόντος τμήματος είναι εξοπλισμένα με δορυφορικό σύστημα παρακολούθησης σκαφών (VMS).</w:t>
            </w:r>
          </w:p>
        </w:tc>
        <w:tc>
          <w:tcPr>
            <w:tcW w:w="4876" w:type="dxa"/>
            <w:tcBorders>
              <w:top w:val="nil"/>
              <w:left w:val="nil"/>
              <w:bottom w:val="nil"/>
              <w:right w:val="nil"/>
            </w:tcBorders>
            <w:hideMark/>
          </w:tcPr>
          <w:p w:rsidR="00DD5018" w:rsidRPr="004126E0" w:rsidRDefault="00EC7CD2" w:rsidP="00F37D8F">
            <w:pPr>
              <w:pStyle w:val="Normal6a"/>
            </w:pPr>
            <w:r w:rsidRPr="004126E0">
              <w:t>Όλα τα σκάφη ολικού μήκους (LOA) άνω των 25 μέτρων που αλιεύουν εν</w:t>
            </w:r>
            <w:r w:rsidRPr="004126E0">
              <w:t>εργά εντός του πεδίου εφαρμογής του παρόντος τμήματος είναι εξοπλισμένα με δορυφορικό σύστημα παρακολούθησης σκαφών (VMS).</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w:t>
      </w:r>
      <w:r w:rsidRPr="004126E0">
        <w:rPr>
          <w:rStyle w:val="HideTWBExt"/>
        </w:rPr>
        <w: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9</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20</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Έως τις 8</w:t>
            </w:r>
            <w:r w:rsidRPr="004126E0">
              <w:rPr>
                <w:b/>
                <w:i/>
              </w:rPr>
              <w:t xml:space="preserve"> Ιανουαρίου 2026, τα κράτη μέλη μπορούν να επιτρέπουν σε σκάφη μήκους κάτω των 15 μέτρων να παρεκκλίνουν από το πρώτο εδάφιο, εάν δραστηριοποιούνται αποκλειστικά στα χωρικά ύδατα του κράτους μέλους και/ή δεν παραμένουν ποτέ στη θάλασσα για πάνω από 24 ώρες</w:t>
            </w:r>
            <w:r w:rsidRPr="004126E0">
              <w:rPr>
                <w:b/>
                <w:i/>
              </w:rPr>
              <w:t xml:space="preserve"> από τη στιγμή της αναχώρησης έως την επιστροφή στον λιμένα.</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 xml:space="preserve">εξ ονόματος της Ομάδας The </w:t>
      </w:r>
      <w:r w:rsidRPr="004126E0">
        <w:t>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11</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23 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Τα κράτη μέλη διασφαλίζουν ότι η συνολική αλιευτική ικανότητα του στόλου, όσον αφορά την ολική χωρητικότητα (GT) και/ή τους κόρους ολικής χωρητικότητας (ΚΟΧ), την ισχύ μηχανών (kW) και τον αριθμό των σκαφών, όπως έχουν καταγραφεί στα εθνικά μητρώα και στο </w:t>
            </w:r>
            <w:r w:rsidRPr="004126E0">
              <w:t>μητρώο ΓΕΑΜ, δεν υπερβαίνει την αλιευτική ικανότητα του στόλου για την αλιεία γαρίδας βαθέων υδάτων με μηχανότρατες με πόρτες το 2019.</w:t>
            </w:r>
          </w:p>
        </w:tc>
        <w:tc>
          <w:tcPr>
            <w:tcW w:w="4876" w:type="dxa"/>
            <w:tcBorders>
              <w:top w:val="nil"/>
              <w:left w:val="nil"/>
              <w:bottom w:val="nil"/>
              <w:right w:val="nil"/>
            </w:tcBorders>
            <w:hideMark/>
          </w:tcPr>
          <w:p w:rsidR="00DD5018" w:rsidRPr="004126E0" w:rsidRDefault="00EC7CD2" w:rsidP="00F37D8F">
            <w:pPr>
              <w:pStyle w:val="Normal6a"/>
            </w:pPr>
            <w:r w:rsidRPr="004126E0">
              <w:t>Τα κράτη μέλη διασφαλίζουν ότι η συνολική αλιευτική ικανότητα του στόλου, όσον αφορά την ολική χωρητικότητα (GT) και/ή το</w:t>
            </w:r>
            <w:r w:rsidRPr="004126E0">
              <w:t xml:space="preserve">υς κόρους ολικής χωρητικότητας (ΚΟΧ), την ισχύ μηχανών (kW) και τον αριθμό των σκαφών, όπως έχουν καταγραφεί στα εθνικά μητρώα και στο μητρώο ΓΕΑΜ, δεν υπερβαίνει την αλιευτική ικανότητα του στόλου για την αλιεία </w:t>
            </w:r>
            <w:r w:rsidRPr="004126E0">
              <w:rPr>
                <w:b/>
                <w:bCs/>
                <w:i/>
                <w:iCs/>
              </w:rPr>
              <w:t>κόκκινης</w:t>
            </w:r>
            <w:r w:rsidRPr="004126E0">
              <w:t xml:space="preserve"> γαρίδας βαθέων υδάτων με μηχανότρα</w:t>
            </w:r>
            <w:r w:rsidRPr="004126E0">
              <w:t>τες με πόρτες το 2019.</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GFCM/45/2022/6 παράγραφος 23.</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 xml:space="preserve">Πρόταση </w:t>
      </w:r>
      <w:r w:rsidRPr="004126E0">
        <w:t>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11</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23 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Τα κράτη μέλη διασφαλίζουν ότι η συνολική αλιευτική ικανότητα του στόλου, όσον αφορά την ολική χωρητικότητα (GT) και/ή τους κόρους ολικής χωρητικότητας (ΚΟΧ), την ισχύ μηχανών (kW) και τον αριθμό των σκαφών, όπως έχουν καταγραφεί στα εθνικά μητρώα και στο </w:t>
            </w:r>
            <w:r w:rsidRPr="004126E0">
              <w:t xml:space="preserve">μητρώο ΓΕΑΜ, δεν υπερβαίνει την αλιευτική ικανότητα του στόλου για την αλιεία γαρίδας βαθέων υδάτων </w:t>
            </w:r>
            <w:r w:rsidRPr="004126E0">
              <w:rPr>
                <w:b/>
                <w:i/>
              </w:rPr>
              <w:t>με μηχανότρατες με πόρτες</w:t>
            </w:r>
            <w:r w:rsidRPr="004126E0">
              <w:t xml:space="preserve"> το 2019.</w:t>
            </w:r>
          </w:p>
        </w:tc>
        <w:tc>
          <w:tcPr>
            <w:tcW w:w="4876" w:type="dxa"/>
            <w:tcBorders>
              <w:top w:val="nil"/>
              <w:left w:val="nil"/>
              <w:bottom w:val="nil"/>
              <w:right w:val="nil"/>
            </w:tcBorders>
            <w:hideMark/>
          </w:tcPr>
          <w:p w:rsidR="00DD5018" w:rsidRPr="004126E0" w:rsidRDefault="00EC7CD2" w:rsidP="00F37D8F">
            <w:pPr>
              <w:pStyle w:val="Normal6a"/>
            </w:pPr>
            <w:r w:rsidRPr="004126E0">
              <w:t>Τα κράτη μέλη διασφαλίζουν ότι η συνολική αλιευτική ικανότητα του στόλου, όσον αφορά την ολική χωρητικότητα (GT) και/ή το</w:t>
            </w:r>
            <w:r w:rsidRPr="004126E0">
              <w:t>υς κόρους ολικής χωρητικότητας (ΚΟΧ), την ισχύ μηχανών (kW) και τον αριθμό των σκαφών, όπως έχουν καταγραφεί στα εθνικά μητρώα και στο μητρώο ΓΕΑΜ, δεν υπερβαίνει την αλιευτική ικανότητα του στόλου για την αλιεία γαρίδας βαθέων υδάτων το 2019.</w:t>
            </w:r>
          </w:p>
        </w:tc>
      </w:tr>
    </w:tbl>
    <w:p w:rsidR="00DD5018" w:rsidRPr="004126E0" w:rsidRDefault="00EC7CD2" w:rsidP="00DD5018">
      <w:pPr>
        <w:pStyle w:val="AmOrLang"/>
        <w:rPr>
          <w:lang w:eastAsia="en-US"/>
        </w:rPr>
      </w:pPr>
      <w:r w:rsidRPr="004126E0">
        <w:t xml:space="preserve">Or. </w:t>
      </w:r>
      <w:r w:rsidRPr="004126E0">
        <w:rPr>
          <w:rStyle w:val="HideTWBExt"/>
        </w:rPr>
        <w:t>&lt;Origin</w:t>
      </w:r>
      <w:r w:rsidRPr="004126E0">
        <w:rPr>
          <w:rStyle w:val="HideTWBExt"/>
        </w:rPr>
        <w:t>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14</w:t>
      </w:r>
      <w:r w:rsidRPr="004126E0">
        <w:rPr>
          <w:rStyle w:val="HideTWBExt"/>
        </w:rPr>
        <w:t>&lt;/Article&gt;</w:t>
      </w:r>
    </w:p>
    <w:p w:rsidR="00DD5018" w:rsidRPr="004126E0" w:rsidRDefault="00EC7CD2" w:rsidP="00DD5018">
      <w:r w:rsidRPr="004126E0">
        <w:rPr>
          <w:rStyle w:val="HideTWBExt"/>
        </w:rPr>
        <w:t>&lt;DocAmend2&gt;</w:t>
      </w:r>
      <w:r w:rsidRPr="004126E0">
        <w:t xml:space="preserve">Κανονισμός </w:t>
      </w:r>
      <w:r w:rsidRPr="004126E0">
        <w:t>(ΕΕ) 2023/2124</w:t>
      </w:r>
      <w:r w:rsidRPr="004126E0">
        <w:rPr>
          <w:rStyle w:val="HideTWBExt"/>
        </w:rPr>
        <w:t>&lt;/DocAmend2&gt;</w:t>
      </w:r>
    </w:p>
    <w:p w:rsidR="00DD5018" w:rsidRPr="004126E0" w:rsidRDefault="00EC7CD2" w:rsidP="00DD5018">
      <w:r w:rsidRPr="004126E0">
        <w:rPr>
          <w:rStyle w:val="HideTWBExt"/>
        </w:rPr>
        <w:t>&lt;Article2&gt;</w:t>
      </w:r>
      <w:r w:rsidRPr="004126E0">
        <w:t>Άρθρο 26</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Οι μηχανότρατες βυθού που αλιεύουν αναπαραγωγικές συγκεντρώσεις κόκκινης γαρίδας βαθέων υδάτων διακόπτουν την αλιεία για 30 διαδοχικές ημέρες μεταξύ </w:t>
            </w:r>
            <w:r w:rsidRPr="004126E0">
              <w:t>των μηνών Μαρτίου και Δεκεμβρίου.</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r>
            <w:r w:rsidRPr="004126E0">
              <w:rPr>
                <w:b/>
                <w:i/>
              </w:rPr>
              <w:t>Ανάλογα με τα αποτελέσματα που κοινοποιούνται από τα κράτη μέλη κατά τη διάρκεια της μεταβατικής περιόδου που αναφέρεται στη σύσταση 45/2022/7,</w:t>
            </w:r>
            <w:r w:rsidRPr="004126E0">
              <w:t xml:space="preserve"> οι μηχανότρατες βυθού που αλιεύουν αναπαραγωγικές συγκεντρώσεις κόκκινης γα</w:t>
            </w:r>
            <w:r w:rsidRPr="004126E0">
              <w:t>ρίδας βαθέων υδάτων διακόπτουν την αλιεία για 30 διαδοχικές ημέρες μεταξύ των μηνών Μαρτίου και Δεκεμβρίου.</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169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António Tânger Corrêa</w:t>
      </w:r>
      <w:r w:rsidRPr="004126E0">
        <w:rPr>
          <w:rStyle w:val="HideTWBExt"/>
        </w:rPr>
        <w:t>&lt;/Member</w:t>
      </w:r>
      <w:r w:rsidRPr="004126E0">
        <w:rPr>
          <w:rStyle w:val="HideTWBExt"/>
        </w:rPr>
        <w:t>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29</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bCs/>
                <w:i/>
                <w:iCs/>
              </w:rPr>
              <w:t>Κατά παρέκκλιση</w:t>
            </w:r>
            <w:r w:rsidRPr="004126E0">
              <w:rPr>
                <w:b/>
                <w:bCs/>
                <w:i/>
                <w:iCs/>
              </w:rPr>
              <w:t xml:space="preserve"> από το άρθρο 9 του κανονισμού (ΕΚ) αριθ. 1224/2009,</w:t>
            </w:r>
            <w:r w:rsidRPr="004126E0">
              <w:t xml:space="preserve"> όλα τα σκάφη ολικού μήκους (LOA) άνω των 12 μέτρων που αλιεύουν ενεργά εντός του πεδίου εφαρμογής του παρόντος τμήματος είναι εξοπλισμένα με δορυφορικό σύστημα παρακολούθησης σκαφών (VMS).</w:t>
            </w:r>
          </w:p>
        </w:tc>
        <w:tc>
          <w:tcPr>
            <w:tcW w:w="4876" w:type="dxa"/>
            <w:tcBorders>
              <w:top w:val="nil"/>
              <w:left w:val="nil"/>
              <w:bottom w:val="nil"/>
              <w:right w:val="nil"/>
            </w:tcBorders>
            <w:hideMark/>
          </w:tcPr>
          <w:p w:rsidR="00DD5018" w:rsidRPr="004126E0" w:rsidRDefault="00EC7CD2" w:rsidP="00F37D8F">
            <w:pPr>
              <w:pStyle w:val="Normal6a"/>
            </w:pPr>
            <w:r w:rsidRPr="004126E0">
              <w:t>Όλα τα σκάφη ο</w:t>
            </w:r>
            <w:r w:rsidRPr="004126E0">
              <w:t>λικού μήκους (LOA) άνω των 25 μέτρων που αλιεύουν ενεργά εντός του πεδίου εφαρμογής του παρόντος τμήματος είναι εξοπλισμένα με δορυφορικό σύστημα παρακολούθησης σκαφών (VMS).</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29</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Έως τις 8 Ιανουαρίου 2026, τα κράτη μέλη μπορούν να χορηγούν παρέκκλιση για σκάφη μήκους κάτω των 15 μέτρων από την τήρηση του κανόνα του πρώτου εδαφίου, εάν αυτά δραστηριοποιούνται αποκλειστικά στα χωρικά ύδατα</w:t>
            </w:r>
            <w:r w:rsidRPr="004126E0">
              <w:rPr>
                <w:b/>
                <w:i/>
              </w:rPr>
              <w:t xml:space="preserve"> του εν λόγω κράτους μέλους ή δεν παραμένουν ποτέ στη θάλασσα για πάνω από 24 ώρες από τη στιγμή της αναχώρησης έως την επιστροφή στον λιμένα. Τα κράτη μέλη αναφέρουν αμέσως στην Επιτροπή τις παρεκκλίσεις που έχουν χορηγηθεί σύμφωνα με το άρθρο 9 παράγραφο</w:t>
            </w:r>
            <w:r w:rsidRPr="004126E0">
              <w:rPr>
                <w:b/>
                <w:i/>
              </w:rPr>
              <w:t>ς 5 του κανονισμού (ΕΚ) 1224/2009, καθώς και τα άλλα μέσα ελέγχου που εφαρμόζονται για την παρακολούθηση των εν λόγω σκαφών. Η Επιτροπή διαβιβάζει αμελλητί τις πληροφορίες αυτές στη γραμματεία της ΓΕΑΜ.</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29</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Έως τις 8 Ιανουαρίου 2026, τα κράτη μέλη μπορούν να χορηγούν παρέκκλιση για σκάφη μήκους κάτω των 15 μέτρων από την τήρηση του κανόνα του πρώτου εδαφίου, εάν αυτά </w:t>
            </w:r>
            <w:r w:rsidRPr="004126E0">
              <w:t>δραστηριοποιούνται αποκλειστικά στα χωρικά ύδατα του εν λόγω κράτους μέλους ή δεν παραμένουν ποτέ στη θάλασσα για πάνω από 24 ώρες από τη στιγμή της αναχώρησης έως την επιστροφή στον λιμένα. Τα κράτη μέλη αναφέρουν αμέσως στην Επιτροπή τις παρεκκλίσεις που</w:t>
            </w:r>
            <w:r w:rsidRPr="004126E0">
              <w:t xml:space="preserve"> έχουν χορηγηθεί σύμφωνα με το άρθρο 9 παράγραφος 5 του κανονισμού (ΕΚ) 1224/2009, καθώς και τα άλλα μέσα ελέγχου που εφαρμόζονται για την παρακολούθηση των εν λόγω σκαφών. Η Επιτροπή διαβιβάζει αμελλητί τις πληροφορίες αυτές στη γραμματεία της ΓΕΑΜ.</w:t>
            </w:r>
          </w:p>
        </w:tc>
        <w:tc>
          <w:tcPr>
            <w:tcW w:w="4876" w:type="dxa"/>
            <w:tcBorders>
              <w:top w:val="nil"/>
              <w:left w:val="nil"/>
              <w:bottom w:val="nil"/>
              <w:right w:val="nil"/>
            </w:tcBorders>
            <w:hideMark/>
          </w:tcPr>
          <w:p w:rsidR="00DD5018" w:rsidRPr="004126E0" w:rsidRDefault="00EC7CD2" w:rsidP="00F37D8F">
            <w:pPr>
              <w:pStyle w:val="Normal6a"/>
            </w:pPr>
            <w:r w:rsidRPr="004126E0">
              <w:t>Έως τ</w:t>
            </w:r>
            <w:r w:rsidRPr="004126E0">
              <w:t xml:space="preserve">ις 8 Ιανουαρίου 2026, τα κράτη μέλη μπορούν να χορηγούν παρέκκλιση για σκάφη μήκους κάτω των 15 μέτρων από την τήρηση του κανόνα του πρώτου εδαφίου, εάν αυτά δραστηριοποιούνται αποκλειστικά στα χωρικά ύδατα του εν λόγω κράτους μέλους ή δεν παραμένουν ποτέ </w:t>
            </w:r>
            <w:r w:rsidRPr="004126E0">
              <w:t>στη θάλασσα για πάνω από 24 ώρες από τη στιγμή της αναχώρησης έως την επιστροφή στον λιμένα. Τα κράτη μέλη αναφέρουν αμέσως στην Επιτροπή τις παρεκκλίσεις που έχουν χορηγηθεί σύμφωνα με το άρθρο 9 παράγραφος 5 του κανονισμού (ΕΚ) 1224/2009, καθώς και τα άλ</w:t>
            </w:r>
            <w:r w:rsidRPr="004126E0">
              <w:t xml:space="preserve">λα μέσα ελέγχου που εφαρμόζονται για την παρακολούθηση των εν λόγω σκαφών. Η Επιτροπή διαβιβάζει αμελλητί τις πληροφορίες αυτές στη γραμματεία της ΓΕΑΜ. </w:t>
            </w:r>
            <w:r w:rsidRPr="004126E0">
              <w:rPr>
                <w:b/>
                <w:bCs/>
                <w:i/>
                <w:iCs/>
              </w:rPr>
              <w:t>Οι φορείς εκμετάλλευσης μπορούν να λάβουν χρηματοδοτική στήριξη από το Ταμείο Θάλασσας, Αλιείας και Υδα</w:t>
            </w:r>
            <w:r w:rsidRPr="004126E0">
              <w:rPr>
                <w:b/>
                <w:bCs/>
                <w:i/>
                <w:iCs/>
              </w:rPr>
              <w:t>τοκαλλιέργειας της ΕΕ για να εξοπλιστούν με ηλεκτρονικά συστήματα παρακολούθησης εξ αποστάσεως σύμφωνα με το άρθρο 22 παράγραφος 2 του κανονισμού (ΕΕ) 2021/1139.</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172</w:t>
      </w:r>
      <w:r w:rsidRPr="004126E0">
        <w:rPr>
          <w:rStyle w:val="HideTWBExt"/>
        </w:rPr>
        <w:t>&lt;/NumAm&gt;</w:t>
      </w:r>
    </w:p>
    <w:p w:rsidR="00DD5018" w:rsidRPr="004126E0" w:rsidRDefault="00EC7CD2" w:rsidP="00DD5018">
      <w:pPr>
        <w:pStyle w:val="NormalBold"/>
      </w:pPr>
      <w:r w:rsidRPr="004126E0">
        <w:rPr>
          <w:rStyle w:val="HideTWBExt"/>
        </w:rPr>
        <w:t>&lt;RepeatBlock-B</w:t>
      </w:r>
      <w:r w:rsidRPr="004126E0">
        <w:rPr>
          <w:rStyle w:val="HideTWBExt"/>
        </w:rPr>
        <w:t>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17</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30 β</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 xml:space="preserve">Κείμενο που προτείνει η </w:t>
            </w:r>
            <w:r w:rsidRPr="004126E0">
              <w:t>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Άρθρο 30β</w:t>
            </w:r>
          </w:p>
        </w:tc>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bCs/>
                <w:i/>
                <w:noProof/>
              </w:rPr>
            </w:pPr>
            <w:r w:rsidRPr="004126E0">
              <w:rPr>
                <w:b/>
                <w:i/>
              </w:rPr>
              <w:t>Διεθνές κοινό πρόγραμμα επιθεώρησης και επιτήρησης</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1. Τα κράτη μέλη δύνανται να διενεργούν δραστηριότητες επιθεώρησης και επιτήρησης εντός του πεδίου εφαρμογής του παρόντος τμήματος, στο πλαίσιο διεθνούς κοινού</w:t>
            </w:r>
            <w:r w:rsidRPr="004126E0">
              <w:rPr>
                <w:b/>
                <w:i/>
              </w:rPr>
              <w:t xml:space="preserve"> προγράμματος επιθεώρησης και επιτήρησης (στο εξής: πρόγραμμα), οι οποίες καλύπτουν ύδατα εκτός της εθνικής τους δικαιοδοσίας, στις γεωγραφικές υποπεριοχές 19, 20 και 21 (Ιόνιο πέλαγος) της ΓΕΑΜ, όπως ορίζονται στο παράρτημα Ι (στο εξής: περιοχή επιθεώρηση</w:t>
            </w:r>
            <w:r w:rsidRPr="004126E0">
              <w:rPr>
                <w:b/>
                <w:i/>
              </w:rPr>
              <w:t>ς και επιτήρησης).</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2. Τα κράτη μέλη δύνανται να ορίζουν επιθεωρητές και μέσα επιθεώρησης και να διενεργούν επιθεωρήσεις στο πλαίσιο του προγράμματος. Η Επιτροπή ή ο φορέας που ορίζεται από αυτή δύναται επίσης να ορίζει ενωσιακούς επιθεωρητές στο πρόγραμμ</w:t>
            </w:r>
            <w:r w:rsidRPr="004126E0">
              <w:rPr>
                <w:b/>
                <w:i/>
              </w:rPr>
              <w:t>α.</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 xml:space="preserve">3. Η Επιτροπή ή ο φορέας που ορίζεται από αυτή συντονίζει τις δραστηριότητες εποπτείας και επιθεώρησης για την Ένωση και δύναται να καταρτίζει, σε συντονισμό με τα οικεία κράτη μέλη, κοινό σχέδιο ανάπτυξης μέσων ώστε να δίνει τη δυνατότητα στην Ένωση </w:t>
            </w:r>
            <w:r w:rsidRPr="004126E0">
              <w:rPr>
                <w:b/>
                <w:i/>
              </w:rPr>
              <w:t xml:space="preserve">να εκπληρώνει την υποχρέωσή της στο πλαίσιο του προγράμματος. Τα κράτη μέλη θεσπίζουν τα απαραίτητα μέτρα για να διευκολύνουν την υλοποίηση των εν λόγω σχεδίων, ιδίως όσον αφορά τους ανθρώπινους και υλικούς πόρους που απαιτούνται και τις περιόδους και τις </w:t>
            </w:r>
            <w:r w:rsidRPr="004126E0">
              <w:rPr>
                <w:b/>
                <w:i/>
              </w:rPr>
              <w:t>γεωγραφικές περιοχές όπου πρόκειται να χρησιμοποιηθούν οι πόροι αυτοί.</w:t>
            </w:r>
          </w:p>
        </w:tc>
        <w:tc>
          <w:tcPr>
            <w:tcW w:w="4876" w:type="dxa"/>
            <w:tcBorders>
              <w:top w:val="nil"/>
              <w:left w:val="nil"/>
              <w:bottom w:val="nil"/>
              <w:right w:val="nil"/>
            </w:tcBorders>
            <w:hideMark/>
          </w:tcPr>
          <w:p w:rsidR="00DD5018" w:rsidRPr="004126E0" w:rsidRDefault="00DD5018" w:rsidP="00F37D8F">
            <w:pPr>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4. Το αργότερο έως τις 15 Νοεμβρίου κάθε έτους, κάθε κράτος μέλος κοινοποιεί στην Επιτροπή ή στον φορέα που ορίζεται από αυτήν, κατάλογο με τα ονόματα των εξουσιοδοτημένων επιθεωρητών</w:t>
            </w:r>
            <w:r w:rsidRPr="004126E0">
              <w:rPr>
                <w:b/>
                <w:i/>
              </w:rPr>
              <w:t xml:space="preserve"> για τη διενέργεια της επιθεώρησης και της επιτήρησης στην περιοχή που αναφέρεται στην παράγραφο 1, καθώς και τις ονομασίες των σκαφών και των αεροσκαφών που χρησιμοποιούνται για επιθεώρηση και επιτήρηση και τα οποία σκοπεύουν να διαθέσουν στο πρόγραμμα γι</w:t>
            </w:r>
            <w:r w:rsidRPr="004126E0">
              <w:rPr>
                <w:b/>
                <w:i/>
              </w:rPr>
              <w:t xml:space="preserve">α το επόμενο έτος. Η Επιτροπή ή ο φορέας που ορίζεται από αυτήν αποστέλλει τις εν λόγω πληροφορίες στη γραμματεία της ΓΕΑΜ έως την 1η Δεκεμβρίου κάθε έτους ή το συντομότερο δυνατόν πριν από την έναρξη των δραστηριοτήτων επιθεώρησης. </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5. Οι επιθεωρητές πο</w:t>
            </w:r>
            <w:r w:rsidRPr="004126E0">
              <w:rPr>
                <w:b/>
                <w:i/>
              </w:rPr>
              <w:t>υ ορίζονται για το πρόγραμμα φέρουν δελτίο ταυτότητας επιθεωρητή της ΓΕΑΜ που εκδόθηκε από τις αρμόδιες αρχές, το οποίο έχει τη μορφή που ορίζεται στο παράρτημα IV.</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6. Τα σκάφη με αρμοδιότητες επιβίβασης και επιθεώρησης σύμφωνα με το πρόγραμμα φέρουν ειδ</w:t>
            </w:r>
            <w:r w:rsidRPr="004126E0">
              <w:rPr>
                <w:b/>
                <w:i/>
              </w:rPr>
              <w:t>ική σημαία ή επισείοντα, όπως περιγράφεται στο παράρτημα V.</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 xml:space="preserve">7. Κάθε κράτος μέλος εξασφαλίζει ότι όλες οι πλατφόρμες επιθεώρησης που δικαιούνται να φέρουν τη σημαία του και δραστηριοποιούνται στην περιοχή που αναφέρεται στην παράγραφο 1 διατηρούν ασφαλή </w:t>
            </w:r>
            <w:r w:rsidRPr="004126E0">
              <w:rPr>
                <w:b/>
                <w:i/>
              </w:rPr>
              <w:t>επικοινωνία, καθημερινά εφόσον είναι δυνατόν, με όλες τις άλλες πλατφόρμες που δραστηριοποιούνται στην εν λόγω περιοχή, προκειμένου να ανταλλάσσουν τις απαραίτητες πληροφορίες για τον συντονισμό των δραστηριοτήτων.</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8. Κάθε κράτος μέλος που ασκεί δραστηρι</w:t>
            </w:r>
            <w:r w:rsidRPr="004126E0">
              <w:rPr>
                <w:b/>
                <w:i/>
              </w:rPr>
              <w:t>ότητα επιθεώρησης ή επιτήρησης στην περιοχή που αναφέρεται στην παράγραφο 1, κατά την είσοδό του στην περιοχή διαβιβάζει σε κάθε πλατφόρμα επιθεώρησης κατάλογο με τις διοπτεύσεις που καθορίζονται σύμφωνα με το παράρτημα VII, με τις επιβιβάσεις και επιθεωρή</w:t>
            </w:r>
            <w:r w:rsidRPr="004126E0">
              <w:rPr>
                <w:b/>
                <w:i/>
              </w:rPr>
              <w:t>σεις που διεξήγαγε κατά τις προηγούμενες 10 ημέρες, συμπεριλαμβανομένων των ημερομηνιών, των συντεταγμένων και κάθε άλλης συναφούς πληροφορίας.</w:t>
            </w:r>
          </w:p>
        </w:tc>
        <w:tc>
          <w:tcPr>
            <w:tcW w:w="4876" w:type="dxa"/>
            <w:tcBorders>
              <w:top w:val="nil"/>
              <w:left w:val="nil"/>
              <w:bottom w:val="nil"/>
              <w:right w:val="nil"/>
            </w:tcBorders>
          </w:tcPr>
          <w:p w:rsidR="00DD5018" w:rsidRPr="004126E0" w:rsidRDefault="00DD5018" w:rsidP="00F37D8F">
            <w:pPr>
              <w:pStyle w:val="Normal6"/>
              <w:rPr>
                <w:b/>
                <w:i/>
              </w:rPr>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προστίθεται ως νέο άρθρο 121α.</w:t>
      </w:r>
    </w:p>
    <w:p w:rsidR="00DD5018" w:rsidRPr="004126E0" w:rsidRDefault="00EC7CD2" w:rsidP="00DD5018">
      <w:r w:rsidRPr="004126E0">
        <w:rPr>
          <w:rStyle w:val="HideTWBExt"/>
        </w:rPr>
        <w:t>&lt;/A</w:t>
      </w:r>
      <w:r w:rsidRPr="004126E0">
        <w:rPr>
          <w:rStyle w:val="HideTWBExt"/>
        </w:rPr>
        <w:t>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17</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30 β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 xml:space="preserve">Τα κράτη μέλη δύνανται να ορίζουν επιθεωρητές και μέσα επιθεώρησης και να διενεργούν επιθεωρήσεις στο πλαίσιο του </w:t>
            </w:r>
            <w:r w:rsidRPr="004126E0">
              <w:t xml:space="preserve">προγράμματος. </w:t>
            </w:r>
            <w:r w:rsidRPr="004126E0">
              <w:rPr>
                <w:b/>
                <w:i/>
              </w:rPr>
              <w:t>Η Επιτροπή ή ο φορέας που ορίζεται από αυτή δύναται επίσης να ορίζει ενωσιακούς επιθεωρητές στο πρόγραμμα.</w:t>
            </w:r>
          </w:p>
        </w:tc>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Τα κράτη μέλη δύνανται να ορίζουν επιθεωρητές και μέσα επιθεώρησης και να διενεργούν επιθεωρήσεις στο πλαίσιο του προγράμματος.</w:t>
            </w:r>
          </w:p>
        </w:tc>
      </w:tr>
    </w:tbl>
    <w:p w:rsidR="00DD5018" w:rsidRPr="004126E0" w:rsidRDefault="00EC7CD2" w:rsidP="00DD5018">
      <w:pPr>
        <w:pStyle w:val="AmOrLang"/>
        <w:rPr>
          <w:lang w:eastAsia="en-US"/>
        </w:rPr>
      </w:pPr>
      <w:r w:rsidRPr="004126E0">
        <w:t>Or.</w:t>
      </w:r>
      <w:r w:rsidRPr="004126E0">
        <w:t xml:space="preserve">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17</w:t>
      </w:r>
      <w:r w:rsidRPr="004126E0">
        <w:rPr>
          <w:rStyle w:val="HideTWBExt"/>
        </w:rPr>
        <w:t>&lt;/Article&gt;</w:t>
      </w:r>
    </w:p>
    <w:p w:rsidR="00DD5018" w:rsidRPr="004126E0" w:rsidRDefault="00EC7CD2" w:rsidP="00DD5018">
      <w:r w:rsidRPr="004126E0">
        <w:rPr>
          <w:rStyle w:val="HideTWBExt"/>
        </w:rPr>
        <w:t>&lt;DocAmend2&gt;</w:t>
      </w:r>
      <w:r w:rsidRPr="004126E0">
        <w:t>Κανονισμ</w:t>
      </w:r>
      <w:r w:rsidRPr="004126E0">
        <w:t>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30 γ</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Άρθρο 30γ</w:t>
            </w:r>
          </w:p>
        </w:tc>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bCs/>
                <w:i/>
                <w:noProof/>
              </w:rPr>
            </w:pPr>
            <w:r w:rsidRPr="004126E0">
              <w:rPr>
                <w:b/>
                <w:i/>
              </w:rPr>
              <w:t>Διεξαγωγή των επιθεωρήσεων</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1. Οι επιθεωρητές που ορίζονται για το πρόγραμμα:</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 xml:space="preserve">α) γνωστοποιούν στο αλιευτικό σκάφος, πριν </w:t>
            </w:r>
            <w:r w:rsidRPr="004126E0">
              <w:rPr>
                <w:b/>
                <w:i/>
              </w:rPr>
              <w:t>από την επιβίβαση, την ονομασία του σκάφους επιθεώρησης·</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β) τηρούν εμφανώς, επί του σκάφους επιθεώρησης και του σκάφους επιβίβασης, τον επισείοντα που περιγράφεται στο παράρτημα V·</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 xml:space="preserve">γ) περιορίζουν τον μέγιστο αριθμό επιθεωρητών κάθε κλιμακίου </w:t>
            </w:r>
            <w:r w:rsidRPr="004126E0">
              <w:rPr>
                <w:b/>
                <w:i/>
              </w:rPr>
              <w:t>επιθεώρησης σε τρεις.</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2. Κατά την επιβίβαση στο σκάφος, οι επιθεωρητές επιδεικνύουν το δελτίο ταυτότητας που περιγράφεται στο παράρτημα IV στον πλοίαρχο του αλιευτικού σκάφους. Οι επιθεωρήσεις διεξάγονται σε μία από τις επίσημες γλώσσες της ΓΕΑΜ και, εφό</w:t>
            </w:r>
            <w:r w:rsidRPr="004126E0">
              <w:rPr>
                <w:b/>
                <w:i/>
              </w:rPr>
              <w:t>σον είναι δυνατόν, στη γλώσσα που ομιλεί ο πλοίαρχος του αλιευτικού σκάφους.</w:t>
            </w:r>
          </w:p>
        </w:tc>
        <w:tc>
          <w:tcPr>
            <w:tcW w:w="4876" w:type="dxa"/>
            <w:tcBorders>
              <w:top w:val="nil"/>
              <w:left w:val="nil"/>
              <w:bottom w:val="nil"/>
              <w:right w:val="nil"/>
            </w:tcBorders>
            <w:hideMark/>
          </w:tcPr>
          <w:p w:rsidR="00DD5018" w:rsidRPr="004126E0" w:rsidRDefault="00DD5018" w:rsidP="00F37D8F">
            <w:pPr>
              <w:rPr>
                <w:b/>
                <w:i/>
                <w:noProof/>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3. Οι επιθεωρητές καταρτίζουν έκθεση επιθεώρησης στη μορφή που ορίζεται στο παράρτημα VI.</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 xml:space="preserve">4. Οι επιθεωρητές υπογράφουν την έκθεση παρουσία του/της πλοιάρχου του σκάφους, ο/η </w:t>
            </w:r>
            <w:r w:rsidRPr="004126E0">
              <w:rPr>
                <w:b/>
                <w:i/>
              </w:rPr>
              <w:t>οποίος/-α δικαιούται να προσθέσει ή να ζητήσει να προστεθούν στην έκθεση τυχόν παρατηρήσεις που κρίνει σκόπιμες και τις οποίες οφείλει να υπογράψει.</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noProof/>
              </w:rPr>
            </w:pPr>
            <w:r w:rsidRPr="004126E0">
              <w:rPr>
                <w:b/>
                <w:i/>
              </w:rPr>
              <w:t>5. Αντίγραφα της έκθεσης παραδίδονται στον πλοίαρχο του σκάφους και στις αρχές του κλιμακίου επιθεώρησης,</w:t>
            </w:r>
            <w:r w:rsidRPr="004126E0">
              <w:rPr>
                <w:b/>
                <w:i/>
              </w:rPr>
              <w:t xml:space="preserve"> το οποίο διαβιβάζει αντίγραφα στις αρμόδιες αρχές του κράτους σημαίας του επιθεωρηθέντος σκάφους και στην Επιτροπή και/ή στον φορέα που ορίζεται από αυτήν. Η Επιτροπή διαβιβάζει το αντίγραφο στη γραμματεία της ΓΕΑΜ.</w:t>
            </w:r>
          </w:p>
        </w:tc>
        <w:tc>
          <w:tcPr>
            <w:tcW w:w="4876" w:type="dxa"/>
            <w:tcBorders>
              <w:top w:val="nil"/>
              <w:left w:val="nil"/>
              <w:bottom w:val="nil"/>
              <w:right w:val="nil"/>
            </w:tcBorders>
          </w:tcPr>
          <w:p w:rsidR="00DD5018" w:rsidRPr="004126E0" w:rsidRDefault="00DD5018" w:rsidP="00F37D8F">
            <w:pPr>
              <w:pStyle w:val="Normal6"/>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
              <w:rPr>
                <w:b/>
                <w:i/>
              </w:rPr>
            </w:pPr>
            <w:r w:rsidRPr="004126E0">
              <w:rPr>
                <w:b/>
                <w:i/>
              </w:rPr>
              <w:t xml:space="preserve">6. Ο αριθμός των μελών του κλιμακίου </w:t>
            </w:r>
            <w:r w:rsidRPr="004126E0">
              <w:rPr>
                <w:b/>
                <w:i/>
              </w:rPr>
              <w:t>επιθεώρησης και η διάρκεια της επιθεώρησης καθορίζονται από τον επικεφαλής του σκάφους επιθεώρησης, ο οποίος λαμβάνει υπόψη όλες τις συναφείς περιστάσεις.</w:t>
            </w:r>
          </w:p>
        </w:tc>
        <w:tc>
          <w:tcPr>
            <w:tcW w:w="4876" w:type="dxa"/>
            <w:tcBorders>
              <w:top w:val="nil"/>
              <w:left w:val="nil"/>
              <w:bottom w:val="nil"/>
              <w:right w:val="nil"/>
            </w:tcBorders>
          </w:tcPr>
          <w:p w:rsidR="00DD5018" w:rsidRPr="004126E0" w:rsidRDefault="00DD5018" w:rsidP="00F37D8F">
            <w:pPr>
              <w:pStyle w:val="Normal6"/>
              <w:rPr>
                <w:b/>
                <w:i/>
              </w:rPr>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προστίθεται ως νέο άρθρ</w:t>
      </w:r>
      <w:r w:rsidRPr="004126E0">
        <w:t>ο 121β.</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17</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30 δ</w:t>
      </w:r>
      <w:r w:rsidRPr="004126E0">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Άρθρο 30δ</w:t>
            </w:r>
          </w:p>
        </w:tc>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Παραβάσεις</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1. Για τους σκοπούς του παρόντος άρθρου, οι ακόλουθες δραστηριότητες νοούνται ως παραβάσεις:</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α)</w:t>
            </w:r>
            <w:r w:rsidRPr="004126E0">
              <w:rPr>
                <w:b/>
                <w:i/>
              </w:rPr>
              <w:tab/>
              <w:t xml:space="preserve">οι δραστηριότητες που </w:t>
            </w:r>
            <w:r w:rsidRPr="004126E0">
              <w:rPr>
                <w:b/>
                <w:i/>
              </w:rPr>
              <w:t>αναφέρονται στο άρθρο 3 παράγραφος 1 στοιχεία α), β), γ), ε), στ), ζ) και η) του κανονισμού (ΕΚ) αριθ. 1005/2008</w:t>
            </w:r>
            <w:r w:rsidRPr="004126E0">
              <w:rPr>
                <w:b/>
                <w:i/>
              </w:rPr>
              <w:footnoteReference w:id="1"/>
            </w:r>
            <w:r w:rsidRPr="004126E0">
              <w:rPr>
                <w:b/>
                <w:i/>
              </w:rPr>
              <w:t>·</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β)</w:t>
            </w:r>
            <w:r w:rsidRPr="004126E0">
              <w:rPr>
                <w:b/>
                <w:i/>
              </w:rPr>
              <w:tab/>
              <w:t>η παρεμβολή στο δορυφορικό σύστημα παρακολούθησης· και</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γ)</w:t>
            </w:r>
            <w:r w:rsidRPr="004126E0">
              <w:rPr>
                <w:b/>
                <w:i/>
              </w:rPr>
              <w:tab/>
              <w:t>η άσκηση δραστηριότητας χωρίς VMS.</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2. Σε περίπτωση επιβίβασης και επιθεώρη</w:t>
            </w:r>
            <w:r w:rsidRPr="004126E0">
              <w:rPr>
                <w:b/>
                <w:i/>
              </w:rPr>
              <w:t xml:space="preserve">σης σε αλιευτικό σκάφος κατά τη διάρκεια της οποίας οι επιθεωρητές διαπιστώνουν παράβαση, οι αρχές του κράτους μέλους σημαίας του σκάφους επιθεώρησης ενημερώνουν πάραυτα την Επιτροπή, ή τον φορέα που ορίζεται από αυτήν, που ειδοποιεί το κράτος σημαίας του </w:t>
            </w:r>
            <w:r w:rsidRPr="004126E0">
              <w:rPr>
                <w:b/>
                <w:i/>
              </w:rPr>
              <w:t>επιθεωρηθέντος αλιευτικού σκάφους, τόσο απευθείας όσο και μέσω της γραμματείας της ΓΕΑΜ. Ενημερώνουν επίσης όλα τα πλοία επιθεώρησης του κράτους σημαίας του αλιευτικού σκάφους τα οποία είναι γνωστό ότι βρίσκονται στην περιοχή.</w:t>
            </w:r>
          </w:p>
        </w:tc>
        <w:tc>
          <w:tcPr>
            <w:tcW w:w="4876" w:type="dxa"/>
            <w:tcBorders>
              <w:top w:val="nil"/>
              <w:left w:val="nil"/>
              <w:bottom w:val="nil"/>
              <w:right w:val="nil"/>
            </w:tcBorders>
            <w:hideMark/>
          </w:tcPr>
          <w:p w:rsidR="00DD5018" w:rsidRPr="004126E0" w:rsidRDefault="00DD5018" w:rsidP="00F37D8F">
            <w:pPr>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3. Το κράτος μέλος σημαίας </w:t>
            </w:r>
            <w:r w:rsidRPr="004126E0">
              <w:rPr>
                <w:b/>
                <w:i/>
              </w:rPr>
              <w:t>του αλιευτικού σκάφους εξασφαλίζει ότι, μετά την επιθεώρηση κατά την οποία διαπιστώθηκε παράβαση, το συγκεκριμένο αλιευτικό σκάφος διακόπτει κάθε αλιευτική δραστηριότητα. Το κράτος μέλος σημαίας διατάσσει το αλιευτικό σκάφος να κατευθυνθεί εντός 72 ωρών σε</w:t>
            </w:r>
            <w:r w:rsidRPr="004126E0">
              <w:rPr>
                <w:b/>
                <w:i/>
              </w:rPr>
              <w:t xml:space="preserve"> λιμένα που υποδεικνύει, όπου πρόκειται να διεξαχθεί έρευνα.</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4. Στην περίπτωση που στο πλαίσιο επιθεώρησης διαπιστώνεται παράβαση, οι δράσεις και οι επακόλουθες ενέργειες που αναλαμβάνονται από το κράτος μέλος σημαίας κοινοποιούνται στην Επιτροπή ή σε φο</w:t>
            </w:r>
            <w:r w:rsidRPr="004126E0">
              <w:rPr>
                <w:b/>
                <w:i/>
              </w:rPr>
              <w:t>ρέα που ορίζεται από αυτήν. Η Επιτροπή ή ο φορέας που ορίζεται από αυτήν κοινοποιεί τις δράσεις και τις επακόλουθες ενέργειες που αναλαμβάνονται στη γραμματεία της ΓΕΑΜ.</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5. Οι αρχές των κρατών μελών ενεργούν επί των εκθέσεων επιθεώρησης, όπως αναφέρεται </w:t>
            </w:r>
            <w:r w:rsidRPr="004126E0">
              <w:rPr>
                <w:b/>
                <w:i/>
              </w:rPr>
              <w:t>στο άρθρο 30 παράγραφος 3, επί του δελτίου πληροφοριών διόπτευσης που παρέχεται στο παράρτημα VII και επί των δηλώσεων που προκύπτουν από τον έλεγχο των εγγράφων από τους επιθεωρητές με ανάλογο τρόπο, όπως θα ενεργούσαν επί των εκθέσεων και δηλώσεων εθνικώ</w:t>
            </w:r>
            <w:r w:rsidRPr="004126E0">
              <w:rPr>
                <w:b/>
                <w:i/>
              </w:rPr>
              <w:t>ν επιθεωρητών.»</w:t>
            </w:r>
          </w:p>
        </w:tc>
        <w:tc>
          <w:tcPr>
            <w:tcW w:w="4876" w:type="dxa"/>
            <w:tcBorders>
              <w:top w:val="nil"/>
              <w:left w:val="nil"/>
              <w:bottom w:val="nil"/>
              <w:right w:val="nil"/>
            </w:tcBorders>
          </w:tcPr>
          <w:p w:rsidR="00DD5018" w:rsidRPr="004126E0" w:rsidRDefault="00DD5018" w:rsidP="00F37D8F">
            <w:pPr>
              <w:pStyle w:val="Normal6a"/>
              <w:rPr>
                <w:b/>
                <w:i/>
              </w:rPr>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προστίθεται ως νέο άρθρο 121γ.</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20</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36</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Οι μηχανότρατες βυθού που αλιεύουν </w:t>
            </w:r>
            <w:r w:rsidRPr="004126E0">
              <w:t>αναπαραγωγικές συγκεντρώσεις κόκκινης γαρίδας βαθέων υδάτων διακόπτουν την αλιεία για 30 διαδοχικές ημέρες μεταξύ των μηνών Μαρτίου και Δεκεμβρίου.</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r>
            <w:r w:rsidRPr="004126E0">
              <w:rPr>
                <w:b/>
                <w:i/>
              </w:rPr>
              <w:t>Ανάλογα με τα αποτελέσματα που κοινοποιούνται από τα κράτη μέλη κατά τη διάρκεια της μεταβατικής περιόδου</w:t>
            </w:r>
            <w:r w:rsidRPr="004126E0">
              <w:rPr>
                <w:b/>
                <w:i/>
              </w:rPr>
              <w:t xml:space="preserve"> που αναφέρεται στη σύσταση 45/2022/7,</w:t>
            </w:r>
            <w:r w:rsidRPr="004126E0">
              <w:t xml:space="preserve"> οι μηχανότρατες βυθού που αλιεύουν αναπαραγωγικές συγκεντρώσεις κόκκινης γαρίδας βαθέων υδάτων διακόπτουν την αλιεία για 30 διαδοχικές ημέρες μεταξύ των μηνών Μαρτίου και Δεκεμβρίου.</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w:t>
      </w:r>
      <w:r w:rsidRPr="004126E0">
        <w:rPr>
          <w:rStyle w:val="HideTWBExt"/>
        </w:rPr>
        <w: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22 – εισαγωγικό μέρος</w:t>
      </w:r>
      <w:r w:rsidRPr="004126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 xml:space="preserve">Κείμενο που προτείνει η </w:t>
            </w:r>
            <w:r w:rsidRPr="004126E0">
              <w:t>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(22)</w:t>
            </w:r>
            <w:r w:rsidRPr="004126E0">
              <w:tab/>
              <w:t xml:space="preserve">Μεταξύ των άρθρων 37 και 38 </w:t>
            </w:r>
            <w:r w:rsidRPr="004126E0">
              <w:rPr>
                <w:b/>
                <w:bCs/>
                <w:i/>
                <w:iCs/>
              </w:rPr>
              <w:t>παρεμβάλλονται τα ακόλουθα άρθρα 30α, 30β, 30γ και 30δ</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(22)</w:t>
            </w:r>
            <w:r w:rsidRPr="004126E0">
              <w:tab/>
              <w:t xml:space="preserve">Μεταξύ των άρθρων 37 και 38 </w:t>
            </w:r>
            <w:r w:rsidRPr="004126E0">
              <w:rPr>
                <w:b/>
                <w:bCs/>
                <w:i/>
                <w:iCs/>
              </w:rPr>
              <w:t>παρεμβάλλεται το ακόλουθο άρθρο 37α</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Μεταφέρθηκε στις τελικές διατάξεις που ισχύουν για όλους τους κανονισμούς βλ. νέα άρθρα 121α, 121β και 121γ.</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37 β</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jc w:val="center"/>
              <w:rPr>
                <w:b/>
                <w:i/>
              </w:rPr>
            </w:pP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jc w:val="center"/>
              <w:rPr>
                <w:b/>
                <w:i/>
              </w:rPr>
            </w:pPr>
            <w:r w:rsidRPr="004126E0">
              <w:rPr>
                <w:b/>
                <w:i/>
              </w:rPr>
              <w:t>Άρθρο 37β</w:t>
            </w:r>
          </w:p>
        </w:tc>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jc w:val="center"/>
              <w:rPr>
                <w:b/>
                <w:i/>
              </w:rPr>
            </w:pPr>
            <w:r w:rsidRPr="004126E0">
              <w:rPr>
                <w:b/>
                <w:i/>
              </w:rPr>
              <w:t xml:space="preserve">Διεθνές κοινό πρόγραμμα επιθεώρησης </w:t>
            </w:r>
            <w:r w:rsidRPr="004126E0">
              <w:rPr>
                <w:b/>
                <w:i/>
              </w:rPr>
              <w:t>και επιτήρησης</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1. Τα κράτη μέλη δύνανται να διενεργούν δραστηριότητες επιθεώρησης και επιτήρησης εντός του πεδίου εφαρμογής του παρόντος τμήματος, στο πλαίσιο διεθνούς κοινού προγράμματος επιθεώρησης και επιτήρησης (στο εξής: πρόγραμμα), οι οποίες καλύπτ</w:t>
            </w:r>
            <w:r w:rsidRPr="004126E0">
              <w:rPr>
                <w:b/>
                <w:i/>
              </w:rPr>
              <w:t>ουν ύδατα εκτός της εθνικής τους δικαιοδοσίας, στις γεωγραφικές υποπεριοχές 12, 13, 14, 15 και 16 (Στενό της Σικελίας) της ΓΕΑΜ, όπως ορίζονται στο παράρτημα Ι (στο εξής: περιοχή επιθεώρησης και επιτήρησης).</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2. Τα κράτη μέλη δύνανται να ορίζουν επιθεωρητ</w:t>
            </w:r>
            <w:r w:rsidRPr="004126E0">
              <w:rPr>
                <w:b/>
                <w:i/>
              </w:rPr>
              <w:t>ές και μέσα επιθεώρησης και να διενεργούν επιθεωρήσεις στο πλαίσιο του προγράμματος. Η Επιτροπή ή ο φορέας που ορίζεται από αυτή δύναται επίσης να ορίζει ενωσιακούς επιθεωρητές στο πρόγραμμα.</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3. Η Επιτροπή ή ο φορέας που ορίζεται από αυτή συντονίζει τις </w:t>
            </w:r>
            <w:r w:rsidRPr="004126E0">
              <w:rPr>
                <w:b/>
                <w:i/>
              </w:rPr>
              <w:t>δραστηριότητες εποπτείας και επιθεώρησης για την Ένωση και δύναται να καταρτίζει, σε συντονισμό με τα οικεία κράτη μέλη, κοινό σχέδιο ανάπτυξης μέσων ώστε να δίνει τη δυνατότητα στην Ένωση να εκπληρώνει την υποχρέωσή της στο πλαίσιο του προγράμματος. Τα κρ</w:t>
            </w:r>
            <w:r w:rsidRPr="004126E0">
              <w:rPr>
                <w:b/>
                <w:i/>
              </w:rPr>
              <w:t>άτη μέλη θεσπίζουν τα απαραίτητα μέτρα για να διευκολύνουν την υλοποίηση των εν λόγω σχεδίων, ιδίως όσον αφορά τους ανθρώπινους και υλικούς πόρους που απαιτούνται και τις περιόδους και τις γεωγραφικές περιοχές όπου πρόκειται να χρησιμοποιηθούν οι πόροι αυτ</w:t>
            </w:r>
            <w:r w:rsidRPr="004126E0">
              <w:rPr>
                <w:b/>
                <w:i/>
              </w:rPr>
              <w:t>οί.</w:t>
            </w:r>
          </w:p>
        </w:tc>
        <w:tc>
          <w:tcPr>
            <w:tcW w:w="4876" w:type="dxa"/>
            <w:tcBorders>
              <w:top w:val="nil"/>
              <w:left w:val="nil"/>
              <w:bottom w:val="nil"/>
              <w:right w:val="nil"/>
            </w:tcBorders>
            <w:hideMark/>
          </w:tcPr>
          <w:p w:rsidR="00DD5018" w:rsidRPr="004126E0" w:rsidRDefault="00DD5018" w:rsidP="00F37D8F">
            <w:pPr>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4. Το αργότερο έως την 15η Νοεμβρίου κάθε έτους, κάθε κράτος μέλος κοινοποιεί στην Επιτροπή ή στον φορέα που ορίζεται από αυτήν, κατάλογο με τα ονόματα των εξουσιοδοτημένων επιθεωρητών για τη διενέργεια της επιθεώρησης και της επιτήρησης στην περιοχή</w:t>
            </w:r>
            <w:r w:rsidRPr="004126E0">
              <w:rPr>
                <w:b/>
                <w:i/>
              </w:rPr>
              <w:t xml:space="preserve"> που αναφέρεται στην παράγραφο 1, καθώς και τις ονομασίες των σκαφών και των αεροσκαφών που χρησιμοποιούνται για επιθεώρηση και επιτήρηση και τα οποία σκοπεύουν να διαθέσουν στο πρόγραμμα για το επόμενο έτος. Η Επιτροπή ή ο φορέας που ορίζεται από αυτήν απ</w:t>
            </w:r>
            <w:r w:rsidRPr="004126E0">
              <w:rPr>
                <w:b/>
                <w:i/>
              </w:rPr>
              <w:t xml:space="preserve">οστέλλει τις εν λόγω πληροφορίες στη γραμματεία της ΓΕΑΜ έως την 1η Δεκεμβρίου κάθε έτους ή το συντομότερο δυνατόν πριν από την έναρξη των δραστηριοτήτων επιθεώρησης. </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5. Οι επιθεωρητές που ορίζονται για το πρόγραμμα φέρουν δελτίο ταυτότητας επιθεωρητή τ</w:t>
            </w:r>
            <w:r w:rsidRPr="004126E0">
              <w:rPr>
                <w:b/>
                <w:i/>
              </w:rPr>
              <w:t>ης ΓΕΑΜ που εκδόθηκε από τις αρμόδιες αρχές, το οποίο έχει τη μορφή που ορίζεται στο παράρτημα IV.</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6. Τα σκάφη με αρμοδιότητες επιβίβασης και επιθεώρησης σύμφωνα με το πρόγραμμα φέρουν ειδική σημαία ή επισείοντα, όπως περιγράφεται στο παράρτημα V.</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7. </w:t>
            </w:r>
            <w:r w:rsidRPr="004126E0">
              <w:rPr>
                <w:b/>
                <w:i/>
              </w:rPr>
              <w:t>Κάθε κράτος μέλος εξασφαλίζει ότι όλες οι πλατφόρμες επιθεώρησης που δικαιούνται να φέρουν τη σημαία του και δραστηριοποιούνται στην περιοχή που αναφέρεται στην παράγραφο 1 διατηρούν ασφαλή επικοινωνία, καθημερινά εφόσον είναι δυνατόν, με όλες τις άλλες πλ</w:t>
            </w:r>
            <w:r w:rsidRPr="004126E0">
              <w:rPr>
                <w:b/>
                <w:i/>
              </w:rPr>
              <w:t>ατφόρμες που δραστηριοποιούνται στην εν λόγω περιοχή, προκειμένου να ανταλλάσσουν τις απαραίτητες πληροφορίες για τον συντονισμό των δραστηριοτήτων.</w:t>
            </w:r>
          </w:p>
        </w:tc>
        <w:tc>
          <w:tcPr>
            <w:tcW w:w="4876" w:type="dxa"/>
            <w:tcBorders>
              <w:top w:val="nil"/>
              <w:left w:val="nil"/>
              <w:bottom w:val="nil"/>
              <w:right w:val="nil"/>
            </w:tcBorders>
          </w:tcPr>
          <w:p w:rsidR="00DD5018" w:rsidRPr="004126E0" w:rsidRDefault="00DD5018" w:rsidP="00F37D8F">
            <w:pPr>
              <w:pStyle w:val="Normal6a"/>
              <w:rPr>
                <w:b/>
                <w:i/>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8. Κάθε κράτος μέλος που ασκεί δραστηριότητα επιθεώρησης ή επιτήρησης στην περιοχή που αναφέρεται στην πα</w:t>
            </w:r>
            <w:r w:rsidRPr="004126E0">
              <w:rPr>
                <w:b/>
                <w:i/>
              </w:rPr>
              <w:t>ράγραφο 1, κατά την είσοδό του στην περιοχή διαβιβάζει σε κάθε πλατφόρμα επιθεώρησης κατάλογο με τις διοπτεύσεις που καθορίζονται σύμφωνα με το παράρτημα VII, με τις επιβιβάσεις και επιθεωρήσεις που διεξήγαγε κατά τις προηγούμενες 10 ημέρες, συμπεριλαμβανο</w:t>
            </w:r>
            <w:r w:rsidRPr="004126E0">
              <w:rPr>
                <w:b/>
                <w:i/>
              </w:rPr>
              <w:t>μένων των ημερομηνιών, των συντεταγμένων και κάθε άλλης συναφούς πληροφορίας.</w:t>
            </w:r>
          </w:p>
        </w:tc>
        <w:tc>
          <w:tcPr>
            <w:tcW w:w="4876" w:type="dxa"/>
            <w:tcBorders>
              <w:top w:val="nil"/>
              <w:left w:val="nil"/>
              <w:bottom w:val="nil"/>
              <w:right w:val="nil"/>
            </w:tcBorders>
          </w:tcPr>
          <w:p w:rsidR="00DD5018" w:rsidRPr="004126E0" w:rsidRDefault="00DD5018" w:rsidP="00F37D8F">
            <w:pPr>
              <w:pStyle w:val="Normal6a"/>
              <w:rPr>
                <w:b/>
                <w:i/>
              </w:rPr>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Μεταφέρθηκε στις τελικές διατάξεις που ισχύουν για όλους τους κανονισμούς βλ. νέα άρθρα 121α, 121β και 121γ.</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179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37 β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 xml:space="preserve">Τα κράτη μέλη δύνανται να ορίζουν επιθεωρητές και μέσα επιθεώρησης και να διενεργούν επιθεωρήσεις στο πλαίσιο του </w:t>
            </w:r>
            <w:r w:rsidRPr="004126E0">
              <w:t xml:space="preserve">προγράμματος. </w:t>
            </w:r>
            <w:r w:rsidRPr="004126E0">
              <w:rPr>
                <w:b/>
                <w:i/>
              </w:rPr>
              <w:t>Η Επιτροπή ή ο φορέας που ορίζεται από αυτή δύναται επίσης να ορίζει ενωσιακούς επιθεωρητές στο πρόγραμμα.</w:t>
            </w:r>
          </w:p>
        </w:tc>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Τα κράτη μέλη δύνανται να ορίζουν επιθεωρητές και μέσα επιθεώρησης και να διενεργούν επιθεωρήσεις στο πλαίσιο του προγράμματος.</w:t>
            </w:r>
          </w:p>
        </w:tc>
      </w:tr>
    </w:tbl>
    <w:p w:rsidR="00DD5018" w:rsidRPr="004126E0" w:rsidRDefault="00EC7CD2" w:rsidP="00DD5018">
      <w:pPr>
        <w:pStyle w:val="AmOrLang"/>
        <w:rPr>
          <w:lang w:eastAsia="en-US"/>
        </w:rPr>
      </w:pPr>
      <w:r w:rsidRPr="004126E0">
        <w:t>Or.</w:t>
      </w:r>
      <w:r w:rsidRPr="004126E0">
        <w:t xml:space="preserve">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37 γ</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jc w:val="center"/>
            </w:pPr>
            <w:r w:rsidRPr="004126E0">
              <w:rPr>
                <w:b/>
                <w:i/>
              </w:rPr>
              <w:t>Άρθρο 37γ</w:t>
            </w:r>
          </w:p>
        </w:tc>
        <w:tc>
          <w:tcPr>
            <w:tcW w:w="4876" w:type="dxa"/>
            <w:tcBorders>
              <w:top w:val="nil"/>
              <w:left w:val="nil"/>
              <w:bottom w:val="nil"/>
              <w:right w:val="nil"/>
            </w:tcBorders>
            <w:hideMark/>
          </w:tcPr>
          <w:p w:rsidR="00DD5018" w:rsidRPr="004126E0" w:rsidRDefault="00EC7CD2" w:rsidP="00F37D8F">
            <w:pPr>
              <w:pStyle w:val="AmColumnHeading"/>
            </w:pPr>
            <w:r w:rsidRPr="004126E0">
              <w:rPr>
                <w:b/>
              </w:rPr>
              <w:t>διαγράφεται</w:t>
            </w: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jc w:val="center"/>
              <w:rPr>
                <w:b/>
                <w:i/>
              </w:rPr>
            </w:pPr>
            <w:r w:rsidRPr="004126E0">
              <w:rPr>
                <w:b/>
                <w:i/>
              </w:rPr>
              <w:t>Διεξαγωγή των επιθεωρήσεων</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1. Οι επιθεωρητές που ορίζονται για το πρόγραμμα:</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α) γνωστοποιούν στο αλιευτικό </w:t>
            </w:r>
            <w:r w:rsidRPr="004126E0">
              <w:rPr>
                <w:b/>
                <w:i/>
              </w:rPr>
              <w:t>σκάφος, πριν από την επιβίβαση, την ονομασία του σκάφους επιθεώρησης·</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β) τηρούν εμφανώς, επί του σκάφους επιθεώρησης και του σκάφους επιβίβασης, τον επισείοντα που περιγράφεται στο παράρτημα V·</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γ) περιορίζουν τον μέγιστο αριθμό επιθεωρητών κάθε κλιμακί</w:t>
            </w:r>
            <w:r w:rsidRPr="004126E0">
              <w:rPr>
                <w:b/>
                <w:i/>
              </w:rPr>
              <w:t>ου επιθεώρησης σε τρεις.</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2. Κατά την επιβίβαση στο σκάφος, οι επιθεωρητές επιδεικνύουν το δελτίο ταυτότητας που περιγράφεται στο παράρτημα IV στον πλοίαρχο του αλιευτικού σκάφους. Οι επιθεωρήσεις διεξάγονται σε μία από τις επίσημες γλώσσες της ΓΕΑΜ και, </w:t>
            </w:r>
            <w:r w:rsidRPr="004126E0">
              <w:rPr>
                <w:b/>
                <w:i/>
              </w:rPr>
              <w:t>εφόσον είναι δυνατόν, στη γλώσσα που ομιλεί ο πλοίαρχος του αλιευτικού σκάφους.</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3. Οι επιθεωρητές καταρτίζουν έκθεση επιθεώρησης στη μορφή που ορίζεται στο παράρτημα VI.</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4. Οι επιθεωρητές υπογράφουν την έκθεση παρουσία του/της πλοιάρχου του σκάφους, </w:t>
            </w:r>
            <w:r w:rsidRPr="004126E0">
              <w:rPr>
                <w:b/>
                <w:i/>
              </w:rPr>
              <w:t>ο/η οποίος/-α δικαιούται να προσθέσει ή να ζητήσει να προστεθούν στην έκθεση τυχόν παρατηρήσεις που κρίνει σκόπιμες και τις οποίες οφείλει να υπογράψει.</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5. Αντίγραφα της έκθεσης παραδίδονται στον πλοίαρχο του σκάφους και στις αρχές του κλιμακίου επιθεώρη</w:t>
            </w:r>
            <w:r w:rsidRPr="004126E0">
              <w:rPr>
                <w:b/>
                <w:i/>
              </w:rPr>
              <w:t>σης, το οποίο διαβιβάζει αντίγραφα στις αρμόδιες αρχές του κράτους σημαίας του επιθεωρηθέντος σκάφους και στην Επιτροπή και/ή στον φορέα που ορίζεται από αυτήν. Η Επιτροπή διαβιβάζει το αντίγραφο στη γραμματεία της ΓΕΑΜ.</w:t>
            </w:r>
          </w:p>
        </w:tc>
        <w:tc>
          <w:tcPr>
            <w:tcW w:w="4876" w:type="dxa"/>
            <w:tcBorders>
              <w:top w:val="nil"/>
              <w:left w:val="nil"/>
              <w:bottom w:val="nil"/>
              <w:right w:val="nil"/>
            </w:tcBorders>
          </w:tcPr>
          <w:p w:rsidR="00DD5018" w:rsidRPr="004126E0" w:rsidRDefault="00DD5018" w:rsidP="00F37D8F">
            <w:pPr>
              <w:pStyle w:val="AmColumnHeading"/>
              <w:jc w:val="left"/>
              <w:rPr>
                <w:b/>
              </w:rPr>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6. Ο αριθμός των μελών του κλιμακ</w:t>
            </w:r>
            <w:r w:rsidRPr="004126E0">
              <w:rPr>
                <w:b/>
                <w:i/>
              </w:rPr>
              <w:t>ίου επιθεώρησης και η διάρκεια της επιθεώρησης καθορίζονται από τον επικεφαλής του σκάφους επιθεώρησης, ο οποίος λαμβάνει υπόψη όλες τις συναφείς περιστάσεις.</w:t>
            </w:r>
          </w:p>
        </w:tc>
        <w:tc>
          <w:tcPr>
            <w:tcW w:w="4876" w:type="dxa"/>
            <w:tcBorders>
              <w:top w:val="nil"/>
              <w:left w:val="nil"/>
              <w:bottom w:val="nil"/>
              <w:right w:val="nil"/>
            </w:tcBorders>
            <w:hideMark/>
          </w:tcPr>
          <w:p w:rsidR="00DD5018" w:rsidRPr="004126E0" w:rsidRDefault="00DD5018" w:rsidP="00F37D8F">
            <w:pPr>
              <w:rPr>
                <w:b/>
                <w:i/>
              </w:rPr>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 xml:space="preserve">Μεταφέρθηκε στις τελικές </w:t>
      </w:r>
      <w:r w:rsidRPr="004126E0">
        <w:t>διατάξεις που ισχύουν για όλους τους κανονισμούς βλ. νέα άρθρα 121α, 121β και 121γ.</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w:t>
      </w:r>
      <w:r w:rsidRPr="004126E0">
        <w:t xml:space="preserve"> παράγραφος 1 – σημείο 22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37 δ</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jc w:val="center"/>
            </w:pPr>
            <w:r w:rsidRPr="004126E0">
              <w:rPr>
                <w:b/>
                <w:i/>
              </w:rPr>
              <w:t>Άρθρο 37δ</w:t>
            </w:r>
          </w:p>
        </w:tc>
        <w:tc>
          <w:tcPr>
            <w:tcW w:w="4876" w:type="dxa"/>
            <w:tcBorders>
              <w:top w:val="nil"/>
              <w:left w:val="nil"/>
              <w:bottom w:val="nil"/>
              <w:right w:val="nil"/>
            </w:tcBorders>
            <w:hideMark/>
          </w:tcPr>
          <w:p w:rsidR="00DD5018" w:rsidRPr="004126E0" w:rsidRDefault="00EC7CD2" w:rsidP="00F37D8F">
            <w:pPr>
              <w:pStyle w:val="AmColumnHeading"/>
            </w:pPr>
            <w:r w:rsidRPr="004126E0">
              <w:rPr>
                <w:b/>
              </w:rPr>
              <w:t>διαγράφεται</w:t>
            </w: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rPr>
                <w:b/>
              </w:rPr>
              <w:t>Παραβάσεις</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Για τους σκοπούς του παρόντος άρθρου, οι ακόλουθες </w:t>
            </w:r>
            <w:r w:rsidRPr="004126E0">
              <w:rPr>
                <w:b/>
                <w:i/>
              </w:rPr>
              <w:t>δραστηριότητες νοούνται ως παραβάσεις:</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α)</w:t>
            </w:r>
            <w:r w:rsidRPr="004126E0">
              <w:rPr>
                <w:b/>
                <w:i/>
              </w:rPr>
              <w:tab/>
              <w:t>οι δραστηριότητες που αναφέρονται στο άρθρο 3 παράγραφος 1 στοιχεία α), β), γ), ε), στ), ζ) και η) του κανονισμού (ΕΚ) αριθ. 1005/2008·</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jc w:val="left"/>
            </w:pPr>
            <w:r w:rsidRPr="004126E0">
              <w:rPr>
                <w:b/>
              </w:rPr>
              <w:t>β)</w:t>
            </w:r>
            <w:r w:rsidRPr="004126E0">
              <w:rPr>
                <w:b/>
              </w:rPr>
              <w:tab/>
              <w:t>η παρεμβολή στο δορυφορικό σύστημα παρακολούθησης· και</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γ)</w:t>
            </w:r>
            <w:r w:rsidRPr="004126E0">
              <w:rPr>
                <w:b/>
                <w:i/>
              </w:rPr>
              <w:tab/>
              <w:t>η άσκηση δρ</w:t>
            </w:r>
            <w:r w:rsidRPr="004126E0">
              <w:rPr>
                <w:b/>
                <w:i/>
              </w:rPr>
              <w:t>αστηριότητας χωρίς VMS.</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2. Σε περίπτωση επιβίβασης και επιθεώρησης σε αλιευτικό σκάφος κατά τη διάρκεια της οποίας οι επιθεωρητές διαπιστώνουν παράβαση, οι αρχές του κράτους μέλους σημαίας του σκάφους επιθεώρησης ενημερώνουν πάραυτα την Επιτροπή, ή τον φ</w:t>
            </w:r>
            <w:r w:rsidRPr="004126E0">
              <w:rPr>
                <w:b/>
                <w:i/>
              </w:rPr>
              <w:t xml:space="preserve">ορέα που ορίζεται από αυτήν, που ειδοποιεί το κράτος σημαίας του επιθεωρηθέντος αλιευτικού σκάφους, τόσο απευθείας όσο και μέσω της γραμματείας της ΓΕΑΜ. Ενημερώνουν επίσης όλα τα πλοία επιθεώρησης του κράτους σημαίας του αλιευτικού σκάφους τα οποία είναι </w:t>
            </w:r>
            <w:r w:rsidRPr="004126E0">
              <w:rPr>
                <w:b/>
                <w:i/>
              </w:rPr>
              <w:t>γνωστό ότι βρίσκονται στην περιοχή.</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 xml:space="preserve">3. Το κράτος μέλος σημαίας του αλιευτικού σκάφους εξασφαλίζει ότι, μετά την επιθεώρηση κατά την οποία διαπιστώθηκε παράβαση, το συγκεκριμένο αλιευτικό σκάφος διακόπτει κάθε αλιευτική δραστηριότητα. Το κράτος μέλος </w:t>
            </w:r>
            <w:r w:rsidRPr="004126E0">
              <w:rPr>
                <w:b/>
                <w:i/>
              </w:rPr>
              <w:t>σημαίας διατάσσει το αλιευτικό σκάφος να κατευθυνθεί εντός 72 ωρών σε λιμένα που υποδεικνύει, όπου πρόκειται να διεξαχθεί έρευνα.</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rPr>
                <w:b/>
                <w:i/>
              </w:rPr>
              <w:t>4. Στην περίπτωση που στο πλαίσιο επιθεώρησης διαπιστώνεται παράβαση, οι δράσεις και οι επακόλουθες ενέργειες που αναλαμβάνο</w:t>
            </w:r>
            <w:r w:rsidRPr="004126E0">
              <w:rPr>
                <w:b/>
                <w:i/>
              </w:rPr>
              <w:t>νται από το κράτος μέλος σημαίας κοινοποιούνται στην Επιτροπή ή σε φορέα που ορίζεται από αυτήν. Η Επιτροπή ή ο φορέας που ορίζεται από αυτήν κοινοποιεί τις δράσεις και τις επακόλουθες ενέργειες που αναλαμβάνονται στη γραμματεία της ΓΕΑΜ.</w:t>
            </w:r>
          </w:p>
        </w:tc>
        <w:tc>
          <w:tcPr>
            <w:tcW w:w="4876" w:type="dxa"/>
            <w:tcBorders>
              <w:top w:val="nil"/>
              <w:left w:val="nil"/>
              <w:bottom w:val="nil"/>
              <w:right w:val="nil"/>
            </w:tcBorders>
          </w:tcPr>
          <w:p w:rsidR="00DD5018" w:rsidRPr="004126E0" w:rsidRDefault="00DD5018" w:rsidP="00F37D8F">
            <w:pPr>
              <w:pStyle w:val="AmColumnHeading"/>
              <w:jc w:val="left"/>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5. Οι αρχές των</w:t>
            </w:r>
            <w:r w:rsidRPr="004126E0">
              <w:rPr>
                <w:b/>
                <w:i/>
              </w:rPr>
              <w:t xml:space="preserve"> κρατών μελών ενεργούν επί των εκθέσεων επιθεώρησης, όπως αναφέρεται στο άρθρο 37 στοιχείο γ), επί του δελτίου πληροφοριών διόπτευσης που παρέχεται στο παράρτημα VII και επί των δηλώσεων που προκύπτουν από τον έλεγχο των εγγράφων από τους επιθεωρητές με αν</w:t>
            </w:r>
            <w:r w:rsidRPr="004126E0">
              <w:rPr>
                <w:b/>
                <w:i/>
              </w:rPr>
              <w:t>άλογο τρόπο, όπως θα ενεργούσαν επί των εκθέσεων και δηλώσεων εθνικών επιθεωρητών.».</w:t>
            </w:r>
          </w:p>
        </w:tc>
        <w:tc>
          <w:tcPr>
            <w:tcW w:w="4876" w:type="dxa"/>
            <w:tcBorders>
              <w:top w:val="nil"/>
              <w:left w:val="nil"/>
              <w:bottom w:val="nil"/>
              <w:right w:val="nil"/>
            </w:tcBorders>
            <w:hideMark/>
          </w:tcPr>
          <w:p w:rsidR="00DD5018" w:rsidRPr="004126E0" w:rsidRDefault="00DD5018" w:rsidP="00F37D8F"/>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Μεταφέρθηκε στις τελικές διατάξεις που ισχύουν για όλους τους κανονισμούς βλ. νέα άρθρα 121α, 121β και</w:t>
      </w:r>
      <w:r w:rsidRPr="004126E0">
        <w:t xml:space="preserve"> 121γ.</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w:t>
      </w:r>
      <w:r w:rsidRPr="004126E0">
        <w:t xml:space="preserve"> 1 – σημείο 23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46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(23α)</w:t>
            </w:r>
            <w:r w:rsidRPr="004126E0">
              <w:tab/>
            </w:r>
            <w:r w:rsidRPr="004126E0">
              <w:rPr>
                <w:b/>
                <w:i/>
              </w:rPr>
              <w:t>Το άρθρο 46 αντικαθίσταται από το ακόλουθο κείμενο:</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46</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Άρθρο 46</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Υποθαλάσσια </w:t>
            </w:r>
            <w:r w:rsidRPr="004126E0">
              <w:t>τηλεκατευθυνόμενα οχήματα (ROVs)</w:t>
            </w:r>
          </w:p>
        </w:tc>
        <w:tc>
          <w:tcPr>
            <w:tcW w:w="4876" w:type="dxa"/>
            <w:tcBorders>
              <w:top w:val="nil"/>
              <w:left w:val="nil"/>
              <w:bottom w:val="nil"/>
              <w:right w:val="nil"/>
            </w:tcBorders>
            <w:hideMark/>
          </w:tcPr>
          <w:p w:rsidR="00DD5018" w:rsidRPr="004126E0" w:rsidRDefault="00EC7CD2" w:rsidP="00F37D8F">
            <w:pPr>
              <w:pStyle w:val="Normal6a"/>
            </w:pPr>
            <w:r w:rsidRPr="004126E0">
              <w:t>Υποθαλάσσια τηλεκατευθυνόμενα οχήματα (ROVs)</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 xml:space="preserve"> </w:t>
            </w:r>
            <w:r w:rsidRPr="004126E0">
              <w:rPr>
                <w:b/>
                <w:i/>
              </w:rPr>
              <w:t>Απαγορεύεται</w:t>
            </w:r>
            <w:r w:rsidRPr="004126E0">
              <w:t xml:space="preserve"> η χρήση </w:t>
            </w:r>
            <w:r w:rsidRPr="004126E0">
              <w:rPr>
                <w:b/>
                <w:i/>
              </w:rPr>
              <w:t>υποθαλάσσιων</w:t>
            </w:r>
            <w:r w:rsidRPr="004126E0">
              <w:t xml:space="preserve"> τηλεκατευθυνόμενων οχημάτων (ROVs) </w:t>
            </w:r>
            <w:r w:rsidRPr="004126E0">
              <w:rPr>
                <w:b/>
                <w:i/>
              </w:rPr>
              <w:t>στην περιοχή που αναφέρεται στο άρθρο 38</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Η χρήση τηλεκατευθυνόμενων οχημάτων (ROVs) </w:t>
            </w:r>
            <w:r w:rsidRPr="004126E0">
              <w:rPr>
                <w:b/>
                <w:i/>
              </w:rPr>
              <w:t>επιτρέπεται έως το τ</w:t>
            </w:r>
            <w:r w:rsidRPr="004126E0">
              <w:rPr>
                <w:b/>
                <w:i/>
              </w:rPr>
              <w:t>έλος του ερευνητικού προγράμματος της ΓΕΑΜ μόνο για επιστημονικούς σκοπούς και εντός των εγκεκριμένων από τα κράτη μέλη ερευνητικών προγραμμάτων υπό την καθοδήγηση επιστημονικών ιδρυμάτων</w:t>
            </w:r>
            <w:r w:rsidRPr="004126E0">
              <w:t xml:space="preserve">. </w:t>
            </w:r>
            <w:r w:rsidRPr="004126E0">
              <w:rPr>
                <w:b/>
                <w:bCs/>
                <w:i/>
                <w:iCs/>
              </w:rPr>
              <w:t>Η χορήγηση τέτοιας έγκρισης δεν θίγει τα αυστηρότερα μέτρα που θεσπ</w:t>
            </w:r>
            <w:r w:rsidRPr="004126E0">
              <w:rPr>
                <w:b/>
                <w:bCs/>
                <w:i/>
                <w:iCs/>
              </w:rPr>
              <w:t>ίζουν τα κράτη μέλη.»</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(https://eur-lex.europa.eu/eli/reg/2023/2124)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GFCM/46/2023/13</w:t>
      </w:r>
    </w:p>
    <w:p w:rsidR="00DD5018" w:rsidRPr="004126E0" w:rsidRDefault="00EC7CD2" w:rsidP="00DD5018">
      <w:pPr>
        <w:pStyle w:val="AmNumberTabs"/>
      </w:pPr>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23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46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(23α)</w:t>
            </w:r>
            <w:r w:rsidRPr="004126E0">
              <w:tab/>
            </w:r>
            <w:r w:rsidRPr="004126E0">
              <w:rPr>
                <w:b/>
                <w:i/>
              </w:rPr>
              <w:t xml:space="preserve">Στο </w:t>
            </w:r>
            <w:r w:rsidRPr="004126E0">
              <w:rPr>
                <w:b/>
                <w:i/>
              </w:rPr>
              <w:t>άρθρο 46, η παράγραφος 2 αντικαθίσταται από την ακόλουθη:</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 Κατά παρέκκλιση από την παράγραφο 1, η χρήση ROV επιτρέπεται αποκλειστικά για επιστημονικούς σκοπούς στο πλαίσιο του ερευνητικού προγράμματος της ΓΕΑΜ έως το τέλος του εν λόγω προγράμματος.</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 xml:space="preserve">2. </w:t>
            </w:r>
            <w:r w:rsidRPr="004126E0">
              <w:t xml:space="preserve">Κατά παρέκκλιση από την παράγραφο 1, η χρήση ROV επιτρέπεται αποκλειστικά για επιστημονικούς σκοπούς στο πλαίσιο του ερευνητικού προγράμματος της ΓΕΑΜ έως το τέλος του εν λόγω προγράμματος </w:t>
            </w:r>
            <w:r w:rsidRPr="004126E0">
              <w:rPr>
                <w:b/>
                <w:i/>
              </w:rPr>
              <w:t>και εντός εγκεκριμένων από τα κράτη μέλη ερευνητικών προγραμμάτων υ</w:t>
            </w:r>
            <w:r w:rsidRPr="004126E0">
              <w:rPr>
                <w:b/>
                <w:i/>
              </w:rPr>
              <w:t>πό την καθοδήγηση επιστημονικών ιδρυμάτων</w:t>
            </w:r>
            <w:r w:rsidRPr="004126E0">
              <w:t xml:space="preserve">. </w:t>
            </w:r>
            <w:r w:rsidRPr="004126E0">
              <w:rPr>
                <w:b/>
                <w:bCs/>
                <w:i/>
                <w:iCs/>
              </w:rPr>
              <w:t>Η χορήγηση τέτοιας έγκρισης δεν θίγει τα αυστηρότερα μέτρα που θεσπίζουν τα κράτη μέλη.»</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GFCM/44/2024/2.</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24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55</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(24α)</w:t>
            </w:r>
            <w:r w:rsidRPr="004126E0">
              <w:tab/>
            </w:r>
            <w:r w:rsidRPr="004126E0">
              <w:rPr>
                <w:b/>
                <w:i/>
              </w:rPr>
              <w:t>Το άρθρο 55 αντικαθίσταται από το ακόλουθο κείμενο:</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55</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Ιχνηλασιμότητα των προϊόντων κόκκινων κοραλλιών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Τα κράτη μέλη εφαρμόζουν πλήρως το σύστημα τεκμηρίωσης των αλιευμάτων </w:t>
            </w:r>
            <w:r w:rsidRPr="004126E0">
              <w:rPr>
                <w:b/>
                <w:i/>
              </w:rPr>
              <w:t>κόκκινων κοραλλιών (CDS) σε ολόκληρη την αλυσίδα εφοδιασμού, προκειμένου να διασφαλίσουν την ιχνηλασιμότητα των κόκκινων κοραλλιών (Corallium rubrum) που αλιεύονται στη Μεσόγειο Θάλασσα και να συμβάλουν στην καταπολέμηση των δραστηριοτήτων παράνομης, αδήλω</w:t>
            </w:r>
            <w:r w:rsidRPr="004126E0">
              <w:rPr>
                <w:b/>
                <w:i/>
              </w:rPr>
              <w:t>της και ανεξέλεγκτης (ΠΑΑ)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Το σύστημα τεκμηρίωσης αλιευμάτων κόκκινων κοραλλιών σε έντυπη μορφή που θεσπίζεται στην παράγραφο 1 δεν θίγει άλλα ισχύοντα εθνικά συστήματα ιχνηλασιμότητας που διασφαλίζουν το ίδιο επίπεδο ελέγχου της ιχνηλασιμότη</w:t>
            </w:r>
            <w:r w:rsidRPr="004126E0">
              <w:rPr>
                <w:b/>
                <w:i/>
              </w:rPr>
              <w:t>τας των προϊόντων κόκκινων κοραλλιών από τα κράτη μέλη.</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Το σύστημα τεκμηρίωσης αλιευμάτων κόκκινων κοραλλιών σε έντυπη μορφή εφαρμόζεται στις πρώτες εκφορτώσεις, εξαγωγές και επανεξαγωγές. Το εγχώριο εμπόριο δεν περιλαμβάνεται στην αλυσίδα επικύρωσης.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Κατά παρέκκλιση από την παράγραφο 1, καθορίζεται μεταβατική περίοδος ενός έτους, κατά τη διάρκεια της οποίας τα κόκκινα κοράλλια που αποθηκεύονται πριν από την 1η Ιανουαρίου 2025 μπορούν να εξάγονται ή να επανεξάγονται χωρίς επικυρωμένο τμήμα αλιευμά</w:t>
            </w:r>
            <w:r w:rsidRPr="004126E0">
              <w:rPr>
                <w:b/>
                <w:i/>
              </w:rPr>
              <w:t>των στο πιστοποιητικό αλίευσης.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5. Προκειμένου να εξασφαλιστεί η σύνδεση μεταξύ των επικυρωμένων εγγράφων του συστήματος τεκμηρίωσης αλιευμάτων και των αποστολών κόκκινων κοραλλιών με τις οποίες σχετίζονται, τα κράτη μέλη θα μπορούσαν να θεσπίσουν </w:t>
            </w:r>
            <w:r w:rsidRPr="004126E0">
              <w:rPr>
                <w:b/>
                <w:i/>
              </w:rPr>
              <w:t>σύστημα επισήμανσης.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 Κάθε αποστολή κόκκινων κοραλλιών που εισάγεται, εξάγεται ή επανεξάγεται από την προέλευσή του συνοδεύεται από επικυρωμένο πιστοποιητικό, όπως αναφέρεται στο παράρτημα XX[RFR2], ή από ισοδύναμο έγγραφο, όπως το πιστοποιητικό συγκομ</w:t>
            </w:r>
            <w:r w:rsidRPr="004126E0">
              <w:rPr>
                <w:b/>
                <w:i/>
              </w:rPr>
              <w:t>ιδής που ισχύει στα κράτη μέλη εξαγωγής.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7. Κάθε πιστοποιητικό αλίευσης διαθέτει μοναδικό αριθμό ταυτοποίησης εγγράφου. Ο αριθμός αυτός είναι ειδικός για τα κράτη μέλη σημαίας και χορηγείται σε κάθε αλιέα ή αλιευτικό σκάφος. Τα πιστοποιητικά δεν είναι με</w:t>
            </w:r>
            <w:r w:rsidRPr="004126E0">
              <w:rPr>
                <w:b/>
                <w:i/>
              </w:rPr>
              <w:t>ταβιβάσιμα σε άλλον αλιέα ή σε άλλο αλιευτικό σκάφος.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8. Τα κράτη μέλη επικυρώνουν τα πιστοποιητικά αλίευσης μόνον αφού διαπιστωθεί ότι όλες οι πληροφορίες που περιλαμβάνονται στο σύστημα τεκμηρίωσης αλιευμάτων είναι ακριβείς, ως αποτέλεσμα της επαλήθευσ</w:t>
            </w:r>
            <w:r w:rsidRPr="004126E0">
              <w:rPr>
                <w:b/>
                <w:i/>
              </w:rPr>
              <w:t>ης των δικαιολογητικών εγγράφων και του αντίστοιχου φορτίου.</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9. Τα κράτη μέλη υποβάλλουν εκθέσεις στην Επιτροπή ή σε φορέα που ορίζεται από αυτήν σχετικά με το οικείο σύστημα τεκμηρίωσης αλιευμάτων, καθώς και τις πιθανές απαιτήσεις σήμανσης και ταυτοποίη</w:t>
            </w:r>
            <w:r w:rsidRPr="004126E0">
              <w:rPr>
                <w:b/>
                <w:i/>
              </w:rPr>
              <w:t>σης και τις απαιτήσεις ιχνηλασιμότητας και εντοπισμού για την αλίευση κόκκινων κοραλλιών, οι οποίες συνάδουν με τις διατάξεις του παρόντος άρθρου, ώστε να διασφαλίζεται αποτελεσματικά η επίτευξη του στόχου ιχνηλασιμότητας. Η Επιτροπή ή ο φορέας που ορίζετα</w:t>
            </w:r>
            <w:r w:rsidRPr="004126E0">
              <w:rPr>
                <w:b/>
                <w:i/>
              </w:rPr>
              <w:t>ι από αυτήν κοινοποιεί στη γραμματεία της ΓΕΑΜ το σύστημα τεκμηρίωσης αλιευμάτων κάθε κράτους μέλους.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10.Η επανεξαγωγή προϊόντων που εισάγονται βάσει πιστοποιητικού αλίευσης σύμφωνα με το παρόν άρθρο επιτρέπεται μέσω της επικύρωσης, από τις αρμόδιες αρχέ</w:t>
            </w:r>
            <w:r w:rsidRPr="004126E0">
              <w:rPr>
                <w:b/>
                <w:i/>
              </w:rPr>
              <w:t xml:space="preserve">ς των κρατών μελών από τα οποία πρόκειται να πραγματοποιηθεί η επανεξαγωγή, του τμήματος «επανεξαγωγή» του πιστοποιητικού αλίευσης που αναφέρεται στο παράρτημα ΧΧ ή αντιγράφου αυτού στο οποίο τα προς επανεξαγωγή αλιευτικά προϊόντα περιλαμβάνονται ως μέρος </w:t>
            </w:r>
            <w:r w:rsidRPr="004126E0">
              <w:rPr>
                <w:b/>
                <w:i/>
              </w:rPr>
              <w:t>των εισαγόμενων προϊόντων.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11. Όταν ένα κράτος μέλος διαπιστώνει μη συμμόρφωση με τις υποχρεώσεις που προβλέπονται στην παρούσα σύσταση, ενημερώνει τα κράτη μέλη σημαίας καθώς και 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12. Τα κράτη μέλη κοινοποιούν στην Επιτροπή ή σε</w:t>
            </w:r>
            <w:r w:rsidRPr="004126E0">
              <w:rPr>
                <w:b/>
                <w:i/>
              </w:rPr>
              <w:t xml:space="preserve"> φορέα που ορίζεται από αυτή τις αρμόδιες αρχές τους που είναι υπεύθυνες για την επικύρωση, τον έλεγχο και την επαλήθευση των πιστοποιητικών αλιευμάτων, καθώς και των σημείων επαφής του συστήματος τεκμηρίωσης αλιευμάτων, της σφραγίδας επικύρωσης και άλλων </w:t>
            </w:r>
            <w:r w:rsidRPr="004126E0">
              <w:rPr>
                <w:b/>
                <w:i/>
              </w:rPr>
              <w:t>πληροφοριών σχετικών με την εφαρμογή του συστήματος τεκμηρίωσης αλιευμάτων. Η Επιτροπή ή φορέας που ορίζεται από αυτήν κοινοποιεί στη γραμματεία της ΓΕΑΜ τις αρμόδιες αρχές και τα σημεία επαφής, καθώς και άλλες πληροφορίες σχετικές με την εφαρμογή του συστ</w:t>
            </w:r>
            <w:r w:rsidRPr="004126E0">
              <w:rPr>
                <w:b/>
                <w:i/>
              </w:rPr>
              <w:t>ήματος τεκμηρίωσης των αλιευμάτων.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13. Τα κράτη μέλη διατηρούν τα επικυρωμένα έντυπα πιστοποιητικά συγκομιδής κόκκινων κοραλλιών για περίοδο δέκα ετών.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14. Τα κράτη μέλη υποβάλλουν ετησίως έκθεση σχετικά με την εφαρμογή του έντυπου συστήματος </w:t>
            </w:r>
            <w:r w:rsidRPr="004126E0">
              <w:rPr>
                <w:b/>
                <w:i/>
              </w:rPr>
              <w:t>τεκμηρίωσης των αλιευμάτων κόκκινων κοραλλιών, παρέχοντας λεπτομερείς πληροφορίες και στατιστικά στοιχεία, μεταξύ άλλων, σχετικά με τις ετήσιες ποσότητες που επικυρώθηκαν, τις ετήσιες ποσότητες που αποτέλεσαν αντικείμενο εμπορίας, τον αριθμό των πιστοποιητ</w:t>
            </w:r>
            <w:r w:rsidRPr="004126E0">
              <w:rPr>
                <w:b/>
                <w:i/>
              </w:rPr>
              <w:t>ικών αλίευσης που επικυρώθηκαν και τυχόν σχετικά στοιχεία που θεωρείται ότι παρέχουν πληροφορίες σχετικά με την τρέχουσα κατάσταση. Τα κράτη μέλη υποβάλλουν την έκθεση στην Επιτροπή ή σε φορέα που ορίζεται από αυτή το αργότερο 45 ημέρες πριν από την ετήσια</w:t>
            </w:r>
            <w:r w:rsidRPr="004126E0">
              <w:rPr>
                <w:b/>
                <w:i/>
              </w:rPr>
              <w:t xml:space="preserve"> σύνοδο της επιτροπής συμμόρφωσης. Η Επιτροπή ή ο φορέας που ορίζεται από αυτή υποβάλλει τις εκθέσεις στη γραμματεία της ΓΕΑΜ το αργότερο 30 ημέρες πριν από την ετήσια σύνοδο της επιτροπής συμμόρφωσης.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w:t>
      </w:r>
      <w:r w:rsidRPr="004126E0">
        <w:t>η</w:t>
      </w:r>
      <w:r w:rsidRPr="004126E0">
        <w:rPr>
          <w:rStyle w:val="HideTWBExt"/>
        </w:rPr>
        <w:t>&lt;/TitreJust&gt;</w:t>
      </w:r>
    </w:p>
    <w:p w:rsidR="00DD5018" w:rsidRPr="004126E0" w:rsidRDefault="00EC7CD2" w:rsidP="00DD5018">
      <w:pPr>
        <w:pStyle w:val="AmJustText"/>
      </w:pPr>
      <w:r w:rsidRPr="004126E0">
        <w:t>GFCM/46/2023/19</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28</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59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ab/>
            </w:r>
            <w:r w:rsidRPr="004126E0">
              <w:rPr>
                <w:b/>
                <w:i/>
              </w:rPr>
              <w:t xml:space="preserve">Οι αλιευτικές δραστηριότητες με παραγάδια βυθού, απλάδια δίχτυα και μανωμένα δίχτυα στο πλαίσιο των οποίων </w:t>
            </w:r>
            <w:r w:rsidRPr="004126E0">
              <w:rPr>
                <w:b/>
                <w:i/>
              </w:rPr>
              <w:t>αλιεύονται αναπαραγωγικές συγκεντρώσεις μπακαλιάρου μερλούκιου διακόπτονται για 30 διαδοχικές ημέρες μεταξύ των μηνών Μαρτίου και Απριλίου. Τα κράτη μέλη κοινοποιούν στοιχεία σχετικά με τους εν λόγω χρονικούς περιορισμούς στην Επιτροπή έως την 31η Μαΐου κά</w:t>
            </w:r>
            <w:r w:rsidRPr="004126E0">
              <w:rPr>
                <w:b/>
                <w:i/>
              </w:rPr>
              <w:t>θε έτους. Η Επιτροπή διαβιβάζει αυτή την πληροφορία στη γραμματεία της ΓΕΑΜ έως τις 30 Ιουνίου κάθε έτους.</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&lt;/Mem</w:t>
      </w:r>
      <w:r w:rsidRPr="004126E0">
        <w:rPr>
          <w:rStyle w:val="HideTWBExt"/>
        </w:rPr>
        <w:t>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28</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59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2.</w:t>
            </w:r>
            <w:r w:rsidRPr="004126E0">
              <w:tab/>
            </w:r>
            <w:r w:rsidRPr="004126E0">
              <w:rPr>
                <w:b/>
                <w:i/>
              </w:rPr>
              <w:t>Από την 1η Ιουλίου έως τις 30 Σεπτεμβρίου κάθε έτους δεν επιτρέπονται αλιευτικές δραστηριότητες με τράτες βυθού, ανεξάρτητα από το ολικό μήκος των σκαφών, από την ακτή μέχρι την ισοβαθή των 200 μέτρων στη ΓΥΠ 14 (Κόλπος του Γκαμπές).</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31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63</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63</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Διεθνές κοινό πρόγραμμα επιθεώρησης και επιτήρησης</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 xml:space="preserve">. </w:t>
            </w:r>
            <w:r w:rsidRPr="004126E0">
              <w:rPr>
                <w:b/>
                <w:i/>
              </w:rPr>
              <w:t xml:space="preserve">Τα κράτη μέλη δύνανται να διενεργούν δραστηριότητες </w:t>
            </w:r>
            <w:r w:rsidRPr="004126E0">
              <w:rPr>
                <w:b/>
                <w:i/>
              </w:rPr>
              <w:t>επιθεώρησης και επιτήρησης στο πλαίσιο του διεθνούς κοινού προγράμματος επιθεώρησης και επιτήρησης («το πρόγραμμα»), οι οποίες καλύπτουν ύδατα εκτός της εθνικής τους δικαιοδοσίας, στις ΓΥ 12, 13, 14, 15 και 16, όπως ορίζονται στο παράρτημα Ι («περιοχή επιθ</w:t>
            </w:r>
            <w:r w:rsidRPr="004126E0">
              <w:rPr>
                <w:b/>
                <w:i/>
              </w:rPr>
              <w:t>εώρησης και επιτήρησης»).</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2. Τα κράτη μέλη δύνανται να ορίζουν επιθεωρητές και μέσα επιθεώρησης και να διενεργούν επιθεωρήσεις στο πλαίσιο του προγράμματος. Η Επιτροπή ή ο φορέας που ορίζεται από αυτή δύναται επίσης να ορίζει ενωσιακούς επιθεωρητές στο π</w:t>
            </w:r>
            <w:r w:rsidRPr="004126E0">
              <w:rPr>
                <w:b/>
                <w:i/>
              </w:rPr>
              <w:t>ρόγραμμα.</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3. Η Επιτροπή ή ο φορέας που ορίζεται από αυτή συντονίζει τις δραστηριότητες εποπτείας και επιθεώρησης για την Ένωση και δύναται να καταρτίζει, σε συντονισμό με τα οικεία κράτη μέλη, κοινό σχέδιο ανάπτυξης μέσων ώστε να δίνει τη δυνατότητα στην</w:t>
            </w:r>
            <w:r w:rsidRPr="004126E0">
              <w:rPr>
                <w:b/>
                <w:i/>
              </w:rPr>
              <w:t xml:space="preserve"> Ένωση να εκπληρώνει την υποχρέωσή της στο πλαίσιο του προγράμματος. Τα κράτη μέλη θεσπίζουν τα απαραίτητα μέτρα για να διευκολύνουν την υλοποίηση των εν λόγω σχεδίων, ιδίως όσον αφορά τους ανθρώπινους και υλικούς πόρους που απαιτούνται και τις περιόδους κ</w:t>
            </w:r>
            <w:r w:rsidRPr="004126E0">
              <w:rPr>
                <w:b/>
                <w:i/>
              </w:rPr>
              <w:t>αι τις γεωγραφικές περιοχές όπου πρόκειται να χρησιμοποιηθούν οι πόροι αυτοί.</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4. Το αργότερο έως την 31η Οκτωβρίου κάθε έτους, κάθε κράτος μέλος κοινοποιεί στην Επιτροπή ή στον φορέα που ορίζεται από αυτήν κατάλογο με τα ονόματα των εξουσιοδοτημένων επιθ</w:t>
            </w:r>
            <w:r w:rsidRPr="004126E0">
              <w:rPr>
                <w:b/>
                <w:i/>
              </w:rPr>
              <w:t>εωρητών για τη διενέργεια της επιθεώρησης και της επιτήρησης στην περιοχή που αναφέρεται στην παράγραφο 1, καθώς και τις ονομασίες των σκαφών και των αεροσκαφών που χρησιμοποιούνται για επιθεώρηση και επιτήρηση και τα οποία σκοπεύουν να διαθέσουν στο πρόγρ</w:t>
            </w:r>
            <w:r w:rsidRPr="004126E0">
              <w:rPr>
                <w:b/>
                <w:i/>
              </w:rPr>
              <w:t>αμμα για το επόμενο έτος. Η Επιτροπή ή ο φορέας που ορίζεται από αυτήν αποστέλλει τις εν λόγω πληροφορίες στη γραμματεία της ΓΕΑΜ έως την 1η Δεκεμβρίου κάθε έτους ή το συντομότερο δυνατόν πριν από την έναρξη των δραστηριοτήτων επιθεώρησης.</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5. Οι επιθεωρη</w:t>
            </w:r>
            <w:r w:rsidRPr="004126E0">
              <w:rPr>
                <w:b/>
                <w:i/>
              </w:rPr>
              <w:t>τές που ορίζονται για το πρόγραμμα φέρουν δελτίο ταυτότητας της ΓΕΑΜ που εκδόθηκε από τις αρμόδιες αρχές, το οποίο έχει τη μορφή που ορίζεται στο παράρτημα IV.</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6. Τα σκάφη με αρμοδιότητες επιβίβασης και επιθεώρησης σύμφωνα με το πρόγραμμα φέρουν ειδική σ</w:t>
            </w:r>
            <w:r w:rsidRPr="004126E0">
              <w:rPr>
                <w:b/>
                <w:i/>
              </w:rPr>
              <w:t>ημαία ή επισείοντα, όπως περιγράφεται στο παράρτημα V.</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7. Κάθε κράτος μέλος εξασφαλίζει ότι όλες οι πλατφόρμες επιθεώρησης που δικαιούνται να φέρουν τη σημαία του και δραστηριοποιούνται στην περιοχή που αναφέρεται στην παράγραφο 1 διατηρούν ασφαλή </w:t>
            </w:r>
            <w:r w:rsidRPr="004126E0">
              <w:rPr>
                <w:b/>
                <w:i/>
              </w:rPr>
              <w:t>επικοινωνία, καθημερινά εφόσον είναι δυνατόν, με όλες τις άλλες πλατφόρμες που δραστηριοποιούνται στην εν λόγω περιοχή, προκειμένου να ανταλλάσσουν τις απαραίτητες πληροφορίες για τον συντονισμό των δραστηριοτήτων.</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8. Κάθε κράτος μέλος που ασκεί δραστηρι</w:t>
            </w:r>
            <w:r w:rsidRPr="004126E0">
              <w:rPr>
                <w:b/>
                <w:i/>
              </w:rPr>
              <w:t>ότητα επιθεώρησης ή επιτήρησης στην περιοχή που αναφέρεται στην παράγραφο 1, κατά την είσοδό του στην περιοχή διαβιβάζει σε κάθε πλατφόρμα επιθεώρησης κατάλογο με τις διοπτεύσεις που καθορίζονται σύμφωνα με το παράρτημα VII, με τις επιβιβάσεις και επιθεωρή</w:t>
            </w:r>
            <w:r w:rsidRPr="004126E0">
              <w:rPr>
                <w:b/>
                <w:i/>
              </w:rPr>
              <w:t>σεις που διεξήγαγε κατά τις προηγούμενες 10 ημέρες, συμπεριλαμβανομένων των ημερομηνιών, των συντεταγμένων και κάθε άλλης συναφούς πληροφορίας.</w:t>
            </w:r>
          </w:p>
        </w:tc>
        <w:tc>
          <w:tcPr>
            <w:tcW w:w="4876" w:type="dxa"/>
            <w:tcBorders>
              <w:top w:val="nil"/>
              <w:left w:val="nil"/>
              <w:bottom w:val="nil"/>
              <w:right w:val="nil"/>
            </w:tcBorders>
          </w:tcPr>
          <w:p w:rsidR="00DD5018" w:rsidRPr="004126E0" w:rsidRDefault="00DD5018" w:rsidP="00F37D8F">
            <w:pPr>
              <w:pStyle w:val="Normal6a"/>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προστίθεται ως νέο άρ</w:t>
      </w:r>
      <w:r w:rsidRPr="004126E0">
        <w:t>θρο 121β.</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31 β (νέο)</w:t>
      </w:r>
      <w:r w:rsidRPr="004126E0">
        <w:rPr>
          <w:rStyle w:val="HideTWBExt"/>
        </w:rPr>
        <w:t>&lt;/Article&gt;</w:t>
      </w:r>
    </w:p>
    <w:p w:rsidR="00DD5018" w:rsidRPr="004126E0" w:rsidRDefault="00EC7CD2" w:rsidP="00DD5018">
      <w:r w:rsidRPr="004126E0">
        <w:rPr>
          <w:rStyle w:val="HideTWBExt"/>
        </w:rPr>
        <w:t>&lt;DocAmend2&gt;</w:t>
      </w:r>
      <w:r w:rsidRPr="004126E0">
        <w:t xml:space="preserve">Κανονισμός (ΕΕ) </w:t>
      </w:r>
      <w:r w:rsidRPr="004126E0">
        <w:t>2023/2124</w:t>
      </w:r>
      <w:r w:rsidRPr="004126E0">
        <w:rPr>
          <w:rStyle w:val="HideTWBExt"/>
        </w:rPr>
        <w:t>&lt;/DocAmend2&gt;</w:t>
      </w:r>
    </w:p>
    <w:p w:rsidR="00DD5018" w:rsidRPr="004126E0" w:rsidRDefault="00EC7CD2" w:rsidP="00DD5018">
      <w:r w:rsidRPr="004126E0">
        <w:rPr>
          <w:rStyle w:val="HideTWBExt"/>
        </w:rPr>
        <w:t>&lt;Article2&gt;</w:t>
      </w:r>
      <w:r w:rsidRPr="004126E0">
        <w:t>Άρθρο 64</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64</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Διεξαγωγή των επιθεωρήσεων</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 xml:space="preserve">. </w:t>
            </w:r>
            <w:r w:rsidRPr="004126E0">
              <w:rPr>
                <w:b/>
                <w:i/>
              </w:rPr>
              <w:t xml:space="preserve">Οι επιθεωρητές που ορίζονται για το πρόγραμμα:α) γνωστοποιούν στο αλιευτικό σκάφος, πριν από την επιβίβαση, την ονομασία </w:t>
            </w:r>
            <w:r w:rsidRPr="004126E0">
              <w:rPr>
                <w:b/>
                <w:i/>
              </w:rPr>
              <w:t>του σκάφους επιθεώρησης·β) τηρούν εμφανώς, επί του σκάφους επιθεώρησης και του σκάφους επιβίβασης, τον επισείοντα που περιγράφεται στο παράρτημα V·γ) περιορίζουν τον μέγιστο αριθμό επιθεωρητών κάθε κλιμακίου επιθεώρησης σε τρεις.</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2. Κατά την επιβίβαση στ</w:t>
            </w:r>
            <w:r w:rsidRPr="004126E0">
              <w:rPr>
                <w:b/>
                <w:i/>
              </w:rPr>
              <w:t>ο σκάφος, οι επιθεωρητές επιδεικνύουν το δελτίο ταυτότητας που περιγράφεται στο παράρτημα IV στον πλοίαρχο του αλιευτικού σκάφους. Οι επιθεωρήσεις διεξάγονται σε μία από τις επίσημες γλώσσες της ΓΕΑΜ και, εφόσον είναι δυνατόν, στη γλώσσα που ομιλεί ο πλοία</w:t>
            </w:r>
            <w:r w:rsidRPr="004126E0">
              <w:rPr>
                <w:b/>
                <w:i/>
              </w:rPr>
              <w:t>ρχος του αλιευτικού σκάφους.</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3. Οι επιθεωρητές καταρτίζουν έκθεση επιθεώρησης στη μορφή που ορίζεται στο παράρτημα VI.</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4. Οι επιθεωρητές υπογράφουν την έκθεση παρουσία του/της πλοιάρχου του σκάφους, ο/η οποίος/-α δικαιούται να προσθέσει ή να ζητήσει να</w:t>
            </w:r>
            <w:r w:rsidRPr="004126E0">
              <w:rPr>
                <w:b/>
                <w:i/>
              </w:rPr>
              <w:t xml:space="preserve"> προστεθούν στην έκθεση τυχόν παρατηρήσεις που κρίνει σκόπιμες και τις οποίες οφείλει να υπογράψει.</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5. Αντίγραφα της έκθεσης παραδίδονται στον πλοίαρχο του σκάφους και στις αρχές του κλιμακίου επιθεώρησης, το οποίο διαβιβάζει αντίγραφα στις αρμόδιες αρχέ</w:t>
            </w:r>
            <w:r w:rsidRPr="004126E0">
              <w:rPr>
                <w:b/>
                <w:i/>
              </w:rPr>
              <w:t>ς του κράτους σημαίας του επιθεωρηθέντος σκάφους και στην Επιτροπή και/ή στον φορέα που ορίζεται από αυτήν. Η Επιτροπή διαβιβάζει το αντίγραφο στη γραμματεία της ΓΕΑΜ.</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6. Ο αριθμός των μελών του κλιμακίου επιθεώρησης και η διάρκεια της επιθεώρησης καθορί</w:t>
            </w:r>
            <w:r w:rsidRPr="004126E0">
              <w:rPr>
                <w:b/>
                <w:i/>
              </w:rPr>
              <w:t>ζονται από τον επικεφαλής του σκάφους επιθεώρησης, ο οποίος λαμβάνει υπόψη όλες τις συναφείς περιστάσεις.</w:t>
            </w:r>
          </w:p>
        </w:tc>
        <w:tc>
          <w:tcPr>
            <w:tcW w:w="4876" w:type="dxa"/>
            <w:tcBorders>
              <w:top w:val="nil"/>
              <w:left w:val="nil"/>
              <w:bottom w:val="nil"/>
              <w:right w:val="nil"/>
            </w:tcBorders>
          </w:tcPr>
          <w:p w:rsidR="00DD5018" w:rsidRPr="004126E0" w:rsidRDefault="00DD5018" w:rsidP="00F37D8F">
            <w:pPr>
              <w:pStyle w:val="Normal6a"/>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προστίθεται ως νέο άρθρο 121α.</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189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 xml:space="preserve">Άρθρο 65 – </w:t>
      </w:r>
      <w:r w:rsidRPr="004126E0">
        <w:t>παράγραφος 5</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(32)</w:t>
            </w:r>
            <w:r w:rsidRPr="004126E0">
              <w:tab/>
            </w:r>
            <w:r w:rsidRPr="004126E0">
              <w:rPr>
                <w:b/>
                <w:i/>
              </w:rPr>
              <w:t>στο άρθρο 65, η παράγραφος 5 αντικαθίσταται από το ακόλουθο κείμενο:</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«5. Οι αρχές των κρατών μελών ενεργούν επί των εκθέσεων επιθεώρησης, όπως αναφέρεται στο άρθρο 64 </w:t>
            </w:r>
            <w:r w:rsidRPr="004126E0">
              <w:rPr>
                <w:b/>
                <w:i/>
              </w:rPr>
              <w:t>παράγραφος 3, επί των δελτίων πληροφοριών διόπτευσης που παρέχονται στο παράρτημα VII και επί των δηλώσεων που προκύπτουν από τον έλεγχο των εγγράφων από τους επιθεωρητές με ανάλογο τρόπο, όπως θα ενεργούσαν επί των εκθέσεων και δηλώσεων εθνικών επιθεωρητώ</w:t>
            </w:r>
            <w:r w:rsidRPr="004126E0">
              <w:rPr>
                <w:b/>
                <w:i/>
              </w:rPr>
              <w:t>ν που προβλέπονται σύμφωνα με την οικεία εθνική νομοθεσία.»·</w:t>
            </w:r>
          </w:p>
        </w:tc>
        <w:tc>
          <w:tcPr>
            <w:tcW w:w="4876" w:type="dxa"/>
            <w:tcBorders>
              <w:top w:val="nil"/>
              <w:left w:val="nil"/>
              <w:bottom w:val="nil"/>
              <w:right w:val="nil"/>
            </w:tcBorders>
          </w:tcPr>
          <w:p w:rsidR="00DD5018" w:rsidRPr="004126E0" w:rsidRDefault="00DD5018" w:rsidP="00F37D8F">
            <w:pPr>
              <w:pStyle w:val="Normal6a"/>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32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65</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65</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Παραβάσεις</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 xml:space="preserve">. </w:t>
            </w:r>
            <w:r w:rsidRPr="004126E0">
              <w:rPr>
                <w:b/>
                <w:i/>
              </w:rPr>
              <w:t xml:space="preserve">Για τους σκοπούς του παρόντος άρθρου, οι </w:t>
            </w:r>
            <w:r w:rsidRPr="004126E0">
              <w:rPr>
                <w:b/>
                <w:i/>
              </w:rPr>
              <w:t>ακόλουθες δραστηριότητες νοούνται ως παραβάσεις:α) οι δραστηριότητες που αναφέρονται στο άρθρο 3 παράγραφος 1 στοιχεία α), β), γ), ε), στ), ζ) και η) του κανονισμού (ΕΚ) αριθ. 1005/2008·β) η παρεμβολή στο δορυφορικό σύστημα παρακολούθησης· καιγ) η άσκηση δ</w:t>
            </w:r>
            <w:r w:rsidRPr="004126E0">
              <w:rPr>
                <w:b/>
                <w:i/>
              </w:rPr>
              <w:t>ραστηριότητας χωρίς VMS.</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2. Σε περίπτωση επιβίβασης και επιθεώρησης σε αλιευτικό σκάφος κατά τη διάρκεια της οποίας οι επιθεωρητές διαπιστώνουν παράβαση, οι αρχές του κράτους μέλους σημαίας του σκάφους επιθεώρησης ενημερώνουν πάραυτα την Επιτροπή, ή τον </w:t>
            </w:r>
            <w:r w:rsidRPr="004126E0">
              <w:rPr>
                <w:b/>
                <w:i/>
              </w:rPr>
              <w:t>φορέα που ορίζεται από αυτήν, που ειδοποιεί το κράτος σημαίας του επιθεωρηθέντος αλιευτικού σκάφους, τόσο απευθείας όσο και μέσω της γραμματείας της ΓΕΑΜ. Ενημερώνουν επίσης όλα τα πλοία επιθεώρησης του κράτους σημαίας του αλιευτικού σκάφους τα οποία είναι</w:t>
            </w:r>
            <w:r w:rsidRPr="004126E0">
              <w:rPr>
                <w:b/>
                <w:i/>
              </w:rPr>
              <w:t xml:space="preserve"> γνωστό ότι βρίσκονται στην περιοχή.</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Το κράτος μέλος σημαίας του σκάφους εξασφαλίζει ότι, μετά την επιθεώρηση κατά την οποία διαπιστώθηκε παράβαση, το συγκεκριμένο αλιευτικό σκάφος διακόπτει κάθε αλιευτική δραστηριότητα. Το κράτος μέλος σημαίας </w:t>
            </w:r>
            <w:r w:rsidRPr="004126E0">
              <w:rPr>
                <w:b/>
                <w:i/>
              </w:rPr>
              <w:t>διατάσσει το αλιευτικό σκάφος να κατευθυνθεί εντός 72 ωρών σε σημείο εκφόρτωσης που υποδεικνύει, όπου πρόκειται να διεξαχθεί έρευνα.</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4. Στην περίπτωση που στο πλαίσιο επιθεώρησης διαπιστώνεται παράβαση, οι δράσεις και οι επακόλουθες ενέργειες που αναλαμβ</w:t>
            </w:r>
            <w:r w:rsidRPr="004126E0">
              <w:rPr>
                <w:b/>
                <w:i/>
              </w:rPr>
              <w:t>άνονται από το κράτος μέλος σημαίας κοινοποιούνται στην Επιτροπή ή σε φορέα που ορίζεται από αυτήν. Η Επιτροπή ή ο φορέας που ορίζεται από αυτήν κοινοποιεί τις δράσεις και τις επακόλουθες ενέργειες που αναλαμβάνονται στη γραμματεία της ΓΕΑΜ.</w:t>
            </w:r>
          </w:p>
        </w:tc>
        <w:tc>
          <w:tcPr>
            <w:tcW w:w="4876" w:type="dxa"/>
            <w:tcBorders>
              <w:top w:val="nil"/>
              <w:left w:val="nil"/>
              <w:bottom w:val="nil"/>
              <w:right w:val="nil"/>
            </w:tcBorders>
          </w:tcPr>
          <w:p w:rsidR="00DD5018" w:rsidRPr="004126E0" w:rsidRDefault="00DD5018" w:rsidP="00F37D8F">
            <w:pPr>
              <w:pStyle w:val="Normal6a"/>
            </w:pP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5. Οι αρχές </w:t>
            </w:r>
            <w:r w:rsidRPr="004126E0">
              <w:rPr>
                <w:b/>
                <w:i/>
              </w:rPr>
              <w:t>των κρατών μελών ενεργούν επί των εκθέσεων επιθεώρησης, όπως αναφέρεται στο άρθρο 64 παράγραφος 3, και επί των δηλώσεων που προκύπτουν από τον έλεγχο των εγγράφων από τους επιθεωρητές με ανάλογο τρόπο, όπως θα ενεργούσαν επί των εκθέσεων και δηλώσεων εθνικ</w:t>
            </w:r>
            <w:r w:rsidRPr="004126E0">
              <w:rPr>
                <w:b/>
                <w:i/>
              </w:rPr>
              <w:t>ών επιθεωρητών.</w:t>
            </w:r>
          </w:p>
        </w:tc>
        <w:tc>
          <w:tcPr>
            <w:tcW w:w="4876" w:type="dxa"/>
            <w:tcBorders>
              <w:top w:val="nil"/>
              <w:left w:val="nil"/>
              <w:bottom w:val="nil"/>
              <w:right w:val="nil"/>
            </w:tcBorders>
          </w:tcPr>
          <w:p w:rsidR="00DD5018" w:rsidRPr="004126E0" w:rsidRDefault="00DD5018" w:rsidP="00F37D8F">
            <w:pPr>
              <w:pStyle w:val="Normal6a"/>
            </w:pP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προστίθεται ως νέο άρθρο 121γ.</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34</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72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r>
            <w:r w:rsidRPr="004126E0">
              <w:rPr>
                <w:b/>
                <w:bCs/>
                <w:i/>
                <w:iCs/>
              </w:rPr>
              <w:t>Κατά παρέκκλιση</w:t>
            </w:r>
            <w:r w:rsidRPr="004126E0">
              <w:rPr>
                <w:b/>
                <w:bCs/>
                <w:i/>
                <w:iCs/>
              </w:rPr>
              <w:t xml:space="preserve"> από το άρθρο 9 του κανονισμού (ΕΚ) αριθ. 1224/2009 του Συμβουλίου,</w:t>
            </w:r>
            <w:r w:rsidRPr="004126E0">
              <w:t xml:space="preserve"> οι αδειοδοτημένες τράτες ολικού μήκους (LOA) άνω των </w:t>
            </w:r>
            <w:r w:rsidRPr="004126E0">
              <w:rPr>
                <w:b/>
                <w:bCs/>
                <w:i/>
                <w:iCs/>
              </w:rPr>
              <w:t>12</w:t>
            </w:r>
            <w:r w:rsidRPr="004126E0">
              <w:t xml:space="preserve"> μέτρων που αλιεύουν εντός του πεδίου εφαρμογής του παρόντος τμήματος είναι εξοπλισμένες με δορυφορικό VMS. </w:t>
            </w:r>
            <w:r w:rsidRPr="004126E0">
              <w:rPr>
                <w:b/>
                <w:bCs/>
                <w:i/>
                <w:iCs/>
              </w:rPr>
              <w:t>Κατά παρέκκλιση από το άρ</w:t>
            </w:r>
            <w:r w:rsidRPr="004126E0">
              <w:rPr>
                <w:b/>
                <w:bCs/>
                <w:i/>
                <w:iCs/>
              </w:rPr>
              <w:t>θρο 9 παράγραφος 3 του κανονισμού (ΕΚ) αριθ. 1224/2009 του Συμβουλίου,</w:t>
            </w:r>
            <w:r w:rsidRPr="004126E0">
              <w:t xml:space="preserve"> οι αδειοδοτημένες τράτες ολικού μήκους (LOA) κάτω των </w:t>
            </w:r>
            <w:r w:rsidRPr="004126E0">
              <w:rPr>
                <w:b/>
                <w:bCs/>
                <w:i/>
                <w:iCs/>
              </w:rPr>
              <w:t>9</w:t>
            </w:r>
            <w:r w:rsidRPr="004126E0">
              <w:t> μέτρων είναι εξοπλισμένες με κατάλληλο σύστημα γεωγραφικού εντοπισμού.</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Οι αδειοδοτημένες τράτες ολικού μήκους (LOA) άνω των </w:t>
            </w:r>
            <w:r w:rsidRPr="004126E0">
              <w:rPr>
                <w:b/>
                <w:bCs/>
                <w:i/>
                <w:iCs/>
              </w:rPr>
              <w:t>25</w:t>
            </w:r>
            <w:r w:rsidRPr="004126E0">
              <w:t xml:space="preserve"> μέτρων που αλιεύουν εντός του πεδίου εφαρμογής του παρόντος τμήματος είναι εξοπλισμένες με δορυφορικό VMS. Οι αδειοδοτημένες τράτες ολικού μήκους (LOA) κάτω των </w:t>
            </w:r>
            <w:r w:rsidRPr="004126E0">
              <w:rPr>
                <w:b/>
                <w:bCs/>
                <w:i/>
                <w:iCs/>
              </w:rPr>
              <w:t>18</w:t>
            </w:r>
            <w:r w:rsidRPr="004126E0">
              <w:t> μέτρων είναι εξοπλισμένες με κατάλληλο σύστημα γεωγραφικού εντοπισμού.</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w:t>
      </w:r>
      <w:r w:rsidRPr="004126E0">
        <w:t>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35</w:t>
      </w:r>
      <w:r w:rsidRPr="004126E0">
        <w:rPr>
          <w:rStyle w:val="HideTWBExt"/>
        </w:rPr>
        <w:t>&lt;/Article&gt;</w:t>
      </w:r>
    </w:p>
    <w:p w:rsidR="00DD5018" w:rsidRPr="004126E0" w:rsidRDefault="00EC7CD2" w:rsidP="00DD5018">
      <w:r w:rsidRPr="004126E0">
        <w:rPr>
          <w:rStyle w:val="HideTWBExt"/>
        </w:rPr>
        <w:t>&lt;DocAmend2&gt;</w:t>
      </w:r>
      <w:r w:rsidRPr="004126E0">
        <w:t xml:space="preserve">Κανονισμός (ΕΕ) </w:t>
      </w:r>
      <w:r w:rsidRPr="004126E0">
        <w:t>2023/2124</w:t>
      </w:r>
      <w:r w:rsidRPr="004126E0">
        <w:rPr>
          <w:rStyle w:val="HideTWBExt"/>
        </w:rPr>
        <w:t>&lt;/DocAmend2&gt;</w:t>
      </w:r>
    </w:p>
    <w:p w:rsidR="00DD5018" w:rsidRPr="004126E0" w:rsidRDefault="00EC7CD2" w:rsidP="00DD5018">
      <w:r w:rsidRPr="004126E0">
        <w:rPr>
          <w:rStyle w:val="HideTWBExt"/>
        </w:rPr>
        <w:t>&lt;Article2&gt;</w:t>
      </w:r>
      <w:r w:rsidRPr="004126E0">
        <w:t>Άρθρο 73</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Το παρόν τμήμα εφαρμόζεται σε όλες τις αλιευτικές δραστηριότητες στο πλαίσιο των οποίων αλιεύονται βασικά αποθέματα μικρών πελαγικών ειδών (γαύρος και </w:t>
            </w:r>
            <w:r w:rsidRPr="004126E0">
              <w:t>σαρδέλα) στις ΓΥΠ 17 και 18, όπως προβλέπεται στο παράρτημα I.».</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Το παρόν τμήμα εφαρμόζεται σε όλες τις αλιευτικές δραστηριότητες στο πλαίσιο των οποίων αλιεύονται βασικά αποθέματα μικρών πελαγικών ειδών (γαύρος </w:t>
            </w:r>
            <w:r w:rsidRPr="004126E0">
              <w:rPr>
                <w:b/>
                <w:i/>
              </w:rPr>
              <w:t>- Engraulis encrasicolus</w:t>
            </w:r>
            <w:r w:rsidRPr="004126E0">
              <w:t xml:space="preserve">και σαρδέλα </w:t>
            </w:r>
            <w:r w:rsidRPr="004126E0">
              <w:rPr>
                <w:b/>
                <w:i/>
              </w:rPr>
              <w:t>- Sardin</w:t>
            </w:r>
            <w:r w:rsidRPr="004126E0">
              <w:rPr>
                <w:b/>
                <w:i/>
              </w:rPr>
              <w:t>a pilchardus</w:t>
            </w:r>
            <w:r w:rsidRPr="004126E0">
              <w:t>) στις ΓΥΠ 17 και 18, όπως προβλέπεται στο παράρτημα I.».</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Τροποποίηση της παραγράφου 39 στο άρθρο 77α (αριθμός ημερών και περίοδος του έτους, από GFCM/2024/3, παράγραφος 3.</w:t>
      </w:r>
    </w:p>
    <w:p w:rsidR="00DD5018" w:rsidRPr="004126E0" w:rsidRDefault="00EC7CD2" w:rsidP="00DD5018">
      <w:pPr>
        <w:pStyle w:val="AmJustText"/>
      </w:pPr>
      <w:r w:rsidRPr="004126E0">
        <w:t>Προσθήκη της παραγράφου 4 στο άρθρο 78 – από GFCM/2024/3, παράγραφος 5.</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Stephen Nikola Bartulica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 xml:space="preserve">Άρθρο 1 – </w:t>
      </w:r>
      <w:r w:rsidRPr="004126E0">
        <w:t>παράγραφος 1 – σημείο 35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74 – παράγραφος 5</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(35α)</w:t>
            </w:r>
            <w:r w:rsidRPr="004126E0">
              <w:rPr>
                <w:b/>
                <w:i/>
              </w:rPr>
              <w:tab/>
              <w:t>Στο άρθρο 74, η παράγραφος 5 απαλείφεται.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Το άρθρο 74 παράγραφος 5 του κανονισμού (ΕΕ) 2023/2124 θα υπερέβαινε το πεδίο εφαρμογής της σύστασης GFCM/44/2021/20 της ΓΕΑΜ και θα επέβαλλε πρόσθετα μέτρα και περιορισμούς στα κράτη μέλη.</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António Tânger Corrêa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36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74 β</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Τα αλιεύματα στοχευόμενων ειδών καθώς και αλιεύματα μη στοχευόμενων ειδών άνω των 50 kg δηλώνονται με ηλεκτρονικά μέσα από σκάφη μήκους άνω των </w:t>
            </w:r>
            <w:r w:rsidRPr="004126E0">
              <w:rPr>
                <w:b/>
                <w:bCs/>
                <w:i/>
                <w:iCs/>
              </w:rPr>
              <w:t>12</w:t>
            </w:r>
            <w:r w:rsidRPr="004126E0">
              <w:t xml:space="preserve"> μέτρων και από </w:t>
            </w:r>
            <w:r w:rsidRPr="004126E0">
              <w:t>σκάφη που αλιεύουν πάνω από 10 000 kg ετησίως, ανεξάρτητα από το μήκος τους.</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Τα αλιεύματα στοχευόμενων ειδών καθώς και αλιεύματα μη στοχευόμενων ειδών άνω των 50 kg δηλώνονται με ηλεκτρονικά μέσα από σκάφη μήκους άνω των </w:t>
            </w:r>
            <w:r w:rsidRPr="004126E0">
              <w:rPr>
                <w:b/>
                <w:bCs/>
                <w:i/>
                <w:iCs/>
              </w:rPr>
              <w:t>18</w:t>
            </w:r>
            <w:r w:rsidRPr="004126E0">
              <w:t> μέτρων και από σκάφη που αλιεύου</w:t>
            </w:r>
            <w:r w:rsidRPr="004126E0">
              <w:t>ν πάνω από 10 000 kg ετησίως, ανεξάρτητα από το μήκος τους.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France Jamet, Ton Diepeveen</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40</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79 – παράγραφος 10</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10.</w:t>
            </w:r>
            <w:r w:rsidRPr="004126E0">
              <w:tab/>
            </w:r>
            <w:r w:rsidRPr="004126E0">
              <w:rPr>
                <w:b/>
                <w:i/>
              </w:rPr>
              <w:t xml:space="preserve">Κατά παρέκκλιση από το άρθρο 9 του </w:t>
            </w:r>
            <w:r w:rsidRPr="004126E0">
              <w:rPr>
                <w:b/>
                <w:i/>
              </w:rPr>
              <w:t>κανονισμού (ΕΚ) αριθ. 1224/2009, έως την 1η Ιανουαρίου 2024, όλα τα αδειοδοτημένα σκάφη βάσει του παρόντος κεφαλαίου, ολικού μήκους (LOA) άνω των 10 μέτρων, είναι εξοπλισμένα με σύστημα παρακολούθησης σκαφών (VMS) ή οποιοδήποτε άλλο σύστημα γεωεντοπισμού π</w:t>
            </w:r>
            <w:r w:rsidRPr="004126E0">
              <w:rPr>
                <w:b/>
                <w:i/>
              </w:rPr>
              <w:t>ου παρέχει στις αρχές ελέγχου τη δυνατότητα να παρακολουθούν τη δραστηριότητά τους ανά πάσα στιγμή κατά τη διάρκεια των αλιευτικών ταξιδιών.</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196</w:t>
      </w:r>
      <w:r w:rsidRPr="004126E0">
        <w:rPr>
          <w:rStyle w:val="HideTWBExt"/>
        </w:rPr>
        <w:t>&lt;/NumAm&gt;</w:t>
      </w:r>
    </w:p>
    <w:p w:rsidR="00DD5018" w:rsidRPr="004126E0" w:rsidRDefault="00EC7CD2" w:rsidP="00DD5018">
      <w:pPr>
        <w:pStyle w:val="NormalBold"/>
      </w:pPr>
      <w:r w:rsidRPr="004126E0">
        <w:rPr>
          <w:rStyle w:val="HideTWBExt"/>
        </w:rPr>
        <w:t>&lt;RepeatBlock-By&gt;&lt;Member</w:t>
      </w:r>
      <w:r w:rsidRPr="004126E0">
        <w:rPr>
          <w:rStyle w:val="HideTWBExt"/>
        </w:rPr>
        <w:t>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42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81</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(42α)</w:t>
            </w:r>
            <w:r w:rsidRPr="004126E0">
              <w:tab/>
            </w:r>
            <w:r w:rsidRPr="004126E0">
              <w:rPr>
                <w:b/>
                <w:i/>
              </w:rPr>
              <w:t>Το άρθρο 81 αντικαθίσταται από το ακόλουθο κείμενο:</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Πεδίο εφαρμογής</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Πεδίο εφαρμογής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Το παρόν κεφάλαιο εφαρμόζεται σε </w:t>
            </w:r>
            <w:r w:rsidRPr="004126E0">
              <w:rPr>
                <w:b/>
                <w:i/>
              </w:rPr>
              <w:t>όλες τις εμπορικές</w:t>
            </w:r>
            <w:r w:rsidRPr="004126E0">
              <w:t xml:space="preserve"> αλιευτικές δραστηριότητες στο πλαίσιο των οποίων αλιεύεται κυνηγός (Coryphaena hippurus) με τη χρήση δ</w:t>
            </w:r>
            <w:r w:rsidRPr="004126E0">
              <w:t xml:space="preserve">ιατάξεων συγκέντρωσης ιχθύων (FAD) </w:t>
            </w:r>
            <w:r w:rsidRPr="004126E0">
              <w:rPr>
                <w:b/>
                <w:i/>
              </w:rPr>
              <w:t>σε ολόκληρη τη Μεσόγειο Θάλασσα (ΓΥ 1 έως 27)</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Το παρόν κεφάλαιο εφαρμόζεται σε </w:t>
            </w:r>
            <w:r w:rsidRPr="004126E0">
              <w:rPr>
                <w:b/>
                <w:i/>
              </w:rPr>
              <w:t>πελαγικές</w:t>
            </w:r>
            <w:r w:rsidRPr="004126E0">
              <w:t xml:space="preserve"> αλιευτικές δραστηριότητες </w:t>
            </w:r>
            <w:r w:rsidRPr="004126E0">
              <w:rPr>
                <w:b/>
                <w:i/>
              </w:rPr>
              <w:t>στη Μεσόγειο Θάλασσα (ΓΥ 1 έως 27)</w:t>
            </w:r>
            <w:r w:rsidRPr="004126E0">
              <w:t xml:space="preserve"> στο πλαίσιο των οποίων αλιεύεται κυνηγός (Coryphaena hippurus) με τη χ</w:t>
            </w:r>
            <w:r w:rsidRPr="004126E0">
              <w:t xml:space="preserve">ρήση διατάξεων συγκέντρωσης ιχθύων (FAD) </w:t>
            </w:r>
            <w:r w:rsidRPr="004126E0">
              <w:rPr>
                <w:b/>
                <w:i/>
              </w:rPr>
              <w:t>καθώς και στην ερασιτεχνική αλιεία.»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GFCM/46/2023/14 para 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42 β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83</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83</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(42β)</w:t>
            </w:r>
            <w:r w:rsidRPr="004126E0">
              <w:tab/>
            </w:r>
            <w:r w:rsidRPr="004126E0">
              <w:rPr>
                <w:b/>
                <w:i/>
              </w:rPr>
              <w:t>Το άρθρο 83 αντικαθίσταται από το ακόλουθο κείμενο:</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Μεταβατικά μέτρα διαχείρισης</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Μεταβατικά μέτρα διαχείρισης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Τα κράτη μέλη </w:t>
            </w:r>
            <w:r w:rsidRPr="004126E0">
              <w:rPr>
                <w:b/>
                <w:i/>
              </w:rPr>
              <w:t xml:space="preserve">που εξετάζουν το ενδεχόμενο να αρχίσουν να αλιεύουν κυνηγό με τη χρήση διατάξεων συγκέντρωσης ιχθύων (FAD) </w:t>
            </w:r>
            <w:r w:rsidRPr="004126E0">
              <w:rPr>
                <w:b/>
                <w:i/>
              </w:rPr>
              <w:t>υποβάλλουν στην Επιτροπή τα εθνικά τους μέτρα μόλις θεσπιστούν και η Επιτροπή διαβιβάζει τα εν λόγω μέτρα στη γραμματεία της</w:t>
            </w:r>
            <w:r w:rsidRPr="004126E0">
              <w:t xml:space="preserve"> ΓΕΑΜ </w:t>
            </w:r>
            <w:r w:rsidRPr="004126E0">
              <w:rPr>
                <w:b/>
                <w:i/>
              </w:rPr>
              <w:t>χωρίς καθυστέρηση.</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Θεσπίζεται μεταβατικό αλιευτικό καθεστώς για την αλιεία με τη χρήση FAD έως τις 31 Δεκεμβρίου 2026. </w:t>
            </w:r>
            <w:r w:rsidRPr="004126E0">
              <w:t>«</w:t>
            </w:r>
            <w:r w:rsidRPr="004126E0">
              <w:rPr>
                <w:b/>
                <w:i/>
              </w:rPr>
              <w:t xml:space="preserve">Κατά </w:t>
            </w:r>
            <w:r w:rsidRPr="004126E0">
              <w:rPr>
                <w:b/>
                <w:i/>
              </w:rPr>
              <w:t>τη διάρκεια της μεταβατικής περιόδου,</w:t>
            </w:r>
            <w:r w:rsidRPr="004126E0">
              <w:t xml:space="preserve"> τα κράτη μέλη </w:t>
            </w:r>
            <w:r w:rsidRPr="004126E0">
              <w:rPr>
                <w:b/>
                <w:i/>
              </w:rPr>
              <w:t>διασφαλίζουν ότι καθορίζεται όριο αλιευμάτων με βάση τις αναφερόμενες εκφορτώσεις στη</w:t>
            </w:r>
            <w:r w:rsidRPr="004126E0">
              <w:t xml:space="preserve"> ΓΕΑΜ </w:t>
            </w:r>
            <w:r w:rsidRPr="004126E0">
              <w:rPr>
                <w:b/>
                <w:i/>
              </w:rPr>
              <w:t xml:space="preserve">ως εξής: </w:t>
            </w:r>
            <w:r w:rsidRPr="004126E0">
              <w:rPr>
                <w:b/>
                <w:bCs/>
                <w:i/>
                <w:iCs/>
              </w:rPr>
              <w:t>είτε i) βάσει του μέσου όρου των εκφορτώσεων οποιωνδήποτε δύο ετών κατά την περίοδο 2018-2022 είτε ii) β</w:t>
            </w:r>
            <w:r w:rsidRPr="004126E0">
              <w:rPr>
                <w:b/>
                <w:bCs/>
                <w:i/>
                <w:iCs/>
              </w:rPr>
              <w:t>άσει των εκφορτώσεων του 2022.»</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GFCM/46/2023/14 παράγραφος 11.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w:t>
      </w:r>
      <w:r w:rsidRPr="004126E0">
        <w:rPr>
          <w:rStyle w:val="HideTWBExt"/>
        </w:rPr>
        <w:t>&gt;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42 γ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84</w:t>
      </w:r>
      <w:r w:rsidRPr="004126E0">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84</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(42γ)</w:t>
            </w:r>
            <w:r w:rsidRPr="004126E0">
              <w:tab/>
            </w:r>
            <w:r w:rsidRPr="004126E0">
              <w:rPr>
                <w:b/>
                <w:i/>
              </w:rPr>
              <w:t>Στο άρθρο 84α παρεμβάλλεται η</w:t>
            </w:r>
            <w:r w:rsidRPr="004126E0">
              <w:rPr>
                <w:b/>
                <w:i/>
              </w:rPr>
              <w:t xml:space="preserve"> ακόλουθη νέα παράγραφος 3:</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Επιστημονική παρακολούθηση, προσαρμογή και αναθεώρηση των μέτρων διαχείρισης</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Επιστημονική παρακολούθηση, προσαρμογή και αναθεώρηση των μέτρων διαχείρισης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 Τα κράτη μέλη παρακολουθούν τις βιολογικές και περιβαλλοντικές επιπτ</w:t>
            </w:r>
            <w:r w:rsidRPr="004126E0">
              <w:t>ώσεις των διατάξεων συγκέντρωσης ιχθύων που χρησιμοποιούνται από σκάφη που φέρουν τη σημαία τους και εκμεταλλεύονται κυνηγό.</w:t>
            </w:r>
          </w:p>
        </w:tc>
        <w:tc>
          <w:tcPr>
            <w:tcW w:w="4876" w:type="dxa"/>
            <w:tcBorders>
              <w:top w:val="nil"/>
              <w:left w:val="nil"/>
              <w:bottom w:val="nil"/>
              <w:right w:val="nil"/>
            </w:tcBorders>
            <w:hideMark/>
          </w:tcPr>
          <w:p w:rsidR="00DD5018" w:rsidRPr="004126E0" w:rsidRDefault="00EC7CD2" w:rsidP="00F37D8F">
            <w:pPr>
              <w:pStyle w:val="Normal6a"/>
            </w:pPr>
            <w:r w:rsidRPr="004126E0">
              <w:t>1. Τα κράτη μέλη παρακολουθούν τις βιολογικές και περιβαλλοντικές επιπτώσεις των διατάξεων συγκέντρωσης ιχθύων που χρησιμοποιούνται</w:t>
            </w:r>
            <w:r w:rsidRPr="004126E0">
              <w:t xml:space="preserve"> από σκάφη που φέρουν τη σημαία τους και εκμεταλλεύονται κυνηγό.</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 Για να διευκολυνθεί η παροχή συμβουλών από την ΕΣΕ όσον αφορά την αναθεώρηση των μέτρων που προβλέπονται στο παρόν κεφάλαιο, τα κράτη μέλη συλλέγουν τα υφιστάμενα σχετικά δεδομένα, συμπερ</w:t>
            </w:r>
            <w:r w:rsidRPr="004126E0">
              <w:t>ιλαμβανομένων των δεδομένων επιστημονικών ερευνών, προκειμένου να συμβάλουν στη συγκέντρωση δεδομένων από την ΕΣΕ.</w:t>
            </w:r>
          </w:p>
        </w:tc>
        <w:tc>
          <w:tcPr>
            <w:tcW w:w="4876" w:type="dxa"/>
            <w:tcBorders>
              <w:top w:val="nil"/>
              <w:left w:val="nil"/>
              <w:bottom w:val="nil"/>
              <w:right w:val="nil"/>
            </w:tcBorders>
            <w:hideMark/>
          </w:tcPr>
          <w:p w:rsidR="00DD5018" w:rsidRPr="004126E0" w:rsidRDefault="00EC7CD2" w:rsidP="00F37D8F">
            <w:pPr>
              <w:pStyle w:val="Normal6a"/>
            </w:pPr>
            <w:r w:rsidRPr="004126E0">
              <w:t>2. Για να διευκολυνθεί η παροχή συμβουλών από την ΕΣΕ όσον αφορά την αναθεώρηση των μέτρων που προβλέπονται στο παρόν κεφάλαιο, τα κράτη μέλη</w:t>
            </w:r>
            <w:r w:rsidRPr="004126E0">
              <w:t xml:space="preserve"> συλλέγουν τα υφιστάμενα σχετικά δεδομένα, συμπεριλαμβανομένων των δεδομένων επιστημονικών ερευνών, προκειμένου να συμβάλουν στη συγκέντρωση δεδομένων από την ΕΣΕ.</w:t>
            </w:r>
          </w:p>
        </w:tc>
      </w:tr>
      <w:tr w:rsidR="00604E6C" w:rsidRPr="004126E0" w:rsidTr="00F37D8F">
        <w:trPr>
          <w:jc w:val="center"/>
        </w:trPr>
        <w:tc>
          <w:tcPr>
            <w:tcW w:w="4876" w:type="dxa"/>
            <w:tcBorders>
              <w:top w:val="nil"/>
              <w:left w:val="nil"/>
              <w:bottom w:val="nil"/>
              <w:right w:val="nil"/>
            </w:tcBorders>
            <w:hideMark/>
          </w:tcPr>
          <w:p w:rsidR="00DD5018" w:rsidRPr="004126E0" w:rsidRDefault="00DD5018" w:rsidP="00F37D8F"/>
        </w:tc>
        <w:tc>
          <w:tcPr>
            <w:tcW w:w="4876" w:type="dxa"/>
            <w:tcBorders>
              <w:top w:val="nil"/>
              <w:left w:val="nil"/>
              <w:bottom w:val="nil"/>
              <w:right w:val="nil"/>
            </w:tcBorders>
            <w:hideMark/>
          </w:tcPr>
          <w:p w:rsidR="00DD5018" w:rsidRPr="004126E0" w:rsidRDefault="00EC7CD2" w:rsidP="00F37D8F">
            <w:pPr>
              <w:pStyle w:val="Normal6a"/>
            </w:pPr>
            <w:r w:rsidRPr="004126E0">
              <w:rPr>
                <w:b/>
                <w:i/>
              </w:rPr>
              <w:t>3. Τα κράτη μέλη υποβάλλουν τα εθνικά τους δεδομένα (όπως ορίζεται στο παράρτημα XXV) στην</w:t>
            </w:r>
            <w:r w:rsidRPr="004126E0">
              <w:rPr>
                <w:b/>
                <w:i/>
              </w:rPr>
              <w:t xml:space="preserve"> Επιτροπή το αργότερο έως τις 15 Ιουλίου κάθε έτους.» Η Επιτροπή υποβάλλει τα εθνικά δεδομένα στη γραμματεία της ΓΕΑΜ το αργότερο έως τις 31 Ιουλίου κάθε ημερολογιακού έτους.»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GFCM/46/2023/14 παράγραφος 41.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199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42 ζ (νέο)</w:t>
      </w:r>
      <w:r w:rsidRPr="004126E0">
        <w:rPr>
          <w:rStyle w:val="HideTWBExt"/>
        </w:rPr>
        <w:t>&lt;/Article&gt;</w:t>
      </w:r>
    </w:p>
    <w:p w:rsidR="00DD5018" w:rsidRPr="004126E0" w:rsidRDefault="00EC7CD2" w:rsidP="00DD5018">
      <w:r w:rsidRPr="004126E0">
        <w:rPr>
          <w:rStyle w:val="HideTWBExt"/>
        </w:rPr>
        <w:t>&lt;DocAmen</w:t>
      </w:r>
      <w:r w:rsidRPr="004126E0">
        <w:rPr>
          <w:rStyle w:val="HideTWBExt"/>
        </w:rPr>
        <w:t>d2&gt;</w:t>
      </w:r>
      <w:r w:rsidRPr="004126E0">
        <w:t>Κανονισμός (ΕΕ) 2023/2124</w:t>
      </w:r>
      <w:r w:rsidRPr="004126E0">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(42ζ)</w:t>
            </w:r>
            <w:r w:rsidRPr="004126E0">
              <w:tab/>
            </w:r>
            <w:r w:rsidRPr="004126E0">
              <w:rPr>
                <w:b/>
                <w:i/>
              </w:rPr>
              <w:t>Στο άρθρο 86a πριν την παράγραφο 1 προστίθεται μια νέα παράγραφος: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Τα κράτη μέλη διασφαλίζουν ότι η συνολική αλιευτική ικανότητα των στόλων που </w:t>
            </w:r>
            <w:r w:rsidRPr="004126E0">
              <w:rPr>
                <w:b/>
                <w:i/>
              </w:rPr>
              <w:t>χρησιμοποιούν FAD και αλιεύουν ενεργά το βασικό απόθεμα δεν υπερβαίνει, όσον αφορά την ολική χωρητικότητα (GT), ισχύ κινητήρα (kW) και τον αριθμό των σκαφών, όπως καταγράφονται τόσο στα εθνικά μητρώα όσο και στα μητρώα της ΓΕΑΜ, έως και 8 έτη από την ημερο</w:t>
            </w:r>
            <w:r w:rsidRPr="004126E0">
              <w:rPr>
                <w:b/>
                <w:i/>
              </w:rPr>
              <w:t>μηνία της αρχικής έγκρισης των μέτρων ή των σχεδίων διαχείρισης που εγκρίθηκαν σε εθνικό επίπεδο και θεσπίστηκαν σύμφωνα με το προηγούμενο άρθρο, την αλιευτική ικανότητα του στόλου κυνηγού σε τύπους αλιείας με FAD κατά το έτος 2019.»</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w:t>
      </w:r>
      <w:r w:rsidRPr="004126E0">
        <w:rPr>
          <w:rStyle w:val="HideTWBExt"/>
        </w:rPr>
        <w: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42 θ (νέο)</w:t>
      </w:r>
      <w:r w:rsidRPr="004126E0">
        <w:rPr>
          <w:rStyle w:val="HideTWBExt"/>
        </w:rPr>
        <w:t>&lt;/Article&gt;</w:t>
      </w:r>
    </w:p>
    <w:p w:rsidR="00DD5018" w:rsidRPr="004126E0" w:rsidRDefault="00EC7CD2" w:rsidP="00DD5018">
      <w:r w:rsidRPr="004126E0">
        <w:rPr>
          <w:rStyle w:val="HideTWBExt"/>
        </w:rPr>
        <w:t>&lt;DocAmend2&gt;</w:t>
      </w:r>
      <w:r w:rsidRPr="004126E0">
        <w:t xml:space="preserve">Κανονισμός (ΕΕ) </w:t>
      </w:r>
      <w:r w:rsidRPr="004126E0">
        <w:t>2023/2124</w:t>
      </w:r>
      <w:r w:rsidRPr="004126E0">
        <w:rPr>
          <w:rStyle w:val="HideTWBExt"/>
        </w:rPr>
        <w:t>&lt;/DocAmend2&gt;</w:t>
      </w:r>
    </w:p>
    <w:p w:rsidR="00DD5018" w:rsidRPr="004126E0" w:rsidRDefault="00EC7CD2" w:rsidP="00DD5018">
      <w:r w:rsidRPr="004126E0">
        <w:rPr>
          <w:rStyle w:val="HideTWBExt"/>
        </w:rPr>
        <w:t>&lt;Article2&gt;</w:t>
      </w:r>
      <w:r w:rsidRPr="004126E0">
        <w:t>Κεφάλαιο VII</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(42θ)</w:t>
            </w:r>
            <w:r w:rsidRPr="004126E0">
              <w:tab/>
            </w:r>
            <w:r w:rsidRPr="004126E0">
              <w:rPr>
                <w:b/>
                <w:i/>
              </w:rPr>
              <w:t>Ο τίτλος τροποποιείται ως εξής: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ΚΕΦΑΛΑΙΟ VIΙ</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ΚΕΦΑΛΑΙΟ VIΙ</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Κυνηγός</w:t>
            </w:r>
          </w:p>
        </w:tc>
        <w:tc>
          <w:tcPr>
            <w:tcW w:w="4876" w:type="dxa"/>
            <w:tcBorders>
              <w:top w:val="nil"/>
              <w:left w:val="nil"/>
              <w:bottom w:val="nil"/>
              <w:right w:val="nil"/>
            </w:tcBorders>
            <w:hideMark/>
          </w:tcPr>
          <w:p w:rsidR="00DD5018" w:rsidRPr="004126E0" w:rsidRDefault="00EC7CD2" w:rsidP="00F37D8F">
            <w:pPr>
              <w:pStyle w:val="Normal6a"/>
            </w:pPr>
            <w:r w:rsidRPr="004126E0">
              <w:t>Κυνηγός</w:t>
            </w:r>
            <w:r w:rsidRPr="004126E0">
              <w:rPr>
                <w:b/>
                <w:bCs/>
                <w:i/>
                <w:iCs/>
              </w:rPr>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43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85</w:t>
      </w:r>
      <w:r w:rsidRPr="004126E0">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85</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(43α)</w:t>
            </w:r>
            <w:r w:rsidRPr="004126E0">
              <w:tab/>
            </w:r>
            <w:r w:rsidRPr="004126E0">
              <w:rPr>
                <w:b/>
                <w:i/>
              </w:rPr>
              <w:t>Το άρθρο 85 αντικαθίσταται από το ακόλουθο κείμενο:</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Εθνικά μέτρα διαχείρισης</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Εθνικά μέτρα διαχείρισης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Τα κράτη μέλη που αλιεύουν κυνηγό με τη χρήση διατάξεων συγκέντρωσης ιχθύων και δεν διαθέτουν εθνικά μέτρα</w:t>
            </w:r>
            <w:r w:rsidRPr="004126E0">
              <w:rPr>
                <w:b/>
                <w:i/>
              </w:rPr>
              <w:t xml:space="preserve"> διαχείρισης</w:t>
            </w:r>
            <w:r w:rsidRPr="004126E0">
              <w:t xml:space="preserve"> θεσπίζουν </w:t>
            </w:r>
            <w:r w:rsidRPr="004126E0">
              <w:rPr>
                <w:b/>
                <w:i/>
              </w:rPr>
              <w:t>εθνικά</w:t>
            </w:r>
            <w:r w:rsidRPr="004126E0">
              <w:t xml:space="preserve"> μέτρα διαχείρισης </w:t>
            </w:r>
            <w:r w:rsidRPr="004126E0">
              <w:rPr>
                <w:b/>
                <w:i/>
              </w:rPr>
              <w:t>τα οποία περιλαμβάνουν τουλάχιστον τη δέσμη μέτρων που περιέχει τα στοιχεία που απαριθμούνται στο παράρτημα IX</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1. Προκειμένου να διασφαλιστεί η επαρκής διατήρηση του κυνηγού, τα κράτη μέλη</w:t>
            </w:r>
            <w:r w:rsidRPr="004126E0">
              <w:t xml:space="preserve"> θεσπίζουν μέτρα δι</w:t>
            </w:r>
            <w:r w:rsidRPr="004126E0">
              <w:t xml:space="preserve">αχείρισης </w:t>
            </w:r>
            <w:r w:rsidRPr="004126E0">
              <w:rPr>
                <w:b/>
                <w:i/>
              </w:rPr>
              <w:t>της αλιείας ή εθνικά σχέδια διαχείρισης στις ΓΥΠ 1-27</w:t>
            </w:r>
            <w:r w:rsidRPr="004126E0">
              <w:t>.</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2. Τα κράτη μέλη κοινοποιούν στην Επιτροπή, από τις 30 Σεπτεμβρίου 2024, τα μέτρα διαχείρισης ή τα σχέδια διαχείρισης που εγκρίνονται σε εθνικό επίπεδο. </w:t>
            </w:r>
            <w:r w:rsidRPr="004126E0">
              <w:rPr>
                <w:b/>
                <w:bCs/>
                <w:i/>
                <w:iCs/>
              </w:rPr>
              <w:t>Η Επιτροπή κοινοποιεί στη γραμματεία</w:t>
            </w:r>
            <w:r w:rsidRPr="004126E0">
              <w:rPr>
                <w:b/>
                <w:bCs/>
                <w:i/>
                <w:iCs/>
              </w:rPr>
              <w:t xml:space="preserve"> της ΓΕΑΜ τα μέτρα διαχείρισης ή τα σχέδια διαχείρισης που εγκρίνονται σε εθνικό επίπεδο.</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Κατά περίπτωση, αν τροποποιηθούν τα μέτρα αυτά, τα κράτη μέλη κοινοποιούν στην Επιτροπή τις εν λόγω τροποποιήσεις έως τις 15 Απριλίου του επόμενου έτους. Η </w:t>
            </w:r>
            <w:r w:rsidRPr="004126E0">
              <w:rPr>
                <w:b/>
                <w:i/>
              </w:rPr>
              <w:t>Επιτροπή κοινοποιεί στη γραμματεία της ΓΕΑΜ τις τροποποιήσεις των μέτρων διαχείρισης ή των σχεδίων διαχείρισης που εγκρίνονται σε εθνικό επίπεδο έως τις 30 Απριλίου του επόμενου έτους.»</w:t>
            </w:r>
            <w:r w:rsidRPr="004126E0">
              <w:t xml:space="preserve"> </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w:t>
      </w:r>
      <w:r w:rsidRPr="004126E0">
        <w:rPr>
          <w:rStyle w:val="HideTWBExt"/>
        </w:rPr>
        <w:t>/TitreJust&gt;</w:t>
      </w:r>
    </w:p>
    <w:p w:rsidR="00DD5018" w:rsidRPr="004126E0" w:rsidRDefault="00EC7CD2" w:rsidP="00DD5018">
      <w:pPr>
        <w:pStyle w:val="AmJustText"/>
      </w:pPr>
      <w:r w:rsidRPr="004126E0">
        <w:t>GFCM/46/2023/14 παράγραφοι 66 έως 67.</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44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87</w:t>
      </w:r>
      <w:r w:rsidRPr="004126E0">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87</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(44α)</w:t>
            </w:r>
            <w:r w:rsidRPr="004126E0">
              <w:tab/>
            </w:r>
            <w:r w:rsidRPr="004126E0">
              <w:rPr>
                <w:b/>
                <w:i/>
              </w:rPr>
              <w:t>Η παράγραφος 5 τροποποιείται ως εξής: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Αναφορά αλιευτικών δραστηριοτήτων με FAD</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Αναφορά αλιευτικών δραστηριοτήτων με FAD</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 Με την επιφύλαξη του κανονισμού (ΕΕ) 2017/1004 του Ευρωπαϊκού Κοινοβουλίου και του Συμβουλίου, τα κράτη μέλη θεσπίζουν κατάλληλο σύστημα συλλογής και επεξεργασίας των δεδομένων αλιευμάτων και αλιευτικής προσπάθειας.</w:t>
            </w:r>
          </w:p>
        </w:tc>
        <w:tc>
          <w:tcPr>
            <w:tcW w:w="4876" w:type="dxa"/>
            <w:tcBorders>
              <w:top w:val="nil"/>
              <w:left w:val="nil"/>
              <w:bottom w:val="nil"/>
              <w:right w:val="nil"/>
            </w:tcBorders>
            <w:hideMark/>
          </w:tcPr>
          <w:p w:rsidR="00DD5018" w:rsidRPr="004126E0" w:rsidRDefault="00EC7CD2" w:rsidP="00F37D8F">
            <w:pPr>
              <w:pStyle w:val="Normal6a"/>
            </w:pPr>
            <w:r w:rsidRPr="004126E0">
              <w:t>1. Με την επιφύλαξη του κανονισμού (</w:t>
            </w:r>
            <w:r w:rsidRPr="004126E0">
              <w:t>ΕΕ) 2017/1004 του Ευρωπαϊκού Κοινοβουλίου και του Συμβουλίου, τα κράτη μέλη θεσπίζουν κατάλληλο σύστημα συλλογής και επεξεργασίας των δεδομένων αλιευμάτων και αλιευτικής προσπάθειας.</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 Τα κράτη μέλη αναφέρουν στην Επιτροπή μέχρι τις 15 Ιανουαρίου κάθε έτ</w:t>
            </w:r>
            <w:r w:rsidRPr="004126E0">
              <w:t>ους τον αριθμό των σκαφών που συμμετείχαν στον συγκεκριμένο τύπο αλιείας, καθώς και τις συνολικές εκφορτώσεις και μεταφορτώσεις κυνηγών που διεξήχθησαν κατά το προηγούμενο έτος από τα αλιευτικά σκάφη που φέρουν τη σημαία τους σε κάθε ΓΥ της περιοχής της συ</w:t>
            </w:r>
            <w:r w:rsidRPr="004126E0">
              <w:t>μφωνίας ΓΕΑΜ όπως παρατίθεται στο παράρτημα I.</w:t>
            </w:r>
          </w:p>
        </w:tc>
        <w:tc>
          <w:tcPr>
            <w:tcW w:w="4876" w:type="dxa"/>
            <w:tcBorders>
              <w:top w:val="nil"/>
              <w:left w:val="nil"/>
              <w:bottom w:val="nil"/>
              <w:right w:val="nil"/>
            </w:tcBorders>
            <w:hideMark/>
          </w:tcPr>
          <w:p w:rsidR="00DD5018" w:rsidRPr="004126E0" w:rsidRDefault="00EC7CD2" w:rsidP="00F37D8F">
            <w:pPr>
              <w:pStyle w:val="Normal6a"/>
            </w:pPr>
            <w:r w:rsidRPr="004126E0">
              <w:t>2. Τα κράτη μέλη αναφέρουν στην Επιτροπή μέχρι τις 15 Ιανουαρίου κάθε έτους τον αριθμό των σκαφών που συμμετείχαν στον συγκεκριμένο τύπο αλιείας, καθώς και τις συνολικές εκφορτώσεις και μεταφορτώσεις κυνηγών π</w:t>
            </w:r>
            <w:r w:rsidRPr="004126E0">
              <w:t>ου διεξήχθησαν κατά το προηγούμενο έτος από τα αλιευτικά σκάφη που φέρουν τη σημαία τους σε κάθε ΓΥ της περιοχής της συμφωνίας ΓΕΑΜ όπως παρατίθεται στο παράρτημα I.</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3. Η Επιτροπή μπορεί να εκδίδει εκτελεστικές πράξεις σχετικά με τους λεπτομερείς κανόνες </w:t>
            </w:r>
            <w:r w:rsidRPr="004126E0">
              <w:t>για τον μορφότυπο και τη διαβίβαση των αναφορών αυτών. Οι εν λόγω εκτελεστικές πράξεις εκδίδονται σύμφωνα με τη διαδικασία εξέτασης στην οποία παραπέμπει το άρθρο 138 παράγραφος 2.</w:t>
            </w:r>
          </w:p>
        </w:tc>
        <w:tc>
          <w:tcPr>
            <w:tcW w:w="4876" w:type="dxa"/>
            <w:tcBorders>
              <w:top w:val="nil"/>
              <w:left w:val="nil"/>
              <w:bottom w:val="nil"/>
              <w:right w:val="nil"/>
            </w:tcBorders>
            <w:hideMark/>
          </w:tcPr>
          <w:p w:rsidR="00DD5018" w:rsidRPr="004126E0" w:rsidRDefault="00EC7CD2" w:rsidP="00F37D8F">
            <w:pPr>
              <w:pStyle w:val="Normal6a"/>
            </w:pPr>
            <w:r w:rsidRPr="004126E0">
              <w:t>3. Η Επιτροπή μπορεί να εκδίδει εκτελεστικές πράξεις σχετικά με τους λεπτομ</w:t>
            </w:r>
            <w:r w:rsidRPr="004126E0">
              <w:t>ερείς κανόνες για τον μορφότυπο και τη διαβίβαση των αναφορών αυτών. Οι εν λόγω εκτελεστικές πράξεις εκδίδονται σύμφωνα με τη διαδικασία εξέτασης στην οποία παραπέμπει το άρθρο 138 παράγραφος 2.</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4. Η Επιτροπή διαβιβάζει τις πληροφορίες που λαμβάνει από τα</w:t>
            </w:r>
            <w:r w:rsidRPr="004126E0">
              <w:t xml:space="preserve"> κράτη μέλη στη γραμματεία της ΓΕΑΜ.</w:t>
            </w:r>
          </w:p>
        </w:tc>
        <w:tc>
          <w:tcPr>
            <w:tcW w:w="4876" w:type="dxa"/>
            <w:tcBorders>
              <w:top w:val="nil"/>
              <w:left w:val="nil"/>
              <w:bottom w:val="nil"/>
              <w:right w:val="nil"/>
            </w:tcBorders>
            <w:hideMark/>
          </w:tcPr>
          <w:p w:rsidR="00DD5018" w:rsidRPr="004126E0" w:rsidRDefault="00EC7CD2" w:rsidP="00F37D8F">
            <w:pPr>
              <w:pStyle w:val="Normal6a"/>
            </w:pPr>
            <w:r w:rsidRPr="004126E0">
              <w:t>4. Η Επιτροπή διαβιβάζει τις πληροφορίες που λαμβάνει από τα κράτη μέλη στη γραμματεία της ΓΕΑΜ.</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5. Οι αλιείς ή οι πλοίαρχοι αδειοδοτημένων αλιευτικών σκαφών που εκμεταλλεύονται κυνηγό εντός του πεδίου εφαρμογής του πα</w:t>
            </w:r>
            <w:r w:rsidRPr="004126E0">
              <w:t>ρόντος τμήματος καταγράφουν τις αλιευτικές τους δραστηριότητες με FAD.</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5. </w:t>
            </w:r>
            <w:r w:rsidRPr="004126E0">
              <w:rPr>
                <w:b/>
                <w:i/>
              </w:rPr>
              <w:t>Τα κράτη μέλη διασφαλίζουν ότι όλα τα αλιευτικά σκάφη που πλέουν υπό τη σημαία τους και</w:t>
            </w:r>
            <w:r w:rsidRPr="004126E0">
              <w:t xml:space="preserve"> οι αλιείς ή οι πλοίαρχοι αδειοδοτημένων αλιευτικών σκαφών που εκμεταλλεύονται κυνηγό εντός του</w:t>
            </w:r>
            <w:r w:rsidRPr="004126E0">
              <w:t xml:space="preserve"> πεδίου εφαρμογής του παρόντος τμήματος καταγράφουν τις αλιευτικές τους δραστηριότητες με FAD.</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GFCM/46/2023/14 παράγραφος 52.</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44 γ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88</w:t>
      </w:r>
      <w:r w:rsidRPr="004126E0">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w:t>
            </w:r>
            <w:r w:rsidRPr="004126E0">
              <w:t xml:space="preserve">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88</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(44γ)</w:t>
            </w:r>
            <w:r w:rsidRPr="004126E0">
              <w:tab/>
            </w:r>
            <w:r w:rsidRPr="004126E0">
              <w:rPr>
                <w:b/>
                <w:i/>
              </w:rPr>
              <w:t>Στο άρθρο 88 παρεμβάλλεται η ακόλουθη νέα παράγραφος 3α: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Σύνθεση, θέση, συντήρηση και αντικατάσταση των FAD</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Σύνθεση, θέση, συντήρηση και αντικατάσταση των FAD</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1. Σε περιπτώσεις στις οποίες η δομή της επιφάνειας της </w:t>
            </w:r>
            <w:r w:rsidRPr="004126E0">
              <w:t>FAD καλύπτεται από υλικό, τα κράτη μέλη διασφαλίζουν ότι το εν λόγω υλικό αφαιρείται ή ότι η δομή καλύπτεται μόνο από υλικό που προκαλεί ελάχιστο κίνδυνο εμπλοκής μη στοχευόμενων ειδών, ιδίως ευπαθών ειδών, ή επίδρασης σε άλλα σκάφη.</w:t>
            </w:r>
          </w:p>
        </w:tc>
        <w:tc>
          <w:tcPr>
            <w:tcW w:w="4876" w:type="dxa"/>
            <w:tcBorders>
              <w:top w:val="nil"/>
              <w:left w:val="nil"/>
              <w:bottom w:val="nil"/>
              <w:right w:val="nil"/>
            </w:tcBorders>
            <w:hideMark/>
          </w:tcPr>
          <w:p w:rsidR="00DD5018" w:rsidRPr="004126E0" w:rsidRDefault="00EC7CD2" w:rsidP="00F37D8F">
            <w:pPr>
              <w:pStyle w:val="Normal6a"/>
            </w:pPr>
            <w:r w:rsidRPr="004126E0">
              <w:t>1. Σε περιπτώσεις στις</w:t>
            </w:r>
            <w:r w:rsidRPr="004126E0">
              <w:t xml:space="preserve"> οποίες η δομή της επιφάνειας της FAD καλύπτεται από υλικό, τα κράτη μέλη διασφαλίζουν ότι το εν λόγω υλικό αφαιρείται ή ότι η δομή καλύπτεται μόνο από υλικό που προκαλεί ελάχιστο κίνδυνο εμπλοκής μη στοχευόμενων ειδών, ιδίως ευπαθών ειδών, ή επίδρασης σε </w:t>
            </w:r>
            <w:r w:rsidRPr="004126E0">
              <w:t>άλλα σκάφη.</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 Τα υποεπιφανειακά εξαρτήματα της FAD αποτελούνται αποκλειστικά από υλικά που δεν παγιδεύουν μη στοχευόμενα είδη.</w:t>
            </w:r>
          </w:p>
        </w:tc>
        <w:tc>
          <w:tcPr>
            <w:tcW w:w="4876" w:type="dxa"/>
            <w:tcBorders>
              <w:top w:val="nil"/>
              <w:left w:val="nil"/>
              <w:bottom w:val="nil"/>
              <w:right w:val="nil"/>
            </w:tcBorders>
            <w:hideMark/>
          </w:tcPr>
          <w:p w:rsidR="00DD5018" w:rsidRPr="004126E0" w:rsidRDefault="00EC7CD2" w:rsidP="00F37D8F">
            <w:pPr>
              <w:pStyle w:val="Normal6a"/>
            </w:pPr>
            <w:r w:rsidRPr="004126E0">
              <w:t>2. Τα υποεπιφανειακά εξαρτήματα της FAD αποτελούνται αποκλειστικά από υλικά που δεν παγιδεύουν μη στοχευόμενα είδη.</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 Κατά το</w:t>
            </w:r>
            <w:r w:rsidRPr="004126E0">
              <w:t>ν σχεδιασμό των FAD δίνεται προτεραιότητα στα βιοδιασπώμενα υλικά.</w:t>
            </w:r>
          </w:p>
        </w:tc>
        <w:tc>
          <w:tcPr>
            <w:tcW w:w="4876" w:type="dxa"/>
            <w:tcBorders>
              <w:top w:val="nil"/>
              <w:left w:val="nil"/>
              <w:bottom w:val="nil"/>
              <w:right w:val="nil"/>
            </w:tcBorders>
            <w:hideMark/>
          </w:tcPr>
          <w:p w:rsidR="00DD5018" w:rsidRPr="004126E0" w:rsidRDefault="00EC7CD2" w:rsidP="00F37D8F">
            <w:pPr>
              <w:pStyle w:val="Normal6a"/>
            </w:pPr>
            <w:r w:rsidRPr="004126E0">
              <w:t>3. Κατά τον σχεδιασμό των FAD δίνεται προτεραιότητα στα βιοδιασπώμενα υλικά.</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3α. </w:t>
            </w:r>
            <w:r w:rsidRPr="004126E0">
              <w:rPr>
                <w:b/>
                <w:bCs/>
                <w:i/>
                <w:iCs/>
              </w:rPr>
              <w:t>Από την πρώτη ημέρα της ανοικτής περιόδου FAD το 2027, οι FAD θα πρέπει να κατασκευάζονται αποκλειστικά με</w:t>
            </w:r>
            <w:r w:rsidRPr="004126E0">
              <w:rPr>
                <w:b/>
                <w:bCs/>
                <w:i/>
                <w:iCs/>
              </w:rPr>
              <w:t xml:space="preserve"> βιοαποδομήσιμα υλικά.</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4. Οι FAD είναι σταθερά τοποθετημένες στον τόπο εγκατάστασής τους. Ο σχεδιασμός των FAD περιλαμβάνει κατάλληλο αριθμό αντίβαρων κατά μήκος του σχοινιού ώστε να διασφαλίζεται ότι το σχοινί βυθίζεται στον θαλάσσιο πυθμένα σε περίπτωση</w:t>
            </w:r>
            <w:r w:rsidRPr="004126E0">
              <w:t xml:space="preserve"> που το τμήμα λέμβου αποσπαστεί και παρασυρθεί.</w:t>
            </w:r>
          </w:p>
        </w:tc>
        <w:tc>
          <w:tcPr>
            <w:tcW w:w="4876" w:type="dxa"/>
            <w:tcBorders>
              <w:top w:val="nil"/>
              <w:left w:val="nil"/>
              <w:bottom w:val="nil"/>
              <w:right w:val="nil"/>
            </w:tcBorders>
            <w:hideMark/>
          </w:tcPr>
          <w:p w:rsidR="00DD5018" w:rsidRPr="004126E0" w:rsidRDefault="00EC7CD2" w:rsidP="00F37D8F">
            <w:pPr>
              <w:pStyle w:val="Normal6a"/>
            </w:pPr>
            <w:r w:rsidRPr="004126E0">
              <w:t>4. Οι FAD είναι σταθερά τοποθετημένες στον τόπο εγκατάστασής τους. Ο σχεδιασμός των FAD περιλαμβάνει κατάλληλο αριθμό αντίβαρων κατά μήκος του σχοινιού ώστε να διασφαλίζεται ότι το σχοινί βυθίζεται στον θαλάσ</w:t>
            </w:r>
            <w:r w:rsidRPr="004126E0">
              <w:t>σιο πυθμένα σε περίπτωση που το τμήμα λέμβου αποσπαστεί και παρασυρθεί.</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5. Οι αλιείς ή οι πλοίαρχοι αλιευτικών σκαφών που εκμεταλλεύονται κυνηγό εξασφαλίζουν ότι οι FAD συντηρούνται τακτικά, αντικαθίστανται όταν είναι αναγκαίο και αφαιρούνται όταν δεν χρη</w:t>
            </w:r>
            <w:r w:rsidRPr="004126E0">
              <w:t>σιμοποιούνται. Ο τύπος, ο σχεδιασμός, η κατασκευή, τα υλικά και η ταυτοποίηση των διατάξεων που αντικαθιστούν τις FAD είναι ίδια με εκείνα των FAD που αντικαθίστανται. Οι διατάξεις αντικατάστασης των αγκυροβολημένων FAD βρίσκονται στην ίδια θέση με τις FAD</w:t>
            </w:r>
            <w:r w:rsidRPr="004126E0">
              <w:t xml:space="preserve"> που αντικαθιστούν.</w:t>
            </w:r>
          </w:p>
        </w:tc>
        <w:tc>
          <w:tcPr>
            <w:tcW w:w="4876" w:type="dxa"/>
            <w:tcBorders>
              <w:top w:val="nil"/>
              <w:left w:val="nil"/>
              <w:bottom w:val="nil"/>
              <w:right w:val="nil"/>
            </w:tcBorders>
            <w:hideMark/>
          </w:tcPr>
          <w:p w:rsidR="00DD5018" w:rsidRPr="004126E0" w:rsidRDefault="00EC7CD2" w:rsidP="00F37D8F">
            <w:pPr>
              <w:pStyle w:val="Normal6a"/>
            </w:pPr>
            <w:r w:rsidRPr="004126E0">
              <w:t>5. Οι αλιείς ή οι πλοίαρχοι αλιευτικών σκαφών που εκμεταλλεύονται κυνηγό εξασφαλίζουν ότι οι FAD συντηρούνται τακτικά, αντικαθίστανται όταν είναι αναγκαίο και αφαιρούνται όταν δεν χρησιμοποιούνται. Ο τύπος, ο σχεδιασμός, η κατασκευή, τα</w:t>
            </w:r>
            <w:r w:rsidRPr="004126E0">
              <w:t xml:space="preserve"> υλικά και η ταυτοποίηση των διατάξεων που αντικαθιστούν τις FAD είναι ίδια με εκείνα των FAD που αντικαθίστανται. Οι διατάξεις αντικατάστασης των αγκυροβολημένων FAD βρίσκονται στην ίδια θέση με τις FAD που αντικαθιστούν.</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6. Σε περίπτωση απώλειας μιας δι</w:t>
            </w:r>
            <w:r w:rsidRPr="004126E0">
              <w:t>άταξης συγκέντρωσης ιχθύων ή αν είναι αδύνατη η ανάσυρσή της, οι αλιείς ή οι πλοίαρχοι των αλιευτικών σκαφών καταγράφουν το τελευταίο γνωστό στίγμα και την ημερομηνία του στίγματος αυτού. Τα αλιευτικά σκάφη που εκμεταλλεύονται κυνηγό συλλέγουν και αναφέρου</w:t>
            </w:r>
            <w:r w:rsidRPr="004126E0">
              <w:t>ν το τελευταίο καταγεγραμμένο στίγμα της FAD που απωλέσθη, καθώς και την ημερομηνία του τελευταίου καταγεγραμμένου στίγματος αυτής, τον αριθμό ταυτοποίησής της και κάθε πληροφορία που επιτρέπει την ταυτοποίηση του ιδιοκτήτη της FAD.</w:t>
            </w:r>
          </w:p>
        </w:tc>
        <w:tc>
          <w:tcPr>
            <w:tcW w:w="4876" w:type="dxa"/>
            <w:tcBorders>
              <w:top w:val="nil"/>
              <w:left w:val="nil"/>
              <w:bottom w:val="nil"/>
              <w:right w:val="nil"/>
            </w:tcBorders>
            <w:hideMark/>
          </w:tcPr>
          <w:p w:rsidR="00DD5018" w:rsidRPr="004126E0" w:rsidRDefault="00EC7CD2" w:rsidP="00F37D8F">
            <w:pPr>
              <w:pStyle w:val="Normal6a"/>
            </w:pPr>
            <w:r w:rsidRPr="004126E0">
              <w:t>6. Σε περίπτωση απώλεια</w:t>
            </w:r>
            <w:r w:rsidRPr="004126E0">
              <w:t>ς μιας διάταξης συγκέντρωσης ιχθύων ή αν είναι αδύνατη η ανάσυρσή της, οι αλιείς ή οι πλοίαρχοι των αλιευτικών σκαφών καταγράφουν το τελευταίο γνωστό στίγμα και την ημερομηνία του στίγματος αυτού. Τα αλιευτικά σκάφη που εκμεταλλεύονται κυνηγό συλλέγουν και</w:t>
            </w:r>
            <w:r w:rsidRPr="004126E0">
              <w:t xml:space="preserve"> αναφέρουν το τελευταίο καταγεγραμμένο στίγμα της FAD που απωλέσθη, καθώς και την ημερομηνία του τελευταίου καταγεγραμμένου στίγματος αυτής, τον αριθμό ταυτοποίησής της και κάθε πληροφορία που επιτρέπει την ταυτοποίηση του ιδιοκτήτη της FAD.</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7. Τα κράτη </w:t>
            </w:r>
            <w:r w:rsidRPr="004126E0">
              <w:t>μέλη λαμβάνουν όλα τα αναγκαία μέτρα για να διασφαλίσουν την ανάκτηση παρωχημένων και αχρησιμοποίητων FAD.</w:t>
            </w:r>
          </w:p>
        </w:tc>
        <w:tc>
          <w:tcPr>
            <w:tcW w:w="4876" w:type="dxa"/>
            <w:tcBorders>
              <w:top w:val="nil"/>
              <w:left w:val="nil"/>
              <w:bottom w:val="nil"/>
              <w:right w:val="nil"/>
            </w:tcBorders>
            <w:hideMark/>
          </w:tcPr>
          <w:p w:rsidR="00DD5018" w:rsidRPr="004126E0" w:rsidRDefault="00EC7CD2" w:rsidP="00F37D8F">
            <w:pPr>
              <w:pStyle w:val="Normal6a"/>
              <w:rPr>
                <w:b/>
                <w:i/>
              </w:rPr>
            </w:pPr>
            <w:r w:rsidRPr="004126E0">
              <w:t>7. Τα κράτη μέλη λαμβάνουν όλα τα αναγκαία μέτρα για να διασφαλίσουν την ανάκτηση παρωχημένων και αχρησιμοποίητων FAD.</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8. Απαγορεύεται σε σκάφος που</w:t>
            </w:r>
            <w:r w:rsidRPr="004126E0">
              <w:t xml:space="preserve"> φέρει τη σημαία κράτους μέλους να αλιεύει ιχθύς που προσελκύονται από FAD η οποία δεν έχει ποντιστεί από το εν λόγω σκάφος.</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8. Απαγορεύεται σε σκάφος που φέρει τη σημαία κράτους μέλους να αλιεύει ιχθύς που προσελκύονται από FAD η οποία δεν έχει ποντιστεί </w:t>
            </w:r>
            <w:r w:rsidRPr="004126E0">
              <w:t>από το εν λόγω σκάφος.</w:t>
            </w:r>
            <w:r w:rsidRPr="004126E0">
              <w:rPr>
                <w:b/>
                <w:bCs/>
                <w:i/>
                <w:iCs/>
              </w:rPr>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GFCM/46/2023/14 παράγραφος 44.</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Eric Sargiacomo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w:t>
      </w:r>
      <w:r w:rsidRPr="004126E0">
        <w:rPr>
          <w:rStyle w:val="HideTWBExt"/>
        </w:rPr>
        <w:t>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45</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88</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6.</w:t>
            </w:r>
            <w:r w:rsidRPr="004126E0">
              <w:tab/>
              <w:t xml:space="preserve">Με την επιφύλαξη αυστηρότερων </w:t>
            </w:r>
            <w:r w:rsidRPr="004126E0">
              <w:t>διατάξεων που προβλέπονται στο άρθρο 14 παράγραφος 7 και στο άρθρο 48 του κανονισμού (ΕΚ) αριθ. 1224/2009, σε περίπτωση απώλειας μιας διάταξης συγκέντρωσης ιχθύων ή αν είναι αδύνατη η ανάσυρσή της, οι αλιείς ή οι πλοίαρχοι των αλιευτικών σκαφών καταγράφουν</w:t>
            </w:r>
            <w:r w:rsidRPr="004126E0">
              <w:t xml:space="preserve"> το τελευταίο γνωστό στίγμα και την ημερομηνία του στίγματος αυτού. Τα αλιευτικά σκάφη που εκμεταλλεύονται κυνηγό συλλέγουν και αναφέρουν το τελευταίο καταγεγραμμένο στίγμα της FAD που απωλέσθη, καθώς και την ημερομηνία του τελευταίου καταγεγραμμένου στίγμ</w:t>
            </w:r>
            <w:r w:rsidRPr="004126E0">
              <w:t>ατος αυτής, τον αριθμό ταυτοποίησής της και κάθε πληροφορία που επιτρέπει την ταυτοποίηση του ιδιοκτήτη της FAD.</w:t>
            </w:r>
          </w:p>
        </w:tc>
        <w:tc>
          <w:tcPr>
            <w:tcW w:w="4876" w:type="dxa"/>
            <w:tcBorders>
              <w:top w:val="nil"/>
              <w:left w:val="nil"/>
              <w:bottom w:val="nil"/>
              <w:right w:val="nil"/>
            </w:tcBorders>
            <w:hideMark/>
          </w:tcPr>
          <w:p w:rsidR="00DD5018" w:rsidRPr="004126E0" w:rsidRDefault="00EC7CD2" w:rsidP="00F37D8F">
            <w:pPr>
              <w:pStyle w:val="Normal6a"/>
            </w:pPr>
            <w:r w:rsidRPr="004126E0">
              <w:t>6.</w:t>
            </w:r>
            <w:r w:rsidRPr="004126E0">
              <w:tab/>
              <w:t xml:space="preserve">Με την επιφύλαξη αυστηρότερων διατάξεων που προβλέπονται στο άρθρο 14 παράγραφος 7 και στο άρθρο 48 του κανονισμού (ΕΚ) αριθ. 1224/2009, σε </w:t>
            </w:r>
            <w:r w:rsidRPr="004126E0">
              <w:t xml:space="preserve">περίπτωση απώλειας μιας διάταξης συγκέντρωσης ιχθύων ή αν είναι αδύνατη η ανάσυρσή της, οι αλιείς ή οι πλοίαρχοι των αλιευτικών σκαφών καταγράφουν το τελευταίο γνωστό στίγμα και την ημερομηνία του στίγματος αυτού </w:t>
            </w:r>
            <w:r w:rsidRPr="004126E0">
              <w:rPr>
                <w:b/>
                <w:i/>
              </w:rPr>
              <w:t>στο ημερολόγιο αλιείας</w:t>
            </w:r>
            <w:r w:rsidRPr="004126E0">
              <w:t xml:space="preserve">. Τα αλιευτικά σκάφη </w:t>
            </w:r>
            <w:r w:rsidRPr="004126E0">
              <w:t>που εκμεταλλεύονται κυνηγό συλλέγουν και αναφέρουν το τελευταίο καταγεγραμμένο στίγμα της FAD που απωλέσθη, καθώς και την ημερομηνία του τελευταίου καταγεγραμμένου στίγματος αυτής, τον αριθμό ταυτοποίησής της και κάθε πληροφορία που επιτρέπει την ταυτοποίη</w:t>
            </w:r>
            <w:r w:rsidRPr="004126E0">
              <w:t>ση του ιδιοκτήτη της FAD.</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{FR}</w:t>
      </w:r>
      <w:r w:rsidRPr="004126E0">
        <w:t>fr</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45</w:t>
      </w:r>
      <w:r w:rsidRPr="004126E0">
        <w:t xml:space="preserve">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89</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(45α)</w:t>
            </w:r>
            <w:r w:rsidRPr="004126E0">
              <w:tab/>
            </w:r>
            <w:r w:rsidRPr="004126E0">
              <w:rPr>
                <w:b/>
                <w:i/>
              </w:rPr>
              <w:t>Στο άρθρο 89 προστίθεται η ακόλουθη νέα παράγραφος 3:</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Σε περίπτωση απώλειας FAD, τα κράτη μέλη </w:t>
            </w:r>
            <w:r w:rsidRPr="004126E0">
              <w:rPr>
                <w:b/>
                <w:i/>
              </w:rPr>
              <w:t>διασφαλίζουν ότι τα σκάφη που φέρουν τη σημαία τους συλλέγουν και αναφέρουν το τελευταίο καταγεγραμμένο στίγμα της FAD που απωλέσθη, καθώς και την ημερομηνία του τελευταίου καταγεγραμμένου στίγματος αυτής, τον αριθμό ταυτοποίησής της και κάθε πληροφορία πο</w:t>
            </w:r>
            <w:r w:rsidRPr="004126E0">
              <w:rPr>
                <w:b/>
                <w:i/>
              </w:rPr>
              <w:t>υ επιτρέπει την ταυτοποίηση του ιδιοκτήτη της FAD.</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Η μελλοντική ταυτοποίηση των FAD θα πρέπει να βασίζεται στον κανονισμό 1224/2009.</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45 γ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89</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w:t>
            </w:r>
            <w:r w:rsidRPr="004126E0">
              <w:t>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(45γ)</w:t>
            </w:r>
            <w:r w:rsidRPr="004126E0">
              <w:tab/>
            </w:r>
            <w:r w:rsidRPr="004126E0">
              <w:rPr>
                <w:b/>
                <w:i/>
              </w:rPr>
              <w:t>Μεταξύ των άρθρων 89 και 90 παρεμβάλλεται νέο άρθρο 89α: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89α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Ειδικά μέτρα για την αντιμετώπιση των δραστηριοτήτων ΠΛΑ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Κάθε κράτος μέλος διασφαλίζει τη θέσπιση κατάλληλων μηχανισμών για </w:t>
            </w:r>
            <w:r w:rsidRPr="004126E0">
              <w:rPr>
                <w:b/>
                <w:i/>
              </w:rPr>
              <w:t xml:space="preserve">την καταχώριση κάθε αλιευτικού σκάφους σε εθνικό μητρώο στόλου, για την καταγραφή των αλιευμάτων και της αλιευτικής προσπάθειας του σκάφους στο ημερολόγιο πλοίου, και για την παρακολούθηση των αλιευτικών δραστηριοτήτων και των εκφορτώσεων του σκάφους μέσω </w:t>
            </w:r>
            <w:r w:rsidRPr="004126E0">
              <w:rPr>
                <w:b/>
                <w:i/>
              </w:rPr>
              <w:t>ερευνών και δειγματοληψίας των αλιευμάτων και αλιευτικής προσπάθειας, που πραγματοποιούνται σύμφωνα με τους κανόνες που ορίζει κάθε κράτος μέλος.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Τα κράτη μέλη ορίζουν σημεία εκφόρτωσης στα οποία πραγματοποιούνται οι εκφορτώσεις από σκάφη που αλιεύουν</w:t>
            </w:r>
            <w:r w:rsidRPr="004126E0">
              <w:rPr>
                <w:b/>
                <w:i/>
              </w:rPr>
              <w:t xml:space="preserve"> ενεργά κυνηγό στη Μεσόγειο Θάλασσα. Για κάθε καθορισμένο λιμένα, τα οικεία κράτη μέλη καθορίζουν επιτρεπόμενους χρόνους και τόπους εκφόρτωσης και μεταφόρτωσης. Τα κράτη μέλη διασφαλίζουν επίσης την κάλυψη των εν λόγω δραστηριοτήτων όσον αφορά τις επιθεωρή</w:t>
            </w:r>
            <w:r w:rsidRPr="004126E0">
              <w:rPr>
                <w:b/>
                <w:i/>
              </w:rPr>
              <w:t>σεις κατά τη διάρκεια των χρόνων εκφόρτωσης και μεταφόρτωσης σε όλα τα καθορισμένα σημεία βάσει ανάλυσης κινδύνου.</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Απαγορεύεται η εκφόρτωση ή η μεταφόρτωση από αλιευτικά σκάφη οποιασδήποτε ποσότητας κυνηγού που αλιεύθηκε στη Μεσόγειο Θάλασσα σε οποιον</w:t>
            </w:r>
            <w:r w:rsidRPr="004126E0">
              <w:rPr>
                <w:b/>
                <w:i/>
              </w:rPr>
              <w:t>δήποτε τόπο εκτός των σημείων εκφόρτωσης που έχουν καθοριστεί από τα κράτη μέλη σύμφωνα με την παράγραφο 2.</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Έως τις 15 Νοεμβρίου κάθε έτους, τα κράτη μέλη κοινοποιούν στην Επιτροπή κάθε τροποποίηση του καταλόγου των καθορισμένων σημείων εκφόρτωσης στα</w:t>
            </w:r>
            <w:r w:rsidRPr="004126E0">
              <w:rPr>
                <w:b/>
                <w:i/>
              </w:rPr>
              <w:t xml:space="preserve"> οποία μπορούν να πραγματοποιούνται εκφορτώσεις κυνηγού που αλιεύτηκε στη Μεσόγειο Θάλασσα όπως αναφέρεται στην παράγραφο 2. Έως τις 30 Νοεμβρίου κάθε έτους, η Επιτροπή διαβιβάζει τις τροποποιήσεις αυτές στη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5. Τα συμβαλλόμενα κράτη </w:t>
            </w:r>
            <w:r w:rsidRPr="004126E0">
              <w:rPr>
                <w:b/>
                <w:i/>
              </w:rPr>
              <w:t>μέλη δεσμεύονται να συνεργάζονται για την καταπολέμηση των δραστηριοτήτων ΠΑΑ αλιείας, ιδίως μέσω της ανταλλαγής πληροφοριών και της συλλογής στοιχείων για την καταπολέμηση των παράνομων δραστηριοτήτων.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w:t>
      </w:r>
      <w:r w:rsidRPr="004126E0">
        <w:t>ση</w:t>
      </w:r>
      <w:r w:rsidRPr="004126E0">
        <w:rPr>
          <w:rStyle w:val="HideTWBExt"/>
        </w:rPr>
        <w:t>&lt;/TitreJust&gt;</w:t>
      </w:r>
    </w:p>
    <w:p w:rsidR="00DD5018" w:rsidRPr="004126E0" w:rsidRDefault="00EC7CD2" w:rsidP="00DD5018">
      <w:pPr>
        <w:pStyle w:val="AmJustText"/>
      </w:pPr>
      <w:r w:rsidRPr="004126E0">
        <w:t>GFCM/46/2023/14 παράγραφοι 55 έως 62.</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47</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94 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ab/>
            </w:r>
            <w:r w:rsidRPr="004126E0">
              <w:rPr>
                <w:b/>
                <w:i/>
              </w:rPr>
              <w:t xml:space="preserve">Τα κράτη μέλη εκδίδουν πιστοποιητικό αλιευμάτων της ΓΕΑΜ για τον προσδιορισμό της προέλευσης των αλιευμάτων </w:t>
            </w:r>
            <w:r w:rsidRPr="004126E0">
              <w:rPr>
                <w:b/>
                <w:i/>
              </w:rPr>
              <w:t>καλκανιού στη ΓΥΠ 29 σε όλα τα στάδια της αλυσίδας εφοδιασμού. Το εν λόγω πιστοποιητικό χρησιμοποιείται για να πιστοποιείται ότι τα εν λόγω αλιεύματα έχουν αλιευθεί σύμφωνα με τα μέτρα διατήρησης και διαχείρισης που θεσπίζονται στον τίτλο II κεφάλαιο VIII.</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47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94 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(47α)</w:t>
            </w:r>
            <w:r w:rsidRPr="004126E0">
              <w:tab/>
            </w:r>
            <w:r w:rsidRPr="004126E0">
              <w:rPr>
                <w:b/>
                <w:i/>
              </w:rPr>
              <w:t>Το άρθρο 94α (πρόταση της Επιτροπής 2021/2022 τροποποίηση της ΓΕΑΜ) αντικαθίσταται από το ακόλουθο κείμενο:</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94α</w:t>
            </w:r>
            <w:r w:rsidRPr="004126E0">
              <w:rPr>
                <w:b/>
                <w:i/>
              </w:rPr>
              <w:br/>
              <w:t>σύστημα πιστοποίησης αλιευμάτων καλκανιού</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Τα κράτη μέλη εφαρμόζουν πλήρως το σύστημα τεκμηρίωσης των αλιευμάτων (CDS) καλκανιού σε ολόκληρη την αλυσίδα εφοδιασμού, προκειμένου να διασφαλίσουν την ιχνηλασιμότητα του καλκανιού που αλιεύεται στ</w:t>
            </w:r>
            <w:r w:rsidRPr="004126E0">
              <w:rPr>
                <w:b/>
                <w:i/>
              </w:rPr>
              <w:t>ον Εύξεινο Πόντο και να συμβάλουν στην καταπολέμηση των δραστηριοτήτων παράνομης, αδήλωτης και ανεξέλεγκτης (ΠΑΑ)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2. Το σύστημα τεκμηρίωσης αλιευμάτων καλκανιού σε έντυπη μορφή που θεσπίζεται στην παράγραφο 1 δεν θίγει άλλα ισχύοντα εθνικά </w:t>
            </w:r>
            <w:r w:rsidRPr="004126E0">
              <w:rPr>
                <w:b/>
                <w:i/>
              </w:rPr>
              <w:t>συστήματα ιχνηλασιμότητας που διασφαλίζουν το ίδιο επίπεδο ελέγχου της ιχνηλασιμότητας του καλκανιού από τα κράτη μέλη και συμπεριλαμβάνει τις πληροφορίες που αναφέρονται στο Παράρτημα XXIV.</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Το σύστημα τεκμηρίωσης αλιευμάτων καλκανιού σε έντυπη μορφή </w:t>
            </w:r>
            <w:r w:rsidRPr="004126E0">
              <w:rPr>
                <w:b/>
                <w:i/>
              </w:rPr>
              <w:t>εφαρμόζεται στις πρώτες εκφορτώσεις, εξαγωγές και επανεξαγωγές. Το εγχώριο εμπόριο δεν περιλαμβάνεται στην αλυσίδα επικύρωσης.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Κάθε πιστοποιητικό αλιευμάτων διαθέτει μοναδικό αριθμό ταυτοποίησης εγγράφου. Ο αριθμός αυτός είναι ειδικός για τα κράτη μέλ</w:t>
            </w:r>
            <w:r w:rsidRPr="004126E0">
              <w:rPr>
                <w:b/>
                <w:i/>
              </w:rPr>
              <w:t>η σημαίας και χορηγείται σε κάθε αλιευτικό σκάφος. Τα πιστοποιητικά αλιευμάτων δεν είναι μεταβιβάσιμα σε άλλο αλιευτικό σκάφος.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Τα κράτη μέλη επικυρώνουν τα αλιευτικά πιστοποιητικά μόνον αφού διαπιστωθεί, ως αποτέλεσμα της επαλήθευσης των δικαιολογητι</w:t>
            </w:r>
            <w:r w:rsidRPr="004126E0">
              <w:rPr>
                <w:b/>
                <w:i/>
              </w:rPr>
              <w:t>κών εγγράφων και του αντίστοιχου φορτίου, ότι όλες οι πληροφορίες που περιλαμβάνονται στο σύστημα τεκμηρίωσης αλιευμάτων καλκανιού είναι ακριβείς.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 Τα κράτη μέλη υποβάλλουν έκθεση στην Επιτροπή σχετικά με το οικείο σύστημα τεκμηρίωσης αλιευμάτων, καθώς</w:t>
            </w:r>
            <w:r w:rsidRPr="004126E0">
              <w:rPr>
                <w:b/>
                <w:i/>
              </w:rPr>
              <w:t xml:space="preserve"> και τις πιθανές απαιτήσεις σήμανσης και ταυτοποίησης και τις απαιτήσεις ιχνηλασιμότητας και εντοπισμού για το καλκάνι, οι οποίες πρέπει να συνάδουν με τις διατάξεις του παρόντος άρθρου, ώστε να διασφαλίζεται αποτελεσματικά η επίτευξη του στόχου ιχνηλασιμό</w:t>
            </w:r>
            <w:r w:rsidRPr="004126E0">
              <w:rPr>
                <w:b/>
                <w:i/>
              </w:rPr>
              <w:t>τητας. Η Επιτροπή διαβιβάζει τις εν λόγω εκθέσεις στη γραμματεία της ΓΕΑΜ έως την 1η Ιουλίου 2025.</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7. Τα κράτη μέλη κοινοποιούν στην Επιτροπή τις αρμόδιες αρχές τους που είναι υπεύθυνες για την επικύρωση, τον έλεγχο και την επαλήθευση των πιστοποιητικών </w:t>
            </w:r>
            <w:r w:rsidRPr="004126E0">
              <w:rPr>
                <w:b/>
                <w:i/>
              </w:rPr>
              <w:t>αλιευμάτων, καθώς και των σημείων επαφής του συστήματος τεκμηρίωσης αλιευμάτων, της σφραγίδας επικύρωσης και άλλων πληροφοριών σχετικών με την εφαρμογή του συστήματος τεκμηρίωσης αλιευμάτων. Η Επιτροπή κοινοποιεί τις πληροφορίες αυτές στη γραμματεία της ΓΕ</w:t>
            </w:r>
            <w:r w:rsidRPr="004126E0">
              <w:rPr>
                <w:b/>
                <w:i/>
              </w:rPr>
              <w:t>ΑΜ έως την 1η Ιουλίου 2025.</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8. Τα κράτη μέλη διατηρούν τα επικυρωμένα έντυπα πιστοποιητικά αλιευμάτων καλκανιού για περίοδο πέντε ετών.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9. Τα κράτη μέλη υποβάλλουν ετησίως έκθεση σχετικά με την εφαρμογή του συστήματος τεκμηρίωσης αλιευμάτων καλκανιού </w:t>
            </w:r>
            <w:r w:rsidRPr="004126E0">
              <w:rPr>
                <w:b/>
                <w:i/>
              </w:rPr>
              <w:t>σε έντυπη μορφή στην Επιτροπή με σκοπό την κοινοποίηση στην επιτροπή συμμόρφωσης (CoC), παρέχοντας λεπτομερείς πληροφορίες και στατιστικά στοιχεία, μεταξύ άλλων, σχετικά με τις ετήσιες ποσότητες που επικυρώθηκαν, τις ετήσιες ποσότητες που αποτέλεσαν αντικε</w:t>
            </w:r>
            <w:r w:rsidRPr="004126E0">
              <w:rPr>
                <w:b/>
                <w:i/>
              </w:rPr>
              <w:t>ίμενο εμπορίας, τον αριθμό των πιστοποιητικών αλίευσης που επικυρώθηκαν και τυχόν σχετικά στοιχεία που θεωρείται ότι παρέχουν πληροφορίες σχετικά με την τρέχουσα κατάσταση. Η Επιτροπή υποβάλλει τις εκθέσεις στη γραμματεία της ΓΕΑΜ το αργότερο 30 ημέρες πρι</w:t>
            </w:r>
            <w:r w:rsidRPr="004126E0">
              <w:rPr>
                <w:b/>
                <w:i/>
              </w:rPr>
              <w:t>ν από τη σύνοδο της επιτροπής συμμόρφωσης.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GFCM/46/2023/20.</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209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Željana Zovko</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w:t>
      </w:r>
      <w:r w:rsidRPr="004126E0">
        <w:t>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α</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98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r>
            <w:r w:rsidRPr="004126E0">
              <w:t xml:space="preserve">Τα κράτη μέλη διασφαλίζουν υψηλή προστασία από τις αλιευτικές δραστηριότητες για τα είδη ελασμοβραγχίων που απαριθμούνται </w:t>
            </w:r>
            <w:r w:rsidRPr="004126E0">
              <w:rPr>
                <w:b/>
                <w:bCs/>
                <w:i/>
                <w:iCs/>
              </w:rPr>
              <w:t>στα παραρτήματα</w:t>
            </w:r>
            <w:r w:rsidRPr="004126E0">
              <w:t xml:space="preserve"> II </w:t>
            </w:r>
            <w:r w:rsidRPr="004126E0">
              <w:rPr>
                <w:b/>
                <w:bCs/>
                <w:i/>
                <w:iCs/>
              </w:rPr>
              <w:t>και III</w:t>
            </w:r>
            <w:r w:rsidRPr="004126E0">
              <w:t xml:space="preserve"> του πρωτοκόλλου για τις περιοχές ειδικής προστασίας και βιοποικιλότητας στη Μεσόγειο.»·</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Τα κράτη μέλη δι</w:t>
            </w:r>
            <w:r w:rsidRPr="004126E0">
              <w:t xml:space="preserve">ασφαλίζουν υψηλή προστασία από τις αλιευτικές δραστηριότητες για τα είδη ελασμοβραγχίων που απαριθμούνται </w:t>
            </w:r>
            <w:r w:rsidRPr="004126E0">
              <w:rPr>
                <w:b/>
                <w:bCs/>
                <w:i/>
                <w:iCs/>
              </w:rPr>
              <w:t>στο παράρτημα</w:t>
            </w:r>
            <w:r w:rsidRPr="004126E0">
              <w:t xml:space="preserve"> II του πρωτοκόλλου για τις περιοχές ειδικής προστασίας και βιοποικιλότητας στη Μεσόγειο.»·</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w:t>
      </w:r>
      <w:r w:rsidRPr="004126E0">
        <w:t>ιτιολόγηση</w:t>
      </w:r>
      <w:r w:rsidRPr="004126E0">
        <w:rPr>
          <w:rStyle w:val="HideTWBExt"/>
        </w:rPr>
        <w:t>&lt;/TitreJust&gt;</w:t>
      </w:r>
    </w:p>
    <w:p w:rsidR="00DD5018" w:rsidRPr="004126E0" w:rsidRDefault="00EC7CD2" w:rsidP="00DD5018">
      <w:pPr>
        <w:pStyle w:val="AmJustText"/>
      </w:pPr>
      <w:r w:rsidRPr="004126E0">
        <w:t>Το άρθρο 1 παράγραφος 49 της πρότασης για την τροποποίηση του άρθρου 98 του κανονισμού (ΕΕ) 2023/2124 πρέπει να ευθυγραμμιστεί με την παράγραφο 6 της σύστασης 42/2018/2 της ΓΕΑΜ με τη διαγραφή από τη διάταξη της παραπομπής στο παράρτ</w:t>
      </w:r>
      <w:r w:rsidRPr="004126E0">
        <w:t>ημα III του πρωτοκόλλου της σύμβασης της Βαρκελώνης, δεδομένου ότι στο εν λόγω παράρτημα απαριθμούνται είδη χονδριχθύων που επιτρέπονται για εμπορική εκμετάλλευση αλλά απαιτούν ρυθμιζόμενη διαχείριση.</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210</w:t>
      </w:r>
      <w:r w:rsidRPr="004126E0">
        <w:rPr>
          <w:rStyle w:val="HideTWBExt"/>
        </w:rPr>
        <w:t>&lt;/NumAm&gt;</w:t>
      </w:r>
    </w:p>
    <w:p w:rsidR="00DD5018" w:rsidRPr="004126E0" w:rsidRDefault="00EC7CD2" w:rsidP="00DD5018">
      <w:pPr>
        <w:pStyle w:val="NormalBold"/>
      </w:pPr>
      <w:r w:rsidRPr="004126E0">
        <w:rPr>
          <w:rStyle w:val="HideTWBExt"/>
        </w:rPr>
        <w:t>&lt;RepeatB</w:t>
      </w:r>
      <w:r w:rsidRPr="004126E0">
        <w:rPr>
          <w:rStyle w:val="HideTWBExt"/>
        </w:rPr>
        <w:t>lock-By&gt;&lt;Members&gt;</w:t>
      </w:r>
      <w:r w:rsidRPr="004126E0">
        <w:t>Isabella Lövin</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α</w:t>
      </w:r>
      <w:r w:rsidRPr="004126E0">
        <w:rPr>
          <w:rStyle w:val="HideTWBExt"/>
        </w:rPr>
        <w:t>&lt;/Article&gt;</w:t>
      </w:r>
    </w:p>
    <w:p w:rsidR="00DD5018" w:rsidRPr="004126E0" w:rsidRDefault="00EC7CD2" w:rsidP="00DD5018">
      <w:r w:rsidRPr="004126E0">
        <w:rPr>
          <w:rStyle w:val="HideTWBExt"/>
        </w:rPr>
        <w:t>&lt;DocAmend2&gt;</w:t>
      </w:r>
      <w:r w:rsidRPr="004126E0">
        <w:t>Κανονισμός (ΕΕ</w:t>
      </w:r>
      <w:r w:rsidRPr="004126E0">
        <w:t>) 2023/2124</w:t>
      </w:r>
      <w:r w:rsidRPr="004126E0">
        <w:rPr>
          <w:rStyle w:val="HideTWBExt"/>
        </w:rPr>
        <w:t>&lt;/DocAmend2&gt;</w:t>
      </w:r>
    </w:p>
    <w:p w:rsidR="00DD5018" w:rsidRPr="004126E0" w:rsidRDefault="00EC7CD2" w:rsidP="00DD5018">
      <w:r w:rsidRPr="004126E0">
        <w:rPr>
          <w:rStyle w:val="HideTWBExt"/>
        </w:rPr>
        <w:t>&lt;Article2&gt;</w:t>
      </w:r>
      <w:r w:rsidRPr="004126E0">
        <w:t>Άρθρο 98 – παράγραφος 1 α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1α.</w:t>
            </w:r>
            <w:r w:rsidRPr="004126E0">
              <w:tab/>
            </w:r>
            <w:r w:rsidRPr="004126E0">
              <w:rPr>
                <w:b/>
                <w:i/>
              </w:rPr>
              <w:t xml:space="preserve">Τα κράτη μέλη ενθαρρύνουν περαιτέρω δράσεις για τη βελτίωση της κατάστασης διατήρησης των ειδών ελασμοβραγχίων που </w:t>
            </w:r>
            <w:r w:rsidRPr="004126E0">
              <w:rPr>
                <w:b/>
                <w:i/>
              </w:rPr>
              <w:t>απαριθμούνται στα παραρτήματα ΙΙ και ΙΙΙ του πρωτοκόλλου SPA/BD και για τον μετριασμό ή την εξάλειψη, όπου είναι δυνατόν, του κινδύνου τυχαίας σύλληψης κατά τις αλιευτικές δραστηριότητες ή/και της σχετικής θνησιμότητας όσον αφορά περιοχές ειδικής προστασία</w:t>
            </w:r>
            <w:r w:rsidRPr="004126E0">
              <w:rPr>
                <w:b/>
                <w:i/>
              </w:rPr>
              <w:t>ς και βιοποικιλότητας στη Μεσόγειο Θάλασσα».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Σύσταση GFCM/44/2021/16 παράγραφος 2 (πεδίο εφαρμογής).</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 xml:space="preserve">Sebastian </w:t>
      </w:r>
      <w:r w:rsidRPr="004126E0">
        <w:t>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w:t>
      </w:r>
      <w:r w:rsidRPr="004126E0">
        <w:rPr>
          <w:rStyle w:val="HideTWBExt"/>
        </w:rPr>
        <w:t>rticle2&gt;</w:t>
      </w:r>
      <w:r w:rsidRPr="004126E0">
        <w:t>Άρθρο 98 – παράγραφος -4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w:t>
            </w:r>
            <w:r w:rsidRPr="004126E0">
              <w:tab/>
            </w:r>
            <w:r w:rsidRPr="004126E0">
              <w:rPr>
                <w:b/>
                <w:i/>
              </w:rPr>
              <w:t xml:space="preserve">Τα κράτη μέλη λαμβάνουν τα αναγκαία μέτρα για τη μείωση της θνησιμότητας τυχόν ειδών ελασμοβραγχίων που συλλαμβάνονται τυχαία κατά τη διάρκεια αλιευτικών </w:t>
            </w:r>
            <w:r w:rsidRPr="004126E0">
              <w:rPr>
                <w:b/>
                <w:i/>
              </w:rPr>
              <w:t>δραστηριοτήτων, με τη θέσπιση σχετικών μέτρων μετριασμού, συμπεριλαμβανομένης της θέσπισης ενός συστήματος κινήτρων για τους πλοιάρχους των σκαφών ώστε να μειώσουν την τυχαία θνησιμότητα ελασμοβραγχίων, καθώς και συστημάτων τεχνικής κατάρτισης και πιστοποί</w:t>
            </w:r>
            <w:r w:rsidRPr="004126E0">
              <w:rPr>
                <w:b/>
                <w:i/>
              </w:rPr>
              <w:t>ησης για τους πλοιάρχους των σκαφών· καθώς και με τη διεξαγωγή ερευνών για τη βελτίωση των αλιευτικών εργαλείων, του εξοπλισμού και των αλιευτικών τεχνικών, με σκοπό τη μείωση της θνησιμότητας των παρεμπιπτόντων αλιευμάτων ελασμοβραγχίων και την αύξηση των</w:t>
            </w:r>
            <w:r w:rsidRPr="004126E0">
              <w:rPr>
                <w:b/>
                <w:i/>
              </w:rPr>
              <w:t xml:space="preserve"> ποσοστών επιβίωσης μετά την ελευθέρωση.</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Η διατύπωση αυτή προέρχεται από τη σύσταση GFCM/44/2021/16 και λείπει από την πρόταση της Επιτροπής.</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β</w:t>
      </w:r>
      <w:r w:rsidRPr="004126E0">
        <w:rPr>
          <w:rStyle w:val="HideTWBExt"/>
        </w:rPr>
        <w:t>&lt;/Article&gt;</w:t>
      </w:r>
    </w:p>
    <w:p w:rsidR="00DD5018" w:rsidRPr="004126E0" w:rsidRDefault="00EC7CD2" w:rsidP="00DD5018">
      <w:r w:rsidRPr="004126E0">
        <w:rPr>
          <w:rStyle w:val="HideTWBExt"/>
        </w:rPr>
        <w:t>&lt;DocAmend2&gt;</w:t>
      </w:r>
      <w:r w:rsidRPr="004126E0">
        <w:t>Κανο</w:t>
      </w:r>
      <w:r w:rsidRPr="004126E0">
        <w:t>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98 – παράγραφος -4 α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-4α.</w:t>
            </w:r>
            <w:r w:rsidRPr="004126E0">
              <w:tab/>
            </w:r>
            <w:r w:rsidRPr="004126E0">
              <w:rPr>
                <w:b/>
                <w:i/>
              </w:rPr>
              <w:t xml:space="preserve">Τα κράτη μέλη εγκρίνουν μέτρα μετριασμού για την ελαχιστοποίηση και την εξάλειψη, όπου είναι δυνατόν, της τυχαίας </w:t>
            </w:r>
            <w:r w:rsidRPr="004126E0">
              <w:rPr>
                <w:b/>
                <w:i/>
              </w:rPr>
              <w:t>σύλληψης ελασμοβραγχίων κατά τη διάρκεια αλιευτικών δραστηριοτήτων σε τύπους αλιείας με υψηλό κίνδυνο σύλληψης παρεμπιπτόντων αλιευμάτων, όπως έχουν προσδιοριστεί από την ΕΣΕ και, όπου είναι δυνατόν, σε τύπους αλιείας με χαμηλό κίνδυνο σύλληψης παρεμπιπτόν</w:t>
            </w:r>
            <w:r w:rsidRPr="004126E0">
              <w:rPr>
                <w:b/>
                <w:i/>
              </w:rPr>
              <w:t>των αλιευμάτων. Τα εν λόγω μέτρα συνοδεύονται από κατάλληλη παρακολούθηση για τη διαπίστωση της αποτελεσματικότητας των δράσεων και μπορεί να περιλαμβάνουν, μεταξύ άλλων:- τροποποιήσεις των αλιευτικών εργαλείων και εναλλακτικούς τύπους αλιευτικών εργαλείων</w:t>
            </w:r>
            <w:r w:rsidRPr="004126E0">
              <w:rPr>
                <w:b/>
                <w:i/>
              </w:rPr>
              <w:t>·- βελτιώσεις στη σήμανση και στον εντοπισμό των αλιευτικών εργαλείων·- χρονικούς και χωρικούς περιορισμούς ή απαγορεύσεις αλιείας, ανάλογα με την περίπτωση·- εφαρμογή ανώτατων ορίων δυνητικών παρεμπιπτόντων αλιευμάτων· και- χρήση μαγνητικών αποτρεπτικών σ</w:t>
            </w:r>
            <w:r w:rsidRPr="004126E0">
              <w:rPr>
                <w:b/>
                <w:i/>
              </w:rPr>
              <w:t>υσκευών, όταν βασίζονται σε επιστημονικές μελέτες και έπειτα από αξιολόγηση κόστους-οφέλους.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 xml:space="preserve">Η διατύπωση αυτή προέρχεται από τη σύσταση GFCM/44/2021/16 και λείπει από την πρόταση της </w:t>
      </w:r>
      <w:r w:rsidRPr="004126E0">
        <w:t>Επιτροπής.</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 xml:space="preserve">Άρθρο 1 – </w:t>
      </w:r>
      <w:r w:rsidRPr="004126E0">
        <w:t>παράγραφος 1 – σημείο 49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98 – παράγραφος -4 β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-4β.</w:t>
            </w:r>
            <w:r w:rsidRPr="004126E0">
              <w:tab/>
            </w:r>
            <w:r w:rsidRPr="004126E0">
              <w:rPr>
                <w:b/>
                <w:i/>
              </w:rPr>
              <w:t xml:space="preserve">Η Επιτροπή και τα κράτη μέλη μπορούν επίσης να </w:t>
            </w:r>
            <w:r w:rsidRPr="004126E0">
              <w:rPr>
                <w:b/>
                <w:i/>
              </w:rPr>
              <w:t>εξετάζουν, σε εθελοντική βάση, άλλους τύπους διαχείρισης, όπως διαχείριση βάσει κινήτρων η οποία επιβραβεύει τους φορείς εκμετάλλευσης με χαμηλό αντίκτυπο και, ταυτόχρονα, ωθεί τους φορείς εκμετάλλευσης που δεν έχουν ικανοποιητικές επιδόσεις να υιοθετήσουν</w:t>
            </w:r>
            <w:r w:rsidRPr="004126E0">
              <w:rPr>
                <w:b/>
                <w:i/>
              </w:rPr>
              <w:t xml:space="preserve"> καλύτερες πρακτικές ή να εγκαταλείψουν τον κλάδο, ή διαχείριση με παροχή κινήτρων με βάση την αγορά που περιλαμβάνει, για παράδειγμα, την επισήμανση χρήσης ασφαλών για τα ελασμοβράγχια ή φιλικών προς τα ελασμοβράγχια πρακτικών αλιείας στους τύπους αλιείας</w:t>
            </w:r>
            <w:r w:rsidRPr="004126E0">
              <w:rPr>
                <w:b/>
                <w:i/>
              </w:rPr>
              <w:t xml:space="preserve"> μέτριου έως υψηλού κινδύνου.</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Η διατύπωση αυτή προέρχεται από τη σύσταση GFCM/44/2021/16 και λείπει από την πρόταση της Επιτροπής.</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Isabella Lövin</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w:t>
      </w:r>
      <w:r w:rsidRPr="004126E0">
        <w:t>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98 – παράγραφος 5 α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5α.</w:t>
            </w:r>
            <w:r w:rsidRPr="004126E0">
              <w:tab/>
            </w:r>
            <w:r w:rsidRPr="004126E0">
              <w:rPr>
                <w:b/>
                <w:i/>
              </w:rPr>
              <w:t xml:space="preserve">Τα κράτη μέλη ενθαρρύνονται να θεσπίσουν ένα σύστημα κινήτρων για τους πλοιάρχους των σκαφών ώστε να μειώσουν την </w:t>
            </w:r>
            <w:r w:rsidRPr="004126E0">
              <w:rPr>
                <w:b/>
                <w:i/>
              </w:rPr>
              <w:t>τυχαία θνησιμότητα των ελασμοβραγχίων, καθώς και συστήματα τεχνικής κατάρτισης και πιστοποίησης για τους πλοιάρχους των σκαφών, καθώς και να διεξαγάγουν έρευνα για τη βελτίωση των αλιευτικών εργαλείων, του εξοπλισμού και των αλιευτικών τεχνικών, για τη μεί</w:t>
            </w:r>
            <w:r w:rsidRPr="004126E0">
              <w:rPr>
                <w:b/>
                <w:i/>
              </w:rPr>
              <w:t>ωση της θνησιμότητας λόγω τυχαίας σύλληψης των ελασμοβραγχίων και την αύξηση των ποσοστών επιβίωσης μετά την ελευθέρωση.</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Σύσταση GFCM/44/2021/16.</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Isabella Lövin</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β</w:t>
      </w:r>
      <w:r w:rsidRPr="004126E0">
        <w:rPr>
          <w:rStyle w:val="HideTWBExt"/>
        </w:rPr>
        <w:t>&lt;/Article&gt;</w:t>
      </w:r>
    </w:p>
    <w:p w:rsidR="00DD5018" w:rsidRPr="004126E0" w:rsidRDefault="00EC7CD2" w:rsidP="00DD5018">
      <w:r w:rsidRPr="004126E0">
        <w:rPr>
          <w:rStyle w:val="HideTWBExt"/>
        </w:rPr>
        <w:t>&lt;DocAmen</w:t>
      </w:r>
      <w:r w:rsidRPr="004126E0">
        <w:rPr>
          <w:rStyle w:val="HideTWBExt"/>
        </w:rPr>
        <w:t>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 xml:space="preserve"> Άρθρο 98 – παράγραφος 5 β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5β.</w:t>
            </w:r>
            <w:r w:rsidRPr="004126E0">
              <w:tab/>
            </w:r>
            <w:r w:rsidRPr="004126E0">
              <w:rPr>
                <w:b/>
                <w:i/>
              </w:rPr>
              <w:t>Τα κράτη μέλη ενθαρρύνονται να εγκρίνουν μέτρα μετριασμού για την ελαχιστοποίηση και την εξάλειψη, όπου είναι</w:t>
            </w:r>
            <w:r w:rsidRPr="004126E0">
              <w:rPr>
                <w:b/>
                <w:i/>
              </w:rPr>
              <w:t xml:space="preserve"> δυνατόν, της τυχαίας σύλληψης ελασμοβραγχίων κατά τη διάρκεια αλιευτικών δραστηριοτήτων σε τύπους αλιείας με υψηλό κίνδυνο σύλληψης παρεμπιπτόντων αλιευμάτων και, όπου είναι δυνατόν, σε τύπους αλιείας με χαμηλό κίνδυνο σύλληψης παρεμπιπτόντων αλιευμάτων. </w:t>
            </w:r>
            <w:r w:rsidRPr="004126E0">
              <w:rPr>
                <w:b/>
                <w:i/>
              </w:rPr>
              <w:t xml:space="preserve">Τα εν λόγω μέτρα συνοδεύονται από κατάλληλη παρακολούθηση για τη διαπίστωση της αποτελεσματικότητας των δράσεων και μπορεί να περιλαμβάνουν, μεταξύ άλλων, τροποποιήσεις των αλιευτικών εργαλείων και εναλλακτικούς τύπους αλιευτικών εργαλείων, βελτιώσεις στη </w:t>
            </w:r>
            <w:r w:rsidRPr="004126E0">
              <w:rPr>
                <w:b/>
                <w:i/>
              </w:rPr>
              <w:t>σήμανση και στον εντοπισμό των αλιευτικών εργαλείων, χρονικούς και χωρικούς περιορισμούς ή απαγορεύσεις αλιείας, κατά περίπτωση, εφαρμογή μέγιστων ορίων δυνητικών παρεμπιπτόντων αλιευμάτων· - χρήση μαγνητικών αποτρεπτικών συσκευών, όταν βασίζονται σε επιστ</w:t>
            </w:r>
            <w:r w:rsidRPr="004126E0">
              <w:rPr>
                <w:b/>
                <w:i/>
              </w:rPr>
              <w:t>ημονικές μελέτες και έπειτα από αξιολόγηση κόστους-οφέλους.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Σύσταση GFCM/44/2021/16.</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Isabella Lövin</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98</w:t>
      </w:r>
      <w:r w:rsidRPr="004126E0">
        <w:t xml:space="preserve"> – παράγραφος 5 γ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5γ.</w:t>
            </w:r>
            <w:r w:rsidRPr="004126E0">
              <w:tab/>
            </w:r>
            <w:r w:rsidRPr="004126E0">
              <w:rPr>
                <w:b/>
                <w:i/>
              </w:rPr>
              <w:t xml:space="preserve">Τα κράτη μέλη ενθαρρύνονται να θεσπίζουν άλλους τύπους διαχείρισης, όπως διαχείριση βάσει κινήτρων για να επιβραβεύουν τους φορείς εκμετάλλευσης με χαμηλό αντίκτυπο και </w:t>
            </w:r>
            <w:r w:rsidRPr="004126E0">
              <w:rPr>
                <w:b/>
                <w:i/>
              </w:rPr>
              <w:t>να ωθούν, ταυτόχρονα, τους φορείς εκμετάλλευσης που δεν έχουν ικανοποιητικές επιδόσεις να υιοθετήσουν καλύτερες πρακτικές ή να εγκαταλείψουν τον κλάδο, ή διαχείριση με παροχή κινήτρων με βάση την αγορά, όπως επισήμανση χρήσης ασφαλών για τα ελασμοβράγχια ή</w:t>
            </w:r>
            <w:r w:rsidRPr="004126E0">
              <w:rPr>
                <w:b/>
                <w:i/>
              </w:rPr>
              <w:t xml:space="preserve"> φιλικών προς τα ελασμοβράγχια πρακτικών αλιείας στους τύπους αλιείας μέτριου έως υψηλού κινδύνου.</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Σύσταση GFCM/44/2021/16.</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Isabella Lövin</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49 – στοιχείο β</w:t>
      </w:r>
      <w:r w:rsidRPr="004126E0">
        <w:rPr>
          <w:rStyle w:val="HideTWBExt"/>
        </w:rPr>
        <w:t>&lt;/Article&gt;</w:t>
      </w:r>
    </w:p>
    <w:p w:rsidR="00DD5018" w:rsidRPr="004126E0" w:rsidRDefault="00EC7CD2" w:rsidP="00DD5018">
      <w:r w:rsidRPr="004126E0">
        <w:rPr>
          <w:rStyle w:val="HideTWBExt"/>
        </w:rPr>
        <w:t>&lt;DocAmend2&gt;</w:t>
      </w:r>
      <w:r w:rsidRPr="004126E0">
        <w:t>Κανονι</w:t>
      </w:r>
      <w:r w:rsidRPr="004126E0">
        <w:t>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98 – παράγραφος 5 δ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5δ.</w:t>
            </w:r>
            <w:r w:rsidRPr="004126E0">
              <w:tab/>
            </w:r>
            <w:r w:rsidRPr="004126E0">
              <w:rPr>
                <w:b/>
                <w:i/>
              </w:rPr>
              <w:t xml:space="preserve">Τα κράτη μέλη ενθαρρύνονται να προσδιορίσουν τα κρίσιμα ενδιαιτήματα των ελασμοβραγχίων, να μελετήσουν τις επιπτώσεις </w:t>
            </w:r>
            <w:r w:rsidRPr="004126E0">
              <w:rPr>
                <w:b/>
                <w:i/>
              </w:rPr>
              <w:t>των αλιευτικών εργαλείων και των πιθανών εναλλακτικών αλιευτικών εργαλείων.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Σύσταση GFCM/44/2021/16.</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50</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102 – παράγραφος 3 – στοιχείο β</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w:t>
            </w:r>
            <w:r w:rsidRPr="004126E0">
              <w:t xml:space="preserve">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β)</w:t>
            </w:r>
            <w:r w:rsidRPr="004126E0">
              <w:tab/>
              <w:t>τα κράτη μέλη αξιολογούν</w:t>
            </w:r>
            <w:r w:rsidRPr="004126E0">
              <w:rPr>
                <w:b/>
                <w:bCs/>
                <w:i/>
                <w:iCs/>
              </w:rPr>
              <w:t>, έως το 2024,</w:t>
            </w:r>
            <w:r w:rsidRPr="004126E0">
              <w:t xml:space="preserve"> την αποτελεσματικότητα τουλάχιστον δύο μεταβατικών μέτρων μετριασμού που απαριθμούνται στο παράρτημα XVIII για τη βελτίωση της κατάστασης διατήρησης των ειδών θαλάσσιων πτηνών, τον μετριασμό κ</w:t>
            </w:r>
            <w:r w:rsidRPr="004126E0">
              <w:t>αι, όπου είναι δυνατόν, την εξάλειψη του κινδύνου τυχαίων συλλήψεων θαλάσσιων πτηνών κατά τις αλιευτικές δραστηριότητες και της σχετικής θνησιμότητας.».</w:t>
            </w:r>
          </w:p>
        </w:tc>
        <w:tc>
          <w:tcPr>
            <w:tcW w:w="4876" w:type="dxa"/>
            <w:tcBorders>
              <w:top w:val="nil"/>
              <w:left w:val="nil"/>
              <w:bottom w:val="nil"/>
              <w:right w:val="nil"/>
            </w:tcBorders>
            <w:hideMark/>
          </w:tcPr>
          <w:p w:rsidR="00DD5018" w:rsidRPr="004126E0" w:rsidRDefault="00EC7CD2" w:rsidP="00F37D8F">
            <w:pPr>
              <w:pStyle w:val="Normal6a"/>
            </w:pPr>
            <w:r w:rsidRPr="004126E0">
              <w:t>β)</w:t>
            </w:r>
            <w:r w:rsidRPr="004126E0">
              <w:tab/>
              <w:t>τα κράτη μέλη αξιολογούν την αποτελεσματικότητα τουλάχιστον δύο μεταβατικών μέτρων μετριασμού που απ</w:t>
            </w:r>
            <w:r w:rsidRPr="004126E0">
              <w:t>αριθμούνται στο παράρτημα XVIII για τη βελτίωση της κατάστασης διατήρησης των ειδών θαλάσσιων πτηνών, τον μετριασμό και, όπου είναι δυνατόν, την εξάλειψη του κινδύνου τυχαίων συλλήψεων θαλάσσιων πτηνών κατά τις αλιευτικές δραστηριότητες και της σχετικής θν</w:t>
            </w:r>
            <w:r w:rsidRPr="004126E0">
              <w:t>ησιμότητας.».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219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51</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103 α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Τα κράτη μέλη </w:t>
            </w:r>
            <w:r w:rsidRPr="004126E0">
              <w:rPr>
                <w:b/>
                <w:bCs/>
                <w:i/>
                <w:iCs/>
              </w:rPr>
              <w:t>ενθαρρύνονται να λάβουν</w:t>
            </w:r>
            <w:r w:rsidRPr="004126E0">
              <w:t xml:space="preserve"> τα αναγκαία μέτρα για την εφαρμογή της ισχύουσας νομοθεσίας και μέτρα μετριασμού για τον μετριασμό και, όπου είναι δυνατόν, την εξάλειψη των τυχαίων συλλήψεων θαλάσσιων χελωνών κατά τη διάρκεια αλιευτικών δραστηριοτήτων, όπως, μεταξύ άλλων:</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Τα κράτη μέ</w:t>
            </w:r>
            <w:r w:rsidRPr="004126E0">
              <w:t xml:space="preserve">λη </w:t>
            </w:r>
            <w:r w:rsidRPr="004126E0">
              <w:rPr>
                <w:b/>
                <w:bCs/>
                <w:i/>
                <w:iCs/>
              </w:rPr>
              <w:t>λαμβάνουν</w:t>
            </w:r>
            <w:r w:rsidRPr="004126E0">
              <w:t xml:space="preserve"> τα αναγκαία μέτρα για την εφαρμογή της ισχύουσας νομοθεσίας και μέτρα μετριασμού για τον μετριασμό και, όπου είναι δυνατόν, την εξάλειψη των τυχαίων συλλήψεων θαλάσσιων χελωνών κατά τη διάρκεια αλιευτικών δραστηριοτήτων, όπως, μεταξύ άλλων: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w:t>
      </w:r>
      <w:r w:rsidRPr="004126E0">
        <w:rPr>
          <w:rStyle w:val="HideTWBExt"/>
        </w:rPr>
        <w:t>icle&gt;</w:t>
      </w:r>
      <w:r w:rsidRPr="004126E0">
        <w:t>Άρθρο 1 – παράγραφος 1 – σημείο 51</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103 α – παράγραφος 1 – στοιχείο ε</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ε)</w:t>
            </w:r>
            <w:r w:rsidRPr="004126E0">
              <w:tab/>
              <w:t xml:space="preserve">κανόνες σχετικά με την αλιευτική συμπεριφορά </w:t>
            </w:r>
            <w:r w:rsidRPr="004126E0">
              <w:t>και τις αλιευτικές στρατηγικές</w:t>
            </w:r>
            <w:r w:rsidRPr="004126E0">
              <w:rPr>
                <w:b/>
                <w:bCs/>
                <w:i/>
                <w:iCs/>
              </w:rPr>
              <w:t>.</w:t>
            </w:r>
          </w:p>
        </w:tc>
        <w:tc>
          <w:tcPr>
            <w:tcW w:w="4876" w:type="dxa"/>
            <w:tcBorders>
              <w:top w:val="nil"/>
              <w:left w:val="nil"/>
              <w:bottom w:val="nil"/>
              <w:right w:val="nil"/>
            </w:tcBorders>
            <w:hideMark/>
          </w:tcPr>
          <w:p w:rsidR="00DD5018" w:rsidRPr="004126E0" w:rsidRDefault="00EC7CD2" w:rsidP="00F37D8F">
            <w:pPr>
              <w:pStyle w:val="Normal6a"/>
            </w:pPr>
            <w:r w:rsidRPr="004126E0">
              <w:t>ε)</w:t>
            </w:r>
            <w:r w:rsidRPr="004126E0">
              <w:tab/>
              <w:t>κανόνες σχετικά με την αλιευτική συμπεριφορά και τις αλιευτικές στρατηγικές</w:t>
            </w:r>
            <w:r w:rsidRPr="004126E0">
              <w:rPr>
                <w:b/>
                <w:bCs/>
                <w:i/>
                <w:iCs/>
              </w:rPr>
              <w:t>,</w:t>
            </w:r>
            <w:r w:rsidRPr="004126E0">
              <w:t xml:space="preserve"> </w:t>
            </w:r>
            <w:r w:rsidRPr="004126E0">
              <w:rPr>
                <w:b/>
                <w:i/>
              </w:rPr>
              <w:t>όπως μειωμένο χρόνο παραμονής στη θάλασσα, ανάσυρση των εργαλείων κατά τη διάρκεια της ημέρας και πόντιση αγκίστρων σε μεγαλύτερο βάθος από το σ</w:t>
            </w:r>
            <w:r w:rsidRPr="004126E0">
              <w:rPr>
                <w:b/>
                <w:i/>
              </w:rPr>
              <w:t>υνηθέστερο εύρος βάθους στο οποίο κινούνται οι χελώνες (40-100 μέτρα).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GFCM/44/2021/14 λείπει μέρος της παραγράφου 3</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51</w:t>
      </w:r>
      <w:r w:rsidRPr="004126E0">
        <w:rPr>
          <w:rStyle w:val="HideTWBExt"/>
        </w:rPr>
        <w:t>&lt;/Article&gt;</w:t>
      </w:r>
    </w:p>
    <w:p w:rsidR="00DD5018" w:rsidRPr="004126E0" w:rsidRDefault="00EC7CD2" w:rsidP="00DD5018">
      <w:r w:rsidRPr="004126E0">
        <w:rPr>
          <w:rStyle w:val="HideTWBExt"/>
        </w:rPr>
        <w:t>&lt;DocAmend2&gt;</w:t>
      </w:r>
      <w:r w:rsidRPr="004126E0">
        <w:t>Κανονισμός (ΕΕ) 20</w:t>
      </w:r>
      <w:r w:rsidRPr="004126E0">
        <w:t>23/2124</w:t>
      </w:r>
      <w:r w:rsidRPr="004126E0">
        <w:rPr>
          <w:rStyle w:val="HideTWBExt"/>
        </w:rPr>
        <w:t>&lt;/DocAmend2&gt;</w:t>
      </w:r>
    </w:p>
    <w:p w:rsidR="00DD5018" w:rsidRPr="004126E0" w:rsidRDefault="00EC7CD2" w:rsidP="00DD5018">
      <w:r w:rsidRPr="004126E0">
        <w:rPr>
          <w:rStyle w:val="HideTWBExt"/>
        </w:rPr>
        <w:t>&lt;Article2&gt;</w:t>
      </w:r>
      <w:r w:rsidRPr="004126E0">
        <w:t>Άρθρο 103 α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 xml:space="preserve">Τα κράτη μέλη </w:t>
            </w:r>
            <w:r w:rsidRPr="004126E0">
              <w:rPr>
                <w:b/>
                <w:bCs/>
                <w:i/>
                <w:iCs/>
              </w:rPr>
              <w:t>ενθαρρύνονται να</w:t>
            </w:r>
            <w:r w:rsidRPr="004126E0">
              <w:t xml:space="preserve"> διευκολύνουν την εφαρμογή μέτρων για την αποφυγή της παγίδευσης κατά τη διάρκεια δραστηριοτήτων διαρπαγής και για τη μείωση της θνησιμότητας μετά την ελευθέρωση, μέσω κατάλληλων κατευθυντήριων γραμμών και κατάρτισης.</w:t>
            </w:r>
          </w:p>
        </w:tc>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Τα κράτη μέλη διευκολύνουν την εφαρ</w:t>
            </w:r>
            <w:r w:rsidRPr="004126E0">
              <w:t>μογή μέτρων για την αποφυγή της παγίδευσης κατά τη διάρκεια δραστηριοτήτων διαρπαγής και για τη μείωση της θνησιμότητας μετά την ελευθέρωση, μέσω κατάλληλων κατευθυντήριων γραμμών και κατάρτισης.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51</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103 α – παράγραφος 4</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4.</w:t>
            </w:r>
            <w:r w:rsidRPr="004126E0">
              <w:tab/>
              <w:t>Η Επιτροπή κοινοποιεί αμελλητί τα εν λόγω μέτρα στη γραμματεία της ΓΕΑΜ.</w:t>
            </w:r>
          </w:p>
        </w:tc>
        <w:tc>
          <w:tcPr>
            <w:tcW w:w="4876" w:type="dxa"/>
            <w:tcBorders>
              <w:top w:val="nil"/>
              <w:left w:val="nil"/>
              <w:bottom w:val="nil"/>
              <w:right w:val="nil"/>
            </w:tcBorders>
            <w:hideMark/>
          </w:tcPr>
          <w:p w:rsidR="00DD5018" w:rsidRPr="004126E0" w:rsidRDefault="00EC7CD2" w:rsidP="00EC7CD2">
            <w:pPr>
              <w:pStyle w:val="Normal6a"/>
            </w:pPr>
            <w:r w:rsidRPr="004126E0">
              <w:rPr>
                <w:i/>
              </w:rPr>
              <w:t>(Δεν αφορά το ελληνικό κείμενο.)</w:t>
            </w:r>
            <w:r w:rsidRPr="004126E0">
              <w:t xml:space="preserve"> </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w:t>
      </w:r>
      <w:r w:rsidRPr="004126E0">
        <w:rPr>
          <w:rStyle w:val="HideTWBExt"/>
        </w:rPr>
        <w:t>icle&gt;</w:t>
      </w:r>
      <w:r w:rsidRPr="004126E0">
        <w:t>Άρθρο 1 – παράγραφος 1 – σημείο 52</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105 α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Τα κράτη μέλη </w:t>
            </w:r>
            <w:r w:rsidRPr="004126E0">
              <w:rPr>
                <w:b/>
                <w:bCs/>
                <w:i/>
                <w:iCs/>
              </w:rPr>
              <w:t>ενθαρρύνονται να</w:t>
            </w:r>
            <w:r w:rsidRPr="004126E0">
              <w:t xml:space="preserve"> επεκτείνουν τα μέτρα μετριασμού των παρεμπιπτόντων αλιευμάτων για την ελαχιστοποίηση και την εξάλειψη, όπου είναι δυνατόν, των παρεμπιπτόντων αλιευμάτων κητοειδών κατά τη διάρκεια αλιευτικών δραστηριοτήτων σε τύπους αλιείας με υψηλό κίνδυνο σύλληψης παρεμ</w:t>
            </w:r>
            <w:r w:rsidRPr="004126E0">
              <w:t>πιπτόντων αλιευμάτων, όπως έχουν προσδιοριστεί από την ΕΣΕ. Τα εν λόγω μέτρα μετριασμού συνοδεύονται από κατάλληλη παρακολούθηση για τη διαπίστωση της αποτελεσματικότητας των δράσεων και μπορεί να περιλαμβάνουν, μεταξύ άλλων:</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Τα κράτη μέλη</w:t>
            </w:r>
            <w:r>
              <w:t xml:space="preserve"> </w:t>
            </w:r>
            <w:r w:rsidRPr="004126E0">
              <w:t>επεκτείνουν τ</w:t>
            </w:r>
            <w:r w:rsidRPr="004126E0">
              <w:t>α μέτρα μετριασμού των παρεμπιπτόντων αλιευμάτων για την ελαχιστοποίηση και την εξάλειψη, όπου είναι δυνατόν, των παρεμπιπτόντων αλιευμάτων κητοειδών κατά τη διάρκεια αλιευτικών δραστηριοτήτων σε τύπους αλιείας με υψηλό κίνδυνο σύλληψης παρεμπιπτόντων αλιε</w:t>
            </w:r>
            <w:r w:rsidRPr="004126E0">
              <w:t>υμάτων, όπως έχουν προσδιοριστεί από την ΕΣΕ. Τα εν λόγω μέτρα μετριασμού συνοδεύονται από κατάλληλη παρακολούθηση για τη διαπίστωση της αποτελεσματικότητας των δράσεων και μπορεί να περιλαμβάνουν, μεταξύ άλλων: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52</w:t>
      </w:r>
      <w:r w:rsidRPr="004126E0">
        <w:rPr>
          <w:rStyle w:val="HideTWBExt"/>
        </w:rPr>
        <w:t>&lt;/</w:t>
      </w:r>
      <w:r w:rsidRPr="004126E0">
        <w:rPr>
          <w:rStyle w:val="HideTWBExt"/>
        </w:rPr>
        <w: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105 α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 xml:space="preserve">Τα κράτη μέλη </w:t>
            </w:r>
            <w:r w:rsidRPr="004126E0">
              <w:rPr>
                <w:b/>
                <w:bCs/>
                <w:i/>
                <w:iCs/>
              </w:rPr>
              <w:t>ενθαρρύνονται να</w:t>
            </w:r>
            <w:r w:rsidRPr="004126E0">
              <w:t xml:space="preserve"> διευκολύνουν την εφαρμογή μέτρων για την αποφυγή της παγίδευσης κατά τη διάρκεια δραστηριοτήτων διαρπαγής και για τη μείωση της θνησιμότητας μετά την ελευθέρωση, μέσω κατάλληλων κατευθυντήριων γραμμών και κατάρτισης.</w:t>
            </w:r>
          </w:p>
        </w:tc>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t>Τα κράτη μέλη διευκολύνουν την εφαρ</w:t>
            </w:r>
            <w:r w:rsidRPr="004126E0">
              <w:t>μογή μέτρων για την αποφυγή της παγίδευσης κατά τη διάρκεια δραστηριοτήτων διαρπαγής και για τη μείωση της θνησιμότητας μετά την ελευθέρωση, μέσω κατάλληλων κατευθυντήριων γραμμών και κατάρτισης.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52</w:t>
      </w:r>
      <w:r w:rsidRPr="004126E0">
        <w:rPr>
          <w:rStyle w:val="HideTWBExt"/>
        </w:rPr>
        <w:t>&lt;/Article&gt;</w:t>
      </w:r>
    </w:p>
    <w:p w:rsidR="00DD5018" w:rsidRPr="004126E0" w:rsidRDefault="00EC7CD2" w:rsidP="00DD5018">
      <w:r w:rsidRPr="004126E0">
        <w:rPr>
          <w:rStyle w:val="HideTWBExt"/>
        </w:rPr>
        <w:t>&lt;DocAmend</w:t>
      </w:r>
      <w:r w:rsidRPr="004126E0">
        <w:rPr>
          <w:rStyle w:val="HideTWBExt"/>
        </w:rPr>
        <w:t>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105 α – παράγραφος 3</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Τα κράτη μέλη </w:t>
            </w:r>
            <w:r w:rsidRPr="004126E0">
              <w:rPr>
                <w:b/>
                <w:bCs/>
                <w:i/>
                <w:iCs/>
              </w:rPr>
              <w:t>ενθαρρύνονται να</w:t>
            </w:r>
            <w:r w:rsidRPr="004126E0">
              <w:t xml:space="preserve"> εντοπίζουν περιοχές με υψηλό κίνδυνο αλληλεπίδρασης μεταξύ αλιείας και κητοειδών και, με βάση τις υφιστάμενες πιέσεις, μπορούν να εξετάζουν το ενδεχόμενο τροποποίησης της ισχύουσας εθνικής νομοθεσίας.</w:t>
            </w:r>
          </w:p>
        </w:tc>
        <w:tc>
          <w:tcPr>
            <w:tcW w:w="4876" w:type="dxa"/>
            <w:tcBorders>
              <w:top w:val="nil"/>
              <w:left w:val="nil"/>
              <w:bottom w:val="nil"/>
              <w:right w:val="nil"/>
            </w:tcBorders>
            <w:hideMark/>
          </w:tcPr>
          <w:p w:rsidR="00DD5018" w:rsidRPr="004126E0" w:rsidRDefault="00EC7CD2" w:rsidP="00F37D8F">
            <w:pPr>
              <w:pStyle w:val="Normal6a"/>
            </w:pPr>
            <w:r w:rsidRPr="004126E0">
              <w:t>3.</w:t>
            </w:r>
            <w:r w:rsidRPr="004126E0">
              <w:tab/>
              <w:t xml:space="preserve">Τα κράτη μέλη εντοπίζουν περιοχές με υψηλό κίνδυνο </w:t>
            </w:r>
            <w:r w:rsidRPr="004126E0">
              <w:t>αλληλεπίδρασης μεταξύ αλιείας και κητοειδών και, με βάση τις υφιστάμενες πιέσεις, μπορούν να εξετάζουν το ενδεχόμενο τροποποίησης της ισχύουσας εθνικής νομοθεσίας.</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52</w:t>
      </w:r>
      <w:r w:rsidRPr="004126E0">
        <w:rPr>
          <w:rStyle w:val="HideTWBExt"/>
        </w:rPr>
        <w:t>&lt;/Article&gt;</w:t>
      </w:r>
    </w:p>
    <w:p w:rsidR="00DD5018" w:rsidRPr="004126E0" w:rsidRDefault="00EC7CD2" w:rsidP="00DD5018">
      <w:r w:rsidRPr="004126E0">
        <w:rPr>
          <w:rStyle w:val="HideTWBExt"/>
        </w:rPr>
        <w:t>&lt;DocAmend2&gt;</w:t>
      </w:r>
      <w:r w:rsidRPr="004126E0">
        <w:t xml:space="preserve">Κανονισμός (ΕΕ) </w:t>
      </w:r>
      <w:r w:rsidRPr="004126E0">
        <w:t>2023/2124</w:t>
      </w:r>
      <w:r w:rsidRPr="004126E0">
        <w:rPr>
          <w:rStyle w:val="HideTWBExt"/>
        </w:rPr>
        <w:t>&lt;/DocAmend2&gt;</w:t>
      </w:r>
    </w:p>
    <w:p w:rsidR="00DD5018" w:rsidRPr="004126E0" w:rsidRDefault="00EC7CD2" w:rsidP="00DD5018">
      <w:r w:rsidRPr="004126E0">
        <w:rPr>
          <w:rStyle w:val="HideTWBExt"/>
        </w:rPr>
        <w:t>&lt;Article2&gt;</w:t>
      </w:r>
      <w:r w:rsidRPr="004126E0">
        <w:t>Άρθρο 105 α – παράγραφος 4</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4.</w:t>
            </w:r>
            <w:r w:rsidRPr="004126E0">
              <w:tab/>
            </w:r>
            <w:r w:rsidRPr="004126E0">
              <w:rPr>
                <w:b/>
                <w:bCs/>
                <w:i/>
                <w:iCs/>
              </w:rPr>
              <w:t>Τα συμβαλλόμενα μέρη της σύμβασης (ΣΜΣ)</w:t>
            </w:r>
            <w:r w:rsidRPr="004126E0">
              <w:t xml:space="preserve"> μπορούν επίσης να εξετάζουν, σε εθελοντική βάση, άλλους τύπους διαχείρισης, όπως διαχείριση βάσει κινήτρων, επιβράβευση των φορέων εκμετάλλευσης με χαμηλό αντίκτυπο και, ταυτόχρονα, ώθηση των φορέων εκμετάλλευσης που δεν έχουν ικανοποιητικές επιδόσεις να </w:t>
            </w:r>
            <w:r w:rsidRPr="004126E0">
              <w:t>υιοθετήσουν καλύτερες πρακτικές ή να εγκαταλείψουν τον κλάδο, ή διαχείριση με παροχή κινήτρων με βάση την αγορά που χρησιμοποιεί, για παράδειγμα, την επισήμανση χρήσης ασφαλών για τα δελφίνια ή φιλικών προς τα δελφίνια πρακτικών αλιείας στους τύπους αλιεία</w:t>
            </w:r>
            <w:r w:rsidRPr="004126E0">
              <w:t>ς που συνεπάγονται μέτριο έως υψηλό κίνδυνο αλληλεπίδρασης με κητοειδή.</w:t>
            </w:r>
          </w:p>
        </w:tc>
        <w:tc>
          <w:tcPr>
            <w:tcW w:w="4876" w:type="dxa"/>
            <w:tcBorders>
              <w:top w:val="nil"/>
              <w:left w:val="nil"/>
              <w:bottom w:val="nil"/>
              <w:right w:val="nil"/>
            </w:tcBorders>
            <w:hideMark/>
          </w:tcPr>
          <w:p w:rsidR="00DD5018" w:rsidRPr="004126E0" w:rsidRDefault="00EC7CD2" w:rsidP="00F37D8F">
            <w:pPr>
              <w:pStyle w:val="Normal6a"/>
            </w:pPr>
            <w:r w:rsidRPr="004126E0">
              <w:t>4.</w:t>
            </w:r>
            <w:r w:rsidRPr="004126E0">
              <w:tab/>
            </w:r>
            <w:r w:rsidRPr="004126E0">
              <w:rPr>
                <w:b/>
                <w:bCs/>
                <w:i/>
                <w:iCs/>
              </w:rPr>
              <w:t>Η Επιτροπή και τα κράτη μέλη</w:t>
            </w:r>
            <w:r w:rsidRPr="004126E0">
              <w:t xml:space="preserve"> μπορούν επίσης να εξετάζουν, σε εθελοντική βάση, άλλους τύπους διαχείρισης, όπως διαχείριση βάσει κινήτρων, επιβράβευση των φορέων εκμετάλλευσης με χαμη</w:t>
            </w:r>
            <w:r w:rsidRPr="004126E0">
              <w:t>λό αντίκτυπο και, ταυτόχρονα, ώθηση των φορέων εκμετάλλευσης που δεν έχουν ικανοποιητικές επιδόσεις να υιοθετήσουν καλύτερες πρακτικές ή να εγκαταλείψουν τον κλάδο, ή διαχείριση με παροχή κινήτρων με βάση την αγορά που χρησιμοποιεί, για παράδειγμα, την επι</w:t>
            </w:r>
            <w:r w:rsidRPr="004126E0">
              <w:t>σήμανση χρήσης ασφαλών για τα δελφίνια ή φιλικών προς τα δελφίνια πρακτικών αλιείας στους τύπους αλιείας που συνεπάγονται μέτριο έως υψηλό κίνδυνο αλληλεπίδρασης με κητοειδή.</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54</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106 α – παράγραφος 1</w:t>
      </w:r>
      <w:r w:rsidRPr="004126E0">
        <w:rPr>
          <w:rStyle w:val="HideTWBExt"/>
        </w:rPr>
        <w:t>&lt;/Article2</w:t>
      </w:r>
      <w:r w:rsidRPr="004126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Το παρόν υποτμήμα καθορίζει ελάχιστα πρότυπα για όλες τις απαγορευμένες περιοχές αλιείας που θεσπίζονται σε επίπεδο ΓΕΑΜ </w:t>
            </w:r>
            <w:r w:rsidRPr="004126E0">
              <w:rPr>
                <w:b/>
                <w:bCs/>
                <w:i/>
                <w:iCs/>
              </w:rPr>
              <w:t xml:space="preserve">και εφαρμόζεται σε όλες τις απαγορευμένες περιοχές αλιείας που θεσπίζονται σε επίπεδο </w:t>
            </w:r>
            <w:r w:rsidRPr="004126E0">
              <w:rPr>
                <w:b/>
                <w:bCs/>
                <w:i/>
                <w:iCs/>
              </w:rPr>
              <w:t>ΓΕΑΜ μετά το 2022</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Το παρόν υποτμήμα καθορίζει ελάχιστα πρότυπα για όλες τις απαγορευμένες περιοχές αλιείας που θεσπίζονται σε επίπεδο ΓΕΑΜ.</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 xml:space="preserve">Sebastian </w:t>
      </w:r>
      <w:r w:rsidRPr="004126E0">
        <w:t>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54</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w:t>
      </w:r>
      <w:r w:rsidRPr="004126E0">
        <w:t xml:space="preserve"> 106 γ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Τα κράτη μέλη εκπονούν επιστημονικό σχέδιο παρακολούθησης για κάθε απαγορευμένη περιοχή αλιείας, το οποίο περιλαμβάνει εργαλειοθήκη και ολοκληρωμένες κατευθυντήριες γραμμές, προκειμένου να παρέχονται οι απαραίτητες πληροφορίες για την αξιολόγηση της αποτελ</w:t>
            </w:r>
            <w:r w:rsidRPr="004126E0">
              <w:t xml:space="preserve">εσματικότητας της απαγορευμένης περιοχής αλιείας όσον αφορά την ανασύσταση των αποθεμάτων </w:t>
            </w:r>
            <w:r w:rsidRPr="004126E0">
              <w:rPr>
                <w:b/>
                <w:i/>
              </w:rPr>
              <w:t>και</w:t>
            </w:r>
            <w:r w:rsidRPr="004126E0">
              <w:t xml:space="preserve"> την προστασία των ενδιαιτημάτων και των ευπαθών θαλάσσιων οικοσυστημάτων.</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Τα κράτη μέλη εκπονούν επιστημονικό σχέδιο παρακολούθησης για κάθε απαγορευμένη περιοχή </w:t>
            </w:r>
            <w:r w:rsidRPr="004126E0">
              <w:t>αλιείας, το οποίο περιλαμβάνει εργαλειοθήκη και ολοκληρωμένες κατευθυντήριες γραμμές, προκειμένου να παρέχονται οι απαραίτητες πληροφορίες για την αξιολόγηση της αποτελεσματικότητας της απαγορευμένης περιοχής αλιείας όσον αφορά την ανασύσταση των αποθεμάτω</w:t>
            </w:r>
            <w:r w:rsidRPr="004126E0">
              <w:t>ν</w:t>
            </w:r>
            <w:r w:rsidRPr="004126E0">
              <w:rPr>
                <w:b/>
                <w:i/>
              </w:rPr>
              <w:t>,</w:t>
            </w:r>
            <w:r w:rsidRPr="004126E0">
              <w:t xml:space="preserve"> την προστασία των ενδιαιτημάτων και των ευπαθών θαλάσσιων οικοσυστημάτων </w:t>
            </w:r>
            <w:r w:rsidRPr="004126E0">
              <w:rPr>
                <w:b/>
                <w:i/>
              </w:rPr>
              <w:t>και την ενίσχυση της πυκνότητας οργανισμών όσον αφορά τη βιομάζα και την αφθονία εντός των απαγορευμένων περιοχών αλιείας</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GFCM/45/2022/11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229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w:t>
      </w:r>
      <w:r w:rsidRPr="004126E0">
        <w:rPr>
          <w:rStyle w:val="HideTWBExt"/>
        </w:rPr>
        <w:t>e&gt;</w:t>
      </w:r>
      <w:r w:rsidRPr="004126E0">
        <w:t>Άρθρο 1 – παράγραφος 1 – σημείο 54</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106 δ – παράγραφος 5</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5.</w:t>
            </w:r>
            <w:r w:rsidRPr="004126E0">
              <w:tab/>
              <w:t xml:space="preserve">Η έκθεση που προβλέπεται στην παράγραφο </w:t>
            </w:r>
            <w:r w:rsidRPr="004126E0">
              <w:rPr>
                <w:b/>
                <w:bCs/>
                <w:i/>
                <w:iCs/>
              </w:rPr>
              <w:t>2</w:t>
            </w:r>
            <w:r w:rsidRPr="004126E0">
              <w:t xml:space="preserve"> περιλαμβάνει τα ακόλουθα:</w:t>
            </w:r>
          </w:p>
        </w:tc>
        <w:tc>
          <w:tcPr>
            <w:tcW w:w="4876" w:type="dxa"/>
            <w:tcBorders>
              <w:top w:val="nil"/>
              <w:left w:val="nil"/>
              <w:bottom w:val="nil"/>
              <w:right w:val="nil"/>
            </w:tcBorders>
            <w:hideMark/>
          </w:tcPr>
          <w:p w:rsidR="00DD5018" w:rsidRPr="004126E0" w:rsidRDefault="00EC7CD2" w:rsidP="00F37D8F">
            <w:pPr>
              <w:pStyle w:val="Normal6a"/>
            </w:pPr>
            <w:r w:rsidRPr="004126E0">
              <w:t>5.</w:t>
            </w:r>
            <w:r w:rsidRPr="004126E0">
              <w:tab/>
              <w:t xml:space="preserve">Η έκθεση που προβλέπεται στην παράγραφο </w:t>
            </w:r>
            <w:r w:rsidRPr="004126E0">
              <w:rPr>
                <w:b/>
                <w:bCs/>
                <w:i/>
                <w:iCs/>
              </w:rPr>
              <w:t>4</w:t>
            </w:r>
            <w:r w:rsidRPr="004126E0">
              <w:t xml:space="preserve"> περιλαμβάνει τα ακόλουθα: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55</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107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 xml:space="preserve">Θεσπίζεται απαγορευμένη </w:t>
            </w:r>
            <w:r w:rsidRPr="004126E0">
              <w:t>περιοχή αλιείας στον ανατολικό κόλπο του Λέοντος</w:t>
            </w:r>
            <w:r w:rsidRPr="004126E0">
              <w:rPr>
                <w:b/>
                <w:i/>
              </w:rPr>
              <w:t>, η οποία περικλείεται από τις γραμμές που συνδέουν τα σημεία με τις συντεταγμένες που καθορίζονται στο μέρος Α του παραρτήματος XI.</w:t>
            </w:r>
          </w:p>
        </w:tc>
        <w:tc>
          <w:tcPr>
            <w:tcW w:w="4876" w:type="dxa"/>
            <w:tcBorders>
              <w:top w:val="nil"/>
              <w:left w:val="nil"/>
              <w:bottom w:val="nil"/>
              <w:right w:val="nil"/>
            </w:tcBorders>
            <w:hideMark/>
          </w:tcPr>
          <w:p w:rsidR="00DD5018" w:rsidRPr="004126E0" w:rsidRDefault="00EC7CD2" w:rsidP="00F37D8F">
            <w:pPr>
              <w:pStyle w:val="Normal6a"/>
            </w:pPr>
            <w:r w:rsidRPr="004126E0">
              <w:t>1.</w:t>
            </w:r>
            <w:r w:rsidRPr="004126E0">
              <w:tab/>
              <w:t>Θεσπίζεται απαγορευμένη περιοχή αλιείας στον ανατολικό κόλπο του Λέοντος</w:t>
            </w:r>
            <w:r w:rsidRPr="004126E0">
              <w:t xml:space="preserve"> </w:t>
            </w:r>
            <w:r w:rsidRPr="004126E0">
              <w:rPr>
                <w:b/>
                <w:i/>
              </w:rPr>
              <w:t>(γεωγραφική υποπεριοχή 7) με σκοπό την ενίσχυση της προστασίας των αναπαραγωγικών συγκεντρώσεων και των ευαίσθητων ενδιαιτημάτων βαθέων υδάτων</w:t>
            </w:r>
            <w:r w:rsidRPr="004126E0">
              <w:t>.</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 παράγραφος 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55</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w:t>
      </w:r>
      <w:r w:rsidRPr="004126E0">
        <w:rPr>
          <w:rStyle w:val="HideTWBExt"/>
        </w:rPr>
        <w:t>2&gt;</w:t>
      </w:r>
      <w:r w:rsidRPr="004126E0">
        <w:t>Άρθρο 107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r>
            <w:r w:rsidRPr="004126E0">
              <w:rPr>
                <w:b/>
                <w:bCs/>
                <w:i/>
                <w:iCs/>
              </w:rPr>
              <w:t xml:space="preserve">Στη ζώνη 1 του μέρους Α απαγορεύονται τα επαγγελματικά αλιευτικά σκάφη που αλιεύουν βενθοπελαγικά αποθέματα με συρόμενα δίχτυα, παραγάδια βυθού και ενδιάμεσου βάθους </w:t>
            </w:r>
            <w:r w:rsidRPr="004126E0">
              <w:rPr>
                <w:b/>
                <w:bCs/>
                <w:i/>
                <w:iCs/>
              </w:rPr>
              <w:t>και στάσιμα δίχτυα βυθού, καθώς και οι δραστηριότητες ερασιτεχνικής αλιείας.</w:t>
            </w:r>
          </w:p>
        </w:tc>
        <w:tc>
          <w:tcPr>
            <w:tcW w:w="4876" w:type="dxa"/>
            <w:tcBorders>
              <w:top w:val="nil"/>
              <w:left w:val="nil"/>
              <w:bottom w:val="nil"/>
              <w:right w:val="nil"/>
            </w:tcBorders>
            <w:hideMark/>
          </w:tcPr>
          <w:p w:rsidR="00DD5018" w:rsidRPr="004126E0" w:rsidRDefault="00EC7CD2" w:rsidP="00F37D8F">
            <w:pPr>
              <w:pStyle w:val="Normal6a"/>
            </w:pPr>
            <w:r w:rsidRPr="004126E0">
              <w:t>2.</w:t>
            </w:r>
            <w:r w:rsidRPr="004126E0">
              <w:tab/>
            </w:r>
            <w:r w:rsidRPr="004126E0">
              <w:rPr>
                <w:b/>
                <w:bCs/>
                <w:i/>
                <w:iCs/>
              </w:rPr>
              <w:t>Η απαγορευμένη περιοχή αλιείας της παραγράφου 1 διαιρείται σε ζώνη Α και ζώνη Β και οριοθετείται από τις γραμμές που συνδέουν τις γεωγραφικές συντεταγμένες που καθορίζονται στο</w:t>
            </w:r>
            <w:r w:rsidRPr="004126E0">
              <w:rPr>
                <w:b/>
                <w:bCs/>
                <w:i/>
                <w:iCs/>
              </w:rPr>
              <w:t xml:space="preserve"> παράρτημα XI μέρος 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 παράγραφος 2.</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 xml:space="preserve">Πρόταση </w:t>
      </w:r>
      <w:r w:rsidRPr="004126E0">
        <w:t>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55</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107 – παράγραφος 3</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3.</w:t>
            </w:r>
            <w:r w:rsidRPr="004126E0">
              <w:tab/>
            </w:r>
            <w:r w:rsidRPr="004126E0">
              <w:rPr>
                <w:b/>
                <w:i/>
              </w:rPr>
              <w:t xml:space="preserve">Οι αλιευτικές δραστηριότητες στο </w:t>
            </w:r>
            <w:r w:rsidRPr="004126E0">
              <w:rPr>
                <w:b/>
                <w:i/>
              </w:rPr>
              <w:t>πλαίσιο των οποίων αλιεύονται βενθοπελαγικά αποθέματα με τη χρήση συρόμενων διχτυών, παραγαδιών βυθού και ενδιάμεσου βάθους, καθώς και στάσιμων διχτυών βυθού, απαγορεύονται στη ζώνη 2 του μέρους Α από την 1η Νοεμβρίου έως τις 30 Απριλίου κάθε έτους.».</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w:t>
            </w:r>
            <w:r w:rsidRPr="004126E0">
              <w:rPr>
                <w:b/>
                <w:i/>
              </w:rPr>
              <w:t>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233</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55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107 α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(55α)</w:t>
            </w:r>
            <w:r w:rsidRPr="004126E0">
              <w:tab/>
            </w:r>
            <w:r w:rsidRPr="004126E0">
              <w:rPr>
                <w:b/>
                <w:i/>
              </w:rPr>
              <w:t>Μεταξύ των άρθρων 107 και 108 παρεμβάλλεται το ακόλουθο άρθρο 107α: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107α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Διαχείριση και παρακολούθηση </w:t>
            </w:r>
            <w:r w:rsidRPr="004126E0">
              <w:rPr>
                <w:b/>
                <w:i/>
              </w:rPr>
              <w:t>της αλιευτικής ικανότητας και της αλιευτικής προσπάθειας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Με σκοπό τη συμβολή στην προστασία των ευπαθών θαλάσσιων οικοσυστημάτων και των βασικών ενδιαιτημάτων ιχθύων για τα βενθοπελαγικά αποθέματα, όπως ο μπακαλιάρος μερλούκιος (Merluccius merluccius)</w:t>
            </w:r>
            <w:r w:rsidRPr="004126E0">
              <w:rPr>
                <w:b/>
                <w:i/>
              </w:rPr>
              <w:t>, απαγορεύονται στη ζώνη Α όλα τα επαγγελματικά αλιευτικά σκάφη που αλιεύουν βενθοπελαγικά αποθέματα και χρησιμοποιούν συρόμενα δίχτυα, παραγάδια βυθού και ενδιάμεσου βάθους και στάσιμα δίχτυα βυθού.</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Οι αλιευτικές δραστηριότητες στο πλαίσιο των οποίων</w:t>
            </w:r>
            <w:r w:rsidRPr="004126E0">
              <w:rPr>
                <w:b/>
                <w:i/>
              </w:rPr>
              <w:t xml:space="preserve"> αλιεύονται βενθοπελαγικά αποθέματα και χρησιμοποιούνται συρόμενα δίχτυα, παραγάδια βυθού και ενδιάμεσου βάθους, καθώς και στάσιμα δίχτυα βυθού, απαγορεύονται στη ζώνη Β από την 1η Νοεμβρίου έως τις 30 Απριλίου.</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Απαγορεύεται κάθε δραστηριότητα ερασιτε</w:t>
            </w:r>
            <w:r w:rsidRPr="004126E0">
              <w:rPr>
                <w:b/>
                <w:i/>
              </w:rPr>
              <w:t>χνικής αλιείας στις ζώνες Α και Β.</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 xml:space="preserve">Άρθρο 1 – παράγραφος 1 – </w:t>
      </w:r>
      <w:r w:rsidRPr="004126E0">
        <w:t>σημείο 56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108 – παράγραφος 1</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ab/>
            </w:r>
            <w:r w:rsidRPr="004126E0">
              <w:rPr>
                <w:b/>
                <w:i/>
              </w:rPr>
              <w:t xml:space="preserve">Η αλιευτική προσπάθεια (ημέρες στη θάλασσα) για βενθοπελαγικά αποθέματα των σκαφών που </w:t>
            </w:r>
            <w:r w:rsidRPr="004126E0">
              <w:rPr>
                <w:b/>
                <w:i/>
              </w:rPr>
              <w:t>χρησιμοποιούν συρόμενα δίχτυα, παραγάδια βυθού και ενδιάμεσου βάθους και στάσιμα δίχτυα βυθού στις απαγορευμένες περιοχές αλιείας του άρθρου 107 δεν υπερβαίνει το επίπεδο της αλιευτικής προσπάθειας που εφαρμόστηκε το 2008 από κάθε κράτος μέλος στην εν λόγω</w:t>
            </w:r>
            <w:r w:rsidRPr="004126E0">
              <w:rPr>
                <w:b/>
                <w:i/>
              </w:rPr>
              <w:t xml:space="preserve"> περιοχή.</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235</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108 – παράγραφος 1 α (νέα)</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1α.</w:t>
            </w:r>
            <w:r w:rsidRPr="004126E0">
              <w:tab/>
            </w:r>
            <w:r w:rsidRPr="004126E0">
              <w:rPr>
                <w:b/>
                <w:i/>
              </w:rPr>
              <w:t>Η ετήσια αλιευτική προσπάθεια (ημέρες στη θάλασσα) που ασκείται σε βενθοπελαγικά αποθέματα</w:t>
            </w:r>
            <w:r w:rsidRPr="004126E0">
              <w:rPr>
                <w:b/>
                <w:i/>
              </w:rPr>
              <w:t xml:space="preserve"> από σκάφη τα οποία επιτρέπεται να αλιεύουν στις απαγορευμένες περιοχές αλιείας με συρόμενα δίχτυα, παραγάδια βυθού ή ενδιάμεσου βάθους ή στάσιμα δίχτυα βυθού δεν υπερβαίνει το επίπεδο της αλιευτικής προσπάθειας που εφαρμόστηκε κατά την περίοδο αναφοράς (π</w:t>
            </w:r>
            <w:r w:rsidRPr="004126E0">
              <w:rPr>
                <w:b/>
                <w:i/>
              </w:rPr>
              <w:t>ου καθορίζεται στα έτη 2015-2017).</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236</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 xml:space="preserve">Άρθρο 1 – παράγραφος 1 – </w:t>
      </w:r>
      <w:r w:rsidRPr="004126E0">
        <w:t>σημείο 56</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108 – παράγραφος 2</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2.</w:t>
            </w:r>
            <w:r w:rsidRPr="004126E0">
              <w:tab/>
            </w:r>
            <w:r w:rsidRPr="004126E0">
              <w:rPr>
                <w:b/>
                <w:i/>
              </w:rPr>
              <w:t xml:space="preserve">Τα κράτη μέλη δεν μεταβιβάζουν την αλιευτική προσπάθεια μεταξύ σκαφών που επιτρέπεται να </w:t>
            </w:r>
            <w:r w:rsidRPr="004126E0">
              <w:rPr>
                <w:b/>
                <w:i/>
              </w:rPr>
              <w:t>αλιεύουν στην απαγορευμένη περιοχή αλιείας και τα οποία διαθέτουν διαφορετικά εργαλεία.».</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διαγράφεται</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237</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56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110</w:t>
      </w:r>
      <w:r w:rsidRPr="004126E0">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Ισχύον κείμενο</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trHeight w:val="240"/>
          <w:jc w:val="center"/>
        </w:trPr>
        <w:tc>
          <w:tcPr>
            <w:tcW w:w="4876" w:type="dxa"/>
            <w:tcBorders>
              <w:top w:val="nil"/>
              <w:left w:val="nil"/>
              <w:bottom w:val="nil"/>
              <w:right w:val="nil"/>
            </w:tcBorders>
          </w:tcPr>
          <w:p w:rsidR="00DD5018" w:rsidRPr="004126E0" w:rsidRDefault="00DD5018" w:rsidP="00F37D8F">
            <w:pPr>
              <w:pStyle w:val="AmColumnHeading"/>
            </w:pPr>
          </w:p>
        </w:tc>
        <w:tc>
          <w:tcPr>
            <w:tcW w:w="4876" w:type="dxa"/>
            <w:tcBorders>
              <w:top w:val="nil"/>
              <w:left w:val="nil"/>
              <w:bottom w:val="nil"/>
              <w:right w:val="nil"/>
            </w:tcBorders>
            <w:hideMark/>
          </w:tcPr>
          <w:p w:rsidR="00DD5018" w:rsidRPr="004126E0" w:rsidRDefault="00EC7CD2" w:rsidP="00F37D8F">
            <w:pPr>
              <w:pStyle w:val="AmColumnHeading"/>
              <w:jc w:val="left"/>
              <w:rPr>
                <w:b/>
              </w:rPr>
            </w:pPr>
            <w:r w:rsidRPr="004126E0">
              <w:rPr>
                <w:b/>
              </w:rPr>
              <w:t>(56α)</w:t>
            </w:r>
            <w:r w:rsidRPr="004126E0">
              <w:rPr>
                <w:b/>
              </w:rPr>
              <w:tab/>
              <w:t xml:space="preserve">Το άρθρο 110 αντικαθίσταται από το </w:t>
            </w:r>
            <w:r w:rsidRPr="004126E0">
              <w:rPr>
                <w:b/>
              </w:rPr>
              <w:t>ακόλουθο κείμενο:</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Άρθρο 110</w:t>
            </w:r>
          </w:p>
        </w:tc>
        <w:tc>
          <w:tcPr>
            <w:tcW w:w="4876" w:type="dxa"/>
            <w:tcBorders>
              <w:top w:val="nil"/>
              <w:left w:val="nil"/>
              <w:bottom w:val="nil"/>
              <w:right w:val="nil"/>
            </w:tcBorders>
            <w:hideMark/>
          </w:tcPr>
          <w:p w:rsidR="00DD5018" w:rsidRPr="004126E0" w:rsidRDefault="00EC7CD2" w:rsidP="00F37D8F">
            <w:pPr>
              <w:pStyle w:val="Normal6a"/>
            </w:pPr>
            <w:r w:rsidRPr="004126E0">
              <w:t>Άρθρο 110</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Αδειοδοτημένα σκάφη</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w:t>
            </w:r>
            <w:r w:rsidRPr="004126E0">
              <w:t>Αδειοδοτημένα σκάφη</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1. Τα σκάφη τα οποία επιτρέπεται να αλιεύουν στην περιοχή που αναφέρεται στο άρθρο 107 του παρόντος κανονισμού λαμβάνουν άδεια αλιείας από το κράτος μέλος τους, βάσει του </w:t>
            </w:r>
            <w:r w:rsidRPr="004126E0">
              <w:t>άρθρου 7 του κανονισμού (ΕΚ) αριθ. 1224/2009.</w:t>
            </w:r>
          </w:p>
        </w:tc>
        <w:tc>
          <w:tcPr>
            <w:tcW w:w="4876" w:type="dxa"/>
            <w:tcBorders>
              <w:top w:val="nil"/>
              <w:left w:val="nil"/>
              <w:bottom w:val="nil"/>
              <w:right w:val="nil"/>
            </w:tcBorders>
            <w:hideMark/>
          </w:tcPr>
          <w:p w:rsidR="00DD5018" w:rsidRPr="004126E0" w:rsidRDefault="00EC7CD2" w:rsidP="00F37D8F">
            <w:pPr>
              <w:pStyle w:val="Normal6a"/>
            </w:pPr>
            <w:r w:rsidRPr="004126E0">
              <w:t>1. Τα σκάφη τα οποία επιτρέπεται να αλιεύουν στην περιοχή που αναφέρεται στο άρθρο 107 του παρόντος κανονισμού λαμβάνουν άδεια αλιείας από το κράτος μέλος τους, βάσει του άρθρου 7 του κανονισμού (ΕΚ) αριθ. 1224</w:t>
            </w:r>
            <w:r w:rsidRPr="004126E0">
              <w:t>/2009.</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2. Απαγορεύεται η έναρξη αλιείας στην περιοχή που αναφέρεται στο άρθρο 107 από αλιευτικά σκάφη χωρίς ιστορικό αλιείας εντός της περιοχής αυτής πριν από τις 31 Δεκεμβρίου 2008.</w:t>
            </w:r>
          </w:p>
        </w:tc>
        <w:tc>
          <w:tcPr>
            <w:tcW w:w="4876" w:type="dxa"/>
            <w:tcBorders>
              <w:top w:val="nil"/>
              <w:left w:val="nil"/>
              <w:bottom w:val="nil"/>
              <w:right w:val="nil"/>
            </w:tcBorders>
            <w:hideMark/>
          </w:tcPr>
          <w:p w:rsidR="00DD5018" w:rsidRPr="004126E0" w:rsidRDefault="00EC7CD2" w:rsidP="00F37D8F">
            <w:pPr>
              <w:pStyle w:val="Normal6a"/>
            </w:pPr>
            <w:r w:rsidRPr="004126E0">
              <w:t>2. Απαγορεύεται η έναρξη αλιείας στην περιοχή που αναφέρεται στο άρθρο 1</w:t>
            </w:r>
            <w:r w:rsidRPr="004126E0">
              <w:t>07 από αλιευτικά σκάφη χωρίς ιστορικό αλιείας εντός της περιοχής αυτής πριν από τις 31 Δεκεμβρίου 2008.</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i/>
              </w:rPr>
            </w:pPr>
            <w:r w:rsidRPr="004126E0">
              <w:t>3. Τα κράτη μέλη κοινοποιούν στην Επιτροπή</w:t>
            </w:r>
            <w:r w:rsidRPr="004126E0">
              <w:rPr>
                <w:b/>
                <w:bCs/>
                <w:i/>
                <w:iCs/>
              </w:rPr>
              <w:t>, το αργότερο μέχρι τις 16 Φεβρουαρίου 2012,</w:t>
            </w:r>
            <w:r w:rsidRPr="004126E0">
              <w:t xml:space="preserve"> την εθνική νομοθεσία που ίσχυε στις 31 Δεκεμβρίου 2008 σχετικά μ</w:t>
            </w:r>
            <w:r w:rsidRPr="004126E0">
              <w:t xml:space="preserve">ε: </w:t>
            </w:r>
          </w:p>
        </w:tc>
        <w:tc>
          <w:tcPr>
            <w:tcW w:w="4876" w:type="dxa"/>
            <w:tcBorders>
              <w:top w:val="nil"/>
              <w:left w:val="nil"/>
              <w:bottom w:val="nil"/>
              <w:right w:val="nil"/>
            </w:tcBorders>
            <w:hideMark/>
          </w:tcPr>
          <w:p w:rsidR="00DD5018" w:rsidRPr="004126E0" w:rsidRDefault="00EC7CD2" w:rsidP="00F37D8F">
            <w:pPr>
              <w:pStyle w:val="Normal6a"/>
            </w:pPr>
            <w:r w:rsidRPr="004126E0">
              <w:t>3. Τα κράτη μέλη κοινοποιούν στην Επιτροπή την εθνική νομοθεσία που ίσχυε στις 31 Δεκεμβρίου 2008 σχετικά με:</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rPr>
                <w:b/>
                <w:i/>
              </w:rPr>
              <w:t>α)</w:t>
            </w:r>
            <w:r w:rsidRPr="004126E0">
              <w:rPr>
                <w:b/>
                <w:i/>
              </w:rPr>
              <w:tab/>
            </w:r>
            <w:r w:rsidRPr="004126E0">
              <w:t xml:space="preserve">τον μέγιστο </w:t>
            </w:r>
            <w:r w:rsidRPr="004126E0">
              <w:rPr>
                <w:b/>
                <w:bCs/>
                <w:i/>
                <w:iCs/>
              </w:rPr>
              <w:t>αριθμό ωρών ανά ημέρα που επιτρέπεται σε ένα σκάφος να ασκεί αλιευτική δραστηριότητα</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rPr>
                <w:b/>
                <w:i/>
              </w:rPr>
              <w:t>α)</w:t>
            </w:r>
            <w:r w:rsidRPr="004126E0">
              <w:tab/>
              <w:t xml:space="preserve">τον μέγιστο </w:t>
            </w:r>
            <w:r w:rsidRPr="004126E0">
              <w:rPr>
                <w:b/>
                <w:bCs/>
                <w:i/>
                <w:iCs/>
              </w:rPr>
              <w:t>χρόνο ημερήσιας αλιευτική</w:t>
            </w:r>
            <w:r w:rsidRPr="004126E0">
              <w:rPr>
                <w:b/>
                <w:bCs/>
                <w:i/>
                <w:iCs/>
              </w:rPr>
              <w:t>ς δραστηριότητας</w:t>
            </w:r>
            <w:r w:rsidRPr="004126E0">
              <w:t>·</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rPr>
                <w:b/>
              </w:rPr>
            </w:pPr>
            <w:r w:rsidRPr="004126E0">
              <w:rPr>
                <w:b/>
                <w:i/>
              </w:rPr>
              <w:t>β)</w:t>
            </w:r>
            <w:r w:rsidRPr="004126E0">
              <w:rPr>
                <w:b/>
                <w:i/>
              </w:rPr>
              <w:tab/>
            </w:r>
            <w:r w:rsidRPr="004126E0">
              <w:t xml:space="preserve">τον μέγιστο αριθμό ημερών </w:t>
            </w:r>
            <w:r w:rsidRPr="004126E0">
              <w:rPr>
                <w:b/>
                <w:bCs/>
                <w:i/>
                <w:iCs/>
              </w:rPr>
              <w:t>ανά εβδομάδα που επιτρέπεται σε ένα σκάφος να παραμείνει στη θάλασσα και να απουσιάζει από λιμένα</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rPr>
                <w:b/>
                <w:bCs/>
                <w:i/>
                <w:iCs/>
              </w:rPr>
              <w:t>και β)</w:t>
            </w:r>
            <w:r w:rsidRPr="004126E0">
              <w:t xml:space="preserve"> τον μέγιστο αριθμό </w:t>
            </w:r>
            <w:r w:rsidRPr="004126E0">
              <w:rPr>
                <w:b/>
                <w:bCs/>
                <w:i/>
                <w:iCs/>
              </w:rPr>
              <w:t>ημερών στη θάλασσα</w:t>
            </w:r>
            <w:r w:rsidRPr="004126E0">
              <w:t xml:space="preserve">· </w:t>
            </w:r>
          </w:p>
        </w:tc>
      </w:tr>
      <w:tr w:rsidR="00604E6C" w:rsidRPr="004126E0" w:rsidTr="00F37D8F">
        <w:trPr>
          <w:jc w:val="center"/>
        </w:trPr>
        <w:tc>
          <w:tcPr>
            <w:tcW w:w="4876" w:type="dxa"/>
            <w:tcBorders>
              <w:top w:val="nil"/>
              <w:left w:val="nil"/>
              <w:bottom w:val="nil"/>
              <w:right w:val="nil"/>
            </w:tcBorders>
            <w:hideMark/>
          </w:tcPr>
          <w:p w:rsidR="00DD5018" w:rsidRPr="004126E0" w:rsidRDefault="00EC7CD2" w:rsidP="00F37D8F">
            <w:pPr>
              <w:pStyle w:val="Normal6a"/>
            </w:pPr>
            <w:r w:rsidRPr="004126E0">
              <w:t xml:space="preserve">και γ) </w:t>
            </w:r>
            <w:r w:rsidRPr="004126E0">
              <w:rPr>
                <w:b/>
                <w:bCs/>
                <w:i/>
                <w:iCs/>
              </w:rPr>
              <w:t>τον</w:t>
            </w:r>
            <w:r w:rsidRPr="004126E0">
              <w:t xml:space="preserve"> υποχρεωτικό </w:t>
            </w:r>
            <w:r w:rsidRPr="004126E0">
              <w:rPr>
                <w:b/>
                <w:bCs/>
                <w:i/>
                <w:iCs/>
              </w:rPr>
              <w:t xml:space="preserve">χρόνο από την έξοδο μέχρι την </w:t>
            </w:r>
            <w:r w:rsidRPr="004126E0">
              <w:rPr>
                <w:b/>
                <w:bCs/>
                <w:i/>
                <w:iCs/>
              </w:rPr>
              <w:t>επιστροφή στον λιμένα νηολόγησης για τα αλιευτικά τους σκάφη</w:t>
            </w:r>
            <w:r w:rsidRPr="004126E0">
              <w:t>.</w:t>
            </w:r>
          </w:p>
        </w:tc>
        <w:tc>
          <w:tcPr>
            <w:tcW w:w="4876" w:type="dxa"/>
            <w:tcBorders>
              <w:top w:val="nil"/>
              <w:left w:val="nil"/>
              <w:bottom w:val="nil"/>
              <w:right w:val="nil"/>
            </w:tcBorders>
            <w:hideMark/>
          </w:tcPr>
          <w:p w:rsidR="00DD5018" w:rsidRPr="004126E0" w:rsidRDefault="00EC7CD2" w:rsidP="00F37D8F">
            <w:pPr>
              <w:pStyle w:val="Normal6a"/>
            </w:pPr>
            <w:r w:rsidRPr="004126E0">
              <w:t xml:space="preserve">και γ) </w:t>
            </w:r>
            <w:r w:rsidRPr="004126E0">
              <w:rPr>
                <w:b/>
                <w:bCs/>
                <w:i/>
                <w:iCs/>
              </w:rPr>
              <w:t>το νομικά</w:t>
            </w:r>
            <w:r w:rsidRPr="004126E0">
              <w:t xml:space="preserve"> υποχρεωτικό </w:t>
            </w:r>
            <w:r w:rsidRPr="004126E0">
              <w:rPr>
                <w:b/>
                <w:bCs/>
                <w:i/>
                <w:iCs/>
              </w:rPr>
              <w:t>χρονοδιάγραμμα εξόδου και επιστροφής στον λιμένα νηολόγησης</w:t>
            </w:r>
            <w:r w:rsidRPr="004126E0">
              <w:t>.</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3α.</w:t>
            </w:r>
            <w:r w:rsidRPr="004126E0">
              <w:rPr>
                <w:b/>
                <w:i/>
              </w:rPr>
              <w:tab/>
            </w:r>
            <w:r w:rsidRPr="004126E0">
              <w:rPr>
                <w:b/>
                <w:bCs/>
                <w:i/>
                <w:iCs/>
              </w:rPr>
              <w:t xml:space="preserve">Τα κράτη μέλη δεν μεταβιβάζουν την αλιευτική προσπάθεια μεταξύ σκαφών που επιτρέπεται να αλιεύουν </w:t>
            </w:r>
            <w:r w:rsidRPr="004126E0">
              <w:rPr>
                <w:b/>
                <w:bCs/>
                <w:i/>
                <w:iCs/>
              </w:rPr>
              <w:t>στη FRA και τα οποία χρησιμοποιούν διαφορετικά εργαλεία.»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(32023R2124)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 παράγραφοι 9 και 10.</w:t>
      </w:r>
    </w:p>
    <w:p w:rsidR="00DD5018" w:rsidRPr="004126E0" w:rsidRDefault="00EC7CD2" w:rsidP="00DD5018">
      <w:pPr>
        <w:pStyle w:val="AmNumberTabs"/>
      </w:pPr>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238</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Sebastian</w:t>
      </w:r>
      <w:r w:rsidRPr="004126E0">
        <w:t xml:space="preserve"> Everding</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{The Left}</w:t>
      </w:r>
      <w:r w:rsidRPr="004126E0">
        <w:t>εξ ονόματος της Ομάδας The Left</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56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w:t>
      </w:r>
      <w:r w:rsidRPr="004126E0">
        <w:rPr>
          <w:rStyle w:val="HideTWBExt"/>
        </w:rPr>
        <w:t>le2&gt;</w:t>
      </w:r>
      <w:r w:rsidRPr="004126E0">
        <w:t>Άρθρο 110 α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(56α)</w:t>
            </w:r>
            <w:r w:rsidRPr="004126E0">
              <w:tab/>
            </w:r>
            <w:r w:rsidRPr="004126E0">
              <w:rPr>
                <w:b/>
                <w:i/>
              </w:rPr>
              <w:t>προστίθεται το ακόλουθο άρθρο 110α: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110α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Μέτρα ελέγχου και επιβολής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Τα κράτη μέλη τηρούν μητρώο των σκαφών που επιτρέπεται να αλιεύουν στις απαγορευμένες </w:t>
            </w:r>
            <w:r w:rsidRPr="004126E0">
              <w:rPr>
                <w:b/>
                <w:i/>
              </w:rPr>
              <w:t>περιοχές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Το αργότερο έως την 30ή Μαΐου 2024, τα κράτη μέλη κοινοποιούν στη γραμματεία της ΓΕΑΜ, μέσω της διαδικτυακής πλατφόρμας του πλαισίου αναφοράς για τη συλλογή δεδομένων της ΓΕΑΜ (DCRF), τον κατάλογο των σκαφών που φέρουν τη σημαία τους</w:t>
            </w:r>
            <w:r w:rsidRPr="004126E0">
              <w:rPr>
                <w:b/>
                <w:i/>
              </w:rPr>
              <w:t xml:space="preserve"> και επιτρέπεται να αλιεύουν στις απαγορευμένες περιοχές αλιείας. Στον κατάλογο περιλαμβάνονται οι πληροφορίες που αναφέρονται αναλυτικά στο παράρτημα VIII για κάθε σκάφος.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Τα κράτη μέλη αποστέλλουν στη γραμματεία της ΓΕΑΜ, έως τις 31 Μαΐου κάθε έτους</w:t>
            </w:r>
            <w:r w:rsidRPr="004126E0">
              <w:rPr>
                <w:b/>
                <w:i/>
              </w:rPr>
              <w:t>, έκθεση σχετικά με τα μέτρα διαχείρισης που έλαβαν στις απαγορευμένες περιοχές αλιείας. Για να διευκολυνθεί μια κοινή προσέγγιση σε ολόκληρη την περιοχή εφαρμογής της ΓΕΑΜ, η εν λόγω έκθεση καταρτίζεται σύμφωνα με τις κοινές κατευθυντήριες γραμμές που έχε</w:t>
            </w:r>
            <w:r w:rsidRPr="004126E0">
              <w:rPr>
                <w:b/>
                <w:i/>
              </w:rPr>
              <w:t>ι αναπτύξει η γραμματεία της ΓΕΑΜ. Η έκθεση δημοσιεύεται στον ιστότοπο της ΓΕΑΜ εντός δύο μηνών από την παραλαβή της κατά τρόπο που συνάδει με την πολιτική και τις διαδικασίες εμπιστευτικότητας των δεδομένων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Τα κράτη μέλη κοινοποιούν στη γρα</w:t>
            </w:r>
            <w:r w:rsidRPr="004126E0">
              <w:rPr>
                <w:b/>
                <w:i/>
              </w:rPr>
              <w:t>μματεία της ΓΕΑΜ, το αργότερο έως την 30ή Μαΐου 2024, τις νομικές προϋποθέσεις, όπως ίσχυαν στις 31 Δεκεμβρίου 2023, όσον αφορά τη μέγιστη διάρκεια μιας ημέρας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Τα κράτη μέλη διασφαλίζουν ότι τα αλιευτικά σκάφη που δραστηριοποιούνται στις απαγ</w:t>
            </w:r>
            <w:r w:rsidRPr="004126E0">
              <w:rPr>
                <w:b/>
                <w:i/>
              </w:rPr>
              <w:t>ορευμένες περιοχές αλιείας συμμορφώνονται με τις υποχρεώσεις που απορρέουν από τις παραγράφους 1 και 2.</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6. Τα επαγγελματικά αλιευτικά σκάφη μήκους άνω των 12 μέτρων που διέρχονται από απαγορευμένες περιοχές αλιείας διαθέτουν επί του σκάφους λειτουργικό </w:t>
            </w:r>
            <w:r w:rsidRPr="004126E0">
              <w:rPr>
                <w:b/>
                <w:i/>
              </w:rPr>
              <w:t xml:space="preserve">πομποδέκτη για συστήματα παρακολούθησης σκαφών (VMS) ή/και αυτοματοποιημένα συστήματα αναγνώρισης (AIS) που εμφανίζουν αυξημένη διαβίβαση δεδομένων, και διαθέτουν όλα τα αλιευτικά εργαλεία προσδεδεμένα και στοιβαγμένα καθ’όλη τη διάρκεια της διέλευσης. Τα </w:t>
            </w:r>
            <w:r w:rsidRPr="004126E0">
              <w:rPr>
                <w:b/>
                <w:i/>
              </w:rPr>
              <w:t>επαγγελματικά αλιευτικά σκάφη σύμφωνα με τη σύσταση της ΓΕΑΜ ακολουθούν απευθείας πορεία με σταθερή ταχύτητα τουλάχιστον 6 κόμβων, εκτός από περίπτωση ανωτέρας βίας ή δυσμενών συνθηκών. Στις περιπτώσεις αυτές, ο πλοίαρχος ενημερώνει αμέσως το κέντρο παρακο</w:t>
            </w:r>
            <w:r w:rsidRPr="004126E0">
              <w:rPr>
                <w:b/>
                <w:i/>
              </w:rPr>
              <w:t>λούθησης της αλιείας του κράτους σημαίας του σκάφους, ώστε να μπορεί να κοινοποιήσει την ανωτέρα βία στις αρμόδιες αρχές των κρατών μελών.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w:t>
      </w:r>
      <w:r w:rsidRPr="004126E0">
        <w:rPr>
          <w:rStyle w:val="HideTWBExt"/>
        </w:rPr>
        <w:t>&gt;</w:t>
      </w:r>
      <w:r w:rsidRPr="004126E0">
        <w:t>239</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Isabella Lövin</w:t>
      </w:r>
      <w:r w:rsidRPr="004126E0">
        <w:rPr>
          <w:rStyle w:val="HideTWBExt"/>
        </w:rPr>
        <w:t>&lt;/Members&gt;</w:t>
      </w:r>
    </w:p>
    <w:p w:rsidR="00DD5018" w:rsidRPr="004126E0" w:rsidRDefault="00EC7CD2" w:rsidP="00DD5018">
      <w:r w:rsidRPr="004126E0">
        <w:rPr>
          <w:rStyle w:val="HideTWBExt"/>
        </w:rPr>
        <w:t>&lt;AuNomDe&gt;</w:t>
      </w:r>
      <w:r w:rsidRPr="004126E0">
        <w:rPr>
          <w:rStyle w:val="HideTWBInt"/>
          <w:color w:val="auto"/>
        </w:rPr>
        <w:t>{Greens/EFA}</w:t>
      </w:r>
      <w:r w:rsidRPr="004126E0">
        <w:t>εξ ονόματος της Ομάδας Verts/ALE</w:t>
      </w:r>
      <w:r w:rsidRPr="004126E0">
        <w:rPr>
          <w:rStyle w:val="HideTWBExt"/>
        </w:rPr>
        <w:t>&lt;/AuNomDe&gt;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56 α (νέο)</w:t>
      </w:r>
      <w:r w:rsidRPr="004126E0">
        <w:rPr>
          <w:rStyle w:val="HideTWBExt"/>
        </w:rPr>
        <w:t>&lt;/Article&gt;</w:t>
      </w:r>
    </w:p>
    <w:p w:rsidR="00DD5018" w:rsidRPr="004126E0" w:rsidRDefault="00EC7CD2" w:rsidP="00DD5018">
      <w:r w:rsidRPr="004126E0">
        <w:rPr>
          <w:rStyle w:val="HideTWBExt"/>
        </w:rPr>
        <w:t>&lt;DocAmend</w:t>
      </w:r>
      <w:r w:rsidRPr="004126E0">
        <w:rPr>
          <w:rStyle w:val="HideTWBExt"/>
        </w:rPr>
        <w:t>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110 β (νέο)</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hideMark/>
          </w:tcPr>
          <w:p w:rsidR="00DD5018" w:rsidRPr="004126E0" w:rsidRDefault="00DD5018" w:rsidP="00F37D8F"/>
        </w:tc>
        <w:tc>
          <w:tcPr>
            <w:tcW w:w="4876" w:type="dxa"/>
            <w:tcBorders>
              <w:top w:val="nil"/>
              <w:left w:val="nil"/>
              <w:bottom w:val="nil"/>
              <w:right w:val="nil"/>
            </w:tcBorders>
            <w:hideMark/>
          </w:tcPr>
          <w:p w:rsidR="00DD5018" w:rsidRPr="004126E0" w:rsidRDefault="00EC7CD2" w:rsidP="00F37D8F">
            <w:pPr>
              <w:pStyle w:val="Normal6a"/>
            </w:pPr>
            <w:r w:rsidRPr="004126E0">
              <w:rPr>
                <w:b/>
                <w:i/>
              </w:rPr>
              <w:t>(56α)</w:t>
            </w:r>
            <w:r w:rsidRPr="004126E0">
              <w:tab/>
            </w:r>
            <w:r w:rsidRPr="004126E0">
              <w:rPr>
                <w:b/>
                <w:i/>
              </w:rPr>
              <w:t>Παρεμβάλλεται το ακόλουθο άρθρο:</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110β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Μέτρα ελέγχου και επιβολής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w:t>
            </w:r>
            <w:r w:rsidRPr="004126E0">
              <w:t xml:space="preserve">. </w:t>
            </w:r>
            <w:r w:rsidRPr="004126E0">
              <w:rPr>
                <w:b/>
                <w:i/>
              </w:rPr>
              <w:t xml:space="preserve">Τα κράτη μέλη τηρούν μητρώο των σκαφών που </w:t>
            </w:r>
            <w:r w:rsidRPr="004126E0">
              <w:rPr>
                <w:b/>
                <w:i/>
              </w:rPr>
              <w:t>επιτρέπεται να αλιεύουν στις απαγορευμένες περιοχές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2. Τα κράτη μέλη κοινοποιούν στη γραμματεία της ΓΕΑΜ, μέσω της διαδικτυακής πλατφόρμας του πλαισίου αναφοράς για τη συλλογή δεδομένων της ΓΕΑΜ (DCRF), τον κατάλογο των σκαφών που φέρουν τη </w:t>
            </w:r>
            <w:r w:rsidRPr="004126E0">
              <w:rPr>
                <w:b/>
                <w:i/>
              </w:rPr>
              <w:t>σημαία τους και επιτρέπεται να αλιεύουν στις απαγορευμένες περιοχές αλιείας. Στον κατάλογο περιλαμβάνονται οι πληροφορίες που αναφέρονται αναλυτικά στο παράρτημα VIII για κάθε σκάφος.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Τα κράτη μέλη αποστέλλουν στη γραμματεία της ΓΕΑΜ, έως τις 31 Μαΐου</w:t>
            </w:r>
            <w:r w:rsidRPr="004126E0">
              <w:rPr>
                <w:b/>
                <w:i/>
              </w:rPr>
              <w:t xml:space="preserve"> κάθε έτους, έκθεση σχετικά με τα μέτρα διαχείρισης που έλαβαν στις απαγορευμένες περιοχές αλιείας. Για να διευκολυνθεί μια κοινή προσέγγιση σε ολόκληρη την περιοχή εφαρμογής της ΓΕΑΜ, η εν λόγω έκθεση καταρτίζεται σύμφωνα με τις κοινές κατευθυντήριες γραμ</w:t>
            </w:r>
            <w:r w:rsidRPr="004126E0">
              <w:rPr>
                <w:b/>
                <w:i/>
              </w:rPr>
              <w:t>μές που έχει αναπτύξει η γραμματεία της ΓΕΑΜ. Η έκθεση δημοσιεύεται στον ιστότοπο της ΓΕΑΜ εντός δύο μηνών από την παραλαβή της κατά τρόπο που συνάδει με την πολιτική και τις διαδικασίες εμπιστευτικότητας των δεδομένων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Τα κράτη μέλη κοινοποι</w:t>
            </w:r>
            <w:r w:rsidRPr="004126E0">
              <w:rPr>
                <w:b/>
                <w:i/>
              </w:rPr>
              <w:t>ούν στη γραμματεία της ΓΕΑΜ τις νομικές προϋποθέσεις, όπως ίσχυαν στις 31 Δεκεμβρίου 2023, όσον αφορά τη μέγιστη διάρκεια μιας ημέρας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Τα κράτη μέλη διασφαλίζουν ότι τα αλιευτικά σκάφη που δραστηριοποιούνται στις απαγορευμένες περιοχές αλιείας</w:t>
            </w:r>
            <w:r w:rsidRPr="004126E0">
              <w:rPr>
                <w:b/>
                <w:i/>
              </w:rPr>
              <w:t xml:space="preserve"> συμμορφώνονται με τις υποχρεώσεις που απορρέουν από τα σημεία 1 και 2.</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 Τα επαγγελματικά αλιευτικά σκάφη μήκους άνω των 12 μέτρων που διέρχονται από τις απαγορευμένες περιοχές αλιείας διαθέτουν επί του σκάφους λειτουργικό πομποδέκτη για συστήματα παρα</w:t>
            </w:r>
            <w:r w:rsidRPr="004126E0">
              <w:rPr>
                <w:b/>
                <w:i/>
              </w:rPr>
              <w:t xml:space="preserve">κολούθησης σκαφών (VMS) ή/και αυτοματοποιημένα συστήματα αναγνώρισης (AIS) που εμφανίζουν αυξημένη διαβίβαση δεδομένων, και διαθέτουν όλα τα αλιευτικά εργαλεία προσδεδεμένα και στοιβαγμένα καθόλη τη διάρκεια της διέλευσης. Τα επαγγελματικά αλιευτικά σκάφη </w:t>
            </w:r>
            <w:r w:rsidRPr="004126E0">
              <w:rPr>
                <w:b/>
                <w:i/>
              </w:rPr>
              <w:t xml:space="preserve">σύμφωνα με τη σύσταση της ΓΕΑΜ ακολουθούν απευθείας πορεία με σταθερή ταχύτητα τουλάχιστον 6 κόμβων, εκτός από περίπτωση ανωτέρας βίας ή δυσμενών συνθηκών. </w:t>
            </w:r>
            <w:r w:rsidRPr="004126E0">
              <w:rPr>
                <w:b/>
                <w:bCs/>
                <w:i/>
                <w:iCs/>
              </w:rPr>
              <w:t>Στις περιπτώσεις αυτές, ο πλοίαρχος ενημερώνει αμέσως το κέντρο παρακολούθησης της αλιείας του κράτο</w:t>
            </w:r>
            <w:r w:rsidRPr="004126E0">
              <w:rPr>
                <w:b/>
                <w:bCs/>
                <w:i/>
                <w:iCs/>
              </w:rPr>
              <w:t>υς σημαίας του σκάφους, ώστε να μπορεί να κοινοποιήσει την ανωτέρα βία στις αρμόδιες αρχές των κρατών μελών.»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CrossRef"/>
      </w:pPr>
      <w:r w:rsidRPr="004126E0">
        <w:t>(Κανονισμός (ΕΕ) 2023/2124)</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240</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56 γ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110</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(56γ)</w:t>
            </w:r>
            <w:r w:rsidRPr="004126E0">
              <w:tab/>
            </w:r>
            <w:r w:rsidRPr="004126E0">
              <w:rPr>
                <w:b/>
                <w:i/>
              </w:rPr>
              <w:t>Μεταξύ των άρθρων 110 και 111 παρεμβάλλονται τα ακόλουθα άρθρα 110α και 110β: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110α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Επιστημονική παρακολούθηση</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Τα κράτη μέλη διασφαλίζουν ότι:</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Αναπτύσσεται σχέδιο </w:t>
            </w:r>
            <w:r w:rsidRPr="004126E0">
              <w:rPr>
                <w:b/>
                <w:i/>
              </w:rPr>
              <w:t>επιστημονικής παρακολούθησης για τις απαγορευμένες περιοχές αλιείας.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Τα αποτελέσματα του σχεδίου παρακολούθησης των απαγορευμένων περιοχών αλιείας υποβάλλονται τακτικά και συζητούνται στο πλαίσιο των αρμόδιων επικουρικών οργάνων της Επιστημονικής Συμβ</w:t>
            </w:r>
            <w:r w:rsidRPr="004126E0">
              <w:rPr>
                <w:b/>
                <w:i/>
              </w:rPr>
              <w:t>ουλευτικής Επιτροπής Αλιείας (ΕΣΕ). Το σχέδιο παρακολούθησης και η αποτελεσματικότητά του αξιολογούνται τακτικά από την Επιστημονική Συμβουλευτική Επιτροπή Αλιείας (ΕΣΕ).</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Οι πληροφορίες σχετικά με όλα τα σκάφη που επιτρέπεται να αλιεύουν στη ζώνη Β τω</w:t>
            </w:r>
            <w:r w:rsidRPr="004126E0">
              <w:rPr>
                <w:b/>
                <w:i/>
              </w:rPr>
              <w:t>ν απαγορευμένων περιοχών αλιείας καταγράφονται από τα κράτη μέλη (όπως απαριθμούνται στο παράρτημα VIII) και δημοσιοποιούνται στον ιστότοπο της ΓΕΑΜ κατά τρόπο που συνάδει με την πολιτική και τις διαδικασίες εμπιστευτικότητας των δεδομένων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Ο</w:t>
            </w:r>
            <w:r w:rsidRPr="004126E0">
              <w:rPr>
                <w:b/>
                <w:i/>
              </w:rPr>
              <w:t>ι πληροφορίες σχετικά με τις αλιευτικές δραστηριότητες, τα αλιεύματα βασικών ειδών, τα παρεμπίπτοντα αλιεύματα, την ελευθέρωση ή/και την απόρριψη ευαίσθητων ειδών που απαριθμούνται είτε στο παράρτημα II είτε στο παράρτημα III του πρωτοκόλλου σχετικά με τις</w:t>
            </w:r>
            <w:r w:rsidRPr="004126E0">
              <w:rPr>
                <w:b/>
                <w:i/>
              </w:rPr>
              <w:t xml:space="preserve"> ειδικά προστατευόμενες περιοχές και τη βιολογική ποικιλότητα στη Μεσόγειο (πρωτόκολλο SPA/BD) της σύμβασης για την προστασία του θαλάσσιου περιβάλλοντος και των παράκτιων περιοχών της Μεσογείου καταγράφονται από τον πλοιοκτήτη στο ηλεκτρονικό ημερολόγιο π</w:t>
            </w:r>
            <w:r w:rsidRPr="004126E0">
              <w:rPr>
                <w:b/>
                <w:i/>
              </w:rPr>
              <w:t>λοίου ή σε ισοδύναμο έγγραφο, σύμφωνα με τα διεθνή πρότυπα και τις απαιτήσεις υποβολής δεδομένων των σχετικών συστάσεων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Οι πληροφορίες αυτές υποβάλλονται στις εθνικές αρχές προς κοινοποίηση στη γραμματεία της ΓΕΑΜ, σύμφωνα με το εγχειρίδιο τ</w:t>
            </w:r>
            <w:r w:rsidRPr="004126E0">
              <w:rPr>
                <w:b/>
                <w:i/>
              </w:rPr>
              <w:t>ου πλαισίου αναφοράς για τη συλλογή δεδομένων (DCRF).</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6. Οποιοδήποτε άλλο πρόσθετο μέτρο, για παράδειγμα 5 % κάλυψη παρατηρητών επί του σκάφους ή εξ αποστάσεως ηλεκτρονική παρακολούθηση, για την εξασφάλιση ισότιμων όρων ανταγωνισμού μεταξύ όλων των </w:t>
            </w:r>
            <w:r w:rsidRPr="004126E0">
              <w:rPr>
                <w:b/>
                <w:i/>
              </w:rPr>
              <w:t>σκαφών, λαμβάνεται για τη βελτίωση της συλλογής δεδομένων ενόψει της επιστημονικής παρακολούθησης βασικών ειδών.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110β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Μέτρα ελέγχου και επιβολής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Τα κράτη μέλη τηρούν μητρώο των σκαφών που επιτρέπεται να αλιεύουν στις απαγορευμένες περιοχές α</w:t>
            </w:r>
            <w:r w:rsidRPr="004126E0">
              <w:rPr>
                <w:b/>
                <w:i/>
              </w:rPr>
              <w:t>λιείας.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Τα κράτη μέλη κοινοποιούν στη γραμματεία της ΓΕΑΜ, μέσω της διαδικτυακής πλατφόρμας του πλαισίου αναφοράς για τη συλλογή δεδομένων της ΓΕΑΜ (DCRF), τον κατάλογο των σκαφών που φέρουν τη σημαία τους και επιτρέπεται να αλιεύουν στις απαγορευμένε</w:t>
            </w:r>
            <w:r w:rsidRPr="004126E0">
              <w:rPr>
                <w:b/>
                <w:i/>
              </w:rPr>
              <w:t>ς περιοχές αλιείας. Στον κατάλογο περιλαμβάνονται οι πληροφορίες που αναφέρονται αναλυτικά στο παράρτημα VIII για κάθε σκάφος.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Τα κράτη μέλη αποστέλλουν στην Επιτροπή, έως τις 15 Μαΐου κάθε έτους, έκθεση σχετικά με τα μέτρα διαχείρισης που έλαβαν στις</w:t>
            </w:r>
            <w:r w:rsidRPr="004126E0">
              <w:rPr>
                <w:b/>
                <w:i/>
              </w:rPr>
              <w:t xml:space="preserve"> απαγορευμένες περιοχές αλιείας. Η Επιτροπή διαβιβάζει αυτή την έκθεση στη γραμματεία της ΓΕΑΜ έως τις 31 Μαΐου κάθε έτους. Για να διευκολυνθεί μια κοινή προσέγγιση σε ολόκληρη την περιοχή εφαρμογής της ΓΕΑΜ, η εν λόγω έκθεση καταρτίζεται σύμφωνα με τις κο</w:t>
            </w:r>
            <w:r w:rsidRPr="004126E0">
              <w:rPr>
                <w:b/>
                <w:i/>
              </w:rPr>
              <w:t>ινές κατευθυντήριες γραμμές που έχει αναπτύξει η γραμματεία της ΓΕΑΜ. Η έκθεση δημοσιεύεται στον ιστότοπο της ΓΕΑΜ εντός δύο μηνών από την παραλαβή της κατά τρόπο που συνάδει με την πολιτική και τις διαδικασίες εμπιστευτικότητας των δεδομένων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w:t>
            </w:r>
            <w:r w:rsidRPr="004126E0">
              <w:rPr>
                <w:b/>
                <w:i/>
              </w:rPr>
              <w:t>. Τα κράτη μέλη κοινοποιούν στην Επιτροπή τις νομικές προϋποθέσεις, όπως ίσχυαν στις 31 Δεκεμβρίου 2023, όσον αφορά τη μέγιστη διάρκεια μιας ημέρας αλιείας. Η Επιτροπή διαβιβάζει τις πληροφορίες αυτές στη γραμματεία της GFCM.</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5. Τα κράτη μέλη </w:t>
            </w:r>
            <w:r w:rsidRPr="004126E0">
              <w:rPr>
                <w:b/>
                <w:i/>
              </w:rPr>
              <w:t>διασφαλίζουν ότι τα αλιευτικά σκάφη που δραστηριοποιούνται στις απαγορευμένες περιοχές αλιείας συμμορφώνονται με τις υποχρεώσεις που απορρέουν από τις παραγράφους 1 και 2.</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 Τα επαγγελματικά αλιευτικά σκάφη μήκους άνω των 12 μέτρων που διέρχονται από τι</w:t>
            </w:r>
            <w:r w:rsidRPr="004126E0">
              <w:rPr>
                <w:b/>
                <w:i/>
              </w:rPr>
              <w:t>ς απαγορευμένες περιοχές αλιείας διαθέτουν επί του σκάφους λειτουργικό πομποδέκτη για συστήματα παρακολούθησης σκαφών (VMS) ή/και αυτοματοποιημένα συστήματα αναγνώρισης (AIS) που εμφανίζουν αυξημένη διαβίβαση δεδομένων, και διαθέτουν όλα τα αλιευτικά εργαλ</w:t>
            </w:r>
            <w:r w:rsidRPr="004126E0">
              <w:rPr>
                <w:b/>
                <w:i/>
              </w:rPr>
              <w:t>εία προσδεδεμένα και στοιβαγμένα καθόλη τη διάρκεια της διέλευσης. Τα επαγγελματικά αλιευτικά σκάφη ακολουθούν απευθείας πορεία με σταθερή ταχύτητα τουλάχιστον 6 κόμβων, εκτός από περίπτωση ανωτέρας βίας ή δυσμενών συνθηκών. Στις περιπτώσεις αυτές, ο πλοία</w:t>
            </w:r>
            <w:r w:rsidRPr="004126E0">
              <w:rPr>
                <w:b/>
                <w:i/>
              </w:rPr>
              <w:t>ρχος ενημερώνει αμέσως το κέντρο παρακολούθησης της αλιείας του κράτους σημαίας του σκάφους, ώστε να μπορεί να κοινοποιήσει την ανωτέρα βία στις αρμόδιες αρχές των κρατών μελών.</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GFCM/46/2023/1 παράγραφος 11 και παράγραφοι 12-17.</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241</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59 α (νέο)</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Άρθρο 116</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(59α)</w:t>
            </w:r>
            <w:r w:rsidRPr="004126E0">
              <w:tab/>
            </w:r>
            <w:r w:rsidRPr="004126E0">
              <w:rPr>
                <w:b/>
                <w:i/>
              </w:rPr>
              <w:t>Νέα άρθρα 116α και 116β προστίθενται μετά το άρθρο 116</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116a</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Απαγορεύσεις αλιείας στο Στενό του </w:t>
            </w:r>
            <w:r w:rsidRPr="004126E0">
              <w:rPr>
                <w:b/>
                <w:i/>
              </w:rPr>
              <w:t>Οτράντο</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Απαγορεύεται οποιαδήποτε δραστηριότητα βενθοπελαγικής αλιείας ή ερασιτεχνικής βενθοπελαγικής αλιείας στη ζώνη Α η οποία περικλείεται από τις γραμμές που συνδέουν τα σημεία με τις συντεταγμένες που καθορίζονται που καθορίζονται στο μέρος Δα του</w:t>
            </w:r>
            <w:r w:rsidRPr="004126E0">
              <w:rPr>
                <w:b/>
                <w:i/>
              </w:rPr>
              <w:t xml:space="preserve"> παραρτήματος XI.</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Για περίοδο διάρκειας δύο μηνών μεταξύ Σεπτεμβρίου και Νοεμβρίου κάθε έτους, απαγορεύεται η αλιεία με στάσιμα δίχτυα βυθού, τράτες βυθού, σταθερά παραγάδια και παγίδες στη ζώνη Β η οποία περικλείεται από τις γραμμές που συνδέουν τα σ</w:t>
            </w:r>
            <w:r w:rsidRPr="004126E0">
              <w:rPr>
                <w:b/>
                <w:i/>
              </w:rPr>
              <w:t>ημεία με τις συντεταγμένες που καθορίζονται στο μέρος Δα του παραρτήματος XI. 3. Απαγορεύεται η αλιευτική δραστηριότητα με γρι-γρι και πελαγικές τράτες για την αλίευση γαύρου ή σαρδέλας στην περιοχή η οποία περικλείεται από τις γραμμές που συνδέουν τα σημε</w:t>
            </w:r>
            <w:r w:rsidRPr="004126E0">
              <w:rPr>
                <w:b/>
                <w:i/>
              </w:rPr>
              <w:t>ία με τις συντεταγμένες που καθορίζονται στο μέρος Δ του παραρτήματος XI.·</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116β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Αδειοδοτημένα σκάφη στην περιοχή του Στενού του Οτράντο</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1. Υπό την επιφύλαξη του άρθρου 116α παράγραφος 2, οι εμπορικές αλιευτικές δραστηριότητες που ασκούνται με σ</w:t>
            </w:r>
            <w:r w:rsidRPr="004126E0">
              <w:rPr>
                <w:b/>
                <w:i/>
              </w:rPr>
              <w:t>τάσιμα δίχτυα βυθού, τράτες βυθού, σταθερά παραγάδια και παγίδες επιτρέπονται, στην περιοχή που αναφέρεται στην εν λόγω παράγραφο, μόνο εφόσον το σκάφος διαθέτει ειδική άδεια και εφόσον μπορεί να αποδείξει ότι και στο παρελθόν ασκούσε αλιευτικές δραστηριότ</w:t>
            </w:r>
            <w:r w:rsidRPr="004126E0">
              <w:rPr>
                <w:b/>
                <w:i/>
              </w:rPr>
              <w:t>ητες στις συγκεκριμένες περιοχές.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Στην περιοχή που αναφέρεται στο άρθρο 116α παράγραφος 2, τα αδειοδοτημένα αλιευτικά σκάφη δεν επιτρέπεται να αλιεύουν για περισσότερες από εβδομήντα ημέρες αλιείας ανά έτος έως δύο ημέρες αλιείας ανά εβδομάδα.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Τα</w:t>
            </w:r>
            <w:r w:rsidRPr="004126E0">
              <w:rPr>
                <w:b/>
                <w:i/>
              </w:rPr>
              <w:t xml:space="preserve"> σκάφη που επιτρέπεται να αλιεύουν στην περιοχή που αναφέρεται στο άρθρο 116α παράγραφος 2 με εργαλεία που αναφέρονται στην παράγραφο 1 του παρόντος άρθρου λαμβάνουν άδεια αλίευσης από το οικείο κράτος μέλος, βάσει του άρθρου 7 του κανονισμού (ΕΚ) αριθ. 12</w:t>
            </w:r>
            <w:r w:rsidRPr="004126E0">
              <w:rPr>
                <w:b/>
                <w:i/>
              </w:rPr>
              <w:t>24/2009.</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Τα κράτη μέλη αποστέλλουν στην Επιτροπή, το αργότερο έως τις 31 Μαρτίου κάθε έτους, κατάλογο σκαφών για τα οποία εξέδωσαν την άδεια που αναφέρεται στην παράγραφο 1. Η Επιτροπή κοινοποιεί στη γραμματεία της ΓΕΑΜ, το αργότερο έως τις 30 Απριλίο</w:t>
            </w:r>
            <w:r w:rsidRPr="004126E0">
              <w:rPr>
                <w:b/>
                <w:i/>
              </w:rPr>
              <w:t>υ κάθε έτους, κατάλογο αδειοδοτημένων σκαφών που καταρτίστηκε για το προσεχές έτος. Στον κατάλογο περιλαμβάνονται οι πληροφορίες που αναφέρονται στο παράρτημα VIII για κάθε σκάφος.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6. Τα αδειοδοτημένα αλιευτικά σκάφη εκφορτώνουν αλιεύματα βενθοπελαγικών </w:t>
            </w:r>
            <w:r w:rsidRPr="004126E0">
              <w:rPr>
                <w:b/>
                <w:i/>
              </w:rPr>
              <w:t xml:space="preserve">αποθεμάτων μόνο σε καθορισμένα σημεία εκφόρτωσης. Για τον σκοπό αυτόν, κάθε ενδιαφερόμενο κράτος μέλος ορίζει τα σημεία εκφόρτωσης στα οποία επιτρέπεται η εκφόρτωση αλιευμάτων από την απαγορευμένη περιοχή αλιείας του Στενού του Οτράντο. Ο κατάλογος των εν </w:t>
            </w:r>
            <w:r w:rsidRPr="004126E0">
              <w:rPr>
                <w:b/>
                <w:i/>
              </w:rPr>
              <w:t>λόγω καθορισμένων σημείων εκφόρτωσης κοινοποιείται στην Επιτροπή έως τις 10 Απριλίου κάθε έτους. Η Επιτροπή διαβιβάζει αυτόν τον κατάλογο στη γραμματεία της ΓΕΑΜ έως τις 30 Απριλίου κάθε έτους.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7. Τα αλιευτικά σκάφη στα οποία επιτρέπεται να αλιεύουν στις</w:t>
            </w:r>
            <w:r w:rsidRPr="004126E0">
              <w:rPr>
                <w:b/>
                <w:i/>
              </w:rPr>
              <w:t xml:space="preserve"> περιοχές που αναφέρονται στο άρθρο 116α παράγραφος 2 με τα εργαλεία που αναφέρονται στην παράγραφο 1 του παρόντος άρθρου διαθέτουν VMS και/ή σύστημα αυτόματης αναγνώρισης (AIS) που λειτουργούν σωστά, και τα αλιευτικά εργαλεία επί του σκάφους ή σε χρήση φέ</w:t>
            </w:r>
            <w:r w:rsidRPr="004126E0">
              <w:rPr>
                <w:b/>
                <w:i/>
              </w:rPr>
              <w:t xml:space="preserve">ρουν προσήκοντα αναγνωριστικά, αρίθμηση και σήμανση πριν από την έναρξη οποιασδήποτε αλιευτικής δραστηριότητας ή πλεύσης στις εν λόγω περιοχές. 8. Σε αλιευτικά σκάφη εξοπλισμένα με στάσιμα δίχτυα βυθού, τράτες βυθού, σταθερά παραγάδια και παγίδες τα οποία </w:t>
            </w:r>
            <w:r w:rsidRPr="004126E0">
              <w:rPr>
                <w:b/>
                <w:i/>
              </w:rPr>
              <w:t>δεν διαθέτουν άδεια επιτρέπεται ο διάπλους της απαγορευμένης περιοχής αλιείας, μόνο εφόσον ακολουθούν ευθεία πορεία με σταθερή ταχύτητα τουλάχιστον 7 κόμβων και διαθέτουν ενεργό σύστημα VMS και/ή AIS επί του σκάφους, και εφόσον δεν ασκούν κανενός είδους αλ</w:t>
            </w:r>
            <w:r w:rsidRPr="004126E0">
              <w:rPr>
                <w:b/>
                <w:i/>
              </w:rPr>
              <w:t>ιευτική δραστηριότητα.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GFCM/47/2024/6.</w:t>
      </w:r>
    </w:p>
    <w:p w:rsidR="00DD5018" w:rsidRPr="004126E0" w:rsidRDefault="00EC7CD2" w:rsidP="00DD5018">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242</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Άρθρο 1 – παράγραφος 1 – σημείο 60</w:t>
      </w:r>
      <w:r w:rsidRPr="004126E0">
        <w:rPr>
          <w:rStyle w:val="HideTWBExt"/>
        </w:rPr>
        <w:t>&lt;/Article&gt;</w:t>
      </w:r>
    </w:p>
    <w:p w:rsidR="00DD5018" w:rsidRPr="004126E0" w:rsidRDefault="00EC7CD2" w:rsidP="00DD5018">
      <w:r w:rsidRPr="004126E0">
        <w:rPr>
          <w:rStyle w:val="HideTWBExt"/>
        </w:rPr>
        <w:t>&lt;DocAmend2&gt;</w:t>
      </w:r>
      <w:r w:rsidRPr="004126E0">
        <w:t>Κανονισμός (ΕΕ) 2023/2124</w:t>
      </w:r>
      <w:r w:rsidRPr="004126E0">
        <w:rPr>
          <w:rStyle w:val="HideTWBExt"/>
        </w:rPr>
        <w:t>&lt;/DocAmend2&gt;</w:t>
      </w:r>
    </w:p>
    <w:p w:rsidR="00DD5018" w:rsidRPr="004126E0" w:rsidRDefault="00EC7CD2" w:rsidP="00DD5018">
      <w:r w:rsidRPr="004126E0">
        <w:rPr>
          <w:rStyle w:val="HideTWBExt"/>
        </w:rPr>
        <w:t>&lt;Article2&gt;</w:t>
      </w:r>
      <w:r w:rsidRPr="004126E0">
        <w:t>Κεφάλαιο III</w:t>
      </w:r>
      <w:r w:rsidRPr="004126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E6C" w:rsidRPr="004126E0" w:rsidTr="00F37D8F">
        <w:trPr>
          <w:trHeight w:val="240"/>
          <w:jc w:val="center"/>
        </w:trPr>
        <w:tc>
          <w:tcPr>
            <w:tcW w:w="9752" w:type="dxa"/>
            <w:gridSpan w:val="2"/>
            <w:tcBorders>
              <w:top w:val="nil"/>
              <w:left w:val="nil"/>
              <w:bottom w:val="nil"/>
              <w:right w:val="nil"/>
            </w:tcBorders>
          </w:tcPr>
          <w:p w:rsidR="00DD5018" w:rsidRPr="004126E0" w:rsidRDefault="00DD5018" w:rsidP="00F37D8F"/>
        </w:tc>
      </w:tr>
      <w:tr w:rsidR="00604E6C" w:rsidRPr="004126E0" w:rsidTr="00F37D8F">
        <w:trPr>
          <w:trHeight w:val="240"/>
          <w:jc w:val="center"/>
        </w:trPr>
        <w:tc>
          <w:tcPr>
            <w:tcW w:w="4876" w:type="dxa"/>
            <w:tcBorders>
              <w:top w:val="nil"/>
              <w:left w:val="nil"/>
              <w:bottom w:val="nil"/>
              <w:right w:val="nil"/>
            </w:tcBorders>
            <w:hideMark/>
          </w:tcPr>
          <w:p w:rsidR="00DD5018" w:rsidRPr="004126E0" w:rsidRDefault="00EC7CD2" w:rsidP="00F37D8F">
            <w:pPr>
              <w:pStyle w:val="AmColumnHeading"/>
            </w:pPr>
            <w:r w:rsidRPr="004126E0">
              <w:t>Κείμενο που προτείνει η Επιτροπή</w:t>
            </w:r>
          </w:p>
        </w:tc>
        <w:tc>
          <w:tcPr>
            <w:tcW w:w="4876" w:type="dxa"/>
            <w:tcBorders>
              <w:top w:val="nil"/>
              <w:left w:val="nil"/>
              <w:bottom w:val="nil"/>
              <w:right w:val="nil"/>
            </w:tcBorders>
            <w:hideMark/>
          </w:tcPr>
          <w:p w:rsidR="00DD5018" w:rsidRPr="004126E0" w:rsidRDefault="00EC7CD2" w:rsidP="00F37D8F">
            <w:pPr>
              <w:pStyle w:val="AmColumnHeading"/>
            </w:pPr>
            <w:r w:rsidRPr="004126E0">
              <w:t>Τροπολογία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2α.</w:t>
            </w:r>
            <w:r w:rsidRPr="004126E0">
              <w:tab/>
            </w:r>
            <w:r w:rsidRPr="004126E0">
              <w:rPr>
                <w:b/>
                <w:i/>
              </w:rPr>
              <w:t>Προστίθεται νέο τμήμα πριν από το τμήμα Ι του κεφαλαίου</w:t>
            </w:r>
            <w:r w:rsidRPr="004126E0">
              <w:rPr>
                <w:b/>
                <w:i/>
              </w:rPr>
              <w:t xml:space="preserve"> ΙΙΙ με τα ακόλουθα νέα άρθρα 121α, 121β και 121γ μεταξύ του άρθρου 121 και του άρθρου 122:</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Τμήμα I</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Επιθεωρήσεις και παραβάσεις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121α Διεθνές κοινό πρόγραμμα επιθεώρησης και επιτήρησης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Τα κράτη μέλη δύνανται να διενεργούν δραστηριότητες </w:t>
            </w:r>
            <w:r w:rsidRPr="004126E0">
              <w:rPr>
                <w:b/>
                <w:i/>
              </w:rPr>
              <w:t>επιθεώρησης και επιτήρησης στο πλαίσιο του διεθνούς κοινού προγράμματος επιθεώρησης και επιτήρησης (στο εξής: πρόγραμμα), οι οποίες καλύπτουν ύδατα εκτός της εθνικής τους δικαιοδοσίας σε γεωγραφικές υποπεριοχές της ΓΕΑΜ, όπως ορίζονται στο παράρτημα Ι (στο</w:t>
            </w:r>
            <w:r w:rsidRPr="004126E0">
              <w:rPr>
                <w:b/>
                <w:i/>
              </w:rPr>
              <w:t xml:space="preserve"> εξής: περιοχή επιθεώρησης και επιτήρησης) που εφαρμόζονται σε κάθε ένα από τα είδη που αναφέρονται στα άρθρα 22, 31, 57, 73 και 81.</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Τα κράτη μέλη δύνανται να ορίζουν επιθεωρητές και μέσα επιθεώρησης και να διενεργούν επιθεωρήσεις στο πλαίσιο του προγ</w:t>
            </w:r>
            <w:r w:rsidRPr="004126E0">
              <w:rPr>
                <w:b/>
                <w:i/>
              </w:rPr>
              <w:t>ράμματος. Η Επιτροπή ή ο φορέας που ορίζεται από αυτή δύναται επίσης να ορίζει ενωσιακούς επιθεωρητές στο πρόγραμμα.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3. Η Επιτροπή ή ο φορέας που ορίζεται από αυτή συντονίζει τις δραστηριότητες επιτήρησης και επιθεώρησης για την Ένωση και δύναται να κατα</w:t>
            </w:r>
            <w:r w:rsidRPr="004126E0">
              <w:rPr>
                <w:b/>
                <w:i/>
              </w:rPr>
              <w:t>ρτίζει, σε συντονισμό με τα οικεία κράτη μέλη, κοινό σχέδιο ανάπτυξης μέσων ώστε να δίνει τη δυνατότητα στην Ένωση να εκπληρώνει την υποχρέωσή της στο πλαίσιο του προγράμματος. Τα κράτη μέλη θεσπίζουν τα απαραίτητα μέτρα για να διευκολύνουν την υλοποίηση τ</w:t>
            </w:r>
            <w:r w:rsidRPr="004126E0">
              <w:rPr>
                <w:b/>
                <w:i/>
              </w:rPr>
              <w:t>ων εν λόγω σχεδίων, ιδίως όσον αφορά τους ανθρώπινους και υλικούς πόρους που απαιτούνται και τις περιόδους και τις γεωγραφικές περιοχές όπου πρόκειται να χρησιμοποιηθούν οι πόροι αυτοί.</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Το αργότερο έως τις 15 Νοεμβρίου κάθε έτους, κάθε κράτος μέλος κο</w:t>
            </w:r>
            <w:r w:rsidRPr="004126E0">
              <w:rPr>
                <w:b/>
                <w:i/>
              </w:rPr>
              <w:t>ινοποιεί στην Επιτροπή ή στον φορέα που ορίζεται από αυτήν, κατάλογο με τα ονόματα των εξουσιοδοτημένων επιθεωρητών για τη διενέργεια της επιθεώρησης και της επιτήρησης στην περιοχή που αναφέρεται στην παράγραφο 1, καθώς και τις ονομασίες των σκαφών και τω</w:t>
            </w:r>
            <w:r w:rsidRPr="004126E0">
              <w:rPr>
                <w:b/>
                <w:i/>
              </w:rPr>
              <w:t>ν αεροσκαφών που χρησιμοποιούνται για επιθεώρηση και επιτήρηση και τα οποία σκοπεύουν να διαθέσουν στο πρόγραμμα για το επόμενο έτος. Η Επιτροπή ή ο φορέας που ορίζεται από αυτήν αποστέλλει τις εν λόγω πληροφορίες στη γραμματεία της ΓΕΑΜ έως την 1η Δεκεμβρ</w:t>
            </w:r>
            <w:r w:rsidRPr="004126E0">
              <w:rPr>
                <w:b/>
                <w:i/>
              </w:rPr>
              <w:t>ίου κάθε έτους ή το συντομότερο δυνατόν πριν από την έναρξη των δραστηριοτήτων επιθεώρησης.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Οι επιθεωρητές που ορίζονται για το πρόγραμμα φέρουν δελτίο ταυτότητας επιθεωρητή της ΓΕΑΜ που εκδόθηκε από τις αρμόδιες αρχές, το οποίο έχει τη μορφή που ορίζ</w:t>
            </w:r>
            <w:r w:rsidRPr="004126E0">
              <w:rPr>
                <w:b/>
                <w:i/>
              </w:rPr>
              <w:t>εται στο παράρτημα IV.</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 Τα σκάφη με αρμοδιότητες επιβίβασης και επιθεώρησης σύμφωνα με το πρόγραμμα φέρουν ειδική σημαία ή επισείοντα, όπως περιγράφεται στο παράρτημα V.</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7. Κάθε κράτος μέλος εξασφαλίζει ότι όλες οι πλατφόρμες επιθεώρησης που </w:t>
            </w:r>
            <w:r w:rsidRPr="004126E0">
              <w:rPr>
                <w:b/>
                <w:i/>
              </w:rPr>
              <w:t xml:space="preserve">δικαιούνται να φέρουν τη σημαία του και δραστηριοποιούνται στην περιοχή που αναφέρεται στην παράγραφο 1 διατηρούν ασφαλή επικοινωνία, καθημερινά εφόσον είναι δυνατόν, με όλες τις άλλες πλατφόρμες που δραστηριοποιούνται στην εν λόγω περιοχή, προκειμένου να </w:t>
            </w:r>
            <w:r w:rsidRPr="004126E0">
              <w:rPr>
                <w:b/>
                <w:i/>
              </w:rPr>
              <w:t>ανταλλάσσουν τις απαραίτητες πληροφορίες για τον συντονισμό των δραστηριοτήτων.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8. Κάθε κράτος μέλος που ασκεί δραστηριότητα επιθεώρησης ή επιτήρησης στην περιοχή που αναφέρεται στην παράγραφο 1, κατά την είσοδό του στην περιοχή διαβιβάζει σε κάθε </w:t>
            </w:r>
            <w:r w:rsidRPr="004126E0">
              <w:rPr>
                <w:b/>
                <w:i/>
              </w:rPr>
              <w:t>πλατφόρμα επιθεώρησης κατάλογο με τις διοπτεύσεις που καθορίζονται σύμφωνα με το παράρτημα VII, με τις επιβιβάσεις και επιθεωρήσεις που διεξήγαγε κατά τις προηγούμενες 10 ημέρες, συμπεριλαμβανομένων των ημερομηνιών, των συντεταγμένων και κάθε άλλης συναφού</w:t>
            </w:r>
            <w:r w:rsidRPr="004126E0">
              <w:rPr>
                <w:b/>
                <w:i/>
              </w:rPr>
              <w:t>ς πληροφορίας.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121β</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Διεξαγωγή των επιθεωρήσεων</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Οι επιθεωρητές που ορίζονται για το πρόγραμμα: α) γνωστοποιούν στο αλιευτικό σκάφος, πριν από την επιβίβαση, την ονομασία του σκάφους επιθεώρησης· β) τηρούν εμφανώς, επί του σκάφους επιθεώρησης </w:t>
            </w:r>
            <w:r w:rsidRPr="004126E0">
              <w:rPr>
                <w:b/>
                <w:i/>
              </w:rPr>
              <w:t>και του σκάφους επιβίβασης, τον επισείοντα που περιγράφεται στο παράρτημα V· γ) περιορίζουν τον μέγιστο αριθμό επιθεωρητών κάθε κλιμακίου επιθεώρησης σε τρεις.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Κατά την επιβίβαση στο σκάφος, οι επιθεωρητές επιδεικνύουν το δελτίο ταυτότητας που περιγρά</w:t>
            </w:r>
            <w:r w:rsidRPr="004126E0">
              <w:rPr>
                <w:b/>
                <w:i/>
              </w:rPr>
              <w:t>φεται στο παράρτημα IV στον πλοίαρχο του αλιευτικού σκάφους. Οι επιθεωρήσεις διεξάγονται σε μία από τις επίσημες γλώσσες της ΓΕΑΜ και, εφόσον είναι δυνατόν, στη γλώσσα που ομιλεί ο πλοίαρχος του αλιευτικού σκάφους.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Οι επιθεωρητές καταρτίζουν έκθεση </w:t>
            </w:r>
            <w:r w:rsidRPr="004126E0">
              <w:rPr>
                <w:b/>
                <w:i/>
              </w:rPr>
              <w:t>επιθεώρησης στη μορφή που ορίζεται στο παράρτημα VI.</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Οι επιθεωρητές υπογράφουν την έκθεση παρουσία του/της πλοιάρχου του σκάφους, ο/η οποίος/-α δικαιούται να προσθέσει ή να ζητήσει να προστεθούν στην έκθεση τυχόν παρατηρήσεις που κρίνει σκόπιμες και τ</w:t>
            </w:r>
            <w:r w:rsidRPr="004126E0">
              <w:rPr>
                <w:b/>
                <w:i/>
              </w:rPr>
              <w:t>ις οποίες οφείλει να υπογράψει.</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Αντίγραφα της έκθεσης παραδίδονται στον πλοίαρχο του σκάφους και στις αρχές του κλιμακίου επιθεώρησης, το οποίο διαβιβάζει αντίγραφα στις αρμόδιες αρχές του κράτους σημαίας του επιθεωρηθέντος σκάφους και στην Επιτροπή κ</w:t>
            </w:r>
            <w:r w:rsidRPr="004126E0">
              <w:rPr>
                <w:b/>
                <w:i/>
              </w:rPr>
              <w:t>αι/ή στον φορέα που ορίζεται από αυτήν. Η Επιτροπή διαβιβάζει το αντίγραφο στη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6. Ο αριθμός των μελών του κλιμακίου επιθεώρησης και η διάρκεια της επιθεώρησης καθορίζονται από τον επικεφαλής του σκάφους επιθεώρησης, ο οποίος λαμβάνει</w:t>
            </w:r>
            <w:r w:rsidRPr="004126E0">
              <w:rPr>
                <w:b/>
                <w:i/>
              </w:rPr>
              <w:t xml:space="preserve"> υπόψη όλες τις συναφείς περιστάσεις.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Άρθρο 121γ</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Παραβάσεις</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1. Για τους σκοπούς του παρόντος άρθρου, οι ακόλουθες δραστηριότητες νοούνται ως παραβάσεις: α) οι δραστηριότητες που αναφέρονται στο άρθρο 3 παράγραφος 1 στοιχεία α), β), γ), ε), στ), ζ) </w:t>
            </w:r>
            <w:r w:rsidRPr="004126E0">
              <w:rPr>
                <w:b/>
                <w:i/>
              </w:rPr>
              <w:t>και η) του κανονισμού (ΕΚ) αριθ. 1005/2008· β) η παρεμβολή στο δορυφορικό σύστημα παρακολούθησης· και γ) η άσκηση δραστηριότητας χωρίς VMS.</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2. Σε περίπτωση επιβίβασης και επιθεώρησης σε αλιευτικό σκάφος κατά τη διάρκεια της οποίας οι επιθεωρητές διαπιστώ</w:t>
            </w:r>
            <w:r w:rsidRPr="004126E0">
              <w:rPr>
                <w:b/>
                <w:i/>
              </w:rPr>
              <w:t>νουν παράβαση, οι αρχές του κράτους μέλους σημαίας του σκάφους επιθεώρησης ενημερώνουν πάραυτα την Επιτροπή, ή τον φορέα που ορίζεται από αυτήν, που ειδοποιεί το κράτος σημαίας του επιθεωρηθέντος αλιευτικού σκάφους, τόσο απευθείας όσο και μέσω της γραμματε</w:t>
            </w:r>
            <w:r w:rsidRPr="004126E0">
              <w:rPr>
                <w:b/>
                <w:i/>
              </w:rPr>
              <w:t>ίας της ΓΕΑΜ. Ενημερώνουν επίσης όλα τα πλοία επιθεώρησης του κράτους σημαίας του αλιευτικού σκάφους τα οποία είναι γνωστό ότι βρίσκονται στην περιοχή.</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 xml:space="preserve">3. Το κράτος μέλος σημαίας του αλιευτικού σκάφους εξασφαλίζει ότι, μετά την επιθεώρηση κατά την οποία </w:t>
            </w:r>
            <w:r w:rsidRPr="004126E0">
              <w:rPr>
                <w:b/>
                <w:i/>
              </w:rPr>
              <w:t>διαπιστώθηκε παράβαση, το συγκεκριμένο αλιευτικό σκάφος διακόπτει κάθε αλιευτική δραστηριότητα. Το κράτος μέλος σημαίας διατάσσει το αλιευτικό σκάφος να κατευθυνθεί εντός 72 ωρών σε λιμένα που υποδεικνύει, όπου πρόκειται να διεξαχθεί έρευνα.</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4. Στην περί</w:t>
            </w:r>
            <w:r w:rsidRPr="004126E0">
              <w:rPr>
                <w:b/>
                <w:i/>
              </w:rPr>
              <w:t>πτωση που στο πλαίσιο επιθεώρησης διαπιστώνεται παράβαση, οι δράσεις και οι επακόλουθες ενέργειες που αναλαμβάνονται από το κράτος μέλος σημαίας κοινοποιούνται στην Επιτροπή ή σε φορέα που ορίζεται από αυτήν. Η Επιτροπή ή ο φορέας που ορίζεται από αυτήν κο</w:t>
            </w:r>
            <w:r w:rsidRPr="004126E0">
              <w:rPr>
                <w:b/>
                <w:i/>
              </w:rPr>
              <w:t>ινοποιεί τις δράσεις και τις επακόλουθες ενέργειες που αναλαμβάνονται στη γραμματεία της ΓΕΑΜ.</w:t>
            </w:r>
          </w:p>
        </w:tc>
      </w:tr>
      <w:tr w:rsidR="00604E6C" w:rsidRPr="004126E0" w:rsidTr="00F37D8F">
        <w:trPr>
          <w:jc w:val="center"/>
        </w:trPr>
        <w:tc>
          <w:tcPr>
            <w:tcW w:w="4876" w:type="dxa"/>
            <w:tcBorders>
              <w:top w:val="nil"/>
              <w:left w:val="nil"/>
              <w:bottom w:val="nil"/>
              <w:right w:val="nil"/>
            </w:tcBorders>
          </w:tcPr>
          <w:p w:rsidR="00DD5018" w:rsidRPr="004126E0" w:rsidRDefault="00DD5018" w:rsidP="00F37D8F">
            <w:pPr>
              <w:pStyle w:val="Normal6a"/>
            </w:pPr>
          </w:p>
        </w:tc>
        <w:tc>
          <w:tcPr>
            <w:tcW w:w="4876" w:type="dxa"/>
            <w:tcBorders>
              <w:top w:val="nil"/>
              <w:left w:val="nil"/>
              <w:bottom w:val="nil"/>
              <w:right w:val="nil"/>
            </w:tcBorders>
            <w:hideMark/>
          </w:tcPr>
          <w:p w:rsidR="00DD5018" w:rsidRPr="004126E0" w:rsidRDefault="00EC7CD2" w:rsidP="00F37D8F">
            <w:pPr>
              <w:pStyle w:val="Normal6a"/>
            </w:pPr>
            <w:r w:rsidRPr="004126E0">
              <w:rPr>
                <w:b/>
                <w:i/>
              </w:rPr>
              <w:t>5. Οι αρχές των κρατών μελών ενεργούν επί των εκθέσεων επιθεώρησης, όπως αναφέρεται στο άρθρο 121β παράγραφος 3, επί του δελτίου πληροφοριών διόπτευσης που παρ</w:t>
            </w:r>
            <w:r w:rsidRPr="004126E0">
              <w:rPr>
                <w:b/>
                <w:i/>
              </w:rPr>
              <w:t>έχονται στο παράρτημα VII και επί των δηλώσεων που προκύπτουν από τον έλεγχο των εγγράφων από τους επιθεωρητές με ανάλογο τρόπο, όπως θα ενεργούσαν επί των εκθέσεων και δηλώσεων εθνικών επιθεωρητών που προβλέπονται σύμφωνα με την οικεία εθνική νομοθεσία.</w:t>
            </w:r>
          </w:p>
        </w:tc>
      </w:tr>
    </w:tbl>
    <w:p w:rsidR="00DD5018" w:rsidRPr="004126E0" w:rsidRDefault="00EC7CD2" w:rsidP="00DD5018">
      <w:pPr>
        <w:pStyle w:val="AmOrLang"/>
        <w:rPr>
          <w:lang w:eastAsia="en-US"/>
        </w:rPr>
      </w:pPr>
      <w:r w:rsidRPr="004126E0">
        <w:t xml:space="preserve">Or. </w:t>
      </w:r>
      <w:r w:rsidRPr="004126E0">
        <w:rPr>
          <w:rStyle w:val="HideTWBExt"/>
        </w:rPr>
        <w:t>&lt;Original&gt;</w:t>
      </w:r>
      <w:r w:rsidRPr="004126E0">
        <w:rPr>
          <w:rStyle w:val="HideTWBInt"/>
        </w:rPr>
        <w:t>{EN}</w:t>
      </w:r>
      <w:r w:rsidRPr="004126E0">
        <w:t>en</w:t>
      </w:r>
      <w:r w:rsidRPr="004126E0">
        <w:rPr>
          <w:rStyle w:val="HideTWBExt"/>
        </w:rPr>
        <w:t>&lt;/Original&gt;</w:t>
      </w:r>
    </w:p>
    <w:p w:rsidR="00DD5018" w:rsidRPr="004126E0" w:rsidRDefault="00EC7CD2" w:rsidP="00DD5018">
      <w:pPr>
        <w:pStyle w:val="AmJustTitle"/>
      </w:pPr>
      <w:r w:rsidRPr="004126E0">
        <w:rPr>
          <w:rStyle w:val="HideTWBExt"/>
        </w:rPr>
        <w:t>&lt;TitreJust&gt;</w:t>
      </w:r>
      <w:r w:rsidRPr="004126E0">
        <w:t>Αιτιολόγηση</w:t>
      </w:r>
      <w:r w:rsidRPr="004126E0">
        <w:rPr>
          <w:rStyle w:val="HideTWBExt"/>
        </w:rPr>
        <w:t>&lt;/TitreJust&gt;</w:t>
      </w:r>
    </w:p>
    <w:p w:rsidR="00DD5018" w:rsidRPr="004126E0" w:rsidRDefault="00EC7CD2" w:rsidP="00DD5018">
      <w:pPr>
        <w:pStyle w:val="AmJustText"/>
      </w:pPr>
      <w:r w:rsidRPr="004126E0">
        <w:t xml:space="preserve">Σε αντικατάσταση όλων των διατάξεων σχετικά με: 1 - Διεθνές κοινό πρόγραμμα επιθεώρησης και επιτήρησης· 2 - Διεξαγωγή επιθεώρησης· 3 - Παραβάσεις, προτάσεις της Ευρωπαϊκής Επιτροπής σε </w:t>
      </w:r>
      <w:r w:rsidRPr="004126E0">
        <w:t>αντικατάσταση: ΕΚ Νέα άρθρα 30β, 30γ και 30δ, νέα άρθρα 37β, 37γ και 37δ, και άρθρα 63, 64 και 65, νέα άρθρα 75 παράγραφος 1, 75 παράγραφος 2 και 75 παράγραφος 3 και νέα άρθρα 89β, 89γ και 89δ.</w:t>
      </w:r>
    </w:p>
    <w:p w:rsidR="00DD5018" w:rsidRPr="004126E0" w:rsidRDefault="00EC7CD2" w:rsidP="00DD5018">
      <w:pPr>
        <w:rPr>
          <w:szCs w:val="24"/>
        </w:rPr>
      </w:pPr>
      <w:r w:rsidRPr="004126E0">
        <w:rPr>
          <w:rStyle w:val="HideTWBExt"/>
        </w:rPr>
        <w:t>&lt;/Amend&gt;</w:t>
      </w:r>
    </w:p>
    <w:p w:rsidR="00DD5018" w:rsidRPr="004126E0" w:rsidRDefault="00EC7CD2" w:rsidP="00DD5018">
      <w:pPr>
        <w:pStyle w:val="AmNumberTabs"/>
      </w:pPr>
      <w:r w:rsidRPr="004126E0">
        <w:rPr>
          <w:rStyle w:val="HideTWBExt"/>
        </w:rPr>
        <w:t>&lt;Amend&gt;</w:t>
      </w:r>
      <w:r w:rsidRPr="004126E0">
        <w:t>Τροπολογία</w:t>
      </w:r>
      <w:r w:rsidRPr="004126E0">
        <w:tab/>
      </w:r>
      <w:r w:rsidRPr="004126E0">
        <w:tab/>
      </w:r>
      <w:r w:rsidRPr="004126E0">
        <w:rPr>
          <w:rStyle w:val="HideTWBExt"/>
        </w:rPr>
        <w:t>&lt;NumAm&gt;</w:t>
      </w:r>
      <w:r w:rsidRPr="004126E0">
        <w:t>243</w:t>
      </w:r>
      <w:r w:rsidRPr="004126E0">
        <w:rPr>
          <w:rStyle w:val="HideTWBExt"/>
        </w:rPr>
        <w:t>&lt;/NumAm&gt;</w:t>
      </w:r>
    </w:p>
    <w:p w:rsidR="00DD5018" w:rsidRPr="004126E0" w:rsidRDefault="00EC7CD2" w:rsidP="00DD5018">
      <w:pPr>
        <w:pStyle w:val="NormalBold"/>
      </w:pPr>
      <w:r w:rsidRPr="004126E0">
        <w:rPr>
          <w:rStyle w:val="HideTWBExt"/>
        </w:rPr>
        <w:t>&lt;RepeatBlock-By</w:t>
      </w:r>
      <w:r w:rsidRPr="004126E0">
        <w:rPr>
          <w:rStyle w:val="HideTWBExt"/>
        </w:rPr>
        <w:t>&gt;&lt;Members&gt;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Παράρτημα I – σημείο 1</w:t>
      </w:r>
      <w:r w:rsidRPr="004126E0">
        <w:rPr>
          <w:rStyle w:val="HideTWBExt"/>
        </w:rPr>
        <w:t>&lt;/Article&gt;</w:t>
      </w:r>
    </w:p>
    <w:p w:rsidR="00DD5018" w:rsidRPr="004126E0" w:rsidRDefault="00EC7CD2" w:rsidP="00DD5018">
      <w:pPr>
        <w:keepNext/>
      </w:pPr>
      <w:r w:rsidRPr="004126E0">
        <w:rPr>
          <w:rStyle w:val="HideTWBExt"/>
        </w:rPr>
        <w:t>&lt;DocAmend2&gt;</w:t>
      </w:r>
      <w:r w:rsidRPr="004126E0">
        <w:t>Κανονισμός (ΕΕ) 2023/2124</w:t>
      </w:r>
      <w:r w:rsidRPr="004126E0">
        <w:rPr>
          <w:rStyle w:val="HideTWBExt"/>
        </w:rPr>
        <w:t>&lt;/DocAmend2&gt;</w:t>
      </w:r>
    </w:p>
    <w:p w:rsidR="00EC7CD2" w:rsidRPr="004126E0" w:rsidRDefault="00EC7CD2" w:rsidP="00EC7CD2">
      <w:pPr>
        <w:keepNext/>
      </w:pPr>
      <w:r w:rsidRPr="004126E0">
        <w:rPr>
          <w:rStyle w:val="HideTWBExt"/>
        </w:rPr>
        <w:t>&lt;Article2&gt;</w:t>
      </w:r>
      <w:r w:rsidRPr="004126E0">
        <w:t>Παράρτημα I</w:t>
      </w:r>
      <w:r w:rsidRPr="004126E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604E6C" w:rsidRPr="004126E0" w:rsidTr="00EC7CD2">
        <w:trPr>
          <w:jc w:val="center"/>
        </w:trPr>
        <w:tc>
          <w:tcPr>
            <w:tcW w:w="5387" w:type="dxa"/>
            <w:hideMark/>
          </w:tcPr>
          <w:p w:rsidR="00DD5018" w:rsidRPr="004126E0" w:rsidRDefault="00EC7CD2" w:rsidP="00F37D8F">
            <w:pPr>
              <w:pStyle w:val="ColumnHeading"/>
              <w:keepNext/>
            </w:pPr>
            <w:r w:rsidRPr="004126E0">
              <w:t>Κείμενο που προτείνει η Επιτροπή</w:t>
            </w:r>
          </w:p>
        </w:tc>
        <w:tc>
          <w:tcPr>
            <w:tcW w:w="4365" w:type="dxa"/>
            <w:hideMark/>
          </w:tcPr>
          <w:p w:rsidR="00DD5018" w:rsidRPr="004126E0" w:rsidRDefault="00DD5018" w:rsidP="00F37D8F"/>
        </w:tc>
      </w:tr>
    </w:tbl>
    <w:p w:rsidR="00DD5018" w:rsidRPr="004126E0" w:rsidRDefault="00DD5018" w:rsidP="00DD5018">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604E6C" w:rsidRPr="004126E0" w:rsidTr="00F37D8F">
        <w:trPr>
          <w:jc w:val="center"/>
        </w:trPr>
        <w:tc>
          <w:tcPr>
            <w:tcW w:w="5387" w:type="dxa"/>
            <w:hideMark/>
          </w:tcPr>
          <w:p w:rsidR="00DD5018" w:rsidRPr="004126E0" w:rsidRDefault="00EC7CD2" w:rsidP="00F37D8F">
            <w:pPr>
              <w:pStyle w:val="Normal6"/>
              <w:jc w:val="center"/>
              <w:rPr>
                <w:i/>
                <w:szCs w:val="24"/>
              </w:rPr>
            </w:pPr>
            <w:r w:rsidRPr="004126E0">
              <w:rPr>
                <w:i/>
              </w:rPr>
              <w:t>Τροπολογία</w:t>
            </w:r>
          </w:p>
        </w:tc>
        <w:tc>
          <w:tcPr>
            <w:tcW w:w="4365" w:type="dxa"/>
          </w:tcPr>
          <w:p w:rsidR="00DD5018" w:rsidRPr="004126E0" w:rsidRDefault="00DD5018" w:rsidP="00F37D8F">
            <w:pPr>
              <w:pStyle w:val="TableParagraph"/>
              <w:spacing w:before="154" w:line="252" w:lineRule="exact"/>
              <w:ind w:left="110"/>
              <w:rPr>
                <w:noProof/>
                <w:sz w:val="24"/>
                <w:szCs w:val="24"/>
              </w:rPr>
            </w:pPr>
          </w:p>
        </w:tc>
      </w:tr>
      <w:tr w:rsidR="00604E6C" w:rsidRPr="004126E0" w:rsidTr="00F37D8F">
        <w:trPr>
          <w:jc w:val="center"/>
        </w:trPr>
        <w:tc>
          <w:tcPr>
            <w:tcW w:w="9752" w:type="dxa"/>
            <w:gridSpan w:val="2"/>
            <w:hideMark/>
          </w:tcPr>
          <w:p w:rsidR="00DD5018" w:rsidRPr="00EC7CD2" w:rsidRDefault="00EC7CD2" w:rsidP="00EC7CD2">
            <w:pPr>
              <w:pStyle w:val="TableParagraph"/>
              <w:spacing w:before="154" w:after="120" w:line="240" w:lineRule="auto"/>
              <w:ind w:left="108"/>
              <w:rPr>
                <w:noProof/>
                <w:sz w:val="24"/>
                <w:szCs w:val="24"/>
              </w:rPr>
            </w:pPr>
            <w:r w:rsidRPr="00EC7CD2">
              <w:rPr>
                <w:sz w:val="24"/>
                <w:szCs w:val="24"/>
              </w:rPr>
              <w:t>Στο Παράρτημα I, παρεμβάλλεται η ακόλουθη παράγραφος Δα:</w:t>
            </w:r>
          </w:p>
        </w:tc>
      </w:tr>
    </w:tbl>
    <w:p w:rsidR="00DD5018" w:rsidRPr="004126E0" w:rsidRDefault="00EC7CD2" w:rsidP="00DD5018">
      <w:pPr>
        <w:pStyle w:val="Normal6"/>
        <w:rPr>
          <w:b/>
        </w:rPr>
      </w:pPr>
      <w:r w:rsidRPr="004126E0">
        <w:rPr>
          <w:b/>
        </w:rPr>
        <w:t>Δα) Χωρικές και χρονικές απαγορεύσεις της καραβίδας στην Αδριατική Θάλασσα (ΓΥΠ 17 και 18)</w:t>
      </w:r>
    </w:p>
    <w:tbl>
      <w:tblPr>
        <w:tblW w:w="0" w:type="dxa"/>
        <w:jc w:val="center"/>
        <w:tblLayout w:type="fixed"/>
        <w:tblLook w:val="04A0" w:firstRow="1" w:lastRow="0" w:firstColumn="1" w:lastColumn="0" w:noHBand="0" w:noVBand="1"/>
      </w:tblPr>
      <w:tblGrid>
        <w:gridCol w:w="1568"/>
        <w:gridCol w:w="1701"/>
        <w:gridCol w:w="2126"/>
      </w:tblGrid>
      <w:tr w:rsidR="00604E6C" w:rsidRPr="004126E0" w:rsidTr="00F37D8F">
        <w:trPr>
          <w:jc w:val="center"/>
        </w:trPr>
        <w:tc>
          <w:tcPr>
            <w:tcW w:w="5395" w:type="dxa"/>
            <w:gridSpan w:val="3"/>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rPr>
                <w:b/>
              </w:rPr>
            </w:pPr>
            <w:r w:rsidRPr="004126E0">
              <w:rPr>
                <w:b/>
              </w:rPr>
              <w:t>Ζώνη Α</w:t>
            </w:r>
          </w:p>
        </w:tc>
      </w:tr>
      <w:tr w:rsidR="00604E6C" w:rsidRPr="004126E0"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rPr>
                <w:b/>
              </w:rPr>
            </w:pPr>
            <w:r w:rsidRPr="004126E0">
              <w:rPr>
                <w:b/>
              </w:rPr>
              <w:t>Γεωγραφικό πλάτος</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rPr>
                <w:b/>
              </w:rPr>
            </w:pPr>
            <w:r w:rsidRPr="004126E0">
              <w:rPr>
                <w:b/>
              </w:rPr>
              <w:t xml:space="preserve">Γεωγραφικό μήκος </w:t>
            </w:r>
          </w:p>
        </w:tc>
        <w:tc>
          <w:tcPr>
            <w:tcW w:w="212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Περίοδος απαγόρευσης:</w:t>
            </w:r>
          </w:p>
        </w:tc>
      </w:tr>
      <w:tr w:rsidR="00604E6C" w:rsidRPr="004126E0"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43.45498395</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14.31352476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DD5018" w:rsidRPr="004126E0" w:rsidRDefault="00EC7CD2" w:rsidP="00F37D8F">
            <w:pPr>
              <w:spacing w:before="120" w:after="120"/>
            </w:pPr>
            <w:r w:rsidRPr="004126E0">
              <w:t xml:space="preserve">15 </w:t>
            </w:r>
            <w:r w:rsidRPr="004126E0">
              <w:t>Οκτωβρίου-15 Δεκεμβρίου</w:t>
            </w:r>
          </w:p>
        </w:tc>
      </w:tr>
      <w:tr w:rsidR="00604E6C" w:rsidRPr="004126E0"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43.45498395</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r w:rsidR="00604E6C" w:rsidRPr="004126E0"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43.73796819</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r w:rsidR="00604E6C" w:rsidRPr="004126E0"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43.73796819</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r w:rsidR="00604E6C" w:rsidRPr="004126E0"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43.45498395</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bl>
    <w:p w:rsidR="00DD5018" w:rsidRPr="004126E0" w:rsidRDefault="00DD5018" w:rsidP="00DD5018">
      <w:pPr>
        <w:tabs>
          <w:tab w:val="left" w:pos="1681"/>
          <w:tab w:val="left" w:pos="3382"/>
        </w:tabs>
        <w:spacing w:before="120" w:after="120"/>
        <w:ind w:left="113"/>
        <w:rPr>
          <w:szCs w:val="24"/>
        </w:rPr>
      </w:pPr>
    </w:p>
    <w:tbl>
      <w:tblPr>
        <w:tblW w:w="0" w:type="dxa"/>
        <w:jc w:val="center"/>
        <w:tblLayout w:type="fixed"/>
        <w:tblLook w:val="04A0" w:firstRow="1" w:lastRow="0" w:firstColumn="1" w:lastColumn="0" w:noHBand="0" w:noVBand="1"/>
      </w:tblPr>
      <w:tblGrid>
        <w:gridCol w:w="1830"/>
        <w:gridCol w:w="1842"/>
        <w:gridCol w:w="1701"/>
      </w:tblGrid>
      <w:tr w:rsidR="00604E6C" w:rsidRPr="004126E0" w:rsidTr="00F37D8F">
        <w:trPr>
          <w:jc w:val="center"/>
        </w:trPr>
        <w:tc>
          <w:tcPr>
            <w:tcW w:w="5373" w:type="dxa"/>
            <w:gridSpan w:val="3"/>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rPr>
                <w:b/>
              </w:rPr>
            </w:pPr>
            <w:r w:rsidRPr="004126E0">
              <w:rPr>
                <w:b/>
              </w:rPr>
              <w:t>Ζώνη B</w:t>
            </w:r>
          </w:p>
        </w:tc>
      </w:tr>
      <w:tr w:rsidR="00604E6C" w:rsidRPr="004126E0"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rPr>
                <w:b/>
              </w:rPr>
            </w:pPr>
            <w:r w:rsidRPr="004126E0">
              <w:rPr>
                <w:b/>
              </w:rPr>
              <w:t>Γεωγραφικό πλάτος</w:t>
            </w:r>
          </w:p>
        </w:tc>
        <w:tc>
          <w:tcPr>
            <w:tcW w:w="1842"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rPr>
                <w:b/>
              </w:rPr>
            </w:pPr>
            <w:r w:rsidRPr="004126E0">
              <w:rPr>
                <w:b/>
              </w:rPr>
              <w:t xml:space="preserve">Γεωγραφικό μήκος </w:t>
            </w:r>
          </w:p>
        </w:tc>
        <w:tc>
          <w:tcPr>
            <w:tcW w:w="1701"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Περίοδος απαγόρευσης:</w:t>
            </w:r>
          </w:p>
        </w:tc>
      </w:tr>
      <w:tr w:rsidR="00604E6C" w:rsidRPr="004126E0"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41.75575813</w:t>
            </w:r>
          </w:p>
        </w:tc>
        <w:tc>
          <w:tcPr>
            <w:tcW w:w="1842"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16.94671418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D5018" w:rsidRPr="004126E0" w:rsidRDefault="00EC7CD2" w:rsidP="00F37D8F">
            <w:pPr>
              <w:spacing w:before="120" w:after="120"/>
            </w:pPr>
            <w:r w:rsidRPr="004126E0">
              <w:t>15 Οκτωβρίου-15 Δεκεμβρίου</w:t>
            </w:r>
          </w:p>
        </w:tc>
      </w:tr>
      <w:tr w:rsidR="00604E6C" w:rsidRPr="004126E0"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41.75575813</w:t>
            </w:r>
          </w:p>
        </w:tc>
        <w:tc>
          <w:tcPr>
            <w:tcW w:w="1842"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r w:rsidR="00604E6C" w:rsidRPr="004126E0"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42.07296819</w:t>
            </w:r>
          </w:p>
        </w:tc>
        <w:tc>
          <w:tcPr>
            <w:tcW w:w="1842"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r w:rsidR="00604E6C" w:rsidRPr="004126E0"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42.07296819</w:t>
            </w:r>
          </w:p>
        </w:tc>
        <w:tc>
          <w:tcPr>
            <w:tcW w:w="1842"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r w:rsidR="00604E6C" w:rsidRPr="004126E0"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41.75575813</w:t>
            </w:r>
          </w:p>
        </w:tc>
        <w:tc>
          <w:tcPr>
            <w:tcW w:w="1842"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spacing w:before="120" w:after="120"/>
            </w:pPr>
            <w:r w:rsidRPr="004126E0">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4126E0" w:rsidRDefault="00DD5018" w:rsidP="00F37D8F"/>
        </w:tc>
      </w:tr>
    </w:tbl>
    <w:p w:rsidR="00DD5018" w:rsidRPr="004126E0" w:rsidRDefault="00DD5018" w:rsidP="00DD5018">
      <w:pPr>
        <w:rPr>
          <w:rFonts w:cstheme="minorHAnsi"/>
          <w:b/>
          <w:i/>
          <w:noProof/>
          <w:lang w:eastAsia="en-US"/>
        </w:rPr>
      </w:pPr>
    </w:p>
    <w:p w:rsidR="00DD5018" w:rsidRPr="004126E0" w:rsidRDefault="00EC7CD2" w:rsidP="00DD5018">
      <w:pPr>
        <w:pStyle w:val="Olang"/>
      </w:pPr>
      <w:r w:rsidRPr="004126E0">
        <w:rPr>
          <w:noProof w:val="0"/>
        </w:rPr>
        <w:t xml:space="preserve">Or. </w:t>
      </w:r>
      <w:r w:rsidRPr="004126E0">
        <w:rPr>
          <w:rStyle w:val="HideTWBExt"/>
          <w:noProof w:val="0"/>
        </w:rPr>
        <w:t>&lt;Original&gt;</w:t>
      </w:r>
      <w:r w:rsidRPr="004126E0">
        <w:rPr>
          <w:rStyle w:val="HideTWBInt"/>
          <w:noProof w:val="0"/>
        </w:rPr>
        <w:t>{EN}</w:t>
      </w:r>
      <w:r w:rsidRPr="004126E0">
        <w:rPr>
          <w:noProof w:val="0"/>
        </w:rPr>
        <w:t>en</w:t>
      </w:r>
      <w:r w:rsidRPr="004126E0">
        <w:rPr>
          <w:rStyle w:val="HideTWBExt"/>
          <w:noProof w:val="0"/>
        </w:rPr>
        <w:t>&lt;/Original&gt;</w:t>
      </w:r>
    </w:p>
    <w:p w:rsidR="00DD5018" w:rsidRPr="004126E0" w:rsidRDefault="00EC7CD2" w:rsidP="00DD5018">
      <w:pPr>
        <w:pStyle w:val="Normal12Italic"/>
        <w:jc w:val="center"/>
      </w:pPr>
      <w:r w:rsidRPr="004126E0">
        <w:t>(32023R2124)</w:t>
      </w:r>
    </w:p>
    <w:p w:rsidR="00DD5018" w:rsidRPr="004126E0" w:rsidRDefault="00EC7CD2" w:rsidP="00DD5018">
      <w:pPr>
        <w:pStyle w:val="Normal12Italic"/>
        <w:jc w:val="center"/>
        <w:rPr>
          <w:noProof w:val="0"/>
        </w:rPr>
      </w:pPr>
      <w:r w:rsidRPr="004126E0">
        <w:t>GFCM/47/2024/5</w:t>
      </w:r>
    </w:p>
    <w:p w:rsidR="00DD5018" w:rsidRPr="004126E0" w:rsidRDefault="00EC7CD2" w:rsidP="00DD5018">
      <w:r w:rsidRPr="004126E0">
        <w:rPr>
          <w:rStyle w:val="HideTWBExt"/>
        </w:rPr>
        <w:t>&lt;/Amend&gt;</w:t>
      </w:r>
    </w:p>
    <w:p w:rsidR="00DD5018" w:rsidRPr="004126E0" w:rsidRDefault="00EC7CD2" w:rsidP="00DD5018">
      <w:pPr>
        <w:pStyle w:val="AmNumberTabs"/>
        <w:keepNext/>
      </w:pPr>
      <w:r w:rsidRPr="004126E0">
        <w:rPr>
          <w:rStyle w:val="HideTWBExt"/>
        </w:rPr>
        <w:t>&lt;Amend&gt;</w:t>
      </w:r>
      <w:r w:rsidRPr="004126E0">
        <w:t>Τροπολογία</w:t>
      </w:r>
      <w:r w:rsidRPr="004126E0">
        <w:tab/>
      </w:r>
      <w:r w:rsidRPr="004126E0">
        <w:tab/>
      </w:r>
      <w:r w:rsidRPr="004126E0">
        <w:rPr>
          <w:rStyle w:val="HideTWBExt"/>
        </w:rPr>
        <w:t>&lt;NumAm&gt;</w:t>
      </w:r>
      <w:r w:rsidRPr="004126E0">
        <w:t>244</w:t>
      </w:r>
      <w:r w:rsidRPr="004126E0">
        <w:rPr>
          <w:rStyle w:val="HideTWBExt"/>
        </w:rPr>
        <w:t>&lt;/NumAm&gt;</w:t>
      </w:r>
    </w:p>
    <w:p w:rsidR="00DD5018" w:rsidRPr="004126E0" w:rsidRDefault="00EC7CD2" w:rsidP="00DD5018">
      <w:pPr>
        <w:pStyle w:val="NormalBold"/>
      </w:pPr>
      <w:r w:rsidRPr="004126E0">
        <w:rPr>
          <w:rStyle w:val="HideTWBExt"/>
        </w:rPr>
        <w:t>&lt;RepeatBlock-By&gt;&lt;Members&gt;</w:t>
      </w:r>
      <w:r w:rsidRPr="004126E0">
        <w:t>Thomas Bajada</w:t>
      </w:r>
      <w:r w:rsidRPr="004126E0">
        <w:rPr>
          <w:rStyle w:val="HideTWBExt"/>
        </w:rPr>
        <w:t>&lt;/Members&gt;</w:t>
      </w:r>
    </w:p>
    <w:p w:rsidR="00DD5018" w:rsidRPr="004126E0" w:rsidRDefault="00EC7CD2" w:rsidP="00DD5018">
      <w:pPr>
        <w:pStyle w:val="NormalBold"/>
      </w:pPr>
      <w:r w:rsidRPr="004126E0">
        <w:rPr>
          <w:rStyle w:val="HideTWBExt"/>
        </w:rPr>
        <w:t>&lt;/RepeatBlock-By&gt;</w:t>
      </w:r>
    </w:p>
    <w:p w:rsidR="00DD5018" w:rsidRPr="004126E0" w:rsidRDefault="00EC7CD2" w:rsidP="00DD5018">
      <w:pPr>
        <w:pStyle w:val="NormalBold"/>
      </w:pPr>
      <w:r w:rsidRPr="004126E0">
        <w:rPr>
          <w:rStyle w:val="HideTWBExt"/>
        </w:rPr>
        <w:t>&lt;DocAmend&gt;</w:t>
      </w:r>
      <w:r w:rsidRPr="004126E0">
        <w:t>Πρόταση κανονισμού</w:t>
      </w:r>
      <w:r w:rsidRPr="004126E0">
        <w:rPr>
          <w:rStyle w:val="HideTWBExt"/>
        </w:rPr>
        <w:t>&lt;/DocAmend&gt;</w:t>
      </w:r>
    </w:p>
    <w:p w:rsidR="00DD5018" w:rsidRPr="004126E0" w:rsidRDefault="00EC7CD2" w:rsidP="00DD5018">
      <w:pPr>
        <w:pStyle w:val="NormalBold"/>
      </w:pPr>
      <w:r w:rsidRPr="004126E0">
        <w:rPr>
          <w:rStyle w:val="HideTWBExt"/>
        </w:rPr>
        <w:t>&lt;Article&gt;</w:t>
      </w:r>
      <w:r w:rsidRPr="004126E0">
        <w:t>Παράρτημα XI – σημείο 1</w:t>
      </w:r>
      <w:r w:rsidRPr="004126E0">
        <w:rPr>
          <w:rStyle w:val="HideTWBExt"/>
        </w:rPr>
        <w:t>&lt;/Article&gt;</w:t>
      </w:r>
    </w:p>
    <w:p w:rsidR="00DD5018" w:rsidRPr="004126E0" w:rsidRDefault="00EC7CD2" w:rsidP="00DD5018">
      <w:pPr>
        <w:keepNext/>
      </w:pPr>
      <w:r w:rsidRPr="004126E0">
        <w:rPr>
          <w:rStyle w:val="HideTWBExt"/>
        </w:rPr>
        <w:t>&lt;DocAmend2&gt;</w:t>
      </w:r>
      <w:r w:rsidRPr="004126E0">
        <w:t>Κανονισμός (ΕΕ) 2023/2124</w:t>
      </w:r>
      <w:r w:rsidRPr="004126E0">
        <w:rPr>
          <w:rStyle w:val="HideTWBExt"/>
        </w:rPr>
        <w:t>&lt;/DocAmend2&gt;</w:t>
      </w:r>
    </w:p>
    <w:p w:rsidR="00EC7CD2" w:rsidRPr="004126E0" w:rsidRDefault="00EC7CD2" w:rsidP="00EC7CD2">
      <w:pPr>
        <w:keepNext/>
      </w:pPr>
      <w:r w:rsidRPr="004126E0">
        <w:rPr>
          <w:rStyle w:val="HideTWBExt"/>
        </w:rPr>
        <w:t>&lt;Article2&gt;</w:t>
      </w:r>
      <w:r w:rsidRPr="004126E0">
        <w:t>Παράρτημα XI</w:t>
      </w:r>
      <w:r w:rsidRPr="004126E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604E6C" w:rsidRPr="004126E0" w:rsidTr="00EC7CD2">
        <w:trPr>
          <w:jc w:val="center"/>
        </w:trPr>
        <w:tc>
          <w:tcPr>
            <w:tcW w:w="5387" w:type="dxa"/>
            <w:hideMark/>
          </w:tcPr>
          <w:p w:rsidR="00DD5018" w:rsidRPr="004126E0" w:rsidRDefault="00EC7CD2" w:rsidP="00F37D8F">
            <w:pPr>
              <w:pStyle w:val="ColumnHeading"/>
              <w:keepNext/>
            </w:pPr>
            <w:r w:rsidRPr="004126E0">
              <w:t>Κείμενο που προτείνει η Επιτροπή</w:t>
            </w:r>
          </w:p>
        </w:tc>
        <w:tc>
          <w:tcPr>
            <w:tcW w:w="4365" w:type="dxa"/>
            <w:hideMark/>
          </w:tcPr>
          <w:p w:rsidR="00DD5018" w:rsidRPr="004126E0" w:rsidRDefault="00DD5018" w:rsidP="00F37D8F"/>
        </w:tc>
      </w:tr>
    </w:tbl>
    <w:p w:rsidR="00DD5018" w:rsidRPr="004126E0" w:rsidRDefault="00DD5018" w:rsidP="00DD5018">
      <w:pPr>
        <w:pStyle w:val="AmOrLang"/>
        <w:jc w:val="left"/>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604E6C" w:rsidRPr="004126E0" w:rsidTr="00F37D8F">
        <w:trPr>
          <w:jc w:val="center"/>
        </w:trPr>
        <w:tc>
          <w:tcPr>
            <w:tcW w:w="5387" w:type="dxa"/>
            <w:hideMark/>
          </w:tcPr>
          <w:p w:rsidR="00DD5018" w:rsidRPr="004126E0" w:rsidRDefault="00EC7CD2" w:rsidP="00F37D8F">
            <w:pPr>
              <w:pStyle w:val="Normal6"/>
              <w:jc w:val="center"/>
              <w:rPr>
                <w:i/>
                <w:szCs w:val="24"/>
              </w:rPr>
            </w:pPr>
            <w:r w:rsidRPr="004126E0">
              <w:rPr>
                <w:i/>
              </w:rPr>
              <w:t>Τροπολογία</w:t>
            </w:r>
          </w:p>
        </w:tc>
        <w:tc>
          <w:tcPr>
            <w:tcW w:w="4365" w:type="dxa"/>
          </w:tcPr>
          <w:p w:rsidR="00DD5018" w:rsidRPr="004126E0" w:rsidRDefault="00DD5018" w:rsidP="00F37D8F">
            <w:pPr>
              <w:pStyle w:val="TableParagraph"/>
              <w:spacing w:before="154" w:line="252" w:lineRule="exact"/>
              <w:ind w:left="110"/>
              <w:rPr>
                <w:noProof/>
                <w:sz w:val="24"/>
                <w:szCs w:val="24"/>
              </w:rPr>
            </w:pPr>
          </w:p>
        </w:tc>
      </w:tr>
      <w:tr w:rsidR="00604E6C" w:rsidRPr="004126E0" w:rsidTr="00F37D8F">
        <w:trPr>
          <w:jc w:val="center"/>
        </w:trPr>
        <w:tc>
          <w:tcPr>
            <w:tcW w:w="9752" w:type="dxa"/>
            <w:gridSpan w:val="2"/>
            <w:hideMark/>
          </w:tcPr>
          <w:p w:rsidR="00DD5018" w:rsidRPr="00EC7CD2" w:rsidRDefault="00EC7CD2" w:rsidP="00EC7CD2">
            <w:pPr>
              <w:pStyle w:val="TableParagraph"/>
              <w:spacing w:before="154" w:after="120" w:line="240" w:lineRule="auto"/>
              <w:ind w:left="108"/>
              <w:rPr>
                <w:noProof/>
                <w:sz w:val="24"/>
                <w:szCs w:val="24"/>
              </w:rPr>
            </w:pPr>
            <w:r w:rsidRPr="00EC7CD2">
              <w:rPr>
                <w:sz w:val="24"/>
                <w:szCs w:val="24"/>
              </w:rPr>
              <w:t xml:space="preserve">Προστίθεται </w:t>
            </w:r>
            <w:r w:rsidRPr="00EC7CD2">
              <w:rPr>
                <w:sz w:val="24"/>
                <w:szCs w:val="24"/>
              </w:rPr>
              <w:t>νέα παράγραφος Δα</w:t>
            </w:r>
          </w:p>
        </w:tc>
      </w:tr>
    </w:tbl>
    <w:p w:rsidR="00DD5018" w:rsidRPr="00EC7CD2" w:rsidRDefault="00EC7CD2" w:rsidP="00DD5018">
      <w:pPr>
        <w:pStyle w:val="AmOrLang"/>
        <w:jc w:val="left"/>
      </w:pPr>
      <w:r>
        <w:t>Δα</w:t>
      </w:r>
      <w:r w:rsidRPr="004126E0">
        <w:t>.</w:t>
      </w:r>
      <w:r w:rsidRPr="004126E0">
        <w:tab/>
      </w:r>
      <w:r>
        <w:t xml:space="preserve">Απαγορεύσεις αλιείας στο Στενό του Οτράντο </w:t>
      </w:r>
      <w:r w:rsidRPr="004126E0">
        <w:t>(</w:t>
      </w:r>
      <w:r>
        <w:t>γεωγραφική υποπε</w:t>
      </w:r>
      <w:bookmarkStart w:id="0" w:name="_GoBack"/>
      <w:bookmarkEnd w:id="0"/>
      <w:r>
        <w:t xml:space="preserve">ριοχή </w:t>
      </w:r>
      <w:r w:rsidRPr="004126E0">
        <w:t xml:space="preserve">18) </w:t>
      </w:r>
      <w:r>
        <w:t>στην Αδριατική Θάλασσα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1167"/>
        <w:gridCol w:w="2660"/>
        <w:gridCol w:w="2693"/>
      </w:tblGrid>
      <w:tr w:rsidR="00604E6C" w:rsidRPr="004126E0" w:rsidTr="00F37D8F">
        <w:trPr>
          <w:trHeight w:val="110"/>
          <w:jc w:val="center"/>
        </w:trPr>
        <w:tc>
          <w:tcPr>
            <w:tcW w:w="7616" w:type="dxa"/>
            <w:gridSpan w:val="4"/>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ΖΩΝΗ Α (ΚΥΡΙΑ ΠΕΡΙΟΧΗ)</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Α/Α</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ΟΝΟΜΑ</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Γεωγραφικό πλάτος</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Γεωγραφικό μήκος</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Α</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57' 43.84800000"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33' 17.85600000"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2</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Β</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 xml:space="preserve">40° 58' </w:t>
            </w:r>
            <w:r w:rsidRPr="004126E0">
              <w:rPr>
                <w:rFonts w:ascii="Times New Roman" w:hAnsi="Times New Roman"/>
              </w:rPr>
              <w:t>28.03368000"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42' 45.85824000"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3</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Γ</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55' 15.45024000"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46' 23.21868000"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4</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Δ</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52' 28.76988000"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48' 11.33568000"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5</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Δ2</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50' 10.64724000"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50' 36.78360000"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6</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Ε</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46' 36.26328000"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52' 23.60856000"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7</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ΣΤ</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39' 36.98856000"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57' 26.91756000"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8</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Ζ</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30' 42.01848000"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59' 22.69464000"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9</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Η</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21' 40.96800000"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019° 04' 21.28800000"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10</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Θ</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18' 30.42000000"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54' 06.12000000"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11</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ΙΣΤ</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18' 09.88610400"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44' 56.45333400"</w:t>
            </w:r>
            <w:r w:rsidRPr="004126E0">
              <w:rPr>
                <w:rFonts w:ascii="Times New Roman" w:hAnsi="Times New Roman"/>
              </w:rPr>
              <w:t xml:space="preserve">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12</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ΙΕ</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21' 35.41141080"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42' 55.44978840"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13</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ΙΔ</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33' 48.79144800"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41' 47.41117440"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14</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ΙΓ</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42' 56.59378560"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37' 57.75797640"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15</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ΙΒ</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48' 08.42628600"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30' 02.37403440"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16</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ΙΑ</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50' 53.47825080"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 xml:space="preserve">018° </w:t>
            </w:r>
            <w:r w:rsidRPr="004126E0">
              <w:rPr>
                <w:rFonts w:ascii="Times New Roman" w:hAnsi="Times New Roman"/>
              </w:rPr>
              <w:t>21' 48.06343080" Α</w:t>
            </w:r>
          </w:p>
        </w:tc>
      </w:tr>
      <w:tr w:rsidR="00604E6C" w:rsidRPr="004126E0" w:rsidTr="00EC7CD2">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17</w:t>
            </w:r>
          </w:p>
        </w:tc>
        <w:tc>
          <w:tcPr>
            <w:tcW w:w="1167"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w:t>
            </w:r>
          </w:p>
        </w:tc>
        <w:tc>
          <w:tcPr>
            <w:tcW w:w="2660"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52' 12.60584760" Β</w:t>
            </w:r>
          </w:p>
        </w:tc>
        <w:tc>
          <w:tcPr>
            <w:tcW w:w="2693"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19' 11.93260080" Α</w:t>
            </w:r>
          </w:p>
        </w:tc>
      </w:tr>
    </w:tbl>
    <w:p w:rsidR="00DD5018" w:rsidRPr="004126E0" w:rsidRDefault="00DD5018" w:rsidP="00DD5018">
      <w:pPr>
        <w:pStyle w:val="AmOrLa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2835"/>
        <w:gridCol w:w="2835"/>
      </w:tblGrid>
      <w:tr w:rsidR="00604E6C" w:rsidRPr="004126E0" w:rsidTr="00F37D8F">
        <w:trPr>
          <w:trHeight w:val="110"/>
          <w:jc w:val="center"/>
        </w:trPr>
        <w:tc>
          <w:tcPr>
            <w:tcW w:w="7650" w:type="dxa"/>
            <w:gridSpan w:val="4"/>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ΖΩΝΗ Β (ΠΕΡΙΟΧΗ ΑΣΦΑΛΕΙΑΣ)</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Α/Α</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ΟΝΟΜΑ</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Γεωγραφικό πλάτος</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Γεωγραφικό μήκος</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ΙΖ</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59' 23.96400000"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32' 23.78400000"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2</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ΙΗ</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52' 28.12800000"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13' 56.20800000"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3</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ΙΘ</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49' 07.64400000"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20' 31.88400000"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4</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46' 24.38400000"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28' 43.32000000"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5</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ΚΑ</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41' 39.37200000"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35' 56.79600000"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6</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33' 24.44400000"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39' 13.14000000"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7</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ΚΓ</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21' 05.61600000"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 xml:space="preserve">018° 40' </w:t>
            </w:r>
            <w:r w:rsidRPr="004126E0">
              <w:rPr>
                <w:rFonts w:ascii="Times New Roman" w:hAnsi="Times New Roman"/>
              </w:rPr>
              <w:t>20.71200000"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8</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ΚΔ</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16' 05.62800000"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43' 17.50800000"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9</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ΚΕ</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16' 31.94400000"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54' 19.65600000"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10</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ΚΣΤ</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20' 34.40400000"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019° 06' 31.70916000"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11</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ΚΖ</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30' 59.31612000"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019° 00' 54.54936000"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12</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ΚΗ</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 xml:space="preserve">40° 40' </w:t>
            </w:r>
            <w:r w:rsidRPr="004126E0">
              <w:rPr>
                <w:rFonts w:ascii="Times New Roman" w:hAnsi="Times New Roman"/>
              </w:rPr>
              <w:t>45.02136000"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58' 40.49868000"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13</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ΚΘ</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45' 45.86436000"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54' 12.23640000"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14</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ΚΙ</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47' 56.52672000"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53' 17.58480000"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15</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ΚΙ2</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49' 19.90344000"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51' 20.36196000"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16</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Λ</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40° 53' 15.18144000"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48' 36.66528000" Α</w:t>
            </w:r>
          </w:p>
        </w:tc>
      </w:tr>
      <w:tr w:rsidR="00604E6C" w:rsidRPr="004126E0" w:rsidTr="00EC7CD2">
        <w:trPr>
          <w:trHeight w:val="110"/>
          <w:jc w:val="center"/>
        </w:trPr>
        <w:tc>
          <w:tcPr>
            <w:tcW w:w="704"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b/>
              </w:rPr>
              <w:t>17</w:t>
            </w:r>
          </w:p>
        </w:tc>
        <w:tc>
          <w:tcPr>
            <w:tcW w:w="1276"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ΛΑ</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41° 00' 17.90856000" Β</w:t>
            </w:r>
          </w:p>
        </w:tc>
        <w:tc>
          <w:tcPr>
            <w:tcW w:w="2835" w:type="dxa"/>
            <w:tcBorders>
              <w:top w:val="single" w:sz="4" w:space="0" w:color="auto"/>
              <w:left w:val="single" w:sz="4" w:space="0" w:color="auto"/>
              <w:bottom w:val="single" w:sz="4" w:space="0" w:color="auto"/>
              <w:right w:val="single" w:sz="4" w:space="0" w:color="auto"/>
            </w:tcBorders>
            <w:hideMark/>
          </w:tcPr>
          <w:p w:rsidR="00DD5018" w:rsidRPr="004126E0" w:rsidRDefault="00EC7CD2" w:rsidP="00F37D8F">
            <w:pPr>
              <w:pStyle w:val="Default"/>
              <w:jc w:val="center"/>
              <w:rPr>
                <w:rFonts w:ascii="Times New Roman" w:hAnsi="Times New Roman" w:cs="Times New Roman"/>
              </w:rPr>
            </w:pPr>
            <w:r w:rsidRPr="004126E0">
              <w:rPr>
                <w:rFonts w:ascii="Times New Roman" w:hAnsi="Times New Roman"/>
              </w:rPr>
              <w:t>018° 44' 47.24772000" Α</w:t>
            </w:r>
          </w:p>
        </w:tc>
      </w:tr>
    </w:tbl>
    <w:p w:rsidR="00DD5018" w:rsidRPr="004126E0" w:rsidRDefault="00EC7CD2" w:rsidP="00DD5018">
      <w:pPr>
        <w:pStyle w:val="AmOrLang"/>
      </w:pPr>
      <w:r w:rsidRPr="004126E0">
        <w:t xml:space="preserve">Or. </w:t>
      </w:r>
      <w:r w:rsidRPr="004126E0">
        <w:rPr>
          <w:rStyle w:val="HideTWBExt"/>
          <w:rFonts w:eastAsiaTheme="majorEastAsia"/>
        </w:rPr>
        <w:t>&lt;Original&gt;</w:t>
      </w:r>
      <w:r w:rsidRPr="004126E0">
        <w:rPr>
          <w:rStyle w:val="HideTWBInt"/>
        </w:rPr>
        <w:t>{EN}</w:t>
      </w:r>
      <w:r w:rsidRPr="004126E0">
        <w:t>en</w:t>
      </w:r>
      <w:r w:rsidRPr="004126E0">
        <w:rPr>
          <w:rStyle w:val="HideTWBExt"/>
          <w:rFonts w:eastAsiaTheme="majorEastAsia"/>
        </w:rPr>
        <w:t>&lt;/Original&gt;</w:t>
      </w:r>
    </w:p>
    <w:p w:rsidR="00DD5018" w:rsidRPr="004126E0" w:rsidRDefault="00EC7CD2" w:rsidP="00DD5018">
      <w:pPr>
        <w:pStyle w:val="Normal12Italic"/>
        <w:jc w:val="center"/>
      </w:pPr>
      <w:r w:rsidRPr="004126E0">
        <w:t>(32023R2124)</w:t>
      </w:r>
    </w:p>
    <w:p w:rsidR="00DD5018" w:rsidRPr="004126E0" w:rsidRDefault="00EC7CD2" w:rsidP="00DD5018">
      <w:pPr>
        <w:pStyle w:val="Normal12Italic"/>
        <w:jc w:val="center"/>
        <w:rPr>
          <w:noProof w:val="0"/>
        </w:rPr>
      </w:pPr>
      <w:r w:rsidRPr="004126E0">
        <w:t>GFCM/47/2024/5</w:t>
      </w:r>
    </w:p>
    <w:p w:rsidR="00DD5018" w:rsidRPr="004126E0" w:rsidRDefault="00EC7CD2" w:rsidP="00DD5018">
      <w:r w:rsidRPr="004126E0">
        <w:rPr>
          <w:rStyle w:val="HideTWBExt"/>
        </w:rPr>
        <w:t>&lt;/Amend&gt;&lt;/RepeatBlock-Amend&gt;</w:t>
      </w:r>
    </w:p>
    <w:p w:rsidR="00FA192C" w:rsidRPr="004126E0" w:rsidRDefault="00FA192C" w:rsidP="00DD5018"/>
    <w:sectPr w:rsidR="00FA192C" w:rsidRPr="004126E0" w:rsidSect="004126E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126E0" w:rsidRDefault="00EC7CD2">
      <w:r w:rsidRPr="004126E0">
        <w:separator/>
      </w:r>
    </w:p>
  </w:endnote>
  <w:endnote w:type="continuationSeparator" w:id="0">
    <w:p w:rsidR="00000000" w:rsidRPr="004126E0" w:rsidRDefault="00EC7CD2">
      <w:r w:rsidRPr="004126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E0" w:rsidRPr="004126E0" w:rsidRDefault="004126E0" w:rsidP="004126E0">
    <w:pPr>
      <w:pStyle w:val="EPFooter"/>
    </w:pPr>
    <w:r w:rsidRPr="004126E0">
      <w:t>PE</w:t>
    </w:r>
    <w:r w:rsidRPr="004126E0">
      <w:rPr>
        <w:rStyle w:val="HideTWBExt"/>
      </w:rPr>
      <w:t>&lt;NoPE&gt;</w:t>
    </w:r>
    <w:r w:rsidRPr="004126E0">
      <w:t>771.930</w:t>
    </w:r>
    <w:r w:rsidRPr="004126E0">
      <w:rPr>
        <w:rStyle w:val="HideTWBExt"/>
      </w:rPr>
      <w:t>&lt;/NoPE&gt;&lt;Version&gt;</w:t>
    </w:r>
    <w:r w:rsidRPr="004126E0">
      <w:t>v03-00</w:t>
    </w:r>
    <w:r w:rsidRPr="004126E0">
      <w:rPr>
        <w:rStyle w:val="HideTWBExt"/>
      </w:rPr>
      <w:t>&lt;/Version&gt;</w:t>
    </w:r>
    <w:r w:rsidRPr="004126E0">
      <w:tab/>
    </w:r>
    <w:r w:rsidRPr="004126E0">
      <w:fldChar w:fldCharType="begin"/>
    </w:r>
    <w:r w:rsidRPr="004126E0">
      <w:instrText xml:space="preserve"> PAGE  \* MERGEFORMAT </w:instrText>
    </w:r>
    <w:r w:rsidRPr="004126E0">
      <w:fldChar w:fldCharType="separate"/>
    </w:r>
    <w:r w:rsidR="00EC7CD2">
      <w:rPr>
        <w:noProof/>
      </w:rPr>
      <w:t>106</w:t>
    </w:r>
    <w:r w:rsidRPr="004126E0">
      <w:fldChar w:fldCharType="end"/>
    </w:r>
    <w:r w:rsidRPr="004126E0">
      <w:t>/</w:t>
    </w:r>
    <w:fldSimple w:instr=" NUMPAGES  \* MERGEFORMAT ">
      <w:r w:rsidR="00EC7CD2">
        <w:rPr>
          <w:noProof/>
        </w:rPr>
        <w:t>108</w:t>
      </w:r>
    </w:fldSimple>
    <w:r w:rsidRPr="004126E0">
      <w:tab/>
    </w:r>
    <w:r w:rsidRPr="004126E0">
      <w:rPr>
        <w:rStyle w:val="HideTWBExt"/>
      </w:rPr>
      <w:t>&lt;PathFdR&gt;</w:t>
    </w:r>
    <w:r w:rsidRPr="004126E0">
      <w:t>AM\1319572EL.docx</w:t>
    </w:r>
    <w:r w:rsidRPr="004126E0">
      <w:rPr>
        <w:rStyle w:val="HideTWBExt"/>
      </w:rPr>
      <w:t>&lt;/PathFdR&gt;</w:t>
    </w:r>
  </w:p>
  <w:p w:rsidR="00203D96" w:rsidRPr="004126E0" w:rsidRDefault="004126E0" w:rsidP="004126E0">
    <w:pPr>
      <w:pStyle w:val="EPFooter2"/>
    </w:pPr>
    <w:r w:rsidRPr="004126E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E0" w:rsidRPr="004126E0" w:rsidRDefault="004126E0" w:rsidP="004126E0">
    <w:pPr>
      <w:pStyle w:val="EPFooter"/>
    </w:pPr>
    <w:r w:rsidRPr="004126E0">
      <w:rPr>
        <w:rStyle w:val="HideTWBExt"/>
      </w:rPr>
      <w:t>&lt;PathFdR&gt;</w:t>
    </w:r>
    <w:r w:rsidRPr="004126E0">
      <w:t>AM\1319572EL.docx</w:t>
    </w:r>
    <w:r w:rsidRPr="004126E0">
      <w:rPr>
        <w:rStyle w:val="HideTWBExt"/>
      </w:rPr>
      <w:t>&lt;/PathFdR&gt;</w:t>
    </w:r>
    <w:r w:rsidRPr="004126E0">
      <w:tab/>
    </w:r>
    <w:r w:rsidRPr="004126E0">
      <w:fldChar w:fldCharType="begin"/>
    </w:r>
    <w:r w:rsidRPr="004126E0">
      <w:instrText xml:space="preserve"> PAGE  \* MERGEFORMAT </w:instrText>
    </w:r>
    <w:r w:rsidRPr="004126E0">
      <w:fldChar w:fldCharType="separate"/>
    </w:r>
    <w:r w:rsidR="00EC7CD2">
      <w:rPr>
        <w:noProof/>
      </w:rPr>
      <w:t>107</w:t>
    </w:r>
    <w:r w:rsidRPr="004126E0">
      <w:fldChar w:fldCharType="end"/>
    </w:r>
    <w:r w:rsidRPr="004126E0">
      <w:t>/</w:t>
    </w:r>
    <w:fldSimple w:instr=" NUMPAGES  \* MERGEFORMAT ">
      <w:r w:rsidR="00EC7CD2">
        <w:rPr>
          <w:noProof/>
        </w:rPr>
        <w:t>108</w:t>
      </w:r>
    </w:fldSimple>
    <w:r w:rsidRPr="004126E0">
      <w:tab/>
      <w:t>PE</w:t>
    </w:r>
    <w:r w:rsidRPr="004126E0">
      <w:rPr>
        <w:rStyle w:val="HideTWBExt"/>
      </w:rPr>
      <w:t>&lt;NoPE&gt;</w:t>
    </w:r>
    <w:r w:rsidRPr="004126E0">
      <w:t>771.930</w:t>
    </w:r>
    <w:r w:rsidRPr="004126E0">
      <w:rPr>
        <w:rStyle w:val="HideTWBExt"/>
      </w:rPr>
      <w:t>&lt;/NoPE&gt;&lt;Version&gt;</w:t>
    </w:r>
    <w:r w:rsidRPr="004126E0">
      <w:t>v03-00</w:t>
    </w:r>
    <w:r w:rsidRPr="004126E0">
      <w:rPr>
        <w:rStyle w:val="HideTWBExt"/>
      </w:rPr>
      <w:t>&lt;/Version&gt;</w:t>
    </w:r>
  </w:p>
  <w:p w:rsidR="00203D96" w:rsidRPr="004126E0" w:rsidRDefault="004126E0" w:rsidP="004126E0">
    <w:pPr>
      <w:pStyle w:val="EPFooter2"/>
    </w:pPr>
    <w:r w:rsidRPr="004126E0">
      <w:tab/>
    </w:r>
    <w:r w:rsidRPr="004126E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E0" w:rsidRPr="004126E0" w:rsidRDefault="004126E0" w:rsidP="004126E0">
    <w:pPr>
      <w:pStyle w:val="EPFooter"/>
    </w:pPr>
    <w:r w:rsidRPr="004126E0">
      <w:rPr>
        <w:rStyle w:val="HideTWBExt"/>
      </w:rPr>
      <w:t>&lt;PathFdR&gt;</w:t>
    </w:r>
    <w:r w:rsidRPr="004126E0">
      <w:t>AM\1319572EL.docx</w:t>
    </w:r>
    <w:r w:rsidRPr="004126E0">
      <w:rPr>
        <w:rStyle w:val="HideTWBExt"/>
      </w:rPr>
      <w:t>&lt;/PathFdR&gt;</w:t>
    </w:r>
    <w:r w:rsidRPr="004126E0">
      <w:tab/>
    </w:r>
    <w:r w:rsidRPr="004126E0">
      <w:tab/>
      <w:t>PE</w:t>
    </w:r>
    <w:r w:rsidRPr="004126E0">
      <w:rPr>
        <w:rStyle w:val="HideTWBExt"/>
      </w:rPr>
      <w:t>&lt;NoPE&gt;</w:t>
    </w:r>
    <w:r w:rsidRPr="004126E0">
      <w:t>771.930</w:t>
    </w:r>
    <w:r w:rsidRPr="004126E0">
      <w:rPr>
        <w:rStyle w:val="HideTWBExt"/>
      </w:rPr>
      <w:t>&lt;/NoPE&gt;&lt;Version&gt;</w:t>
    </w:r>
    <w:r w:rsidRPr="004126E0">
      <w:t>v03-00</w:t>
    </w:r>
    <w:r w:rsidRPr="004126E0">
      <w:rPr>
        <w:rStyle w:val="HideTWBExt"/>
      </w:rPr>
      <w:t>&lt;/Version&gt;</w:t>
    </w:r>
  </w:p>
  <w:p w:rsidR="00203D96" w:rsidRPr="004126E0" w:rsidRDefault="004126E0" w:rsidP="004126E0">
    <w:pPr>
      <w:pStyle w:val="EPFooter2"/>
    </w:pPr>
    <w:r w:rsidRPr="004126E0">
      <w:t>EL</w:t>
    </w:r>
    <w:r w:rsidRPr="004126E0">
      <w:tab/>
    </w:r>
    <w:r w:rsidRPr="004126E0">
      <w:rPr>
        <w:b w:val="0"/>
        <w:i/>
        <w:color w:val="C0C0C0"/>
        <w:sz w:val="22"/>
      </w:rPr>
      <w:t>Ενωμένη στην πολυμορφία</w:t>
    </w:r>
    <w:r w:rsidRPr="004126E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D96" w:rsidRPr="004126E0" w:rsidRDefault="00EC7CD2">
      <w:r w:rsidRPr="004126E0">
        <w:separator/>
      </w:r>
    </w:p>
  </w:footnote>
  <w:footnote w:type="continuationSeparator" w:id="0">
    <w:p w:rsidR="00203D96" w:rsidRPr="004126E0" w:rsidRDefault="00EC7CD2">
      <w:r w:rsidRPr="004126E0">
        <w:continuationSeparator/>
      </w:r>
    </w:p>
  </w:footnote>
  <w:footnote w:id="1">
    <w:p w:rsidR="00DD5018" w:rsidRPr="004126E0" w:rsidRDefault="00EC7CD2" w:rsidP="00DD5018">
      <w:pPr>
        <w:pStyle w:val="FootnoteText"/>
      </w:pPr>
      <w:r w:rsidRPr="004126E0">
        <w:rPr>
          <w:rStyle w:val="FootnoteReference"/>
        </w:rPr>
        <w:footnoteRef/>
      </w:r>
      <w:r w:rsidRPr="004126E0">
        <w:tab/>
        <w:t>Κανονισμός (ΕΚ) αριθ. 1005/2008 του Συμβουλίου, της 29ης Σεπτεμβρίου 2008, περί δημιουργίας κοινοτικού συστήματος πρόληψης, αποτροπή</w:t>
      </w:r>
      <w:r w:rsidRPr="004126E0">
        <w:t>ς και εξάλειψης της παράνομης, λαθραίας και άναρχης αλιείας, τροποποίησης των κανονισμών (ΕΟΚ) αριθ. 2847/93, (ΕΚ) αριθ. 1936/2001 και (ΕΚ) αριθ. 601/2004 και κατάργησης των κανονισμών (ΕΚ) αριθ. 1093/94 και (ΕΚ) αριθ. 1447/1999 (ΕΕ L 286 της 29.10.2008, σ</w:t>
      </w:r>
      <w:r w:rsidRPr="004126E0">
        <w:t xml:space="preserve">. 1) ELI: http://data.europa.eu/eli/reg/2008/1005/oj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CD2" w:rsidRDefault="00EC7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CD2" w:rsidRDefault="00EC7C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CD2" w:rsidRDefault="00EC7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PECH"/>
    <w:docVar w:name="CVA" w:val="244"/>
    <w:docVar w:name="DOCCODMNU" w:val=" 1"/>
    <w:docVar w:name="DOCDT" w:val="09/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63731 HideTWBInt;}}{\*\rsidtbl \rsid24658\rsid223860\rsid735077\rsid1718133\rsid2892074\rsid3554127_x000d__x000a_\rsid3565327\rsid4666813\rsid6641733\rsid7823322\rsid9636012\rsid9663731\rsid10377208\rsid11215221\rsid11549030\rsid12154954\rsid14382809\rsid14424199\rsid15204470\rsid15285974\rsid15950462\rsid16324206\rsid16662270}{\mmathPr\mmathFont34\mbrkBin0_x000d__x000a_\mbrkBinSub0\msmallFrac0\mdispDef1\mlMargin0\mrMargin0\mdefJc1\mwrapIndent1440\mintLim0\mnaryLim1}{\info{\author NENICKOVA Sylvia}{\operator NENICKOVA Sylvia}{\creatim\yr2025\mo4\dy8\hr19}{\revtim\yr2025\mo4\dy8\hr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63731\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3554127 \chftnsep _x000d__x000a_\par }}{\*\ftnsepc \ltrpar \pard\plain \ltrpar\ql \li0\ri0\widctlpar\wrapdefault\aspalpha\aspnum\faauto\adjustright\rin0\lin0\itap0 \rtlch\fcs1 \af0\afs20\alang1025 \ltrch\fcs0 \fs24\lang2057\langfe2057\cgrid\langnp2057\langfenp2057 {\rtlch\fcs1 \af0 _x000d__x000a_\ltrch\fcs0 \insrsid3554127 \chftnsepc _x000d__x000a_\par }}{\*\aftnsep \ltrpar \pard\plain \ltrpar\ql \li0\ri0\widctlpar\wrapdefault\aspalpha\aspnum\faauto\adjustright\rin0\lin0\itap0 \rtlch\fcs1 \af0\afs20\alang1025 \ltrch\fcs0 \fs24\lang2057\langfe2057\cgrid\langnp2057\langfenp2057 {\rtlch\fcs1 \af0 _x000d__x000a_\ltrch\fcs0 \insrsid3554127 \chftnsep _x000d__x000a_\par }}{\*\aftnsepc \ltrpar \pard\plain \ltrpar\ql \li0\ri0\widctlpar\wrapdefault\aspalpha\aspnum\faauto\adjustright\rin0\lin0\itap0 \rtlch\fcs1 \af0\afs20\alang1025 \ltrch\fcs0 \fs24\lang2057\langfe2057\cgrid\langnp2057\langfenp2057 {\rtlch\fcs1 \af0 _x000d__x000a_\ltrch\fcs0 \insrsid3554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663731\charrsid11683480 {\*\bkmkstart ReplaceBookmark}#}{\rtlch\fcs1 \af1 \ltrch\fcs0 _x000d__x000a_\cs17\v\f1\fs20\cf15\insrsid9663731\charrsid11683480 &gt;&gt;&gt;CVAR@@AmendA}{\rtlch\fcs1 \af0 \ltrch\fcs0 \insrsid9663731\charrsid116834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b_x000d__x000a_6d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5556 HideTWBExt;}{\*\cs18 \additive \v\f1\fs20\cf15 _x000d__x000a_\spriority0 \styrsid13435556 HideTWBInt;}{\s19\ql \li0\ri0\sa120\nowidctlpar\wrapdefault\aspalpha\aspnum\faauto\adjustright\rin0\lin0\itap0 \rtlch\fcs1 \af0\afs20\alang1025 \ltrch\fcs0 \fs24\lang2057\langfe2057\cgrid\langnp2057\langfenp2057 _x000d__x000a_\sbasedon0 \snext19 \spriority0 \styrsid13435556 Normal6a;}{\s20\ql \li0\ri0\nowidctlpar\wrapdefault\aspalpha\aspnum\faauto\adjustright\rin0\lin0\itap0 \rtlch\fcs1 \af0\afs20\alang1025 \ltrch\fcs0 \b\fs24\lang2057\langfe2057\cgrid\langnp2057\langfenp2057 _x000d__x000a_\sbasedon0 \snext20 \spriority0 \styrsid13435556 NormalBold;}{\s21\qr \li0\ri0\sb240\sa240\nowidctlpar\wrapdefault\aspalpha\aspnum\faauto\adjustright\rin0\lin0\itap0 \rtlch\fcs1 \af0\afs20\alang1025 \ltrch\fcs0 _x000d__x000a_\fs24\lang2057\langfe2057\cgrid\langnp2057\langfenp2057 \sbasedon0 \snext21 \spriority0 \styrsid13435556 AmOrLang;}{\s22\qc \li0\ri0\sa240\nowidctlpar\wrapdefault\aspalpha\aspnum\faauto\adjustright\rin0\lin0\itap0 \rtlch\fcs1 \af0\afs20\alang1025 _x000d__x000a_\ltrch\fcs0 \i\fs24\lang2057\langfe2057\cgrid\langnp2057\langfenp2057 \sbasedon0 \snext22 \spriority0 \styrsid13435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435556 AmNumberTabs;}}{\*\rsidtbl \rsid24658\rsid223860\rsid735077\rsid1718133\rsid2892074\rsid3565327\rsid4666813\rsid6641733\rsid7823322_x000d__x000a_\rsid9469515\rsid9636012\rsid10377208\rsid11215221\rsid11549030\rsid12154954\rsid13435556\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5556\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9469515 \chftnsep _x000d__x000a_\par }}{\*\ftnsepc \ltrpar \pard\plain \ltrpar\ql \li0\ri0\widctlpar\wrapdefault\aspalpha\aspnum\faauto\adjustright\rin0\lin0\itap0 \rtlch\fcs1 \af0\afs20\alang1025 \ltrch\fcs0 \fs24\lang2057\langfe2057\cgrid\langnp2057\langfenp2057 {\rtlch\fcs1 \af0 _x000d__x000a_\ltrch\fcs0 \insrsid9469515 \chftnsepc _x000d__x000a_\par }}{\*\aftnsep \ltrpar \pard\plain \ltrpar\ql \li0\ri0\widctlpar\wrapdefault\aspalpha\aspnum\faauto\adjustright\rin0\lin0\itap0 \rtlch\fcs1 \af0\afs20\alang1025 \ltrch\fcs0 \fs24\lang2057\langfe2057\cgrid\langnp2057\langfenp2057 {\rtlch\fcs1 \af0 _x000d__x000a_\ltrch\fcs0 \insrsid9469515 \chftnsep _x000d__x000a_\par }}{\*\aftnsepc \ltrpar \pard\plain \ltrpar\ql \li0\ri0\widctlpar\wrapdefault\aspalpha\aspnum\faauto\adjustright\rin0\lin0\itap0 \rtlch\fcs1 \af0\afs20\alang1025 \ltrch\fcs0 \fs24\lang2057\langfe2057\cgrid\langnp2057\langfenp2057 {\rtlch\fcs1 \af0 _x000d__x000a_\ltrch\fcs0 \insrsid946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435556 \rtlch\fcs1 _x000d__x000a_\af0\afs20\alang1025 \ltrch\fcs0 \b\fs24\lang2057\langfe2057\cgrid\langnp2057\langfenp2057 {\rtlch\fcs1 \af0 \ltrch\fcs0 \cs17\b0\v\fs20\cf9\lang1024\langfe1024\loch\af1\hich\af1\dbch\af31501\noproof\insrsid13435556\charrsid11683480 {\*\bkmkstart restartA_x000d__x000a_}\hich\af1\dbch\af31501\loch\f1 &lt;AmendA&gt;}{\rtlch\fcs1 \af0 \ltrch\fcs0 \insrsid13435556\charrsid11683480 Amendment\tab \tab }{\rtlch\fcs1 \af0 \ltrch\fcs0 _x000d__x000a_\cs17\b0\v\fs20\cf9\lang1024\langfe1024\loch\af1\hich\af1\dbch\af31501\noproof\insrsid13435556\charrsid11683480 \hich\af1\dbch\af31501\loch\f1 &lt;NumAmA&gt;}{\rtlch\fcs1 \af0 \ltrch\fcs0 \insrsid13435556\charrsid11683480 #}{\rtlch\fcs1 \af1 \ltrch\fcs0 _x000d__x000a_\cs18\v\f1\fs20\cf15\insrsid13435556\charrsid11683480 ENMIENDA@NRAM@}{\rtlch\fcs1 \af0 \ltrch\fcs0 \insrsid13435556\charrsid11683480 #}{\rtlch\fcs1 \af0 \ltrch\fcs0 _x000d__x000a_\cs17\b0\v\fs20\cf9\lang1024\langfe1024\loch\af1\hich\af1\dbch\af31501\noproof\insrsid13435556\charrsid11683480 \hich\af1\dbch\af31501\loch\f1 &lt;/NumAmA&gt;}{\rtlch\fcs1 \af0 \ltrch\fcs0 \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RepeatBlock-By&gt;}{\rtlch\fcs1 \af0 \ltrch\fcs0 \insrsid13435556\charrsid11683480 #}{\rtlch\fcs1 _x000d__x000a_\af1 \ltrch\fcs0 \cs18\v\f1\fs20\cf15\insrsid13435556\charrsid11683480 (MOD@InsideLoop()}{\rtlch\fcs1 \af0 \ltrch\fcs0 \insrsid13435556\charrsid11683480 ##}{\rtlch\fcs1 \af1 \ltrch\fcs0 \cs18\v\f1\fs20\cf15\insrsid13435556\charrsid11683480 _x000d__x000a_&gt;&gt;&gt;@[ZMEMBERSMSG]@}{\rtlch\fcs1 \af0 \ltrch\fcs0 \insrsid13435556\charrsid11683480 #}{\rtlch\fcs1 \af0 \ltrch\fcs0 \cs17\b0\v\fs20\cf9\lang1024\langfe1024\loch\af1\hich\af1\dbch\af31501\noproof\insrsid13435556\charrsid11683480 _x000d__x000a_\hich\af1\dbch\af31501\loch\f1 &lt;Members&gt;}{\rtlch\fcs1 \af0 \ltrch\fcs0 \insrsid13435556\charrsid11683480 #}{\rtlch\fcs1 \af1 \ltrch\fcs0 \cs18\v\f1\fs20\cf15\insrsid13435556\charrsid11683480 (MOD@InsideLoop(\'a7)}{\rtlch\fcs1 \af0 \ltrch\fcs0 _x000d__x000a_\insrsid13435556\charrsid11683480 #}{\rtlch\fcs1 \af0 \ltrch\fcs0 \cf10\insrsid13435556\charrsid11683480 \u9668\'3f}{\rtlch\fcs1 \af0 \ltrch\fcs0 \insrsid13435556\charrsid11683480 #}{\rtlch\fcs1 \af1 \ltrch\fcs0 _x000d__x000a_\cs18\v\f1\fs20\cf15\insrsid13435556\charrsid11683480 TVTMEMBERS\'a7@MEMBERS@}{\rtlch\fcs1 \af0 \ltrch\fcs0 \insrsid13435556\charrsid11683480 #}{\rtlch\fcs1 \af0 \ltrch\fcs0 \cf10\insrsid13435556\charrsid11683480 \u9658\'3f}{\rtlch\fcs1 \af0 \ltrch\fcs0 _x000d__x000a_\cs17\b0\v\fs20\cf9\lang1024\langfe1024\loch\af1\hich\af1\dbch\af31501\noproof\insrsid13435556\charrsid11683480 \hich\af1\dbch\af31501\loch\f1 &lt;/Members&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uNomDe&gt;&lt;OptDel&gt;}{\rtlch\fcs1 \af0 \ltrch\fcs0 \insrsid13435556\charrsid11683480 #}{\rtlch\fcs1 \af1 \ltrch\fcs0 _x000d__x000a_\cs18\v\f1\fs20\cf15\insrsid13435556\charrsid11683480 MNU[ONBEHALFYES][NOTAPP]@CHOICE@}{\rtlch\fcs1 \af0 \ltrch\fcs0 \insrsid13435556\charrsid11683480 #}{\rtlch\fcs1 \af0 \ltrch\fcs0 _x000d__x000a_\cs17\v\fs20\cf9\lang1024\langfe1024\loch\af1\hich\af1\dbch\af31501\noproof\insrsid13435556\charrsid11683480 \hich\af1\dbch\af31501\loch\f1 &lt;/OptDel&gt;&lt;/AuNomDe&gt;}{\rtlch\fcs1 \af0 \ltrch\fcs0 \insrsid13435556\charrsid11683480 _x000d__x000a_\par &lt;&lt;&lt;}{\rtlch\fcs1 \af0 \ltrch\fcs0 \cs17\v\fs20\cf9\lang1024\langfe1024\loch\af1\hich\af1\dbch\af31501\noproof\insrsid13435556\charrsid11683480 \hich\af1\dbch\af31501\loch\f1 &lt;/RepeatBlock-By&gt;}{\rtlch\fcs1 \af0 \ltrch\fcs0 _x000d__x000a_\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DocAmend&gt;}{\rtlch\fcs1 \af0 \ltrch\fcs0 \insrsid13435556\charrsid11683480 _x000d__x000a_Draft legislative resolution}{\rtlch\fcs1 \af0 \ltrch\fcs0 \cs17\b0\v\fs20\cf9\lang1024\langfe1024\loch\af1\hich\af1\dbch\af31501\noproof\insrsid13435556\charrsid11683480 \hich\af1\dbch\af31501\loch\f1 &lt;/DocAmend&gt;}{\rtlch\fcs1 \af0 \ltrch\fcs0 _x000d__x000a_\insrsid13435556\charrsid11683480 _x000d__x000a_\par }{\rtlch\fcs1 \af0 \ltrch\fcs0 \cs17\b0\v\fs20\cf9\lang1024\langfe1024\loch\af1\hich\af1\dbch\af31501\noproof\insrsid13435556\charrsid11683480 \hich\af1\dbch\af31501\loch\f1 &lt;Article&gt;}{\rtlch\fcs1 \af0 \ltrch\fcs0 \cf10\insrsid13435556\charrsid11683480 _x000d__x000a_\u9668\'3f}{\rtlch\fcs1 \af0 \ltrch\fcs0 \insrsid13435556\charrsid11683480 #}{\rtlch\fcs1 \af1 \ltrch\fcs0 \cs18\v\f1\fs20\cf15\insrsid13435556\charrsid11683480 TVTRESPART@RESPART@}{\rtlch\fcs1 \af0 \ltrch\fcs0 \insrsid13435556\charrsid11683480 #}{_x000d__x000a_\rtlch\fcs1 \af0 \ltrch\fcs0 \cf10\insrsid13435556\charrsid11683480 \u9658\'3f}{\rtlch\fcs1 \af0 \ltrch\fcs0 \cs17\b0\v\fs20\cf9\lang1024\langfe1024\loch\af1\hich\af1\dbch\af31501\noproof\insrsid13435556\charrsid11683480 \hich\af1\dbch\af31501\loch\f1 _x000d__x000a_&lt;/Article&gt;}{\rtlch\fcs1 \af0 \ltrch\fcs0 \insrsid13435556\charrsid116834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435556\charrsid11683480 Draft legislative resolution\cell Amendment\cell }\pard\plain \ltrpar\ql \li0\ri0\widctlpar\intbl\wrapdefault\aspalpha\aspnum\faauto\adjustright\rin0\lin0 \rtlch\fcs1 \af0\afs20\alang1025 _x000d__x000a_\ltrch\fcs0 \fs24\lang2057\langfe2057\cgrid\langnp2057\langfenp2057 {\rtlch\fcs1 \af0 \ltrch\fcs0 \insrsid13435556\charrsid116834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435556\charrsid11683480 ##\cell ##}{\rtlch\fcs1 \af0\afs24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435556 \rtlch\fcs1 \af0\afs20\alang1025 \ltrch\fcs0 \fs24\lang2057\langfe2057\cgrid\langnp2057\langfenp2057 {\rtlch\fcs1 \af0 \ltrch\fcs0 _x000d__x000a_\insrsid13435556\charrsid11683480 Or. }{\rtlch\fcs1 \af0 \ltrch\fcs0 \cs17\v\fs20\cf9\lang1024\langfe1024\loch\af1\hich\af1\dbch\af31501\noproof\insrsid13435556\charrsid11683480 \hich\af1\dbch\af31501\loch\f1 &lt;Original&gt;}{\rtlch\fcs1 \af0 \ltrch\fcs0 _x000d__x000a_\insrsid13435556\charrsid11683480 #}{\rtlch\fcs1 \af1 \ltrch\fcs0 \cs18\v\f1\fs20\cf15\insrsid13435556\charrsid11683480 KEY(MAIN/LANGMIN)sh@ORLANGMSG@}{\rtlch\fcs1 \af0 \ltrch\fcs0 \insrsid13435556\charrsid11683480 #}{\rtlch\fcs1 \af0 \ltrch\fcs0 _x000d__x000a_\cs17\v\fs20\cf9\lang1024\langfe1024\loch\af1\hich\af1\dbch\af31501\noproof\insrsid13435556\charrsid11683480 \hich\af1\dbch\af31501\loch\f1 &lt;/Original&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b_x000d__x000a_7044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3705 HideTWBExt;}{\*\cs18 \additive \v\f1\fs20\cf15 _x000d__x000a_\spriority0 \styrsid4523705 HideTWBInt;}{\s19\ql \li0\ri0\sa120\nowidctlpar\wrapdefault\aspalpha\aspnum\faauto\adjustright\rin0\lin0\itap0 \rtlch\fcs1 \af0\afs20\alang1025 \ltrch\fcs0 \fs24\lang2057\langfe2057\cgrid\langnp2057\langfenp2057 _x000d__x000a_\sbasedon0 \snext19 \spriority0 \styrsid4523705 Normal6a;}{\s20\ql \li0\ri0\nowidctlpar\wrapdefault\aspalpha\aspnum\faauto\adjustright\rin0\lin0\itap0 \rtlch\fcs1 \af0\afs20\alang1025 \ltrch\fcs0 \b\fs24\lang2057\langfe2057\cgrid\langnp2057\langfenp2057 _x000d__x000a_\sbasedon0 \snext20 \spriority0 \styrsid4523705 NormalBold;}{\s21\ql \li0\ri0\sa240\nowidctlpar\wrapdefault\aspalpha\aspnum\faauto\adjustright\rin0\lin0\itap0 \rtlch\fcs1 \af0\afs20\alang1025 \ltrch\fcs0 _x000d__x000a_\i\fs24\lang2057\langfe2057\cgrid\langnp2057\langfenp2057 \sbasedon0 \snext21 \spriority0 \styrsid4523705 AmJustText;}{\s22\qc \li0\ri0\sb240\sa240\nowidctlpar\wrapdefault\aspalpha\aspnum\faauto\adjustright\rin0\lin0\itap0 \rtlch\fcs1 _x000d__x000a_\af0\afs20\alang1025 \ltrch\fcs0 \i\fs24\lang2057\langfe2057\cgrid\langnp2057\langfenp2057 \sbasedon0 \snext22 \spriority0 \styrsid4523705 AmCrossRef;}{_x000d__x000a_\s23\qc \li0\ri0\sb240\sa240\keepn\nowidctlpar\wrapdefault\aspalpha\aspnum\faauto\adjustright\rin0\lin0\itap0 \rtlch\fcs1 \af0\afs20\alang1025 \ltrch\fcs0 \i\fs24\lang2057\langfe2057\cgrid\langnp2057\langfenp2057 _x000d__x000a_\sbasedon0 \snext21 \spriority0 \styrsid4523705 AmJustTitle;}{\s24\qr \li0\ri0\sb240\sa240\nowidctlpar\wrapdefault\aspalpha\aspnum\faauto\adjustright\rin0\lin0\itap0 \rtlch\fcs1 \af0\afs20\alang1025 \ltrch\fcs0 _x000d__x000a_\fs24\lang2057\langfe2057\cgrid\langnp2057\langfenp2057 \sbasedon0 \snext24 \spriority0 \styrsid4523705 AmOrLang;}{\s25\qc \li0\ri0\sa240\nowidctlpar\wrapdefault\aspalpha\aspnum\faauto\adjustright\rin0\lin0\itap0 \rtlch\fcs1 \af0\afs20\alang1025 _x000d__x000a_\ltrch\fcs0 \i\fs24\lang2057\langfe2057\cgrid\langnp2057\langfenp2057 \sbasedon0 \snext25 \spriority0 \styrsid45237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3705 AmNumberTabs;}}{\*\rsidtbl \rsid24658\rsid223860\rsid735077\rsid1718133\rsid2892074\rsid3565327\rsid4523705\rsid4666813\rsid6044855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23705\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6044855 \chftnsep _x000d__x000a_\par }}{\*\ftnsepc \ltrpar \pard\plain \ltrpar\ql \li0\ri0\widctlpar\wrapdefault\aspalpha\aspnum\faauto\adjustright\rin0\lin0\itap0 \rtlch\fcs1 \af0\afs20\alang1025 \ltrch\fcs0 \fs24\lang2057\langfe2057\cgrid\langnp2057\langfenp2057 {\rtlch\fcs1 \af0 _x000d__x000a_\ltrch\fcs0 \insrsid6044855 \chftnsepc _x000d__x000a_\par }}{\*\aftnsep \ltrpar \pard\plain \ltrpar\ql \li0\ri0\widctlpar\wrapdefault\aspalpha\aspnum\faauto\adjustright\rin0\lin0\itap0 \rtlch\fcs1 \af0\afs20\alang1025 \ltrch\fcs0 \fs24\lang2057\langfe2057\cgrid\langnp2057\langfenp2057 {\rtlch\fcs1 \af0 _x000d__x000a_\ltrch\fcs0 \insrsid6044855 \chftnsep _x000d__x000a_\par }}{\*\aftnsepc \ltrpar \pard\plain \ltrpar\ql \li0\ri0\widctlpar\wrapdefault\aspalpha\aspnum\faauto\adjustright\rin0\lin0\itap0 \rtlch\fcs1 \af0\afs20\alang1025 \ltrch\fcs0 \fs24\lang2057\langfe2057\cgrid\langnp2057\langfenp2057 {\rtlch\fcs1 \af0 _x000d__x000a_\ltrch\fcs0 \insrsid60448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3705 \rtlch\fcs1 _x000d__x000a_\af0\afs20\alang1025 \ltrch\fcs0 \b\fs24\lang2057\langfe2057\cgrid\langnp2057\langfenp2057 {\rtlch\fcs1 \af0 \ltrch\fcs0 \cs17\b0\v\fs20\cf9\lang1024\langfe1024\loch\af1\hich\af1\dbch\af31501\noproof\insrsid4523705\charrsid11683480 {\*\bkmkstart restartB}_x000d__x000a_\hich\af1\dbch\af31501\loch\f1 &lt;AmendB&gt;}{\rtlch\fcs1 \af0 \ltrch\fcs0 \insrsid4523705\charrsid11683480 Amendment\tab \tab }{\rtlch\fcs1 \af0 \ltrch\fcs0 _x000d__x000a_\cs17\b0\v\fs20\cf9\lang1024\langfe1024\loch\af1\hich\af1\dbch\af31501\noproof\insrsid4523705\charrsid11683480 \hich\af1\dbch\af31501\loch\f1 &lt;NumAmB&gt;}{\rtlch\fcs1 \af0 \ltrch\fcs0 \insrsid4523705\charrsid11683480 #}{\rtlch\fcs1 \af1 \ltrch\fcs0 _x000d__x000a_\cs18\v\f1\fs20\cf15\insrsid4523705\charrsid11683480 ENMIENDA@NRAM@}{\rtlch\fcs1 \af0 \ltrch\fcs0 \insrsid4523705\charrsid11683480 #}{\rtlch\fcs1 \af0 \ltrch\fcs0 _x000d__x000a_\cs17\b0\v\fs20\cf9\lang1024\langfe1024\loch\af1\hich\af1\dbch\af31501\noproof\insrsid4523705\charrsid11683480 \hich\af1\dbch\af31501\loch\f1 &lt;/NumAmB&gt;}{\rtlch\fcs1 \af0 \ltrch\fcs0 \insrsid4523705\charrsid11683480 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RepeatBlock-By&gt;}{\rtlch\fcs1 \af0 \ltrch\fcs0 \insrsid4523705\charrsid11683480 #}{\rtlch\fcs1 \af1 _x000d__x000a_\ltrch\fcs0 \cs18\v\f1\fs20\cf15\insrsid4523705\charrsid11683480 (MOD@InsideLoop()}{\rtlch\fcs1 \af0 \ltrch\fcs0 \insrsid4523705\charrsid11683480 ##}{\rtlch\fcs1 \af1 \ltrch\fcs0 \cs18\v\f1\fs20\cf15\insrsid4523705\charrsid11683480 &gt;&gt;&gt;@[ZMEMBERSMSG]@}{_x000d__x000a_\rtlch\fcs1 \af0 \ltrch\fcs0 \insrsid4523705\charrsid11683480 #}{\rtlch\fcs1 \af0 \ltrch\fcs0 \cs17\b0\v\fs20\cf9\lang1024\langfe1024\loch\af1\hich\af1\dbch\af31501\noproof\insrsid4523705\charrsid11683480 \hich\af1\dbch\af31501\loch\f1 &lt;Members&gt;}{_x000d__x000a_\rtlch\fcs1 \af0 \ltrch\fcs0 \insrsid4523705\charrsid11683480 #}{\rtlch\fcs1 \af1 \ltrch\fcs0 \cs18\v\f1\fs20\cf15\insrsid4523705\charrsid11683480 (MOD@InsideLoop(\'a7)}{\rtlch\fcs1 \af0 \ltrch\fcs0 \insrsid4523705\charrsid11683480 #}{\rtlch\fcs1 \af0 _x000d__x000a_\ltrch\fcs0 \cf10\insrsid4523705\charrsid11683480 \u9668\'3f}{\rtlch\fcs1 \af0 \ltrch\fcs0 \insrsid4523705\charrsid11683480 #}{\rtlch\fcs1 \af1 \ltrch\fcs0 \cs18\v\f1\fs20\cf15\insrsid4523705\charrsid11683480 TVTMEMBERS\'a7@MEMBERS@}{\rtlch\fcs1 \af0 _x000d__x000a_\ltrch\fcs0 \insrsid4523705\charrsid11683480 #}{\rtlch\fcs1 \af0 \ltrch\fcs0 \cf10\insrsid4523705\charrsid11683480 \u9658\'3f}{\rtlch\fcs1 \af0 \ltrch\fcs0 _x000d__x000a_\cs17\b0\v\fs20\cf9\lang1024\langfe1024\loch\af1\hich\af1\dbch\af31501\noproof\insrsid4523705\charrsid11683480 \hich\af1\dbch\af31501\loch\f1 &lt;/Members&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uNomDe&gt;&lt;OptDel&gt;}{\rtlch\fcs1 \af0 \ltrch\fcs0 \insrsid4523705\charrsid11683480 #}{\rtlch\fcs1 \af1 \ltrch\fcs0 _x000d__x000a_\cs18\v\f1\fs20\cf15\insrsid4523705\charrsid11683480 MNU[ONBEHALFYES][NOTAPP]@CHOICE@}{\rtlch\fcs1 \af0 \ltrch\fcs0 \insrsid4523705\charrsid11683480 #}{\rtlch\fcs1 \af0 \ltrch\fcs0 _x000d__x000a_\cs17\v\fs20\cf9\lang1024\langfe1024\loch\af1\hich\af1\dbch\af31501\noproof\insrsid4523705\charrsid11683480 \hich\af1\dbch\af31501\loch\f1 &lt;/OptDel&gt;&lt;/AuNomDe&gt;}{\rtlch\fcs1 \af0 \ltrch\fcs0 \insrsid4523705\charrsid11683480 _x000d__x000a_\par &lt;&lt;&lt;}{\rtlch\fcs1 \af0 \ltrch\fcs0 \cs17\v\fs20\cf9\lang1024\langfe1024\loch\af1\hich\af1\dbch\af31501\noproof\insrsid4523705\charrsid11683480 \hich\af1\dbch\af31501\loch\f1 &lt;/RepeatBlock-By&gt;}{\rtlch\fcs1 \af0 \ltrch\fcs0 \insrsid4523705\charrsid11683480 _x000d__x000a_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DocAmend&gt;}{\rtlch\fcs1 \af0 \ltrch\fcs0 \insrsid4523705\charrsid11683480 #}{\rtlch\fcs1 \af1 _x000d__x000a_\ltrch\fcs0 \cs18\v\f1\fs20\cf15\insrsid4523705\charrsid11683480 MNU[OPTPROPOSALCOD][OPTPROPOSALCNS][OPTPROPOSALNLE]@CHOICE@CODEMNU}{\rtlch\fcs1 \af0 \ltrch\fcs0 \insrsid4523705\charrsid11683480 #}{\rtlch\fcs1 \af0 \ltrch\fcs0 _x000d__x000a_\cs17\b0\v\fs20\cf9\lang1024\langfe1024\loch\af1\hich\af1\dbch\af31501\noproof\insrsid4523705\charrsid11683480 \hich\af1\dbch\af31501\loch\f1 &lt;/DocAmend&gt;}{\rtlch\fcs1 \af0 \ltrch\fcs0 \insrsid4523705\charrsid11683480 _x000d__x000a_\par }\pard \ltrpar\s20\ql \li0\ri0\keepn\nowidctlpar\wrapdefault\aspalpha\aspnum\faauto\adjustright\rin0\lin0\itap0\pararsid4523705 {\rtlch\fcs1 \af0 \ltrch\fcs0 _x000d__x000a_\cs17\b0\v\fs20\cf9\lang1024\langfe1024\loch\af1\hich\af1\dbch\af31501\noproof\insrsid4523705\charrsid11683480 \hich\af1\dbch\af31501\loch\f1 &lt;Article&gt;}{\rtlch\fcs1 \af0 \ltrch\fcs0 \insrsid4523705\charrsid11683480 #}{\rtlch\fcs1 \af1 \ltrch\fcs0 _x000d__x000a_\cs18\v\f1\fs20\cf15\insrsid4523705\charrsid11683480 MNU[AMACTPARTYES][AMACTPARTNO]@CHOICE@AMACTMNU}{\rtlch\fcs1 \af0 \ltrch\fcs0 \insrsid4523705\charrsid11683480 #}{\rtlch\fcs1 \af0 \ltrch\fcs0 _x000d__x000a_\cs17\b0\v\fs20\cf9\lang1024\langfe1024\loch\af1\hich\af1\dbch\af31501\noproof\insrsid4523705\charrsid11683480 \hich\af1\dbch\af31501\loch\f1 &lt;/Article&gt;}{\rtlch\fcs1 \af0 \ltrch\fcs0 \insrsid4523705\charrsid11683480 _x000d__x000a_\par }\pard\plain \ltrpar\ql \li0\ri0\keepn\widctlpar\wrapdefault\aspalpha\aspnum\faauto\adjustright\rin0\lin0\itap0\pararsid4523705 \rtlch\fcs1 \af0\afs20\alang1025 \ltrch\fcs0 \fs24\lang2057\langfe2057\cgrid\langnp2057\langfenp2057 {\rtlch\fcs1 \af0 _x000d__x000a_\ltrch\fcs0 \cs17\v\fs20\cf9\lang1024\langfe1024\loch\af1\hich\af1\dbch\af31501\noproof\insrsid4523705\charrsid11683480 \hich\af1\dbch\af31501\loch\f1 &lt;DocAmend2&gt;&lt;OptDel&gt;}{\rtlch\fcs1 \af0 \ltrch\fcs0 \insrsid4523705\charrsid11683480 #}{\rtlch\fcs1 \af1 _x000d__x000a_\ltrch\fcs0 \cs18\v\f1\fs20\cf15\insrsid4523705\charrsid11683480 MNU[OPTNRACTYES][NOTAPP]@CHOICE@AMACTMNU}{\rtlch\fcs1 \af0 \ltrch\fcs0 \insrsid4523705\charrsid11683480 #}{\rtlch\fcs1 \af0 \ltrch\fcs0 _x000d__x000a_\cs17\v\fs20\cf9\lang1024\langfe1024\loch\af1\hich\af1\dbch\af31501\noproof\insrsid4523705\charrsid11683480 \hich\af1\dbch\af31501\loch\f1 &lt;/OptDel&gt;&lt;/DocAmend2&gt;}{\rtlch\fcs1 \af0 \ltrch\fcs0 \insrsid4523705\charrsid11683480 _x000d__x000a_\par }\pard \ltrpar\ql \li0\ri0\widctlpar\wrapdefault\aspalpha\aspnum\faauto\adjustright\rin0\lin0\itap0\pararsid4523705 {\rtlch\fcs1 \af0 \ltrch\fcs0 \cs17\v\fs20\cf9\lang1024\langfe1024\loch\af1\hich\af1\dbch\af31501\noproof\insrsid4523705\charrsid11683480 _x000d__x000a_\hich\af1\dbch\af31501\loch\f1 &lt;Article2&gt;&lt;OptDel&gt;}{\rtlch\fcs1 \af0 \ltrch\fcs0 \insrsid4523705\charrsid11683480 #}{\rtlch\fcs1 \af1 \ltrch\fcs0 \cs18\v\f1\fs20\cf15\insrsid4523705\charrsid11683480 MNU[OPTACTPARTYES][NOTAPP]@CHOICE@AMACTMNU}{\rtlch\fcs1 _x000d__x000a_\af0 \ltrch\fcs0 \insrsid4523705\charrsid11683480 #}{\rtlch\fcs1 \af0 \ltrch\fcs0 \cs17\v\fs20\cf9\lang1024\langfe1024\loch\af1\hich\af1\dbch\af31501\noproof\insrsid4523705\charrsid11683480 \hich\af1\dbch\af31501\loch\f1 &lt;/OptDel&gt;&lt;/Article2&gt;}{\rtlch\fcs1 _x000d__x000a_\af0 \ltrch\fcs0 \insrsid4523705\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523705\charrsid11683480 #}{\rtlch\fcs1 \af1 \ltrch\fcs0 \cs18\v\f1\fs20\cf15\insrsid4523705\charrsid11683480 MNU[OPTLEFTAMACT][LEFTPROP]@CHOICE@AMACTMNU}{_x000d__x000a_\rtlch\fcs1 \af0 \ltrch\fcs0 \insrsid4523705\charrsid11683480 #\cell Amendment\cell }\pard\plain \ltrpar\ql \li0\ri0\widctlpar\intbl\wrapdefault\aspalpha\aspnum\faauto\adjustright\rin0\lin0 \rtlch\fcs1 \af0\afs20\alang1025 \ltrch\fcs0 _x000d__x000a_\fs24\lang2057\langfe2057\cgrid\langnp2057\langfenp2057 {\rtlch\fcs1 \af0 \ltrch\fcs0 \insrsid4523705\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523705\charrsid11683480 ##\cell ##}{\rtlch\fcs1 \af0\afs24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23705 \rtlch\fcs1 \af0\afs20\alang1025 \ltrch\fcs0 \fs24\lang2057\langfe2057\cgrid\langnp2057\langfenp2057 {\rtlch\fcs1 \af0 \ltrch\fcs0 _x000d__x000a_\insrsid4523705\charrsid11683480 Or. }{\rtlch\fcs1 \af0 \ltrch\fcs0 \cs17\v\fs20\cf9\lang1024\langfe1024\loch\af1\hich\af1\dbch\af31501\noproof\insrsid4523705\charrsid11683480 \hich\af1\dbch\af31501\loch\f1 &lt;Original&gt;}{\rtlch\fcs1 \af0 \ltrch\fcs0 _x000d__x000a_\insrsid4523705\charrsid11683480 #}{\rtlch\fcs1 \af1 \ltrch\fcs0 \cs18\v\f1\fs20\cf15\insrsid4523705\charrsid11683480 KEY(MAIN/LANGMIN)sh@ORLANGMSG@}{\rtlch\fcs1 \af0 \ltrch\fcs0 \insrsid4523705\charrsid11683480 #}{\rtlch\fcs1 \af0 \ltrch\fcs0 _x000d__x000a_\cs17\v\fs20\cf9\lang1024\langfe1024\loch\af1\hich\af1\dbch\af31501\noproof\insrsid4523705\charrsid11683480 \hich\af1\dbch\af31501\loch\f1 &lt;/Original&gt;}{\rtlch\fcs1 \af0 \ltrch\fcs0 \insrsid4523705\charrsid11683480 _x000d__x000a_\par }\pard\plain \ltrpar\s22\qc \li0\ri0\sb240\sa240\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OptDel&gt;}{\rtlch\fcs1 \af0 \ltrch\fcs0 \insrsid4523705\charrsid11683480 #}{_x000d__x000a_\rtlch\fcs1 \af1 \ltrch\fcs0 \cs18\v\f1\fs20\cf15\insrsid4523705\charrsid11683480 MNU[CROSSREFNO][CROSSREFYES]@CHOICE@}{\rtlch\fcs1 \af0 \ltrch\fcs0 \insrsid4523705\charrsid11683480 #}{\rtlch\fcs1 \af0 \ltrch\fcs0 _x000d__x000a_\cs17\i0\v\fs20\cf9\lang1024\langfe1024\loch\af1\hich\af1\dbch\af31501\noproof\insrsid4523705\charrsid11683480 \hich\af1\dbch\af31501\loch\f1 &lt;/OptDel&gt;}{\rtlch\fcs1 \af0 \ltrch\fcs0 \insrsid4523705\charrsid11683480 _x000d__x000a_\par }\pard\plain \ltrpar\s23\qc \li0\ri0\sb240\sa240\keepn\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TitreJust&gt;}{\rtlch\fcs1 \af0 \ltrch\fcs0 \insrsid4523705\charrsid11683480 _x000d__x000a_Justification}{\rtlch\fcs1 \af0 \ltrch\fcs0 \cs17\i0\v\fs20\cf9\lang1024\langfe1024\loch\af1\hich\af1\dbch\af31501\noproof\insrsid4523705\charrsid11683480 \hich\af1\dbch\af31501\loch\f1 &lt;/TitreJust&gt;}{\rtlch\fcs1 \af0 \ltrch\fcs0 _x000d__x000a_\insrsid4523705\charrsid11683480 _x000d__x000a_\par }\pard\plain \ltrpar\s21\ql \li0\ri0\sa240\nowidctlpar\wrapdefault\aspalpha\aspnum\faauto\adjustright\rin0\lin0\itap0\pararsid4523705 \rtlch\fcs1 \af0\afs20\alang1025 \ltrch\fcs0 \i\fs24\lang2057\langfe2057\cgrid\langnp2057\langfenp2057 {\rtlch\fcs1 \af0 _x000d__x000a_\ltrch\fcs0 \cs17\i0\v\fs20\cf9\lang1024\langfe1024\loch\af1\hich\af1\dbch\af31501\noproof\insrsid4523705\charrsid11683480 \hich\af1\dbch\af31501\loch\f1 &lt;OptDelPrev&gt;}{\rtlch\fcs1 \af0 \ltrch\fcs0 \insrsid4523705\charrsid11683480 #}{\rtlch\fcs1 \af1 _x000d__x000a_\ltrch\fcs0 \cs18\v\f1\fs20\cf15\insrsid4523705\charrsid11683480 MNU[TEXTJUSTYES][TEXTJUSTNO]@CHOICE@}{\rtlch\fcs1 \af0 \ltrch\fcs0 \insrsid4523705\charrsid11683480 #}{\rtlch\fcs1 \af0 \ltrch\fcs0 _x000d__x000a_\cs17\i0\v\fs20\cf9\lang1024\langfe1024\loch\af1\hich\af1\dbch\af31501\noproof\insrsid4523705\charrsid11683480 \hich\af1\dbch\af31501\loch\f1 &lt;/OptDelPrev&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c_x000d__x000a_7145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6262 HideTWBExt;}{\*\cs18 \additive \v\f1\fs20\cf15 _x000d__x000a_\spriority0 \styrsid1196262 HideTWBInt;}{\s19\ql \li0\ri0\sa120\nowidctlpar\wrapdefault\aspalpha\aspnum\faauto\adjustright\rin0\lin0\itap0 \rtlch\fcs1 \af0\afs20\alang1025 \ltrch\fcs0 \fs24\lang2057\langfe2057\cgrid\langnp2057\langfenp2057 _x000d__x000a_\sbasedon0 \snext19 \spriority0 \styrsid1196262 Normal6a;}{\s20\ql \li0\ri0\nowidctlpar\wrapdefault\aspalpha\aspnum\faauto\adjustright\rin0\lin0\itap0 \rtlch\fcs1 \af0\afs20\alang1025 \ltrch\fcs0 \b\fs24\lang2057\langfe2057\cgrid\langnp2057\langfenp2057 _x000d__x000a_\sbasedon0 \snext20 \spriority0 \styrsid1196262 NormalBold;}{\s21\ql \li0\ri0\sa240\nowidctlpar\wrapdefault\aspalpha\aspnum\faauto\adjustright\rin0\lin0\itap0 \rtlch\fcs1 \af0\afs20\alang1025 \ltrch\fcs0 _x000d__x000a_\i\fs24\lang2057\langfe2057\cgrid\langnp2057\langfenp2057 \sbasedon0 \snext21 \spriority0 \styrsid1196262 AmJustText;}{\s22\qc \li0\ri0\sb240\sa240\nowidctlpar\wrapdefault\aspalpha\aspnum\faauto\adjustright\rin0\lin0\itap0 \rtlch\fcs1 _x000d__x000a_\af0\afs20\alang1025 \ltrch\fcs0 \i\fs24\lang2057\langfe2057\cgrid\langnp2057\langfenp2057 \sbasedon0 \snext22 \spriority0 \styrsid1196262 AmCrossRef;}{_x000d__x000a_\s23\qc \li0\ri0\sb240\sa240\keepn\nowidctlpar\wrapdefault\aspalpha\aspnum\faauto\adjustright\rin0\lin0\itap0 \rtlch\fcs1 \af0\afs20\alang1025 \ltrch\fcs0 \i\fs24\lang2057\langfe2057\cgrid\langnp2057\langfenp2057 _x000d__x000a_\sbasedon0 \snext21 \spriority0 \styrsid1196262 AmJustTitle;}{\s24\qr \li0\ri0\sb240\sa240\nowidctlpar\wrapdefault\aspalpha\aspnum\faauto\adjustright\rin0\lin0\itap0 \rtlch\fcs1 \af0\afs20\alang1025 \ltrch\fcs0 _x000d__x000a_\fs24\lang2057\langfe2057\cgrid\langnp2057\langfenp2057 \sbasedon0 \snext24 \spriority0 \styrsid1196262 AmOrLang;}{\s25\qc \li0\ri0\sa240\nowidctlpar\wrapdefault\aspalpha\aspnum\faauto\adjustright\rin0\lin0\itap0 \rtlch\fcs1 \af0\afs20\alang1025 _x000d__x000a_\ltrch\fcs0 \i\fs24\lang2057\langfe2057\cgrid\langnp2057\langfenp2057 \sbasedon0 \snext25 \spriority0 \styrsid1196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6262 AmNumberTabs;}}{\*\rsidtbl \rsid24658\rsid223860\rsid735077\rsid863474\rsid1196262\rsid1718133\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9}{\revtim\yr2025\mo4\dy8\hr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6262\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863474 \chftnsep _x000d__x000a_\par }}{\*\ftnsepc \ltrpar \pard\plain \ltrpar\ql \li0\ri0\widctlpar\wrapdefault\aspalpha\aspnum\faauto\adjustright\rin0\lin0\itap0 \rtlch\fcs1 \af0\afs20\alang1025 \ltrch\fcs0 \fs24\lang2057\langfe2057\cgrid\langnp2057\langfenp2057 {\rtlch\fcs1 \af0 _x000d__x000a_\ltrch\fcs0 \insrsid863474 \chftnsepc _x000d__x000a_\par }}{\*\aftnsep \ltrpar \pard\plain \ltrpar\ql \li0\ri0\widctlpar\wrapdefault\aspalpha\aspnum\faauto\adjustright\rin0\lin0\itap0 \rtlch\fcs1 \af0\afs20\alang1025 \ltrch\fcs0 \fs24\lang2057\langfe2057\cgrid\langnp2057\langfenp2057 {\rtlch\fcs1 \af0 _x000d__x000a_\ltrch\fcs0 \insrsid863474 \chftnsep _x000d__x000a_\par }}{\*\aftnsepc \ltrpar \pard\plain \ltrpar\ql \li0\ri0\widctlpar\wrapdefault\aspalpha\aspnum\faauto\adjustright\rin0\lin0\itap0 \rtlch\fcs1 \af0\afs20\alang1025 \ltrch\fcs0 \fs24\lang2057\langfe2057\cgrid\langnp2057\langfenp2057 {\rtlch\fcs1 \af0 _x000d__x000a_\ltrch\fcs0 \insrsid863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6262 \rtlch\fcs1 _x000d__x000a_\af0\afs20\alang1025 \ltrch\fcs0 \b\fs24\lang2057\langfe2057\cgrid\langnp2057\langfenp2057 {\rtlch\fcs1 \af0 \ltrch\fcs0 \cs17\b0\v\fs20\cf9\lang1024\langfe1024\loch\af1\hich\af1\dbch\af31501\noproof\insrsid1196262\charrsid11683480 {\*\bkmkstart restart}_x000d__x000a_\hich\af1\dbch\af31501\loch\f1 &lt;}{\rtlch\fcs1 \af0 \ltrch\fcs0 \cs17\b0\v\fs20\cf9\lang1024\langfe1024\loch\af1\hich\af1\dbch\af31501\noproof\insrsid1196262 \hich\af1\dbch\af31501\loch\f1 Amend}{\rtlch\fcs1 \af0 \ltrch\fcs0 _x000d__x000a_\cs17\b0\v\fs20\cf9\lang1024\langfe1024\loch\af1\hich\af1\dbch\af31501\noproof\insrsid1196262\charrsid11683480 \hich\af1\dbch\af31501\loch\f1 &gt;}{\rtlch\fcs1 \af0 \ltrch\fcs0 \insrsid1196262\charrsid11683480 Amendment\tab \tab }{\rtlch\fcs1 \af0 _x000d__x000a_\ltrch\fcs0 \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rtlch\fcs1 \af1 \ltrch\fcs0 _x000d__x000a_\cs18\v\f1\fs20\cf15\insrsid1196262\charrsid11683480 ENMIENDA@NRAM@}{\rtlch\fcs1 \af0 \ltrch\fcs0 \insrsid1196262\charrsid11683480 #}{\rtlch\fcs1 \af0 \ltrch\fcs0 _x000d__x000a_\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hich\af1\dbch\af31501\loch\f1 RepeatBlock-By&gt;}{\rtlch\fcs1 \af0 \ltrch\fcs0 _x000d__x000a_\insrsid1196262\charrsid11683480 #}{\rtlch\fcs1 \af1 \ltrch\fcs0 \cs18\v\f1\fs20\cf15\insrsid1196262\charrsid11683480 (MOD@InsideLoop()}{\rtlch\fcs1 \af0 \ltrch\fcs0 \insrsid1196262\charrsid11683480 ##}{\rtlch\fcs1 \af1 \ltrch\fcs0 _x000d__x000a_\cs18\v\f1\fs20\cf15\insrsid1196262\charrsid11683480 &gt;&gt;&gt;@[ZMEMBERSMSG]@}{\rtlch\fcs1 \af0 \ltrch\fcs0 \insrsid1196262\charrsid11683480 #}{\rtlch\fcs1 \af0 \ltrch\fcs0 _x000d__x000a_\cs17\b0\v\fs20\cf9\lang1024\langfe1024\loch\af1\hich\af1\dbch\af31501\noproof\insrsid1196262\charrsid11683480 \hich\af1\dbch\af31501\loch\f1 &lt;Members&gt;}{\rtlch\fcs1 \af0 \ltrch\fcs0 \insrsid1196262\charrsid11683480 #}{\rtlch\fcs1 \af1 \ltrch\fcs0 _x000d__x000a_\cs18\v\f1\fs20\cf15\insrsid1196262\charrsid11683480 (MOD@InsideLoop(\'a7)}{\rtlch\fcs1 \af0 \ltrch\fcs0 \insrsid1196262\charrsid11683480 #}{\rtlch\fcs1 \af0 \ltrch\fcs0 \cf10\insrsid1196262\charrsid2112918 \u9668\'3f}{\rtlch\fcs1 \af0 \ltrch\fcs0 _x000d__x000a_\insrsid1196262\charrsid11683480 #}{\rtlch\fcs1 \af1 \ltrch\fcs0 \cs18\v\f1\fs20\cf15\insrsid1196262\charrsid11683480 TVTMEMBERS\'a7@MEMBERS@}{\rtlch\fcs1 \af0 \ltrch\fcs0 \insrsid1196262\charrsid11683480 #}{\rtlch\fcs1 \af0 \ltrch\fcs0 _x000d__x000a_\cf10\insrsid1196262\charrsid2112918 \u9658\'3f}{\rtlch\fcs1 \af0 \ltrch\fcs0 \cs17\b0\v\fs20\cf9\lang1024\langfe1024\loch\af1\hich\af1\dbch\af31501\noproof\insrsid1196262\charrsid11683480 \hich\af1\dbch\af31501\loch\f1 &lt;/Members&gt;}{\rtlch\fcs1 \af0 _x000d__x000a_\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AuNomDe&gt;&lt;OptDel&gt;}{\rtlch\fcs1 \af0 \ltrch\fcs0 \insrsid1196262\charrsid11683480 #}{\rtlch\fcs1 \af1 \ltrch\fcs0 _x000d__x000a_\cs18\v\f1\fs20\cf15\insrsid1196262\charrsid11683480 MNU[ONBEHALFYES][NOTAPP]@CHOICE@}{\rtlch\fcs1 \af0 \ltrch\fcs0 \insrsid1196262\charrsid11683480 #}{\rtlch\fcs1 \af0 \ltrch\fcs0 _x000d__x000a_\cs17\v\fs20\cf9\lang1024\langfe1024\loch\af1\hich\af1\dbch\af31501\noproof\insrsid1196262\charrsid11683480 \hich\af1\dbch\af31501\loch\f1 &lt;/OptDel&gt;&lt;/AuNomDe&gt;}{\rtlch\fcs1 \af0 \ltrch\fcs0 \insrsid1196262\charrsid11683480 _x000d__x000a_\par &lt;&lt;&lt;}{\rtlch\fcs1 \af0 \ltrch\fcs0 \cs17\v\fs20\cf9\lang1024\langfe1024\loch\af1\hich\af1\dbch\af31501\noproof\insrsid1196262\charrsid11683480 \hich\af1\dbch\af31501\loch\f1 &lt;/RepeatBlock-By&gt;}{\rtlch\fcs1 \af0 \ltrch\fcs0 \insrsid1196262\charrsid11683480 _x000d__x000a_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DocAmend&gt;}{\rtlch\fcs1 \af0 \ltrch\fcs0 \insrsid1196262\charrsid11683480 #}{\rtlch\fcs1 \af1 _x000d__x000a_\ltrch\fcs0 \cs18\v\f1\fs20\cf15\insrsid1196262\charrsid11683480 MNU[OPTPROPOSALCOD][OPTPROPOSALCNS][OPTPROPOSALNLE]@CHOICE@CODEMNU}{\rtlch\fcs1 \af0 \ltrch\fcs0 \insrsid1196262\charrsid11683480 #}{\rtlch\fcs1 \af0 \ltrch\fcs0 _x000d__x000a_\cs17\b0\v\fs20\cf9\lang1024\langfe1024\loch\af1\hich\af1\dbch\af31501\noproof\insrsid1196262\charrsid11683480 \hich\af1\dbch\af31501\loch\f1 &lt;/DocAmend&gt;}{\rtlch\fcs1 \af0 \ltrch\fcs0 \insrsid1196262\charrsid11683480 _x000d__x000a_\par }\pard \ltrpar\s20\ql \li0\ri0\keepn\nowidctlpar\wrapdefault\aspalpha\aspnum\faauto\adjustright\rin0\lin0\itap0\pararsid1196262 {\rtlch\fcs1 \af0 \ltrch\fcs0 _x000d__x000a_\cs17\b0\v\fs20\cf9\lang1024\langfe1024\loch\af1\hich\af1\dbch\af31501\noproof\insrsid1196262\charrsid11683480 \hich\af1\dbch\af31501\loch\f1 &lt;Article&gt;}{\rtlch\fcs1 \af0 \ltrch\fcs0 \insrsid1196262\charrsid11683480 #}{\rtlch\fcs1 \af1 \ltrch\fcs0 _x000d__x000a_\cs18\v\f1\fs20\cf15\insrsid1196262\charrsid11683480 MNU[AMACTPARTYES][AMACTPARTNO]@CHOICE@AMACTMNU}{\rtlch\fcs1 \af0 \ltrch\fcs0 \insrsid1196262\charrsid11683480 #}{\rtlch\fcs1 \af0 \ltrch\fcs0 _x000d__x000a_\cs17\b0\v\fs20\cf9\lang1024\langfe1024\loch\af1\hich\af1\dbch\af31501\noproof\insrsid1196262\charrsid11683480 \hich\af1\dbch\af31501\loch\f1 &lt;/Article&gt;}{\rtlch\fcs1 \af0 \ltrch\fcs0 \insrsid1196262\charrsid11683480 _x000d__x000a_\par }\pard\plain \ltrpar\ql \li0\ri0\keepn\widctlpar\wrapdefault\aspalpha\aspnum\faauto\adjustright\rin0\lin0\itap0\pararsid1196262 \rtlch\fcs1 \af0\afs20\alang1025 \ltrch\fcs0 \fs24\lang2057\langfe2057\cgrid\langnp2057\langfenp2057 {\rtlch\fcs1 \af0 _x000d__x000a_\ltrch\fcs0 \cs17\v\fs20\cf9\lang1024\langfe1024\loch\af1\hich\af1\dbch\af31501\noproof\insrsid1196262\charrsid11683480 \hich\af1\dbch\af31501\loch\f1 &lt;DocAmend2&gt;&lt;OptDel&gt;}{\rtlch\fcs1 \af0 \ltrch\fcs0 \insrsid1196262\charrsid11683480 #}{\rtlch\fcs1 \af1 _x000d__x000a_\ltrch\fcs0 \cs18\v\f1\fs20\cf15\insrsid1196262\charrsid11683480 MNU[OPTNRACTYES][NOTAPP]@CHOICE@AMACTMNU}{\rtlch\fcs1 \af0 \ltrch\fcs0 \insrsid1196262\charrsid11683480 #}{\rtlch\fcs1 \af0 \ltrch\fcs0 _x000d__x000a_\cs17\v\fs20\cf9\lang1024\langfe1024\loch\af1\hich\af1\dbch\af31501\noproof\insrsid1196262\charrsid11683480 \hich\af1\dbch\af31501\loch\f1 &lt;/OptDel&gt;&lt;/DocAmend2&gt;}{\rtlch\fcs1 \af0 \ltrch\fcs0 \insrsid1196262\charrsid11683480 _x000d__x000a_\par }\pard \ltrpar\ql \li0\ri0\widctlpar\wrapdefault\aspalpha\aspnum\faauto\adjustright\rin0\lin0\itap0\pararsid1196262 {\rtlch\fcs1 \af0 \ltrch\fcs0 \cs17\v\fs20\cf9\lang1024\langfe1024\loch\af1\hich\af1\dbch\af31501\noproof\insrsid1196262\charrsid11683480 _x000d__x000a_\hich\af1\dbch\af31501\loch\f1 &lt;Article2&gt;&lt;OptDel&gt;}{\rtlch\fcs1 \af0 \ltrch\fcs0 \insrsid1196262\charrsid11683480 #}{\rtlch\fcs1 \af1 \ltrch\fcs0 \cs18\v\f1\fs20\cf15\insrsid1196262\charrsid11683480 MNU[OPTACTPARTYES][NOTAPP]@CHOICE@AMACTMNU}{\rtlch\fcs1 _x000d__x000a_\af0 \ltrch\fcs0 \insrsid1196262\charrsid11683480 #}{\rtlch\fcs1 \af0 \ltrch\fcs0 \cs17\v\fs20\cf9\lang1024\langfe1024\loch\af1\hich\af1\dbch\af31501\noproof\insrsid1196262\charrsid11683480 \hich\af1\dbch\af31501\loch\f1 &lt;/OptDel&gt;&lt;/Article2&gt;}{\rtlch\fcs1 _x000d__x000a_\af0 \ltrch\fcs0 \insrsid1196262\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96262\charrsid11683480 #}{\rtlch\fcs1 \af1 \ltrch\fcs0 \cs18\v\f1\fs20\cf15\insrsid1196262\charrsid11683480 MNU[OPTLEFTAMACT][LEFTPROP]@CHOICE@AMACTMNU}{_x000d__x000a_\rtlch\fcs1 \af0 \ltrch\fcs0 \insrsid1196262\charrsid11683480 #\cell Amendment\cell }\pard\plain \ltrpar\ql \li0\ri0\widctlpar\intbl\wrapdefault\aspalpha\aspnum\faauto\adjustright\rin0\lin0 \rtlch\fcs1 \af0\afs20\alang1025 \ltrch\fcs0 _x000d__x000a_\fs24\lang2057\langfe2057\cgrid\langnp2057\langfenp2057 {\rtlch\fcs1 \af0 \ltrch\fcs0 \insrsid1196262\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6262\charrsid11683480 ##\cell ##}{\rtlch\fcs1 \af0\afs24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6262 \rtlch\fcs1 \af0\afs20\alang1025 \ltrch\fcs0 \fs24\lang2057\langfe2057\cgrid\langnp2057\langfenp2057 {\rtlch\fcs1 \af0 \ltrch\fcs0 _x000d__x000a_\insrsid1196262\charrsid11683480 Or. }{\rtlch\fcs1 \af0 \ltrch\fcs0 \cs17\v\fs20\cf9\lang1024\langfe1024\loch\af1\hich\af1\dbch\af31501\noproof\insrsid1196262\charrsid11683480 \hich\af1\dbch\af31501\loch\f1 &lt;Original&gt;}{\rtlch\fcs1 \af0 \ltrch\fcs0 _x000d__x000a_\insrsid1196262\charrsid11683480 #}{\rtlch\fcs1 \af1 \ltrch\fcs0 \cs18\v\f1\fs20\cf15\insrsid1196262\charrsid11683480 KEY(MAIN/LANGMIN)sh@ORLANGMSG@}{\rtlch\fcs1 \af0 \ltrch\fcs0 \insrsid1196262\charrsid11683480 #}{\rtlch\fcs1 \af0 \ltrch\fcs0 _x000d__x000a_\cs17\v\fs20\cf9\lang1024\langfe1024\loch\af1\hich\af1\dbch\af31501\noproof\insrsid1196262\charrsid11683480 \hich\af1\dbch\af31501\loch\f1 &lt;/Original&gt;}{\rtlch\fcs1 \af0 \ltrch\fcs0 \insrsid1196262\charrsid11683480 _x000d__x000a_\par }\pard\plain \ltrpar\s22\qc \li0\ri0\sb240\sa240\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OptDel&gt;}{\rtlch\fcs1 \af0 \ltrch\fcs0 \insrsid1196262\charrsid11683480 #}{_x000d__x000a_\rtlch\fcs1 \af1 \ltrch\fcs0 \cs18\v\f1\fs20\cf15\insrsid1196262\charrsid11683480 MNU[CROSSREFNO][CROSSREFYES]@CHOICE@}{\rtlch\fcs1 \af0 \ltrch\fcs0 \insrsid1196262\charrsid11683480 #}{\rtlch\fcs1 \af0 \ltrch\fcs0 _x000d__x000a_\cs17\i0\v\fs20\cf9\lang1024\langfe1024\loch\af1\hich\af1\dbch\af31501\noproof\insrsid1196262\charrsid11683480 \hich\af1\dbch\af31501\loch\f1 &lt;/OptDel&gt;}{\rtlch\fcs1 \af0 \ltrch\fcs0 \insrsid1196262\charrsid11683480 _x000d__x000a_\par }\pard\plain \ltrpar\s23\qc \li0\ri0\sb240\sa240\keepn\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TitreJust&gt;}{\rtlch\fcs1 \af0 \ltrch\fcs0 \insrsid1196262\charrsid11683480 _x000d__x000a_Justification}{\rtlch\fcs1 \af0 \ltrch\fcs0 \cs17\i0\v\fs20\cf9\lang1024\langfe1024\loch\af1\hich\af1\dbch\af31501\noproof\insrsid1196262\charrsid11683480 \hich\af1\dbch\af31501\loch\f1 &lt;/TitreJust&gt;}{\rtlch\fcs1 \af0 \ltrch\fcs0 _x000d__x000a_\insrsid1196262\charrsid11683480 _x000d__x000a_\par }\pard\plain \ltrpar\s21\ql \li0\ri0\sa240\nowidctlpar\wrapdefault\aspalpha\aspnum\faauto\adjustright\rin0\lin0\itap0\pararsid1196262 \rtlch\fcs1 \af0\afs20\alang1025 \ltrch\fcs0 \i\fs24\lang2057\langfe2057\cgrid\langnp2057\langfenp2057 {\rtlch\fcs1 \af0 _x000d__x000a_\ltrch\fcs0 \cs17\i0\v\fs20\cf9\lang1024\langfe1024\loch\af1\hich\af1\dbch\af31501\noproof\insrsid1196262\charrsid11683480 \hich\af1\dbch\af31501\loch\f1 &lt;OptDelPrev&gt;}{\rtlch\fcs1 \af0 \ltrch\fcs0 \insrsid1196262\charrsid11683480 #}{\rtlch\fcs1 \af1 _x000d__x000a_\ltrch\fcs0 \cs18\v\f1\fs20\cf15\insrsid1196262\charrsid11683480 MNU[TEXTJUSTYES][TEXTJUSTNO]@CHOICE@}{\rtlch\fcs1 \af0 \ltrch\fcs0 \insrsid1196262\charrsid11683480 #}{\rtlch\fcs1 \af0 \ltrch\fcs0 _x000d__x000a_\cs17\i0\v\fs20\cf9\lang1024\langfe1024\loch\af1\hich\af1\dbch\af31501\noproof\insrsid1196262\charrsid11683480 \hich\af1\dbch\af31501\loch\f1 &lt;/OptDelPrev&gt;}{\rtlch\fcs1 \af0 \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rtlch\fcs1 \af0 \ltrch\fcs0 _x000d__x000a_\cs17\v\fs20\cf9\lang1024\langfe1024\loch\af1\hich\af1\dbch\af31501\noproof\insrsid1196262 \hich\af1\dbch\af31501\loch\f1 Ame\hich\af1\dbch\af31501\loch\f1 nd}{\rtlch\fcs1 \af0 \ltrch\fcs0 _x000d__x000a_\cs17\v\fs20\cf9\lang1024\langfe1024\loch\af1\hich\af1\dbch\af31501\noproof\insrsid1196262\charrsid116834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e1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XTAUTHOR" w:val="Željana Zovko"/>
    <w:docVar w:name="TXTLANGUE" w:val="EL"/>
    <w:docVar w:name="TXTLANGUEMIN" w:val="el"/>
    <w:docVar w:name="TXTNRC" w:val="0006/2024"/>
    <w:docVar w:name="TXTNRCOM" w:val="(2024)0183"/>
    <w:docVar w:name="TXTNRFIRSTAM" w:val="127"/>
    <w:docVar w:name="TXTNRLASTAM" w:val="244"/>
    <w:docVar w:name="TXTNRPE" w:val="771.930"/>
    <w:docVar w:name="TXTNRPE2" w:val="765.292"/>
    <w:docVar w:name="TXTNRPROC" w:val="2024"/>
    <w:docVar w:name="TXTPEorAP" w:val="PE"/>
    <w:docVar w:name="TXTROUTE" w:val="AM\1319572EL.docx"/>
    <w:docVar w:name="TXTTITLE" w:val="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
    <w:docVar w:name="TXTVERSION" w:val="03-00"/>
    <w:docVar w:name="TXTVERSION2" w:val="01-00"/>
  </w:docVars>
  <w:rsids>
    <w:rsidRoot w:val="00B24698"/>
    <w:rsid w:val="000111BD"/>
    <w:rsid w:val="00073830"/>
    <w:rsid w:val="00075DBE"/>
    <w:rsid w:val="000B0781"/>
    <w:rsid w:val="000D446F"/>
    <w:rsid w:val="000E7234"/>
    <w:rsid w:val="000F2A80"/>
    <w:rsid w:val="000F7815"/>
    <w:rsid w:val="001177CB"/>
    <w:rsid w:val="00126BC4"/>
    <w:rsid w:val="0013748B"/>
    <w:rsid w:val="00150057"/>
    <w:rsid w:val="00166CCB"/>
    <w:rsid w:val="0017484C"/>
    <w:rsid w:val="001809DD"/>
    <w:rsid w:val="001838DC"/>
    <w:rsid w:val="001A4802"/>
    <w:rsid w:val="001B761C"/>
    <w:rsid w:val="001C2054"/>
    <w:rsid w:val="001C502E"/>
    <w:rsid w:val="001D13C9"/>
    <w:rsid w:val="001D5CC4"/>
    <w:rsid w:val="001D7A49"/>
    <w:rsid w:val="001F0FDD"/>
    <w:rsid w:val="0020367C"/>
    <w:rsid w:val="00203D96"/>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4902"/>
    <w:rsid w:val="0037660F"/>
    <w:rsid w:val="00384E84"/>
    <w:rsid w:val="0038706C"/>
    <w:rsid w:val="003923F7"/>
    <w:rsid w:val="003A3BB5"/>
    <w:rsid w:val="003A5102"/>
    <w:rsid w:val="003C6E39"/>
    <w:rsid w:val="003D466C"/>
    <w:rsid w:val="003D70F2"/>
    <w:rsid w:val="003E08BF"/>
    <w:rsid w:val="003E43AC"/>
    <w:rsid w:val="003E5426"/>
    <w:rsid w:val="003F21EB"/>
    <w:rsid w:val="003F3B0C"/>
    <w:rsid w:val="004126E0"/>
    <w:rsid w:val="00422BB2"/>
    <w:rsid w:val="004367B3"/>
    <w:rsid w:val="00441413"/>
    <w:rsid w:val="00441D7D"/>
    <w:rsid w:val="00461E32"/>
    <w:rsid w:val="00464338"/>
    <w:rsid w:val="00495E20"/>
    <w:rsid w:val="004E0AAC"/>
    <w:rsid w:val="004E1C4C"/>
    <w:rsid w:val="004F03F0"/>
    <w:rsid w:val="004F2903"/>
    <w:rsid w:val="004F2CB9"/>
    <w:rsid w:val="005246D8"/>
    <w:rsid w:val="00547F73"/>
    <w:rsid w:val="00557617"/>
    <w:rsid w:val="00571479"/>
    <w:rsid w:val="005A7205"/>
    <w:rsid w:val="005A7EB4"/>
    <w:rsid w:val="005B32E3"/>
    <w:rsid w:val="005E50C2"/>
    <w:rsid w:val="00604E6C"/>
    <w:rsid w:val="006051F7"/>
    <w:rsid w:val="00607ABE"/>
    <w:rsid w:val="006337D4"/>
    <w:rsid w:val="00637384"/>
    <w:rsid w:val="0066168A"/>
    <w:rsid w:val="00665DDA"/>
    <w:rsid w:val="00672807"/>
    <w:rsid w:val="006746CD"/>
    <w:rsid w:val="00687070"/>
    <w:rsid w:val="00695CC1"/>
    <w:rsid w:val="006965BE"/>
    <w:rsid w:val="006A2838"/>
    <w:rsid w:val="006B4B58"/>
    <w:rsid w:val="006B6438"/>
    <w:rsid w:val="006D4E12"/>
    <w:rsid w:val="006D6B15"/>
    <w:rsid w:val="006F3F81"/>
    <w:rsid w:val="006F4B73"/>
    <w:rsid w:val="00702F62"/>
    <w:rsid w:val="007059E9"/>
    <w:rsid w:val="00706049"/>
    <w:rsid w:val="007152AF"/>
    <w:rsid w:val="00736FBA"/>
    <w:rsid w:val="0074160E"/>
    <w:rsid w:val="007418EC"/>
    <w:rsid w:val="007659AC"/>
    <w:rsid w:val="0079060C"/>
    <w:rsid w:val="007A42AB"/>
    <w:rsid w:val="007C71DE"/>
    <w:rsid w:val="00822C94"/>
    <w:rsid w:val="008363E4"/>
    <w:rsid w:val="00851460"/>
    <w:rsid w:val="0085430F"/>
    <w:rsid w:val="0087052C"/>
    <w:rsid w:val="00870CF2"/>
    <w:rsid w:val="0087412A"/>
    <w:rsid w:val="00874862"/>
    <w:rsid w:val="00875A9C"/>
    <w:rsid w:val="00887FDC"/>
    <w:rsid w:val="008B251A"/>
    <w:rsid w:val="008D6D06"/>
    <w:rsid w:val="008F0DDD"/>
    <w:rsid w:val="00900CAE"/>
    <w:rsid w:val="00904AD5"/>
    <w:rsid w:val="00907CCA"/>
    <w:rsid w:val="009154FF"/>
    <w:rsid w:val="00917A85"/>
    <w:rsid w:val="0094646B"/>
    <w:rsid w:val="00966038"/>
    <w:rsid w:val="009A65D8"/>
    <w:rsid w:val="009B0305"/>
    <w:rsid w:val="009B4539"/>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1432"/>
    <w:rsid w:val="00AE4459"/>
    <w:rsid w:val="00AF003F"/>
    <w:rsid w:val="00AF25FC"/>
    <w:rsid w:val="00AF2819"/>
    <w:rsid w:val="00B0638A"/>
    <w:rsid w:val="00B06E5B"/>
    <w:rsid w:val="00B10564"/>
    <w:rsid w:val="00B24698"/>
    <w:rsid w:val="00B41B4D"/>
    <w:rsid w:val="00B72691"/>
    <w:rsid w:val="00B77A45"/>
    <w:rsid w:val="00B8066A"/>
    <w:rsid w:val="00B85286"/>
    <w:rsid w:val="00B90B7F"/>
    <w:rsid w:val="00B9188F"/>
    <w:rsid w:val="00BA48D2"/>
    <w:rsid w:val="00BC1B1F"/>
    <w:rsid w:val="00BE0C84"/>
    <w:rsid w:val="00BE293C"/>
    <w:rsid w:val="00BE5062"/>
    <w:rsid w:val="00C046F3"/>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3D18"/>
    <w:rsid w:val="00D42398"/>
    <w:rsid w:val="00D44842"/>
    <w:rsid w:val="00D677D5"/>
    <w:rsid w:val="00D755F1"/>
    <w:rsid w:val="00D767AC"/>
    <w:rsid w:val="00D773DF"/>
    <w:rsid w:val="00D82FCC"/>
    <w:rsid w:val="00D85E21"/>
    <w:rsid w:val="00D87B31"/>
    <w:rsid w:val="00DB429F"/>
    <w:rsid w:val="00DB65C2"/>
    <w:rsid w:val="00DC4160"/>
    <w:rsid w:val="00DC6A1B"/>
    <w:rsid w:val="00DD5018"/>
    <w:rsid w:val="00DE672F"/>
    <w:rsid w:val="00E15A86"/>
    <w:rsid w:val="00E25DC5"/>
    <w:rsid w:val="00E44BB0"/>
    <w:rsid w:val="00E471BE"/>
    <w:rsid w:val="00E57F50"/>
    <w:rsid w:val="00E660E2"/>
    <w:rsid w:val="00EA25AE"/>
    <w:rsid w:val="00EB3A71"/>
    <w:rsid w:val="00EC7CD2"/>
    <w:rsid w:val="00EE011D"/>
    <w:rsid w:val="00EE3E0D"/>
    <w:rsid w:val="00EF03A3"/>
    <w:rsid w:val="00EF11AD"/>
    <w:rsid w:val="00F1688F"/>
    <w:rsid w:val="00F27170"/>
    <w:rsid w:val="00F37D8F"/>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163E7"/>
  <w15:chartTrackingRefBased/>
  <w15:docId w15:val="{C96CA274-2611-4930-A483-DECAFDDC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D96"/>
    <w:rPr>
      <w:rFonts w:ascii="Arial" w:hAnsi="Arial"/>
      <w:b/>
      <w:kern w:val="28"/>
      <w:sz w:val="28"/>
    </w:rPr>
  </w:style>
  <w:style w:type="character" w:customStyle="1" w:styleId="Heading2Char">
    <w:name w:val="Heading 2 Char"/>
    <w:basedOn w:val="DefaultParagraphFont"/>
    <w:link w:val="Heading2"/>
    <w:semiHidden/>
    <w:rsid w:val="00203D96"/>
    <w:rPr>
      <w:rFonts w:ascii="Arial" w:hAnsi="Arial"/>
      <w:b/>
      <w:i/>
      <w:sz w:val="24"/>
    </w:rPr>
  </w:style>
  <w:style w:type="character" w:customStyle="1" w:styleId="Heading3Char">
    <w:name w:val="Heading 3 Char"/>
    <w:basedOn w:val="DefaultParagraphFont"/>
    <w:link w:val="Heading3"/>
    <w:semiHidden/>
    <w:rsid w:val="00203D96"/>
    <w:rPr>
      <w:rFonts w:ascii="Arial" w:hAnsi="Arial"/>
      <w:sz w:val="24"/>
    </w:rPr>
  </w:style>
  <w:style w:type="character" w:customStyle="1" w:styleId="Heading4Char">
    <w:name w:val="Heading 4 Char"/>
    <w:basedOn w:val="DefaultParagraphFont"/>
    <w:link w:val="Heading4"/>
    <w:semiHidden/>
    <w:rsid w:val="00203D96"/>
    <w:rPr>
      <w:rFonts w:ascii="Arial" w:hAnsi="Arial"/>
      <w:b/>
      <w:sz w:val="24"/>
    </w:rPr>
  </w:style>
  <w:style w:type="character" w:customStyle="1" w:styleId="Heading5Char">
    <w:name w:val="Heading 5 Char"/>
    <w:basedOn w:val="DefaultParagraphFont"/>
    <w:link w:val="Heading5"/>
    <w:semiHidden/>
    <w:rsid w:val="00203D96"/>
    <w:rPr>
      <w:sz w:val="22"/>
    </w:rPr>
  </w:style>
  <w:style w:type="character" w:customStyle="1" w:styleId="Heading6Char">
    <w:name w:val="Heading 6 Char"/>
    <w:basedOn w:val="DefaultParagraphFont"/>
    <w:link w:val="Heading6"/>
    <w:semiHidden/>
    <w:rsid w:val="00203D96"/>
    <w:rPr>
      <w:i/>
      <w:sz w:val="22"/>
    </w:rPr>
  </w:style>
  <w:style w:type="character" w:customStyle="1" w:styleId="Heading7Char">
    <w:name w:val="Heading 7 Char"/>
    <w:basedOn w:val="DefaultParagraphFont"/>
    <w:link w:val="Heading7"/>
    <w:semiHidden/>
    <w:rsid w:val="00203D96"/>
    <w:rPr>
      <w:rFonts w:ascii="Arial" w:hAnsi="Arial"/>
      <w:sz w:val="24"/>
    </w:rPr>
  </w:style>
  <w:style w:type="character" w:customStyle="1" w:styleId="Heading8Char">
    <w:name w:val="Heading 8 Char"/>
    <w:basedOn w:val="DefaultParagraphFont"/>
    <w:link w:val="Heading8"/>
    <w:semiHidden/>
    <w:rsid w:val="00203D96"/>
    <w:rPr>
      <w:rFonts w:ascii="Arial" w:hAnsi="Arial"/>
      <w:i/>
      <w:sz w:val="24"/>
    </w:rPr>
  </w:style>
  <w:style w:type="character" w:customStyle="1" w:styleId="Heading9Char">
    <w:name w:val="Heading 9 Char"/>
    <w:basedOn w:val="DefaultParagraphFont"/>
    <w:link w:val="Heading9"/>
    <w:semiHidden/>
    <w:rsid w:val="00203D96"/>
    <w:rPr>
      <w:rFonts w:ascii="Arial" w:hAnsi="Arial"/>
      <w:b/>
      <w:i/>
      <w:sz w:val="18"/>
    </w:rPr>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03D96"/>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noteTextChar">
    <w:name w:val="Footnote Text Char"/>
    <w:basedOn w:val="DefaultParagraphFont"/>
    <w:link w:val="FootnoteText"/>
    <w:uiPriority w:val="99"/>
    <w:rsid w:val="00203D96"/>
    <w:rPr>
      <w:rFonts w:eastAsiaTheme="minorHAnsi"/>
      <w:lang w:eastAsia="en-US"/>
    </w:rPr>
  </w:style>
  <w:style w:type="paragraph" w:styleId="FootnoteText">
    <w:name w:val="footnote text"/>
    <w:basedOn w:val="Normal"/>
    <w:link w:val="FootnoteTextChar"/>
    <w:uiPriority w:val="99"/>
    <w:unhideWhenUsed/>
    <w:rsid w:val="00203D96"/>
    <w:pPr>
      <w:widowControl/>
      <w:ind w:left="720" w:hanging="720"/>
      <w:jc w:val="both"/>
    </w:pPr>
    <w:rPr>
      <w:rFonts w:eastAsiaTheme="minorHAnsi"/>
      <w:sz w:val="20"/>
      <w:lang w:eastAsia="en-US"/>
    </w:rPr>
  </w:style>
  <w:style w:type="character" w:customStyle="1" w:styleId="CommentTextChar">
    <w:name w:val="Comment Text Char"/>
    <w:basedOn w:val="DefaultParagraphFont"/>
    <w:link w:val="CommentText"/>
    <w:rsid w:val="00203D96"/>
  </w:style>
  <w:style w:type="paragraph" w:styleId="CommentText">
    <w:name w:val="annotation text"/>
    <w:basedOn w:val="Normal"/>
    <w:link w:val="CommentTextChar"/>
    <w:unhideWhenUsed/>
    <w:rsid w:val="00203D96"/>
    <w:rPr>
      <w:sz w:val="20"/>
    </w:rPr>
  </w:style>
  <w:style w:type="character" w:customStyle="1" w:styleId="FooterChar">
    <w:name w:val="Footer Char"/>
    <w:basedOn w:val="DefaultParagraphFont"/>
    <w:link w:val="Footer"/>
    <w:semiHidden/>
    <w:rsid w:val="00203D96"/>
    <w:rPr>
      <w:sz w:val="24"/>
    </w:rPr>
  </w:style>
  <w:style w:type="paragraph" w:styleId="Footer">
    <w:name w:val="footer"/>
    <w:basedOn w:val="Normal"/>
    <w:link w:val="FooterChar"/>
    <w:semiHidden/>
    <w:unhideWhenUsed/>
    <w:rsid w:val="00203D96"/>
    <w:pPr>
      <w:tabs>
        <w:tab w:val="center" w:pos="4513"/>
        <w:tab w:val="right" w:pos="9026"/>
      </w:tabs>
    </w:pPr>
  </w:style>
  <w:style w:type="character" w:customStyle="1" w:styleId="CommentSubjectChar">
    <w:name w:val="Comment Subject Char"/>
    <w:basedOn w:val="CommentTextChar"/>
    <w:link w:val="CommentSubject"/>
    <w:semiHidden/>
    <w:rsid w:val="00203D96"/>
    <w:rPr>
      <w:b/>
      <w:bCs/>
    </w:rPr>
  </w:style>
  <w:style w:type="paragraph" w:styleId="CommentSubject">
    <w:name w:val="annotation subject"/>
    <w:basedOn w:val="CommentText"/>
    <w:next w:val="CommentText"/>
    <w:link w:val="CommentSubjectChar"/>
    <w:semiHidden/>
    <w:unhideWhenUsed/>
    <w:rsid w:val="00203D96"/>
    <w:rPr>
      <w:b/>
      <w:bCs/>
    </w:rPr>
  </w:style>
  <w:style w:type="character" w:customStyle="1" w:styleId="BalloonTextChar">
    <w:name w:val="Balloon Text Char"/>
    <w:basedOn w:val="DefaultParagraphFont"/>
    <w:link w:val="BalloonText"/>
    <w:semiHidden/>
    <w:rsid w:val="00203D96"/>
    <w:rPr>
      <w:rFonts w:ascii="Segoe UI" w:hAnsi="Segoe UI" w:cs="Segoe UI"/>
      <w:sz w:val="18"/>
      <w:szCs w:val="18"/>
    </w:rPr>
  </w:style>
  <w:style w:type="paragraph" w:styleId="BalloonText">
    <w:name w:val="Balloon Text"/>
    <w:basedOn w:val="Normal"/>
    <w:link w:val="BalloonTextChar"/>
    <w:semiHidden/>
    <w:unhideWhenUsed/>
    <w:rsid w:val="00203D96"/>
    <w:rPr>
      <w:rFonts w:ascii="Segoe UI" w:hAnsi="Segoe UI" w:cs="Segoe UI"/>
      <w:sz w:val="18"/>
      <w:szCs w:val="18"/>
    </w:rPr>
  </w:style>
  <w:style w:type="character" w:customStyle="1" w:styleId="Normal6Char">
    <w:name w:val="Normal6 Char"/>
    <w:basedOn w:val="DefaultParagraphFont"/>
    <w:link w:val="Normal6"/>
    <w:locked/>
    <w:rsid w:val="00203D96"/>
    <w:rPr>
      <w:sz w:val="24"/>
      <w:lang w:val="el-GR"/>
    </w:rPr>
  </w:style>
  <w:style w:type="paragraph" w:customStyle="1" w:styleId="Normal6">
    <w:name w:val="Normal6"/>
    <w:basedOn w:val="Normal"/>
    <w:link w:val="Normal6Char"/>
    <w:rsid w:val="00203D96"/>
    <w:pPr>
      <w:spacing w:after="120"/>
    </w:pPr>
  </w:style>
  <w:style w:type="paragraph" w:customStyle="1" w:styleId="ColumnHeading">
    <w:name w:val="ColumnHeading"/>
    <w:basedOn w:val="Normal"/>
    <w:rsid w:val="00203D96"/>
    <w:pPr>
      <w:spacing w:after="240"/>
      <w:jc w:val="center"/>
    </w:pPr>
    <w:rPr>
      <w:i/>
    </w:rPr>
  </w:style>
  <w:style w:type="paragraph" w:customStyle="1" w:styleId="Normal12Italic">
    <w:name w:val="Normal12Italic"/>
    <w:basedOn w:val="Normal"/>
    <w:rsid w:val="00203D96"/>
    <w:pPr>
      <w:spacing w:after="240"/>
    </w:pPr>
    <w:rPr>
      <w:i/>
      <w:noProof/>
    </w:rPr>
  </w:style>
  <w:style w:type="paragraph" w:customStyle="1" w:styleId="TableParagraph">
    <w:name w:val="Table Paragraph"/>
    <w:basedOn w:val="Normal"/>
    <w:uiPriority w:val="1"/>
    <w:qFormat/>
    <w:rsid w:val="00203D96"/>
    <w:pPr>
      <w:spacing w:line="252" w:lineRule="auto"/>
    </w:pPr>
    <w:rPr>
      <w:sz w:val="22"/>
      <w:szCs w:val="22"/>
      <w:lang w:eastAsia="en-US"/>
    </w:rPr>
  </w:style>
  <w:style w:type="paragraph" w:customStyle="1" w:styleId="Olang">
    <w:name w:val="Olang"/>
    <w:basedOn w:val="Normal"/>
    <w:rsid w:val="00203D96"/>
    <w:pPr>
      <w:spacing w:before="240" w:after="240"/>
      <w:jc w:val="right"/>
    </w:pPr>
    <w:rPr>
      <w:noProof/>
      <w:szCs w:val="24"/>
    </w:rPr>
  </w:style>
  <w:style w:type="character" w:styleId="FootnoteReference">
    <w:name w:val="footnote reference"/>
    <w:basedOn w:val="DefaultParagraphFont"/>
    <w:uiPriority w:val="99"/>
    <w:unhideWhenUsed/>
    <w:rsid w:val="00203D96"/>
    <w:rPr>
      <w:vertAlign w:val="superscript"/>
    </w:rPr>
  </w:style>
  <w:style w:type="paragraph" w:customStyle="1" w:styleId="Default">
    <w:name w:val="Default"/>
    <w:rsid w:val="0017484C"/>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21234</Words>
  <Characters>123907</Characters>
  <Application>Microsoft Office Word</Application>
  <DocSecurity>0</DocSecurity>
  <Lines>5493</Lines>
  <Paragraphs>1849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2025-04-24T14:31:00Z</dcterms:created>
  <dcterms:modified xsi:type="dcterms:W3CDTF">2025-04-24T14:31:00Z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1319572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- 2025/04/24 16:31</vt:lpwstr>
  </property>
  <property fmtid="{D5CDD505-2E9C-101B-9397-08002B2CF9AE}" pid="9" name="Created with">
    <vt:lpwstr>10.0.1 Build [20250315]</vt:lpwstr>
  </property>
  <property fmtid="{D5CDD505-2E9C-101B-9397-08002B2CF9AE}" pid="10" name="FooterPath">
    <vt:lpwstr>AM\1319572EL.docx</vt:lpwstr>
  </property>
  <property fmtid="{D5CDD505-2E9C-101B-9397-08002B2CF9AE}" pid="11" name="LastEdited with">
    <vt:lpwstr>10.1.0 Build [20250401]</vt:lpwstr>
  </property>
  <property fmtid="{D5CDD505-2E9C-101B-9397-08002B2CF9AE}" pid="12" name="PE number">
    <vt:lpwstr>771.930</vt:lpwstr>
  </property>
  <property fmtid="{D5CDD505-2E9C-101B-9397-08002B2CF9AE}" pid="13" name="SDLStudio">
    <vt:lpwstr/>
  </property>
  <property fmtid="{D5CDD505-2E9C-101B-9397-08002B2CF9AE}" pid="14" name="SendToEpades">
    <vt:lpwstr>OK(AMNUM) - 2025/04/09 09:01</vt:lpwstr>
  </property>
</Properties>
</file>