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B4881" w:rsidRPr="00B8029D" w:rsidTr="00203D96">
        <w:trPr>
          <w:trHeight w:hRule="exact" w:val="1418"/>
        </w:trPr>
        <w:tc>
          <w:tcPr>
            <w:tcW w:w="6804" w:type="dxa"/>
            <w:shd w:val="clear" w:color="auto" w:fill="auto"/>
            <w:vAlign w:val="center"/>
          </w:tcPr>
          <w:p w:rsidR="00BE5062" w:rsidRPr="00B8029D" w:rsidRDefault="00D66AC8" w:rsidP="00203D96">
            <w:pPr>
              <w:pStyle w:val="EPName"/>
            </w:pPr>
            <w:bookmarkStart w:id="0" w:name="_GoBack"/>
            <w:bookmarkEnd w:id="0"/>
            <w:r w:rsidRPr="00B8029D">
              <w:t>Europees Parlement</w:t>
            </w:r>
          </w:p>
          <w:p w:rsidR="00BE5062" w:rsidRPr="00B8029D" w:rsidRDefault="00D66AC8" w:rsidP="00203D96">
            <w:pPr>
              <w:pStyle w:val="EPTerm"/>
            </w:pPr>
            <w:r w:rsidRPr="00B8029D">
              <w:t>2024-2029</w:t>
            </w:r>
          </w:p>
        </w:tc>
        <w:tc>
          <w:tcPr>
            <w:tcW w:w="2268" w:type="dxa"/>
            <w:shd w:val="clear" w:color="auto" w:fill="auto"/>
          </w:tcPr>
          <w:p w:rsidR="00BE5062" w:rsidRPr="00B8029D" w:rsidRDefault="00D66AC8" w:rsidP="00203D96">
            <w:pPr>
              <w:pStyle w:val="EPLogo"/>
            </w:pPr>
            <w:r w:rsidRPr="00B8029D">
              <w:rPr>
                <w:noProof/>
                <w:lang w:eastAsia="nl-N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8029D" w:rsidRDefault="000E7234" w:rsidP="000E7234">
      <w:pPr>
        <w:pStyle w:val="LineTop"/>
      </w:pPr>
    </w:p>
    <w:p w:rsidR="000E7234" w:rsidRPr="00B8029D" w:rsidRDefault="00D66AC8" w:rsidP="000E7234">
      <w:pPr>
        <w:pStyle w:val="EPBody"/>
      </w:pPr>
      <w:r w:rsidRPr="00B8029D">
        <w:rPr>
          <w:rStyle w:val="HideTWBExt"/>
          <w:i w:val="0"/>
          <w:szCs w:val="20"/>
        </w:rPr>
        <w:t>&lt;Commission&gt;</w:t>
      </w:r>
      <w:r w:rsidRPr="00B8029D">
        <w:rPr>
          <w:rStyle w:val="HideTWBInt"/>
          <w:i w:val="0"/>
          <w:szCs w:val="20"/>
        </w:rPr>
        <w:t>{PECH}</w:t>
      </w:r>
      <w:r w:rsidRPr="00B8029D">
        <w:t>Commissie visserij</w:t>
      </w:r>
      <w:r w:rsidRPr="00B8029D">
        <w:rPr>
          <w:rStyle w:val="HideTWBExt"/>
          <w:i w:val="0"/>
          <w:szCs w:val="20"/>
        </w:rPr>
        <w:t>&lt;/Commission&gt;</w:t>
      </w:r>
    </w:p>
    <w:p w:rsidR="000E7234" w:rsidRPr="00B8029D" w:rsidRDefault="000E7234" w:rsidP="000E7234">
      <w:pPr>
        <w:pStyle w:val="LineBottom"/>
      </w:pPr>
    </w:p>
    <w:p w:rsidR="00B85286" w:rsidRPr="00B8029D" w:rsidRDefault="00D66AC8">
      <w:pPr>
        <w:pStyle w:val="CoverReference"/>
      </w:pPr>
      <w:r w:rsidRPr="00B8029D">
        <w:rPr>
          <w:rStyle w:val="HideTWBExt"/>
          <w:b w:val="0"/>
        </w:rPr>
        <w:t>&lt;RefProc&gt;</w:t>
      </w:r>
      <w:r w:rsidRPr="00B8029D">
        <w:t>2024/0098</w:t>
      </w:r>
      <w:r w:rsidRPr="00B8029D">
        <w:rPr>
          <w:rStyle w:val="HideTWBExt"/>
          <w:b w:val="0"/>
        </w:rPr>
        <w:t>&lt;/RefProc&gt;&lt;RefTypeProc&gt;</w:t>
      </w:r>
      <w:r w:rsidRPr="00B8029D">
        <w:t>(COD)</w:t>
      </w:r>
      <w:r w:rsidRPr="00B8029D">
        <w:rPr>
          <w:rStyle w:val="HideTWBExt"/>
          <w:b w:val="0"/>
        </w:rPr>
        <w:t>&lt;/RefTypeProc&gt;</w:t>
      </w:r>
    </w:p>
    <w:p w:rsidR="00B85286" w:rsidRPr="00B8029D" w:rsidRDefault="00D66AC8">
      <w:pPr>
        <w:pStyle w:val="CoverDate"/>
      </w:pPr>
      <w:r w:rsidRPr="00B8029D">
        <w:rPr>
          <w:rStyle w:val="HideTWBExt"/>
        </w:rPr>
        <w:t>&lt;Date&gt;</w:t>
      </w:r>
      <w:r w:rsidRPr="00B8029D">
        <w:rPr>
          <w:rStyle w:val="HideTWBInt"/>
        </w:rPr>
        <w:t>{09/04/2025}</w:t>
      </w:r>
      <w:r w:rsidRPr="00B8029D">
        <w:t>9.4.2025</w:t>
      </w:r>
      <w:r w:rsidRPr="00B8029D">
        <w:rPr>
          <w:rStyle w:val="HideTWBExt"/>
        </w:rPr>
        <w:t>&lt;/Date&gt;</w:t>
      </w:r>
    </w:p>
    <w:p w:rsidR="009B0305" w:rsidRPr="00B8029D" w:rsidRDefault="00D66AC8" w:rsidP="009B0305">
      <w:pPr>
        <w:pStyle w:val="CoverDocType"/>
      </w:pPr>
      <w:r w:rsidRPr="00B8029D">
        <w:rPr>
          <w:rStyle w:val="HideTWBExt"/>
          <w:b w:val="0"/>
        </w:rPr>
        <w:t>&lt;TypeAM&gt;</w:t>
      </w:r>
      <w:r w:rsidRPr="00B8029D">
        <w:t>AMENDEMENTEN</w:t>
      </w:r>
      <w:r w:rsidRPr="00B8029D">
        <w:rPr>
          <w:rStyle w:val="HideTWBExt"/>
          <w:b w:val="0"/>
        </w:rPr>
        <w:t>&lt;/TypeAM&gt;</w:t>
      </w:r>
    </w:p>
    <w:p w:rsidR="00B85286" w:rsidRPr="00B8029D" w:rsidRDefault="00D66AC8" w:rsidP="001C2054">
      <w:pPr>
        <w:pStyle w:val="CoverDocType24a"/>
      </w:pPr>
      <w:r w:rsidRPr="00B8029D">
        <w:rPr>
          <w:rStyle w:val="HideTWBExt"/>
          <w:b w:val="0"/>
        </w:rPr>
        <w:t>&lt;RangeAM&gt;</w:t>
      </w:r>
      <w:r w:rsidRPr="00B8029D">
        <w:t>127 - 244</w:t>
      </w:r>
      <w:r w:rsidRPr="00B8029D">
        <w:rPr>
          <w:rStyle w:val="HideTWBExt"/>
          <w:b w:val="0"/>
        </w:rPr>
        <w:t>&lt;/RangeAM&gt;</w:t>
      </w:r>
    </w:p>
    <w:p w:rsidR="001C2054" w:rsidRPr="00B8029D" w:rsidRDefault="00D66AC8" w:rsidP="00A93F8C">
      <w:pPr>
        <w:pStyle w:val="CoverBold"/>
      </w:pPr>
      <w:r w:rsidRPr="00B8029D">
        <w:rPr>
          <w:rStyle w:val="HideTWBExt"/>
          <w:b w:val="0"/>
        </w:rPr>
        <w:t>&lt;TitreType&gt;</w:t>
      </w:r>
      <w:r w:rsidRPr="00B8029D">
        <w:t>Ontwerpverslag</w:t>
      </w:r>
      <w:r w:rsidRPr="00B8029D">
        <w:rPr>
          <w:rStyle w:val="HideTWBExt"/>
          <w:b w:val="0"/>
        </w:rPr>
        <w:t>&lt;/TitreType&gt;</w:t>
      </w:r>
    </w:p>
    <w:p w:rsidR="00B85286" w:rsidRPr="00B8029D" w:rsidRDefault="00D66AC8" w:rsidP="00A93F8C">
      <w:pPr>
        <w:pStyle w:val="CoverBold"/>
      </w:pPr>
      <w:r w:rsidRPr="00B8029D">
        <w:rPr>
          <w:rStyle w:val="HideTWBExt"/>
          <w:b w:val="0"/>
        </w:rPr>
        <w:t>&lt;Rapporteur&gt;</w:t>
      </w:r>
      <w:r w:rsidRPr="00B8029D">
        <w:t>Željana Zovko</w:t>
      </w:r>
      <w:r w:rsidRPr="00B8029D">
        <w:rPr>
          <w:rStyle w:val="HideTWBExt"/>
          <w:b w:val="0"/>
        </w:rPr>
        <w:t>&lt;/Rapporteur&gt;</w:t>
      </w:r>
    </w:p>
    <w:p w:rsidR="00B85286" w:rsidRPr="00B8029D" w:rsidRDefault="00D66AC8">
      <w:pPr>
        <w:pStyle w:val="CoverNormal24a"/>
      </w:pPr>
      <w:r w:rsidRPr="00B8029D">
        <w:rPr>
          <w:rStyle w:val="HideTWBExt"/>
        </w:rPr>
        <w:t>&lt;DocRefPE&gt;</w:t>
      </w:r>
      <w:r w:rsidRPr="00B8029D">
        <w:t>(PE765.292v01-00)</w:t>
      </w:r>
      <w:r w:rsidRPr="00B8029D">
        <w:rPr>
          <w:rStyle w:val="HideTWBExt"/>
        </w:rPr>
        <w:t>&lt;/DocRefPE&gt;</w:t>
      </w:r>
    </w:p>
    <w:p w:rsidR="00B85286" w:rsidRPr="00B8029D" w:rsidRDefault="00D66AC8">
      <w:pPr>
        <w:pStyle w:val="CoverNormal24a"/>
      </w:pPr>
      <w:r w:rsidRPr="00B8029D">
        <w:rPr>
          <w:rStyle w:val="HideTWBExt"/>
        </w:rPr>
        <w:t>&lt;Titre&gt;</w:t>
      </w:r>
      <w:r w:rsidRPr="00B8029D">
        <w:t>Voorstel voor een verordening van het Europees Parlement en de Raad tot wijziging van Verordening (EU) 2023/2124 van het Europees Parlement en de Raad van 4 oktober 2023 tot vaststelling van een aantal bepalingen voor de visserij in het overeenkomstgebied van de Algemene Visserijcommissie voor de Middellandse Zee (General Fisheries Commission for the Mediterranean, GFCM)</w:t>
      </w:r>
      <w:r w:rsidRPr="00B8029D">
        <w:rPr>
          <w:rStyle w:val="HideTWBExt"/>
        </w:rPr>
        <w:t>&lt;/Titre&gt;</w:t>
      </w:r>
    </w:p>
    <w:p w:rsidR="006337D4" w:rsidRPr="00B8029D" w:rsidRDefault="00D66AC8" w:rsidP="006337D4">
      <w:pPr>
        <w:pStyle w:val="CoverNormal"/>
      </w:pPr>
      <w:r w:rsidRPr="00B8029D">
        <w:rPr>
          <w:rStyle w:val="HideTWBExt"/>
        </w:rPr>
        <w:t>&lt;DocAmend&gt;</w:t>
      </w:r>
      <w:r w:rsidRPr="00B8029D">
        <w:t>Voorstel voor een verordening</w:t>
      </w:r>
      <w:r w:rsidRPr="00B8029D">
        <w:rPr>
          <w:rStyle w:val="HideTWBExt"/>
        </w:rPr>
        <w:t>&lt;/DocAmend&gt;</w:t>
      </w:r>
    </w:p>
    <w:p w:rsidR="00B85286" w:rsidRPr="00B8029D" w:rsidRDefault="00D66AC8">
      <w:pPr>
        <w:pStyle w:val="CoverNormal24a"/>
      </w:pPr>
      <w:r w:rsidRPr="00B8029D">
        <w:rPr>
          <w:rStyle w:val="HideTWBExt"/>
        </w:rPr>
        <w:t>&lt;DocRef&gt;</w:t>
      </w:r>
      <w:r w:rsidRPr="00B8029D">
        <w:t>(COM(2024)0183 – C10</w:t>
      </w:r>
      <w:r w:rsidRPr="00B8029D">
        <w:noBreakHyphen/>
        <w:t>0006/2024 – 2024/0098(COD))</w:t>
      </w:r>
      <w:r w:rsidRPr="00B8029D">
        <w:rPr>
          <w:rStyle w:val="HideTWBExt"/>
        </w:rPr>
        <w:t>&lt;/DocRef&gt;</w:t>
      </w:r>
    </w:p>
    <w:p w:rsidR="00B85286" w:rsidRPr="00B8029D" w:rsidRDefault="00D66AC8" w:rsidP="00E660E2">
      <w:pPr>
        <w:widowControl/>
        <w:tabs>
          <w:tab w:val="center" w:pos="4677"/>
        </w:tabs>
      </w:pPr>
      <w:r w:rsidRPr="00B8029D">
        <w:br w:type="page"/>
      </w:r>
      <w:r w:rsidRPr="00B8029D">
        <w:lastRenderedPageBreak/>
        <w:t>AM_Com_LegReport</w:t>
      </w:r>
    </w:p>
    <w:p w:rsidR="00746743" w:rsidRPr="00B8029D" w:rsidRDefault="00D66AC8" w:rsidP="00746743">
      <w:pPr>
        <w:pStyle w:val="AmNumberTabs"/>
      </w:pPr>
      <w:r w:rsidRPr="00B8029D">
        <w:br w:type="page"/>
      </w:r>
      <w:r w:rsidR="00746743" w:rsidRPr="00B8029D">
        <w:rPr>
          <w:rStyle w:val="HideTWBExt"/>
          <w:b w:val="0"/>
        </w:rPr>
        <w:lastRenderedPageBreak/>
        <w:t>&lt;RepeatBlock-Amend&gt;&lt;Amend&gt;</w:t>
      </w:r>
      <w:r w:rsidR="00746743" w:rsidRPr="00B8029D">
        <w:t>Amendement</w:t>
      </w:r>
      <w:r w:rsidR="00746743" w:rsidRPr="00B8029D">
        <w:tab/>
      </w:r>
      <w:r w:rsidR="00746743" w:rsidRPr="00B8029D">
        <w:tab/>
      </w:r>
      <w:r w:rsidR="00746743" w:rsidRPr="00B8029D">
        <w:rPr>
          <w:rStyle w:val="HideTWBExt"/>
          <w:b w:val="0"/>
        </w:rPr>
        <w:t>&lt;NumAm&gt;</w:t>
      </w:r>
      <w:r w:rsidR="00746743" w:rsidRPr="00B8029D">
        <w:t>127</w:t>
      </w:r>
      <w:r w:rsidR="00746743"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Stephen Nikola Bartulica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1</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De overeenkomst tot instelling van de Algemene Visserijcommissie voor de Middellandse Zee (“de GFCM-overeenkomst”) biedt een adequaat kader voor multilaterale samenwerking ter bevordering van de ontwikkeling, de instandhouding, het rationele beheer en het optimale gebruik van levende mariene hulpbronnen in de Middellandse Zee en de Zwarte Zee op een niveau dat als duurzaam wordt beschouwd en waarbij het risico van instorting gering is.</w:t>
            </w:r>
          </w:p>
        </w:tc>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De overeenkomst tot instelling van de Algemene Visserijcommissie voor de Middellandse Zee (“de GFCM-overeenkomst”) biedt een adequaat kader voor multilaterale samenwerking ter bevordering van de ontwikkeling, de instandhouding, het rationele beheer en het optimale gebruik van levende mariene hulpbronnen in de Middellandse Zee en de Zwarte Zee op een niveau dat als duurzaam wordt beschouwd en waarbij het risico van instorting gering is</w:t>
            </w:r>
            <w:r w:rsidRPr="00B8029D">
              <w:rPr>
                <w:b/>
                <w:bCs/>
                <w:i/>
                <w:iCs/>
              </w:rPr>
              <w:t>,</w:t>
            </w:r>
            <w:r w:rsidRPr="00B8029D">
              <w:t xml:space="preserve"> </w:t>
            </w:r>
            <w:r w:rsidRPr="00B8029D">
              <w:rPr>
                <w:b/>
                <w:bCs/>
                <w:i/>
                <w:iCs/>
              </w:rPr>
              <w:t>in overeenstemming met de wetenschappelijke aanbevelingen waarin een sociaal-economische analyse is opgenomen</w:t>
            </w:r>
            <w:r w:rsidRPr="00B8029D">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{HR}</w:t>
      </w:r>
      <w:r w:rsidRPr="00B8029D">
        <w:t>hr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128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1</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De overeenkomst tot instelling van de Algemene Visserijcommissie voor de Middellandse Zee (“de GFCM-overeenkomst”) biedt een adequaat kader voor multilaterale samenwerking ter bevordering van de ontwikkeling, de instandhouding, het rationele beheer en het optimale gebruik van levende mariene hulpbronnen in de Middellandse Zee en de Zwarte Zee</w:t>
            </w:r>
            <w:r w:rsidRPr="00B8029D">
              <w:rPr>
                <w:b/>
                <w:i/>
              </w:rPr>
              <w:t xml:space="preserve"> op een niveau dat als duurzaam wordt beschouwd en waarbij </w:t>
            </w:r>
            <w:r w:rsidRPr="00B8029D">
              <w:rPr>
                <w:b/>
                <w:i/>
              </w:rPr>
              <w:lastRenderedPageBreak/>
              <w:t>het risico van instorting gering is</w:t>
            </w:r>
            <w:r w:rsidRPr="00B8029D">
              <w:t>.</w:t>
            </w:r>
          </w:p>
        </w:tc>
        <w:tc>
          <w:tcPr>
            <w:tcW w:w="4876" w:type="dxa"/>
            <w:tcBorders>
              <w:top w:val="nil"/>
              <w:left w:val="nil"/>
              <w:bottom w:val="nil"/>
              <w:right w:val="nil"/>
            </w:tcBorders>
            <w:hideMark/>
          </w:tcPr>
          <w:p w:rsidR="00746743" w:rsidRPr="00B8029D" w:rsidRDefault="00746743" w:rsidP="00C93613">
            <w:pPr>
              <w:pStyle w:val="Normal6a"/>
            </w:pPr>
            <w:r w:rsidRPr="00B8029D">
              <w:lastRenderedPageBreak/>
              <w:t>(1)</w:t>
            </w:r>
            <w:r w:rsidRPr="00B8029D">
              <w:tab/>
              <w:t>De overeenkomst tot instelling van de Algemene Visserijcommissie voor de Middellandse Zee (“de GFCM-overeenkomst”) biedt een adequaat kader voor multilaterale samenwerking ter bevordering van de ontwikkeling, de instandhouding, het rationele beheer en het optimale gebruik van levende mariene hulpbronnen in de Middellandse Zee en de Zwarte Zee.</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129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Giuseppe Milazzo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1 bis (nieuw)</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bis)</w:t>
            </w:r>
            <w:r w:rsidRPr="00B8029D">
              <w:tab/>
            </w:r>
            <w:r w:rsidRPr="00B8029D">
              <w:rPr>
                <w:b/>
                <w:i/>
              </w:rPr>
              <w:t>Er moeten instandhoudings-, beheers- en controlemaatregelen voor belangrijke bestanden in de Middellandse Zee en de Zwarte Zee worden voorgesteld die in overeenstemming zijn met het wetenschappelijk advies en tegelijk rekening houden met de sociaal-economische gevolgen.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1 bis (nieuw)</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bis)</w:t>
            </w:r>
            <w:r w:rsidRPr="00B8029D">
              <w:tab/>
            </w:r>
            <w:r w:rsidRPr="00B8029D">
              <w:rPr>
                <w:b/>
                <w:i/>
              </w:rPr>
              <w:t>Dat de Europese vissersvloot in de Middellandse Zee aanzienlijke inspanningen heeft geleverd met betrekking tot verschillende beheersplannen;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Stephen Nikola Bartulica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lastRenderedPageBreak/>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3</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t>De aanbevelingen van de Algemene Visserijcommissie voor de Middellandse Zee (GFCM) zijn bindend voor haar overeenkomstsluitende partijen. Die aanbevelingen zijn dus bindend voor de Unie en moeten derhalve in Unierecht worden geïmplementeerd, tenzij deze al inhoudelijk door het Unierecht worden afgedekt. De Unie moet ervoor zorgen dat visserijactiviteiten van de Unie buiten de Uniewateren berusten op dezelfde beginselen en normen als die welke in het kader van het Unierecht gelden, en dat tegelijk een eerlijke concurrentie tussen marktdeelnemers uit de Unie en die uit derde landen wordt bevorderd.</w:t>
            </w:r>
          </w:p>
        </w:tc>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t xml:space="preserve">De aanbevelingen van de Algemene Visserijcommissie voor de Middellandse Zee (GFCM) zijn bindend voor haar overeenkomstsluitende partijen. Die aanbevelingen zijn dus bindend voor de Unie en moeten derhalve in Unierecht worden geïmplementeerd, tenzij deze al inhoudelijk door het Unierecht worden afgedekt. De Unie moet ervoor zorgen dat visserijactiviteiten van de Unie buiten de Uniewateren berusten op dezelfde beginselen en normen als die welke in het kader van het Unierecht gelden, en dat tegelijk een eerlijke concurrentie tussen marktdeelnemers uit de Unie en die uit derde landen wordt bevorderd. </w:t>
            </w:r>
            <w:r w:rsidRPr="00B8029D">
              <w:rPr>
                <w:b/>
                <w:i/>
              </w:rPr>
              <w:t>De GFCM-aanbevelingen moeten strikt worden omgezet om een gelijk speelveld tot stand te brengen voor alle marktdeelnemers, zonder hen meer te belasten dan nodig is als gevolg van de wettelijke grenzen die zijn vastgesteld in de GFCM-aanbevelingen.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{HR}</w:t>
      </w:r>
      <w:r w:rsidRPr="00B8029D">
        <w:t>hr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Giuseppe Milazzo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3</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t xml:space="preserve">De aanbevelingen van de Algemene Visserijcommissie voor de Middellandse Zee (GFCM) zijn bindend voor haar overeenkomstsluitende partijen. Die aanbevelingen zijn dus bindend voor de Unie en moeten derhalve in Unierecht worden geïmplementeerd, tenzij deze al </w:t>
            </w:r>
            <w:r w:rsidRPr="00B8029D">
              <w:lastRenderedPageBreak/>
              <w:t>inhoudelijk door het Unierecht worden afgedekt. De Unie moet ervoor zorgen dat visserijactiviteiten van de Unie buiten de Uniewateren berusten op dezelfde beginselen en normen als die welke in het kader van het Unierecht gelden, en dat tegelijk een eerlijke concurrentie tussen marktdeelnemers uit de Unie en die uit derde landen wordt bevorderd.</w:t>
            </w:r>
          </w:p>
        </w:tc>
        <w:tc>
          <w:tcPr>
            <w:tcW w:w="4876" w:type="dxa"/>
            <w:tcBorders>
              <w:top w:val="nil"/>
              <w:left w:val="nil"/>
              <w:bottom w:val="nil"/>
              <w:right w:val="nil"/>
            </w:tcBorders>
            <w:hideMark/>
          </w:tcPr>
          <w:p w:rsidR="00746743" w:rsidRPr="00B8029D" w:rsidRDefault="00746743" w:rsidP="00C93613">
            <w:pPr>
              <w:pStyle w:val="Normal6a"/>
            </w:pPr>
            <w:r w:rsidRPr="00B8029D">
              <w:lastRenderedPageBreak/>
              <w:t>(3)</w:t>
            </w:r>
            <w:r w:rsidRPr="00B8029D">
              <w:tab/>
              <w:t xml:space="preserve">De aanbevelingen van de Algemene Visserijcommissie voor de Middellandse Zee (GFCM) zijn bindend voor haar overeenkomstsluitende partijen. Die aanbevelingen zijn dus bindend voor de Unie en moeten derhalve in Unierecht worden geïmplementeerd, </w:t>
            </w:r>
            <w:r w:rsidRPr="00B8029D">
              <w:rPr>
                <w:b/>
                <w:i/>
              </w:rPr>
              <w:t xml:space="preserve">teneinde een </w:t>
            </w:r>
            <w:r w:rsidRPr="00B8029D">
              <w:rPr>
                <w:b/>
                <w:i/>
              </w:rPr>
              <w:lastRenderedPageBreak/>
              <w:t xml:space="preserve">gelijk speelveld te waarborgen voor de marktdeelnemers uit de Unie ten opzichte van marktdeelnemers uit andere partijen bij de GFCM, </w:t>
            </w:r>
            <w:r w:rsidRPr="00B8029D">
              <w:t>tenzij deze</w:t>
            </w:r>
            <w:r w:rsidRPr="00B8029D">
              <w:rPr>
                <w:b/>
                <w:i/>
              </w:rPr>
              <w:t xml:space="preserve"> aanbevelingen</w:t>
            </w:r>
            <w:r w:rsidRPr="00B8029D">
              <w:t xml:space="preserve"> al inhoudelijk door het Unierecht worden afgedekt. De Unie moet ervoor zorgen dat visserijactiviteiten van de Unie buiten de Uniewateren berusten op dezelfde beginselen en normen als die welke in het kader van het Unierecht gelden, en dat tegelijk een eerlijke concurrentie tussen marktdeelnemers uit de Unie en die uit derde landen wordt bevorderd.</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{IT}</w:t>
      </w:r>
      <w:r w:rsidRPr="00B8029D">
        <w:t>it</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Giuseppe Milazzo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3</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t>De aanbevelingen van de Algemene Visserijcommissie voor de Middellandse Zee (GFCM) zijn bindend voor haar overeenkomstsluitende partijen. Die aanbevelingen zijn dus bindend voor de Unie en moeten derhalve in Unierecht worden geïmplementeerd, tenzij deze al inhoudelijk door het Unierecht worden afgedekt. De Unie moet ervoor zorgen dat visserijactiviteiten van de Unie buiten de Uniewateren berusten op dezelfde beginselen en normen als die welke in het kader van het Unierecht gelden, en dat tegelijk een eerlijke concurrentie tussen marktdeelnemers uit de Unie en die uit derde landen wordt bevorderd.</w:t>
            </w:r>
          </w:p>
        </w:tc>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t>De aanbevelingen van de Algemene Visserijcommissie voor de Middellandse Zee (GFCM) zijn bindend voor haar overeenkomstsluitende partijen</w:t>
            </w:r>
            <w:r w:rsidRPr="00B8029D">
              <w:rPr>
                <w:b/>
                <w:i/>
              </w:rPr>
              <w:t xml:space="preserve"> en waarborgen dat technische maatregelen worden vastgesteld in de geest van een gelijk speelveld voor alle verdragsluitende partijen</w:t>
            </w:r>
            <w:r w:rsidRPr="00B8029D">
              <w:t>. Die aanbevelingen zijn dus bindend voor de Unie en moeten derhalve in Unierecht worden geïmplementeerd, tenzij deze al inhoudelijk door het Unierecht worden afgedekt. De Unie moet ervoor zorgen dat visserijactiviteiten van de Unie buiten de Uniewateren berusten op dezelfde beginselen en normen als die welke in het kader van het Unierecht gelden, en dat tegelijk een eerlijke concurrentie tussen marktdeelnemers uit de Unie en die uit derde landen wordt bevorderd.</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lastRenderedPageBreak/>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3</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t>De aanbevelingen van de Algemene Visserijcommissie voor de Middellandse Zee (GFCM) zijn bindend voor haar overeenkomstsluitende partijen. Die aanbevelingen zijn dus bindend voor de Unie en moeten derhalve in Unierecht worden geïmplementeerd, tenzij deze al inhoudelijk door het Unierecht worden afgedekt. De Unie moet ervoor zorgen dat visserijactiviteiten van de Unie buiten de Uniewateren berusten op dezelfde beginselen en normen als die welke in het kader van het Unierecht gelden, en dat tegelijk een eerlijke concurrentie tussen marktdeelnemers uit de Unie en die uit derde landen wordt bevorderd.</w:t>
            </w:r>
          </w:p>
        </w:tc>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t>De aanbevelingen van de Algemene Visserijcommissie voor de Middellandse Zee (GFCM) zijn bindend voor haar overeenkomstsluitende partijen. Die aanbevelingen zijn dus bindend voor de Unie en moeten derhalve in Unierecht worden geïmplementeerd, tenzij deze al inhoudelijk door het Unierecht worden afgedekt</w:t>
            </w:r>
            <w:r w:rsidRPr="00B8029D">
              <w:rPr>
                <w:b/>
                <w:i/>
              </w:rPr>
              <w:t>, waarbij overimplementatie wordt vermeden</w:t>
            </w:r>
            <w:r w:rsidRPr="00B8029D">
              <w:t>. De Unie moet ervoor zorgen dat visserijactiviteiten van de Unie buiten de Uniewateren berusten op dezelfde beginselen en normen als die welke in het kader van het Unierecht gelden, en dat tegelijk een eerlijke concurrentie tussen marktdeelnemers uit de Unie en die uit derde landen wordt bevorderd.</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Emma Wiesner, Oihane Agirregoitia Martínez</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3 bis (nieuw)</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bis)</w:t>
            </w:r>
            <w:r w:rsidRPr="00B8029D">
              <w:tab/>
            </w:r>
            <w:r w:rsidRPr="00B8029D">
              <w:rPr>
                <w:b/>
                <w:i/>
              </w:rPr>
              <w:t xml:space="preserve">Het is van belang dat de Unie haar internationale verplichting tijdig en op correcte wijze nakomt. Dit is nodig om de marktdeelnemers voorspelbaarheid te bieden en een gelijk speelveld te waarborgen, en om ervoor te zorgen dat we een betrouwbare internationale </w:t>
            </w:r>
            <w:r w:rsidRPr="00B8029D">
              <w:rPr>
                <w:b/>
                <w:i/>
              </w:rPr>
              <w:lastRenderedPageBreak/>
              <w:t>partner zijn. Hiervoor is het van groot belang dat de relevante instellingen in de EU een goed functionerende samenwerking ontwikkelen die sterke onderhandelingsstandpunten oplevert die na goedkeuring door de GFCM snel in het EU-recht kunnen worden opgenomen. De huidige vertraging bij de vervulling van onze internationale verplichtingen moet sneller worden afgebouwd.</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Stephen Nikola Bartulica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3 bis (nieuw)</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bis)</w:t>
            </w:r>
            <w:r w:rsidRPr="00B8029D">
              <w:tab/>
            </w:r>
            <w:r w:rsidRPr="00B8029D">
              <w:rPr>
                <w:b/>
                <w:i/>
              </w:rPr>
              <w:t>Voor EU-vissersvaartuigen gelden geen andere of strengere maatregelen dan die welke gelden voor andere overeenkomstsluitende partijen bij de GFCM.</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{HR}</w:t>
      </w:r>
      <w:r w:rsidRPr="00B8029D">
        <w:t>hr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6</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(6)</w:t>
            </w:r>
            <w:r w:rsidRPr="00B8029D">
              <w:tab/>
              <w:t>De onderhavige verordening moet de maatregelen van de hieronder genoemde aanbevelingen</w:t>
            </w:r>
            <w:r w:rsidRPr="00B8029D">
              <w:rPr>
                <w:b/>
                <w:i/>
              </w:rPr>
              <w:t xml:space="preserve"> die nog</w:t>
            </w:r>
            <w:r w:rsidRPr="00B8029D">
              <w:t xml:space="preserve"> niet door het </w:t>
            </w:r>
            <w:r w:rsidRPr="00B8029D">
              <w:rPr>
                <w:b/>
                <w:i/>
              </w:rPr>
              <w:t>Unierecht</w:t>
            </w:r>
            <w:r w:rsidRPr="00B8029D">
              <w:t xml:space="preserve"> worden afgedekt, implementeren in Unierecht.</w:t>
            </w:r>
          </w:p>
        </w:tc>
        <w:tc>
          <w:tcPr>
            <w:tcW w:w="4876" w:type="dxa"/>
            <w:tcBorders>
              <w:top w:val="nil"/>
              <w:left w:val="nil"/>
              <w:bottom w:val="nil"/>
              <w:right w:val="nil"/>
            </w:tcBorders>
            <w:hideMark/>
          </w:tcPr>
          <w:p w:rsidR="00746743" w:rsidRPr="00B8029D" w:rsidRDefault="00746743" w:rsidP="00C93613">
            <w:pPr>
              <w:pStyle w:val="Normal6a"/>
            </w:pPr>
            <w:r w:rsidRPr="00B8029D">
              <w:t>(6)</w:t>
            </w:r>
            <w:r w:rsidRPr="00B8029D">
              <w:tab/>
              <w:t>De onderhavige verordening moet de maatregelen van de hieronder genoemde aanbevelingen</w:t>
            </w:r>
            <w:r w:rsidRPr="00B8029D">
              <w:rPr>
                <w:b/>
                <w:i/>
              </w:rPr>
              <w:t>, indien deze</w:t>
            </w:r>
            <w:r w:rsidRPr="00B8029D">
              <w:t xml:space="preserve"> niet </w:t>
            </w:r>
            <w:r w:rsidRPr="00B8029D">
              <w:rPr>
                <w:b/>
                <w:i/>
              </w:rPr>
              <w:t xml:space="preserve">reeds </w:t>
            </w:r>
            <w:r w:rsidRPr="00B8029D">
              <w:t xml:space="preserve">door het </w:t>
            </w:r>
            <w:r w:rsidRPr="00B8029D">
              <w:rPr>
                <w:b/>
                <w:i/>
              </w:rPr>
              <w:t>gemeenschapsrecht</w:t>
            </w:r>
            <w:r w:rsidRPr="00B8029D">
              <w:t xml:space="preserve"> worden afgedekt, implementeren in Unierecht</w:t>
            </w:r>
            <w:r w:rsidRPr="00B8029D">
              <w:rPr>
                <w:b/>
                <w:i/>
              </w:rPr>
              <w:t>, waarbij overimplementatie wordt vermeden</w:t>
            </w:r>
            <w:r w:rsidRPr="00B8029D">
              <w:t>.</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6 bis (nieuw)</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(6 bis)</w:t>
            </w:r>
            <w:r w:rsidRPr="00B8029D">
              <w:tab/>
            </w:r>
            <w:r w:rsidRPr="00B8029D">
              <w:rPr>
                <w:b/>
                <w:i/>
              </w:rPr>
              <w:t>De bepalingen van de GFCM-overeenkomst moeten correct worden omgezet waarbij rekening wordt gehouden met de sociaaleconomische gevolgen;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139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7</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(7)</w:t>
            </w:r>
            <w:r w:rsidRPr="00B8029D">
              <w:tab/>
              <w:t>Op haar jaarvergadering van 2021 heeft de GFCM Aanbeveling GFCM/44/2021/2 inzake de instelling van een voor de visserij beperkt gebied in het Jabuka/Pomo Pit-gebied in de Adriatische Zee en tot wijziging van Aanbeveling GFCM/41/2017/3 en Aanbeveling GFCM/44/2021/5 inzake de instelling van een voor de visserij beperkt gebied in de Golfe du Lion ter bescherming van paaiconcentraties en van kwetsbare diepzeehabitats en tot intrekking van Aanbeveling GFCM/33/2009/1 aangenomen.</w:t>
            </w:r>
          </w:p>
        </w:tc>
        <w:tc>
          <w:tcPr>
            <w:tcW w:w="4876" w:type="dxa"/>
            <w:tcBorders>
              <w:top w:val="nil"/>
              <w:left w:val="nil"/>
              <w:bottom w:val="nil"/>
              <w:right w:val="nil"/>
            </w:tcBorders>
            <w:hideMark/>
          </w:tcPr>
          <w:p w:rsidR="00746743" w:rsidRPr="00B8029D" w:rsidRDefault="00746743" w:rsidP="00C93613">
            <w:pPr>
              <w:pStyle w:val="Normal6a"/>
            </w:pPr>
            <w:r w:rsidRPr="00B8029D">
              <w:t>(7)</w:t>
            </w:r>
            <w:r w:rsidRPr="00B8029D">
              <w:tab/>
              <w:t xml:space="preserve">Op haar jaarvergadering van 2021 heeft de GFCM Aanbeveling GFCM/44/2021/2 inzake de instelling van een voor de visserij beperkt gebied in het Jabuka/Pomo Pit-gebied in de Adriatische Zee en tot wijziging van Aanbeveling GFCM/41/2017/3 en Aanbeveling GFCM/44/2021/5 inzake de instelling van een voor de visserij beperkt gebied in de Golfe du Lion ter bescherming van paaiconcentraties en van kwetsbare diepzeehabitats en tot intrekking van Aanbeveling GFCM/33/2009/1 aangenomen. </w:t>
            </w:r>
            <w:r w:rsidRPr="00B8029D">
              <w:rPr>
                <w:b/>
                <w:i/>
              </w:rPr>
              <w:t xml:space="preserve">De Unie moet in de komende jaren meer inspanningen leveren om het niveau van bescherming van het voor de visserij beperkt gebied in de Golfe du Lion </w:t>
            </w:r>
            <w:r w:rsidRPr="00B8029D">
              <w:rPr>
                <w:b/>
                <w:i/>
              </w:rPr>
              <w:lastRenderedPageBreak/>
              <w:t>te verhogen door een permanente sluiting voor bodemberoerend vistuig in te voeren om ervoor te zorgen dat er een herstel van de vispopulaties en de mariene ecosystemen optreedt in dit gebied, dat een prioritair gebied voor instandhouding in de Middellandse Zee is.</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140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9</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(9)</w:t>
            </w:r>
            <w:r w:rsidRPr="00B8029D">
              <w:tab/>
              <w:t>Daarnaast heeft de GFCM op haar jaarvergadering van 2021 Aanbeveling GFCM/44/2021/13 inzake de beperking van de gevolgen van de visserij voor de instandhouding van zeevogels in de Middellandse Zee, Aanbeveling GFCM/44/2021/14 inzake de beperking van de gevolgen van de visserij voor de instandhouding van zeeschildpadden, Aanbeveling GFCM/44/2021/15 inzake de beperking van de gevolgen van de visserij voor de instandhouding van walvisachtigen en Aanbeveling GFCM/44/2021/16 inzake aanvullende mitigerende maatregelen voor de instandhouding van Elasmobranchii in de Middellandse Zee aangenomen.</w:t>
            </w:r>
          </w:p>
        </w:tc>
        <w:tc>
          <w:tcPr>
            <w:tcW w:w="4876" w:type="dxa"/>
            <w:tcBorders>
              <w:top w:val="nil"/>
              <w:left w:val="nil"/>
              <w:bottom w:val="nil"/>
              <w:right w:val="nil"/>
            </w:tcBorders>
            <w:hideMark/>
          </w:tcPr>
          <w:p w:rsidR="00746743" w:rsidRPr="00B8029D" w:rsidRDefault="00746743" w:rsidP="00C93613">
            <w:pPr>
              <w:pStyle w:val="Normal6a"/>
            </w:pPr>
            <w:r w:rsidRPr="00B8029D">
              <w:t>(9)</w:t>
            </w:r>
            <w:r w:rsidRPr="00B8029D">
              <w:tab/>
              <w:t xml:space="preserve">Daarnaast heeft de GFCM op haar jaarvergadering van 2021 Aanbeveling GFCM/44/2021/13 inzake de beperking van de gevolgen van de visserij voor de instandhouding van zeevogels in de Middellandse Zee, Aanbeveling GFCM/44/2021/14 inzake de beperking van de gevolgen van de visserij voor de instandhouding van zeeschildpadden, Aanbeveling GFCM/44/2021/15 inzake de beperking van de gevolgen van de visserij voor de instandhouding van walvisachtigen en Aanbeveling GFCM/44/2021/16 inzake aanvullende mitigerende maatregelen voor de instandhouding van Elasmobranchii in de Middellandse Zee aangenomen. </w:t>
            </w:r>
            <w:r w:rsidRPr="00B8029D">
              <w:rPr>
                <w:b/>
                <w:i/>
              </w:rPr>
              <w:t>Een van de doelstellingen van de verordening technische maatregelen (Verordening (EU) 2019/1241) is incidentele vangsten van kwetsbare mariene soorten tot een minimum te beperken en waar mogelijk uit te bannen. Daarom moeten de lidstaten meer actie ondernemen en maatregelen vaststellen om de bijvangst van kwetsbare soorten te beperken of, waar mogelijk, uit te bannen.</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141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13</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(13)</w:t>
            </w:r>
            <w:r w:rsidRPr="00B8029D">
              <w:tab/>
            </w:r>
            <w:r w:rsidRPr="00B8029D">
              <w:rPr>
                <w:b/>
                <w:i/>
              </w:rPr>
              <w:t>Op haar jaarvergadering van 2022 heeft de GFCM Aanbeveling GFCM/45/2022/1 inzake een meerjarig beheersplan voor Europese aal in de Middellandse Zee en tot wijziging van Aanbeveling GFCM/42/2018/1 aangenomen.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Ingetrokken bij de nieuwe Aanbeveling GFCM/46/2023/16, die is opgenomen in de nieuwe overweging 23 bis.</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142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14</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(14)</w:t>
            </w:r>
            <w:r w:rsidRPr="00B8029D">
              <w:tab/>
            </w:r>
            <w:r w:rsidRPr="00B8029D">
              <w:rPr>
                <w:b/>
                <w:i/>
              </w:rPr>
              <w:t>Op haar jaarvergadering van 2022 heeft de GFCM ook Aanbeveling GFCM/45/2022/2 inzake een beheersplan voor de duurzame exploitatie van roodkoraal in de Middellandse Zee en tot wijziging van Aanbeveling GFCM/43/2019/4 aangenomen.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lastRenderedPageBreak/>
        <w:t>&lt;TitreJust&gt;</w:t>
      </w:r>
      <w:r w:rsidRPr="00B8029D">
        <w:t>Motivering</w:t>
      </w:r>
      <w:r w:rsidRPr="00B8029D">
        <w:rPr>
          <w:rStyle w:val="HideTWBExt"/>
          <w:i w:val="0"/>
        </w:rPr>
        <w:t>&lt;/TitreJust&gt;</w:t>
      </w:r>
    </w:p>
    <w:p w:rsidR="00746743" w:rsidRPr="00B8029D" w:rsidRDefault="00746743" w:rsidP="00746743">
      <w:pPr>
        <w:pStyle w:val="AmJustText"/>
      </w:pPr>
      <w:r w:rsidRPr="00B8029D">
        <w:t>Vervangen door GFCM/47/2024/2, op te nemen als nieuwe overweging 23 ter.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143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21</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(21)</w:t>
            </w:r>
            <w:r w:rsidRPr="00B8029D">
              <w:tab/>
              <w:t>Op haar jaarvergadering van 2022 heeft de GFCM tevens Aanbeveling GFCM/45/2022/11 inzake de vaststelling van een reeks minimumnormen inzake voor de visserij beperkte gebieden in het GFCM-toepassingsgebied aangenomen.</w:t>
            </w:r>
          </w:p>
        </w:tc>
        <w:tc>
          <w:tcPr>
            <w:tcW w:w="4876" w:type="dxa"/>
            <w:tcBorders>
              <w:top w:val="nil"/>
              <w:left w:val="nil"/>
              <w:bottom w:val="nil"/>
              <w:right w:val="nil"/>
            </w:tcBorders>
            <w:hideMark/>
          </w:tcPr>
          <w:p w:rsidR="00746743" w:rsidRPr="00B8029D" w:rsidRDefault="00746743" w:rsidP="00C93613">
            <w:pPr>
              <w:pStyle w:val="Normal6a"/>
            </w:pPr>
            <w:r w:rsidRPr="00B8029D">
              <w:t>(21)</w:t>
            </w:r>
            <w:r w:rsidRPr="00B8029D">
              <w:tab/>
              <w:t xml:space="preserve">Op haar jaarvergadering van 2022 heeft de GFCM tevens Aanbeveling GFCM/45/2022/11 inzake de vaststelling van een reeks minimumnormen inzake voor de visserij beperkte gebieden in het GFCM-toepassingsgebied aangenomen. </w:t>
            </w:r>
            <w:r w:rsidRPr="00B8029D">
              <w:rPr>
                <w:b/>
                <w:i/>
              </w:rPr>
              <w:t>In voor de visserij beperkte gebieden in de Middellandse Zee met een toereikend niveau van bescherming worden incidentele vangsten tot een minimum beperkt, worden paai- en kraamgebieden en jonge exemplaren beschermd en worden de effecten op kwetsbare habitats, met name de zeebodem, beperkt. Daarom moet de Unie het netwerk van voor de visserij beperkte gebieden uitbreiden en het beschermingsniveau ervan verhogen.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144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23 bis (nieuw)</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(23 bis)</w:t>
            </w:r>
            <w:r w:rsidRPr="00B8029D">
              <w:tab/>
            </w:r>
            <w:r w:rsidRPr="00B8029D">
              <w:rPr>
                <w:b/>
                <w:i/>
              </w:rPr>
              <w:t xml:space="preserve">Op haar jaarvergadering van 2023 heeft de GFCM tevens Aanbeveling GFCM/46/2023/16 inzake een langetermijnbeheersplan voor </w:t>
            </w:r>
            <w:r w:rsidRPr="00B8029D">
              <w:rPr>
                <w:b/>
                <w:i/>
              </w:rPr>
              <w:lastRenderedPageBreak/>
              <w:t>Europese aal in de Middellandse Zee en tot intrekking van de Aanbevelingen GFCM/45/2022/1 en GFCM/42/2018/1 aangenomen.</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145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23 ter (nieuw)</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(23 ter)</w:t>
            </w:r>
            <w:r w:rsidRPr="00B8029D">
              <w:tab/>
            </w:r>
            <w:r w:rsidRPr="00B8029D">
              <w:rPr>
                <w:b/>
                <w:i/>
              </w:rPr>
              <w:t>Voorts heeft de GFCM op haar jaarvergadering van 2024 Aanbeveling GFCM/47/2024/2 inzake langetermijnmaatregelen voor de duurzame exploitatie van rood koraal tot wijziging van Aanbeveling GFCM/43/2019/4 en tot intrekking van de Aanbevelingen GFCM/45/2022/2 en GFCM/46/2023/13 aangenomen.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146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24 bis (nieuw)</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(24 bis)</w:t>
            </w:r>
            <w:r w:rsidRPr="00B8029D">
              <w:tab/>
            </w:r>
            <w:r w:rsidRPr="00B8029D">
              <w:rPr>
                <w:b/>
                <w:i/>
              </w:rPr>
              <w:t xml:space="preserve">Op haar jaarvergadering van 2024 heeft de GFCM tevens Aanbeveling GFCM/47/2024/5 inzake de uitvoering van een visserijinspanningsregeling voor de belangrijkste demersale bestanden in de Adriatische Zee (geografische deelgebieden 17 en 18) in 2025 aangenomen, welke voortvloeit uit </w:t>
            </w:r>
            <w:r w:rsidRPr="00B8029D">
              <w:rPr>
                <w:b/>
                <w:i/>
              </w:rPr>
              <w:lastRenderedPageBreak/>
              <w:t>Aanbeveling GFCM/43/2019/5.</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147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Overweging 25 bis (nieuw)</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(25 bis)</w:t>
            </w:r>
            <w:r w:rsidRPr="00B8029D">
              <w:tab/>
            </w:r>
            <w:r w:rsidRPr="00B8029D">
              <w:rPr>
                <w:b/>
                <w:i/>
              </w:rPr>
              <w:t>Voorts heeft de GFCM op haar jaarvergadering van 2024 Aanbeveling GFCM/47/2024/6 inzake de instelling van een voor de visserij beperkt gebied in het Kanaal van Otranto (geografisch deelgebied 18) aangenomen, welke voortvloeit uit Aanbeveling GFCM/43/2019/5 en Resolutie GFCM/44/2021/3.</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148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 – b</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 – punt 9</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9)</w:t>
            </w:r>
            <w:r w:rsidRPr="00B8029D">
              <w:tab/>
            </w:r>
            <w:r w:rsidRPr="00B8029D">
              <w:rPr>
                <w:b/>
                <w:i/>
              </w:rPr>
              <w:t>“voor de visserij beperkt gebied”: een geografisch afgebakend gebied waarin bepaalde visserijactiviteiten tijdelijk zijn verboden of beperkt om de instandhouding en het duurzame gebruik van levende mariene hulpbronnen in het GFCM-toepassingsgebied te verbeteren;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lastRenderedPageBreak/>
        <w:t>&lt;Amend&gt;</w:t>
      </w:r>
      <w:r w:rsidRPr="00B8029D">
        <w:t>Amendement</w:t>
      </w:r>
      <w:r w:rsidRPr="00B8029D">
        <w:tab/>
      </w:r>
      <w:r w:rsidRPr="00B8029D">
        <w:tab/>
      </w:r>
      <w:r w:rsidRPr="00B8029D">
        <w:rPr>
          <w:rStyle w:val="HideTWBExt"/>
          <w:b w:val="0"/>
        </w:rPr>
        <w:t>&lt;NumAm&gt;</w:t>
      </w:r>
      <w:r w:rsidRPr="00B8029D">
        <w:t>149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 – b</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 – punt 10</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10)</w:t>
            </w:r>
            <w:r w:rsidRPr="00B8029D">
              <w:tab/>
              <w:t xml:space="preserve">“aangewezen aanlandingsplaats”: havens of plaatsen dicht bij de kust, offshore-terminals en andere installaties voor het aanlanden, overladen, verpakken, verwerken, bijtanken of herbevoorraden van vissersvaartuigen, waar aanlandingen, overladingen, verpakkings- en/of verwerkingsverrichtingen voor visserijproducten zijn toegestaan en die door de overeenkomstsluitende partijen en samenwerkende niet-overeenkomstsluitende partijen zijn aangewezen </w:t>
            </w:r>
            <w:r w:rsidRPr="00B8029D">
              <w:rPr>
                <w:b/>
                <w:i/>
              </w:rPr>
              <w:t>overeenkomstig Aanbeveling GFCM/40/2016/1 inzake een</w:t>
            </w:r>
            <w:r w:rsidRPr="00B8029D">
              <w:t xml:space="preserve"> regionale regeling voor havenstaatmaatregelen ter bestrijding van illegale, ongemelde en ongereglementeerde visserijactiviteiten in het GFCM-toepassingsgebied;</w:t>
            </w:r>
          </w:p>
        </w:tc>
        <w:tc>
          <w:tcPr>
            <w:tcW w:w="4876" w:type="dxa"/>
            <w:tcBorders>
              <w:top w:val="nil"/>
              <w:left w:val="nil"/>
              <w:bottom w:val="nil"/>
              <w:right w:val="nil"/>
            </w:tcBorders>
            <w:hideMark/>
          </w:tcPr>
          <w:p w:rsidR="00746743" w:rsidRPr="00B8029D" w:rsidRDefault="00746743" w:rsidP="00C93613">
            <w:pPr>
              <w:pStyle w:val="Normal6a"/>
            </w:pPr>
            <w:r w:rsidRPr="00B8029D">
              <w:t>10)</w:t>
            </w:r>
            <w:r w:rsidRPr="00B8029D">
              <w:tab/>
              <w:t xml:space="preserve">“aangewezen aanlandingsplaats”: havens of plaatsen dicht bij de kust, offshore-terminals en andere installaties voor het aanlanden, overladen, verpakken, verwerken, bijtanken of herbevoorraden van vissersvaartuigen, waar aanlandingen, overladingen, verpakkings- en/of verwerkingsverrichtingen voor visserijproducten zijn toegestaan en die door de overeenkomstsluitende partijen en samenwerkende niet-overeenkomstsluitende partijen zijn aangewezen </w:t>
            </w:r>
            <w:r w:rsidRPr="00B8029D">
              <w:rPr>
                <w:b/>
                <w:i/>
              </w:rPr>
              <w:t>in het kader van de</w:t>
            </w:r>
            <w:r w:rsidRPr="00B8029D">
              <w:t xml:space="preserve"> regionale regeling voor havenstaatmaatregelen ter bestrijding van illegale, ongemelde en ongereglementeerde visserijactiviteiten in het GFCM-toepassingsgebied;</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De schrapping van de GFCM-aanbeveling is bedoeld om kruisverwijzingen te vermijden.</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Anna Maria Cisint,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4 – alinea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lastRenderedPageBreak/>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Dit hoofdstuk is van toepassing op alle visserijactiviteiten waarbij Europese aal (Anguilla anguilla) wordt gevangen, te weten </w:t>
            </w:r>
            <w:r w:rsidRPr="00B8029D">
              <w:rPr>
                <w:b/>
                <w:i/>
              </w:rPr>
              <w:t>gerichte, incidentele</w:t>
            </w:r>
            <w:r w:rsidRPr="00B8029D">
              <w:t xml:space="preserve"> en recreatievisserij, in alle wateren van de Middellandse Zee als bepaald in bijlage I</w:t>
            </w:r>
            <w:r w:rsidRPr="00B8029D">
              <w:rPr>
                <w:b/>
                <w:i/>
              </w:rPr>
              <w:t>, met inbegrip van zoet water en brakke en overgangswateren zoals lagunen en estuaria</w:t>
            </w:r>
            <w:r w:rsidRPr="00B8029D">
              <w:t>.</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Dit hoofdstuk is van toepassing op alle visserijactiviteiten waarbij Europese aal (Anguilla anguilla) wordt gevangen, te weten </w:t>
            </w:r>
            <w:r w:rsidRPr="00B8029D">
              <w:rPr>
                <w:b/>
                <w:i/>
              </w:rPr>
              <w:t>beroeps-</w:t>
            </w:r>
            <w:r w:rsidRPr="00B8029D">
              <w:t xml:space="preserve"> en recreatievisserij, in alle wateren van de Middellandse Zee als bepaald in bijlage I.</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Binnenwateren kunnen niet worden beschouwd als deel van een marien gebied of als marien gebied, aangezien zij niet onder de bevoegdheid van de GFCM vallen (artikel 3 van de GFCM-overeenkomst). Bovendien kan een incidentele activiteit niet wettelijk worden gereguleerd, omdat een dergelijke activiteit impliciet is uitgesloten van de regulering van de activiteit als zodanig en dus onder het toepassingsgebied van inbreuken op de gereguleerde activiteit valt.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12 – leden 4 en 5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bis)</w:t>
            </w:r>
            <w:r w:rsidRPr="00B8029D">
              <w:tab/>
            </w:r>
            <w:r w:rsidRPr="00B8029D">
              <w:rPr>
                <w:b/>
                <w:i/>
              </w:rPr>
              <w:t>Aan artikel 12 worden de volgende leden toegevoegd:</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De lidstaten zetten een traceerbaarheidssysteem voor aanlandingen, verkoop en uitvoer op aan de hand waarvan de vangsten kunnen worden getraceerd vanaf de toegestane aanlandingsplaats tot de eindbestemming, ongeacht of de exemplaren levend, dood of in verwerkte vorm worden verkocht.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5. Elke lidstaat houdt een geactualiseerde lijst bij van visafslagen, organen of personen die door die lidstaat gemachtigd </w:t>
            </w:r>
            <w:r w:rsidRPr="00B8029D">
              <w:rPr>
                <w:b/>
                <w:i/>
              </w:rPr>
              <w:lastRenderedPageBreak/>
              <w:t>zijn voor de eerste afzet van Europese aal.”.</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Paragrafen 42 en 43 van GFCM/46/2023/16.</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Anna Maria Cisint,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 – inleidende formule</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r>
            <w:r w:rsidRPr="00B8029D">
              <w:rPr>
                <w:b/>
                <w:i/>
              </w:rPr>
              <w:t>Het</w:t>
            </w:r>
            <w:r w:rsidRPr="00B8029D">
              <w:t xml:space="preserve"> volgende </w:t>
            </w:r>
            <w:r w:rsidRPr="00B8029D">
              <w:rPr>
                <w:b/>
                <w:i/>
              </w:rPr>
              <w:t>artikel</w:t>
            </w:r>
            <w:r w:rsidRPr="00B8029D">
              <w:t xml:space="preserve"> 12</w:t>
            </w:r>
            <w:r w:rsidRPr="00B8029D">
              <w:rPr>
                <w:b/>
                <w:i/>
              </w:rPr>
              <w:t xml:space="preserve"> </w:t>
            </w:r>
            <w:r w:rsidRPr="00B8029D">
              <w:t xml:space="preserve">bis </w:t>
            </w:r>
            <w:r w:rsidRPr="00B8029D">
              <w:rPr>
                <w:b/>
                <w:i/>
              </w:rPr>
              <w:t>wordt</w:t>
            </w:r>
            <w:r w:rsidRPr="00B8029D">
              <w:t xml:space="preserve"> ingevoegd tussen de artikelen</w:t>
            </w:r>
            <w:r w:rsidRPr="00B8029D">
              <w:rPr>
                <w:b/>
                <w:i/>
              </w:rPr>
              <w:t xml:space="preserve"> </w:t>
            </w:r>
            <w:r w:rsidRPr="00B8029D">
              <w:t>12 en</w:t>
            </w:r>
            <w:r w:rsidRPr="00B8029D">
              <w:rPr>
                <w:b/>
                <w:i/>
              </w:rPr>
              <w:t xml:space="preserve"> </w:t>
            </w:r>
            <w:r w:rsidRPr="00B8029D">
              <w:t>13:</w:t>
            </w:r>
          </w:p>
        </w:tc>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r>
            <w:r w:rsidRPr="00B8029D">
              <w:rPr>
                <w:b/>
                <w:i/>
              </w:rPr>
              <w:t>De</w:t>
            </w:r>
            <w:r w:rsidRPr="00B8029D">
              <w:t xml:space="preserve"> volgende </w:t>
            </w:r>
            <w:r w:rsidRPr="00B8029D">
              <w:rPr>
                <w:b/>
                <w:i/>
              </w:rPr>
              <w:t>artikelen</w:t>
            </w:r>
            <w:r w:rsidRPr="00B8029D">
              <w:t xml:space="preserve"> 12</w:t>
            </w:r>
            <w:r w:rsidRPr="00B8029D">
              <w:rPr>
                <w:b/>
                <w:i/>
              </w:rPr>
              <w:t> </w:t>
            </w:r>
            <w:r w:rsidRPr="00B8029D">
              <w:t xml:space="preserve">bis </w:t>
            </w:r>
            <w:r w:rsidRPr="00B8029D">
              <w:rPr>
                <w:b/>
                <w:i/>
              </w:rPr>
              <w:t>en 12 ter worden</w:t>
            </w:r>
            <w:r w:rsidRPr="00B8029D">
              <w:t xml:space="preserve"> ingevoegd tussen de artikelen</w:t>
            </w:r>
            <w:r w:rsidRPr="00B8029D">
              <w:rPr>
                <w:b/>
                <w:i/>
              </w:rPr>
              <w:t> </w:t>
            </w:r>
            <w:r w:rsidRPr="00B8029D">
              <w:t>12 en</w:t>
            </w:r>
            <w:r w:rsidRPr="00B8029D">
              <w:rPr>
                <w:b/>
                <w:i/>
              </w:rPr>
              <w:t> </w:t>
            </w:r>
            <w:r w:rsidRPr="00B8029D">
              <w:t>13:</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 – inleidende formule</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r>
            <w:r w:rsidRPr="00B8029D">
              <w:rPr>
                <w:b/>
                <w:i/>
              </w:rPr>
              <w:t>Het</w:t>
            </w:r>
            <w:r w:rsidRPr="00B8029D">
              <w:t xml:space="preserve"> volgende </w:t>
            </w:r>
            <w:r w:rsidRPr="00B8029D">
              <w:rPr>
                <w:b/>
                <w:i/>
              </w:rPr>
              <w:t>artikel</w:t>
            </w:r>
            <w:r w:rsidRPr="00B8029D">
              <w:t xml:space="preserve"> 12</w:t>
            </w:r>
            <w:r w:rsidRPr="00B8029D">
              <w:rPr>
                <w:b/>
                <w:i/>
              </w:rPr>
              <w:t xml:space="preserve"> </w:t>
            </w:r>
            <w:r w:rsidRPr="00B8029D">
              <w:t xml:space="preserve">bis </w:t>
            </w:r>
            <w:r w:rsidRPr="00B8029D">
              <w:rPr>
                <w:b/>
                <w:i/>
              </w:rPr>
              <w:t>wordt</w:t>
            </w:r>
            <w:r w:rsidRPr="00B8029D">
              <w:t xml:space="preserve"> ingevoegd tussen de artikelen</w:t>
            </w:r>
            <w:r w:rsidRPr="00B8029D">
              <w:rPr>
                <w:b/>
                <w:i/>
              </w:rPr>
              <w:t xml:space="preserve"> </w:t>
            </w:r>
            <w:r w:rsidRPr="00B8029D">
              <w:t>12 en</w:t>
            </w:r>
            <w:r w:rsidRPr="00B8029D">
              <w:rPr>
                <w:b/>
                <w:i/>
              </w:rPr>
              <w:t xml:space="preserve"> </w:t>
            </w:r>
            <w:r w:rsidRPr="00B8029D">
              <w:t>13:</w:t>
            </w:r>
          </w:p>
        </w:tc>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r>
            <w:r w:rsidRPr="00B8029D">
              <w:rPr>
                <w:b/>
                <w:i/>
              </w:rPr>
              <w:t>De</w:t>
            </w:r>
            <w:r w:rsidRPr="00B8029D">
              <w:t xml:space="preserve"> volgende </w:t>
            </w:r>
            <w:r w:rsidRPr="00B8029D">
              <w:rPr>
                <w:b/>
                <w:i/>
              </w:rPr>
              <w:t>artikelen</w:t>
            </w:r>
            <w:r w:rsidRPr="00B8029D">
              <w:t xml:space="preserve"> 12</w:t>
            </w:r>
            <w:r w:rsidRPr="00B8029D">
              <w:rPr>
                <w:b/>
                <w:i/>
              </w:rPr>
              <w:t> </w:t>
            </w:r>
            <w:r w:rsidRPr="00B8029D">
              <w:t xml:space="preserve">bis </w:t>
            </w:r>
            <w:r w:rsidRPr="00B8029D">
              <w:rPr>
                <w:b/>
                <w:i/>
              </w:rPr>
              <w:t>en 12 ter worden</w:t>
            </w:r>
            <w:r w:rsidRPr="00B8029D">
              <w:t xml:space="preserve"> ingevoegd tussen de artikelen</w:t>
            </w:r>
            <w:r w:rsidRPr="00B8029D">
              <w:rPr>
                <w:b/>
                <w:i/>
              </w:rPr>
              <w:t> </w:t>
            </w:r>
            <w:r w:rsidRPr="00B8029D">
              <w:t>12 en</w:t>
            </w:r>
            <w:r w:rsidRPr="00B8029D">
              <w:rPr>
                <w:b/>
                <w:i/>
              </w:rPr>
              <w:t> </w:t>
            </w:r>
            <w:r w:rsidRPr="00B8029D">
              <w:t>13:</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 xml:space="preserve">Anna Maria Cisint, Ton Diepeveen, António Tânger </w:t>
      </w:r>
      <w:r w:rsidRPr="00B8029D">
        <w:lastRenderedPageBreak/>
        <w:t>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12 bis – titel</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Recreatievisserij</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Beroepsvisserij</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Anna Maria Cisint,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12 bis – alinea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De lidstaten zorgen ervoor dat </w:t>
            </w:r>
            <w:r w:rsidRPr="00B8029D">
              <w:rPr>
                <w:b/>
                <w:i/>
              </w:rPr>
              <w:t>recreatievisserij</w:t>
            </w:r>
            <w:r w:rsidRPr="00B8029D">
              <w:t xml:space="preserve"> in alle stadia van </w:t>
            </w:r>
            <w:r w:rsidRPr="00B8029D">
              <w:rPr>
                <w:b/>
                <w:i/>
              </w:rPr>
              <w:t>Europese aal</w:t>
            </w:r>
            <w:r w:rsidRPr="00B8029D">
              <w:t xml:space="preserve"> (glasaal, rode aal, schieraal) in alle </w:t>
            </w:r>
            <w:r w:rsidRPr="00B8029D">
              <w:rPr>
                <w:b/>
                <w:i/>
              </w:rPr>
              <w:t>habitats</w:t>
            </w:r>
            <w:r w:rsidRPr="00B8029D">
              <w:t xml:space="preserve"> verboden is. ;</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De lidstaten zorgen ervoor dat </w:t>
            </w:r>
            <w:r w:rsidRPr="00B8029D">
              <w:rPr>
                <w:b/>
                <w:i/>
              </w:rPr>
              <w:t>beroepsvisserij op aal</w:t>
            </w:r>
            <w:r w:rsidRPr="00B8029D">
              <w:t xml:space="preserve"> in alle stadia van </w:t>
            </w:r>
            <w:r w:rsidRPr="00B8029D">
              <w:rPr>
                <w:b/>
                <w:i/>
              </w:rPr>
              <w:t>de levenscyclus</w:t>
            </w:r>
            <w:r w:rsidRPr="00B8029D">
              <w:t xml:space="preserve"> (glasaal, rode aal, schieraal) in alle </w:t>
            </w:r>
            <w:r w:rsidRPr="00B8029D">
              <w:rPr>
                <w:b/>
                <w:i/>
              </w:rPr>
              <w:t>in bijlage I vermelde wateren van de Middellandse Zee</w:t>
            </w:r>
            <w:r w:rsidRPr="00B8029D">
              <w:t xml:space="preserve"> verboden is</w:t>
            </w:r>
            <w:r w:rsidRPr="00B8029D">
              <w:rPr>
                <w:b/>
                <w:i/>
              </w:rPr>
              <w:t>.”</w:t>
            </w:r>
            <w:r w:rsidRPr="00B8029D">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12 ter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bis)</w:t>
            </w:r>
            <w:r w:rsidRPr="00B8029D">
              <w:tab/>
            </w:r>
            <w:r w:rsidRPr="00B8029D">
              <w:rPr>
                <w:b/>
                <w:i/>
              </w:rPr>
              <w:t>Het volgende artikel 12 ter wordt ingevoegd tussen de artikelen 12 en 13:</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12 ter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Gegevensverzameling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De lidstaten zenden beschikbare gegevens, met inbegrip van ramingen wanneer bekend is dat IOO-visserij voorkomt, toe aan de Commissie of een door haar aangewezen orgaan. De Commissie of een door haar aangewezen orgaan zendt de informatie over IOO-visserij zo snel mogelijk toe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lidstaten zenden de Commissie uiterlijk op 15 december gegevens over vetmestactiviteiten toe. De Commissie zendt die gegevens uiterlijk op 31 december toe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Op vrijwillige basis kunnen de lidstaten ook aanvullende informatie toezenden aan de Commissie, die deze informatie doorzendt naar het GFCM-secretariaat.”.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Paragrafen 28 t/m 30 van GFCM/46/2023/16 en paragraaf 2 van GFCM/41/2017/1.</w:t>
      </w:r>
    </w:p>
    <w:p w:rsidR="00746743" w:rsidRPr="00B8029D" w:rsidRDefault="00746743" w:rsidP="00746743">
      <w:pPr>
        <w:pStyle w:val="AmNumberTabs"/>
        <w:rPr>
          <w:rStyle w:val="HideTWBExt"/>
        </w:rPr>
      </w:pPr>
      <w:r w:rsidRPr="00B8029D">
        <w:rPr>
          <w:rStyle w:val="HideTWBExt"/>
          <w:b w:val="0"/>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12 ter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12 ter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Gegevensverzameling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1. Wanneer bekend is dat IOO-visserij </w:t>
            </w:r>
            <w:r w:rsidRPr="00B8029D">
              <w:rPr>
                <w:b/>
                <w:i/>
              </w:rPr>
              <w:lastRenderedPageBreak/>
              <w:t>voorkomt, worden beschikbare gegevens, met inbegrip van ramingen, ook toegezonden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lidstaten zenden gegevens met betrekking tot vetmestactiviteiten toe aan het GFCM-secretariaat volgens de termijnen die zijn vastgesteld in Aanbeveling GFCM/41/2017/1 inzake de rapportage van gegevens en informatie over aquacultuur en tot intrekking van Aanbeveling GFCM/35/2011/6.</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De lidstaten kunnen ook op vrijwillige basis aanvullende informatie aan het GFCM-secretariaat toezenden, indien mogelijk uiterlijk voor de 47e vergadering van de GFCM.</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GFCM/46/2023/16.</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Anna Maria Cisint,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12 ter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Artikel 12 ter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Recreatievisserij</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De lidstaten zorgen ervoor dat recreatievisserij op aal kan worden toegestaan, zij het alleen in het stadium van rode aal, onder strikt gecontroleerde voorwaarden en op selectieve wijze in kleine hoeveelheden.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lastRenderedPageBreak/>
        <w:t>&lt;TitreJust&gt;</w:t>
      </w:r>
      <w:r w:rsidRPr="00B8029D">
        <w:t>Motivering</w:t>
      </w:r>
      <w:r w:rsidRPr="00B8029D">
        <w:rPr>
          <w:rStyle w:val="HideTWBExt"/>
          <w:i w:val="0"/>
        </w:rPr>
        <w:t>&lt;/TitreJust&gt;</w:t>
      </w:r>
    </w:p>
    <w:p w:rsidR="00746743" w:rsidRPr="00B8029D" w:rsidRDefault="00746743" w:rsidP="00746743">
      <w:pPr>
        <w:pStyle w:val="AmJustText"/>
      </w:pPr>
      <w:r w:rsidRPr="00B8029D">
        <w:t>Recreatievisserij op aal is een zeer belangrijke culturele traditie in verschillende Europese landen. De recreatievisserij op een beperkt aantal exemplaren zou voor korte perioden kunnen worden toegestaan en alleen voor de subvolwassen categorie (rode aal), zodat de paairijpe exemplaren (schieraal) worden beschermd. Een hoge quotumheffing zou geen significant effect hebben op de populatie van de soort op het niveau van de Unie, aangezien dit is inbegrepen in het percentage dat de soort in zijn natuurlijke staat verliest.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159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Isabella Lövin</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{Greens/EFA}</w:t>
      </w:r>
      <w:r w:rsidRPr="00B8029D">
        <w:t>namens de Verts/ALE-Fractie</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12 ter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Artikel 12 ter </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Gegevensverzameling</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tc>
        <w:tc>
          <w:tcPr>
            <w:tcW w:w="4876" w:type="dxa"/>
            <w:tcBorders>
              <w:top w:val="nil"/>
              <w:left w:val="nil"/>
              <w:bottom w:val="nil"/>
              <w:right w:val="nil"/>
            </w:tcBorders>
            <w:hideMark/>
          </w:tcPr>
          <w:p w:rsidR="00746743" w:rsidRPr="00B8029D" w:rsidRDefault="00746743" w:rsidP="00C93613">
            <w:pPr>
              <w:pStyle w:val="Normal6a"/>
            </w:pPr>
            <w:r w:rsidRPr="00B8029D">
              <w:rPr>
                <w:b/>
                <w:i/>
              </w:rPr>
              <w:t>1.</w:t>
            </w:r>
            <w:r w:rsidRPr="00B8029D">
              <w:t xml:space="preserve"> </w:t>
            </w:r>
            <w:r w:rsidRPr="00B8029D">
              <w:rPr>
                <w:b/>
                <w:i/>
              </w:rPr>
              <w:t>Wanneer bekend is dat IOO-visserij voorkomt, worden beschikbare gegevens, met inbegrip van ramingen, ook toegezonden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lidstaten zenden gegevens met betrekking tot vetmestactiviteiten toe aan het GFCM-secretariaat volgens de termijnen die zijn vastgesteld in Aanbeveling GFCM/41/2017/1 inzake de rapportage van gegevens en informatie over aquacultuur en tot intrekking van Aanbeveling GFCM/35/2011/6.</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De lidstaten kunnen ook op vrijwillige basis aanvullende informatie aan het GFCM-secretariaat toezenden, indien mogelijk uiterlijk voor de eerstkomende vergadering van de GFCM.</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(https://eur-lex.europa.eu/eli/reg/2023/2124/oj)</w:t>
      </w:r>
    </w:p>
    <w:p w:rsidR="00746743" w:rsidRPr="00B8029D" w:rsidRDefault="00746743" w:rsidP="00746743">
      <w:pPr>
        <w:pStyle w:val="AmJustTitle"/>
      </w:pPr>
      <w:r w:rsidRPr="00B8029D">
        <w:rPr>
          <w:rStyle w:val="HideTWBExt"/>
          <w:i w:val="0"/>
        </w:rPr>
        <w:lastRenderedPageBreak/>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Paragrafen 28, 29 en 30 van Aanbeveling GFCM/46/2023/16.</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14 bis</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4)</w:t>
            </w:r>
            <w:r w:rsidRPr="00B8029D">
              <w:tab/>
            </w:r>
            <w:r w:rsidRPr="00B8029D">
              <w:rPr>
                <w:b/>
                <w:i/>
              </w:rPr>
              <w:t>Het volgende artikel 14 bis wordt ingevoegd tussen de artikelen 14 en 15:</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“Artikel 14 bis</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Vlootbeheersmaatregelen</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De lidstaten zorgen ervoor dat de totale capaciteit of visserijinspanning van de vloten die met bodemtrawls actief op belangrijke bestanden vissen, uitgedrukt in brutotonnage (BT) en/of brutoregistertonnage (BRT), motorvermogen (kW) en aantal vaartuigen, zoals geregistreerd in zowel het nationale als het GFCM-register, niet groter is dan het aantal vaartuigen of de visserijinspanning voor bordentrawlers die op diepzeegarnaal visten in de jaren 2014-2017 dan wel in een andere periode van drie opeenvolgende jaren, bijvoorbeeld 2015-2018, tenzij het niveau 50 % hoger was dan in de referentieperiode 2014-2017.”.</w:t>
            </w:r>
          </w:p>
        </w:tc>
        <w:tc>
          <w:tcPr>
            <w:tcW w:w="4876" w:type="dxa"/>
            <w:tcBorders>
              <w:top w:val="nil"/>
              <w:left w:val="nil"/>
              <w:bottom w:val="nil"/>
              <w:right w:val="nil"/>
            </w:tcBorders>
          </w:tcPr>
          <w:p w:rsidR="00746743" w:rsidRPr="00B8029D" w:rsidRDefault="00746743" w:rsidP="00C93613">
            <w:pPr>
              <w:pStyle w:val="Normal6a"/>
            </w:pP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Eric Sargiacomo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lastRenderedPageBreak/>
        <w:t>&lt;Article2&gt;</w:t>
      </w:r>
      <w:r w:rsidRPr="00B8029D">
        <w:t>Artikel 14 bis – alinea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De lidstaten zorgen ervoor dat de totale capaciteit of visserijinspanning van de vloten die </w:t>
            </w:r>
            <w:r w:rsidRPr="00B8029D">
              <w:rPr>
                <w:b/>
                <w:i/>
              </w:rPr>
              <w:t xml:space="preserve">met bodemtrawls </w:t>
            </w:r>
            <w:r w:rsidRPr="00B8029D">
              <w:t xml:space="preserve">actief op belangrijke bestanden vissen, uitgedrukt in brutotonnage (BT) en/of brutoregistertonnage (BRT), motorvermogen (kW) en aantal vaartuigen, zoals geregistreerd in zowel het nationale als het GFCM-register, niet groter is dan het aantal vaartuigen of de visserijinspanning voor </w:t>
            </w:r>
            <w:r w:rsidRPr="00B8029D">
              <w:rPr>
                <w:b/>
                <w:i/>
              </w:rPr>
              <w:t>bordentrawlers</w:t>
            </w:r>
            <w:r w:rsidRPr="00B8029D">
              <w:t xml:space="preserve"> die op diepzeegarnaal visten in de jaren 2014-2017 dan wel in een andere periode van drie opeenvolgende jaren, bijvoorbeeld 2015-2018, tenzij het niveau 50 % hoger was dan in de referentieperiode 2014-2017.”.</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De lidstaten zorgen ervoor dat de totale capaciteit of visserijinspanning van de vloten die actief op belangrijke bestanden vissen, uitgedrukt in brutotonnage (BT) en/of brutoregistertonnage (BRT), motorvermogen (kW) en aantal vaartuigen, zoals geregistreerd in zowel het nationale als het GFCM-register, niet groter is dan het aantal vaartuigen of de visserijinspanning voor </w:t>
            </w:r>
            <w:r w:rsidRPr="00B8029D">
              <w:rPr>
                <w:b/>
                <w:i/>
              </w:rPr>
              <w:t>vaartuigen</w:t>
            </w:r>
            <w:r w:rsidRPr="00B8029D">
              <w:t xml:space="preserve"> die op diepzeegarnaal visten in de jaren 2014-2017 dan wel in een andere periode van drie opeenvolgende jaren, bijvoorbeeld 2015-2018, tenzij het niveau 50 % hoger was dan in de referentieperiode 2014-2017.”.</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Eric Sargiacomo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7</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17 – lid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r>
            <w:r w:rsidRPr="00B8029D">
              <w:rPr>
                <w:b/>
                <w:i/>
              </w:rPr>
              <w:t>Bodemtrawlers</w:t>
            </w:r>
            <w:r w:rsidRPr="00B8029D">
              <w:t xml:space="preserve"> die op paaiconcentraties van rode diepzeegarnaal vissen, zetten de visserij tussen maart en december gedurende dertig opeenvolgende dagen stop.</w:t>
            </w:r>
          </w:p>
        </w:tc>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r>
            <w:r w:rsidRPr="00B8029D">
              <w:rPr>
                <w:b/>
                <w:i/>
              </w:rPr>
              <w:t>Vissersvaartuigen</w:t>
            </w:r>
            <w:r w:rsidRPr="00B8029D">
              <w:t xml:space="preserve"> die op paaiconcentraties van rode diepzeegarnaal vissen, zetten de visserij tussen maart en december gedurende dertig opeenvolgende dagen stop.</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lastRenderedPageBreak/>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9</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20</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Onverminderd artikel 9 van Verordening (EG) nr. 1224/2009 zijn </w:t>
            </w:r>
            <w:r w:rsidRPr="00B8029D">
              <w:t>alle vaartuigen met een lengte over alles van meer dan twaalf meter die actief vissen binnen de werkingssfeer van deze afdeling, uitgerust met een satellietvolgsysteem voor vaartuigen (VMS).</w:t>
            </w:r>
          </w:p>
        </w:tc>
        <w:tc>
          <w:tcPr>
            <w:tcW w:w="4876" w:type="dxa"/>
            <w:tcBorders>
              <w:top w:val="nil"/>
              <w:left w:val="nil"/>
              <w:bottom w:val="nil"/>
              <w:right w:val="nil"/>
            </w:tcBorders>
            <w:hideMark/>
          </w:tcPr>
          <w:p w:rsidR="00746743" w:rsidRPr="00B8029D" w:rsidRDefault="00746743" w:rsidP="00C93613">
            <w:pPr>
              <w:pStyle w:val="Normal6a"/>
            </w:pPr>
            <w:r w:rsidRPr="00B8029D">
              <w:t>Alle vaartuigen met een lengte over alles van meer dan twaalf meter die actief vissen binnen de werkingssfeer van deze afdeling,</w:t>
            </w:r>
            <w:r w:rsidRPr="00B8029D">
              <w:rPr>
                <w:b/>
                <w:i/>
              </w:rPr>
              <w:t xml:space="preserve"> zijn</w:t>
            </w:r>
            <w:r w:rsidRPr="00B8029D">
              <w:t xml:space="preserve"> uitgerust met een satellietvolgsysteem voor vaartuigen (VMS).</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9</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20</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Onverminderd artikel 9 van Verordening (EG) nr. 1224/2009 zijn </w:t>
            </w:r>
            <w:r w:rsidRPr="00B8029D">
              <w:t xml:space="preserve">alle vaartuigen met een lengte over alles van meer dan </w:t>
            </w:r>
            <w:r w:rsidRPr="00B8029D">
              <w:rPr>
                <w:b/>
                <w:i/>
              </w:rPr>
              <w:t>twaalf</w:t>
            </w:r>
            <w:r w:rsidRPr="00B8029D">
              <w:t> meter die actief vissen binnen de werkingssfeer van deze afdeling, uitgerust met een satellietvolgsysteem voor vaartuigen (VMS).</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Alle vaartuigen met een lengte over alles van meer dan </w:t>
            </w:r>
            <w:r w:rsidRPr="00B8029D">
              <w:rPr>
                <w:b/>
                <w:i/>
              </w:rPr>
              <w:t>25</w:t>
            </w:r>
            <w:r w:rsidRPr="00B8029D">
              <w:t> meter die actief vissen binnen de werkingssfeer van deze afdeling,</w:t>
            </w:r>
            <w:r w:rsidRPr="00B8029D">
              <w:rPr>
                <w:b/>
                <w:i/>
              </w:rPr>
              <w:t xml:space="preserve"> zijn</w:t>
            </w:r>
            <w:r w:rsidRPr="00B8029D">
              <w:t xml:space="preserve"> uitgerust met een satellietvolgsysteem voor vaartuigen (VMS).</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9</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20</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lastRenderedPageBreak/>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Tot 8 januari 2026 kunnen de lidstaten vaartuigen van minder dan 15 meter toestaan af te wijken van de eerste alinea indien ze uitsluitend actief zijn in de territoriale wateren van de lidstaat en/of nooit meer dan 24 uur op zee doorbrengen vanaf het tijdstip van vertrek tot de terugkeer naar de haven.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11</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23 bis</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De lidstaten zorgen ervoor dat de totale vlootcapaciteit in brutotonnage (BT) en/of brutoregistertonnage (BRT), motorvermogen (kW) en aantal vaartuigen, zoals geregistreerd in zowel het nationale als het GFCM-register, niet groter is dan de vlootcapaciteit voor op diepzeegarnaal vissende bordentrawlers in 2019.</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De lidstaten zorgen ervoor dat de totale vlootcapaciteit in brutotonnage (BT) en/of brutoregistertonnage (BRT), motorvermogen (kW) en aantal vaartuigen, zoals geregistreerd in zowel het nationale als het GFCM-register, niet groter is dan de vlootcapaciteit voor op </w:t>
            </w:r>
            <w:r w:rsidRPr="00B8029D">
              <w:rPr>
                <w:b/>
                <w:i/>
              </w:rPr>
              <w:t xml:space="preserve">rode </w:t>
            </w:r>
            <w:r w:rsidRPr="00B8029D">
              <w:t>diepzeegarnaal vissende bordentrawlers in 2019.</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23 van GFCM/45/2022/6.</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Eric Sargiacomo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11</w:t>
      </w:r>
      <w:r w:rsidRPr="00B8029D">
        <w:rPr>
          <w:rStyle w:val="HideTWBExt"/>
          <w:b w:val="0"/>
        </w:rPr>
        <w:t>&lt;/Article&gt;</w:t>
      </w:r>
    </w:p>
    <w:p w:rsidR="00746743" w:rsidRPr="00B8029D" w:rsidRDefault="00746743" w:rsidP="00746743">
      <w:r w:rsidRPr="00B8029D">
        <w:rPr>
          <w:rStyle w:val="HideTWBExt"/>
        </w:rPr>
        <w:lastRenderedPageBreak/>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23 bis</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De lidstaten zorgen ervoor dat de totale vlootcapaciteit in brutotonnage (BT) en/of brutoregistertonnage (BRT), motorvermogen (kW) en aantal vaartuigen, zoals geregistreerd in zowel het nationale als het GFCM-register, niet groter is dan de </w:t>
            </w:r>
            <w:r w:rsidRPr="00B8029D">
              <w:rPr>
                <w:b/>
                <w:i/>
              </w:rPr>
              <w:t>vlootcapaciteit</w:t>
            </w:r>
            <w:r w:rsidRPr="00B8029D">
              <w:t xml:space="preserve"> voor op diepzeegarnaal vissende </w:t>
            </w:r>
            <w:r w:rsidRPr="00B8029D">
              <w:rPr>
                <w:b/>
                <w:i/>
              </w:rPr>
              <w:t>bordentrawlers</w:t>
            </w:r>
            <w:r w:rsidRPr="00B8029D">
              <w:t xml:space="preserve"> in 2019.”.</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De lidstaten zorgen ervoor dat de totale vlootcapaciteit in brutotonnage (BT) en/of brutoregistertonnage (BRT), motorvermogen (kW) en aantal vaartuigen, zoals geregistreerd in zowel het nationale als het GFCM-register, niet groter is dan de </w:t>
            </w:r>
            <w:r w:rsidRPr="00B8029D">
              <w:rPr>
                <w:b/>
                <w:i/>
              </w:rPr>
              <w:t>capaciteit</w:t>
            </w:r>
            <w:r w:rsidRPr="00B8029D">
              <w:t xml:space="preserve"> voor</w:t>
            </w:r>
            <w:r w:rsidRPr="00B8029D">
              <w:rPr>
                <w:b/>
                <w:i/>
              </w:rPr>
              <w:t xml:space="preserve"> de</w:t>
            </w:r>
            <w:r w:rsidRPr="00B8029D">
              <w:t xml:space="preserve"> op diepzeegarnaal vissende </w:t>
            </w:r>
            <w:r w:rsidRPr="00B8029D">
              <w:rPr>
                <w:b/>
                <w:i/>
              </w:rPr>
              <w:t>vloot</w:t>
            </w:r>
            <w:r w:rsidRPr="00B8029D">
              <w:t xml:space="preserve"> in 2019.”.</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Eric Sargiacomo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14</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26</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Bodemtrawlers die op paaiconcentraties van rode diepzeegarnaal vissen,</w:t>
            </w:r>
            <w:r w:rsidRPr="00B8029D">
              <w:rPr>
                <w:b/>
                <w:i/>
              </w:rPr>
              <w:t xml:space="preserve"> zetten</w:t>
            </w:r>
            <w:r w:rsidRPr="00B8029D">
              <w:t xml:space="preserve"> de visserij tussen maart en december gedurende dertig opeenvolgende dagen stop.</w:t>
            </w:r>
          </w:p>
        </w:tc>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r>
            <w:r w:rsidRPr="00B8029D">
              <w:rPr>
                <w:b/>
                <w:i/>
              </w:rPr>
              <w:t>Afhankelijk van de resultaten die de lidstaten tijdens de in Aanbeveling GFCM/45/2022/7 bedoelde overgangsperiode hebben meegedeeld, zetten</w:t>
            </w:r>
            <w:r w:rsidRPr="00B8029D">
              <w:t xml:space="preserve"> bodemtrawlers die op paaiconcentraties van rode diepzeegarnaal vissen, de visserij tussen maart en december gedurende dertig opeenvolgende dagen stop.</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169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16</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29 – alinea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Onverminderd artikel 9 van Verordening (EG) nr. 1224/2009 zijn </w:t>
            </w:r>
            <w:r w:rsidRPr="00B8029D">
              <w:t xml:space="preserve">alle vaartuigen met een lengte over alles van meer dan </w:t>
            </w:r>
            <w:r w:rsidRPr="00B8029D">
              <w:rPr>
                <w:b/>
                <w:i/>
              </w:rPr>
              <w:t>twaalf</w:t>
            </w:r>
            <w:r w:rsidRPr="00B8029D">
              <w:t> meter die actief vissen binnen de werkingssfeer van deze afdeling, uitgerust met een satellietvolgsysteem voor vaartuigen (VMS).</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Alle vaartuigen met een lengte over alles van meer dan </w:t>
            </w:r>
            <w:r w:rsidRPr="00B8029D">
              <w:rPr>
                <w:b/>
                <w:i/>
              </w:rPr>
              <w:t>25</w:t>
            </w:r>
            <w:r w:rsidRPr="00B8029D">
              <w:t> meter die actief vissen binnen de werkingssfeer van deze afdeling,</w:t>
            </w:r>
            <w:r w:rsidRPr="00B8029D">
              <w:rPr>
                <w:b/>
                <w:i/>
              </w:rPr>
              <w:t xml:space="preserve"> zijn</w:t>
            </w:r>
            <w:r w:rsidRPr="00B8029D">
              <w:t xml:space="preserve"> uitgerust met een satellietvolgsysteem voor vaartuigen (VMS).</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16</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29 – alinea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Tot 8 januari 2026 kunnen de lidstaten vaartuigen van minder dan 15 meter toestaan af te wijken van de eerste alinea indien ze uitsluitend actief zijn in de territoriale wateren van die lidstaat of nooit meer dan 24 uur op zee doorbrengen vanaf het tijdstip van vertrek tot de terugkeer naar de haven. De lidstaten stellen de Commissie onmiddellijk in kennis van de overeenkomstig artikel 9, lid 5, van Verordening (EG) nr. 1224/2009 verleende afwijkingen en van de andere controlemiddelen die worden ingezet om die vaartuigen te volgen. De Commissie zendt deze informatie onverwijld door aan het GFCM-secretariaat.</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171</w:t>
      </w:r>
      <w:r w:rsidRPr="00B8029D">
        <w:rPr>
          <w:rStyle w:val="HideTWBExt"/>
          <w:b w:val="0"/>
        </w:rPr>
        <w:t>&lt;/NumAm&gt;</w:t>
      </w:r>
    </w:p>
    <w:p w:rsidR="00746743" w:rsidRPr="00B8029D" w:rsidRDefault="00746743" w:rsidP="00746743">
      <w:pPr>
        <w:pStyle w:val="NormalBold"/>
      </w:pPr>
      <w:r w:rsidRPr="00B8029D">
        <w:rPr>
          <w:rStyle w:val="HideTWBExt"/>
          <w:b w:val="0"/>
        </w:rPr>
        <w:lastRenderedPageBreak/>
        <w:t>&lt;RepeatBlock-By&gt;&lt;Members&gt;</w:t>
      </w:r>
      <w:r w:rsidRPr="00B8029D">
        <w:t>Eric Sargiacomo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16</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29 – alinea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Tot 8 januari 2026 kunnen de lidstaten vaartuigen van minder dan 15 meter toestaan af te wijken van de eerste alinea indien ze uitsluitend actief zijn in de territoriale wateren van die lidstaat of nooit meer dan 24 uur op zee doorbrengen vanaf het tijdstip van vertrek tot de terugkeer naar de haven. De lidstaten stellen de Commissie onmiddellijk in kennis van de overeenkomstig artikel 9, lid 5, van Verordening (EG) nr. 1224/2009 verleende afwijkingen en van de andere controlemiddelen die worden ingezet om die vaartuigen te volgen. De Commissie zendt deze informatie onverwijld door aan het GFCM-secretariaat.</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Tot 8 januari 2026 kunnen de lidstaten vaartuigen van minder dan 15 meter toestaan af te wijken van de eerste alinea indien ze uitsluitend actief zijn in de territoriale wateren van die lidstaat of nooit meer dan 24 uur op zee doorbrengen vanaf het tijdstip van vertrek tot de terugkeer naar de haven. De lidstaten stellen de Commissie onmiddellijk in kennis van de overeenkomstig artikel 9, lid 5, van Verordening (EG) nr. 1224/2009 verleende afwijkingen en van de andere controlemiddelen die worden ingezet om die vaartuigen te volgen. De Commissie zendt deze informatie onverwijld door aan het GFCM-secretariaat. </w:t>
            </w:r>
            <w:r w:rsidRPr="00B8029D">
              <w:rPr>
                <w:b/>
                <w:i/>
              </w:rPr>
              <w:t>Exploitanten kunnen financiële steun ontvangen uit het Europees Fonds voor maritieme zaken, visserij en aquacultuur om zich uit te rusten met systemen voor elektronische monitoring op afstand als bedoeld in artikel 22, lid 2, van Verordening (EG) 2021/1139.</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17</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30 ter</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rPr>
            </w:pPr>
            <w:r w:rsidRPr="00B8029D">
              <w:rPr>
                <w:b/>
                <w:i/>
              </w:rPr>
              <w:t>Artikel 30 ter</w:t>
            </w:r>
          </w:p>
        </w:tc>
        <w:tc>
          <w:tcPr>
            <w:tcW w:w="4876" w:type="dxa"/>
            <w:tcBorders>
              <w:top w:val="nil"/>
              <w:left w:val="nil"/>
              <w:bottom w:val="nil"/>
              <w:right w:val="nil"/>
            </w:tcBorders>
            <w:hideMark/>
          </w:tcPr>
          <w:p w:rsidR="00746743" w:rsidRPr="00B8029D" w:rsidRDefault="00746743" w:rsidP="00C93613">
            <w:pPr>
              <w:pStyle w:val="Normal6"/>
              <w:rPr>
                <w:b/>
                <w:i/>
              </w:rPr>
            </w:pPr>
            <w:r w:rsidRPr="00B8029D">
              <w:rPr>
                <w:b/>
                <w:i/>
              </w:rPr>
              <w:t>Schrappen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bCs/>
                <w:i/>
                <w:noProof/>
              </w:rPr>
            </w:pPr>
            <w:r w:rsidRPr="00B8029D">
              <w:rPr>
                <w:b/>
                <w:i/>
              </w:rPr>
              <w:lastRenderedPageBreak/>
              <w:t>Internationale gezamenlijke inspectie- en surveillanceregeling</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1. De lidstaten kunnen binnen de werkingssfeer van deze afdeling inspectie- en surveillanceactiviteiten verrichten in het kader van de gezamenlijke inspectie- en surveillanceregeling (“de regeling”) voor de niet onder nationale jurisdictie vallende wateren in de geografische GFCM-deelgebieden 19, 20 en 21 (Ionische Zee), zoals omschreven in bijlage I (“het inspectie- en surveillancegebied”).</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2. De lidstaten kunnen inspecteurs en inspectiemiddelen aanwijzen en inspecties verrichten in het kader van de regeling. De Commissie of een door haar aangewezen orgaan kan met het oog op de toepassing van de regeling ook inspecteurs van de Unie aanwijzen.</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rPr>
            </w:pPr>
            <w:r w:rsidRPr="00B8029D">
              <w:rPr>
                <w:b/>
                <w:i/>
              </w:rPr>
              <w:t>3. De Commissie of een door haar aangewezen orgaan zorgt voor de coördinatie van de surveillance- en inspectieactiviteiten voor de Unie en kan in overleg met de betrokken lidstaten een gezamenlijk inzetplan opstellen op basis waarvan de Unie haar verplichtingen in het kader van de regeling kan nakomen. De lidstaten nemen de nodige maatregelen om de uitvoering van die plannen te vergemakkelijken, met name met betrekking tot de vereiste personele en materiële middelen, alsmede de perioden en geografische gebieden waarin deze moeten worden ingezet.</w:t>
            </w:r>
          </w:p>
        </w:tc>
        <w:tc>
          <w:tcPr>
            <w:tcW w:w="4876" w:type="dxa"/>
            <w:tcBorders>
              <w:top w:val="nil"/>
              <w:left w:val="nil"/>
              <w:bottom w:val="nil"/>
              <w:right w:val="nil"/>
            </w:tcBorders>
            <w:hideMark/>
          </w:tcPr>
          <w:p w:rsidR="00746743" w:rsidRPr="00B8029D" w:rsidRDefault="00746743" w:rsidP="00C93613">
            <w:pPr>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 xml:space="preserve">4. Elke lidstaat stelt de Commissie of het door haar aangewezen orgaan elk jaar uiterlijk op 15 november in kennis van de lijst van namen van de inspecteurs die gemachtigd zijn om inspectie- en surveillanceactiviteiten te verrichten in het in lid 1 bedoelde gebied, alsook de namen van de voor de inspectie en surveillance gebruikte vaartuigen en luchtvaartuigen die zij in het jaar daarop voor de regeling willen inzetten. De </w:t>
            </w:r>
            <w:r w:rsidRPr="00B8029D">
              <w:rPr>
                <w:b/>
                <w:i/>
              </w:rPr>
              <w:lastRenderedPageBreak/>
              <w:t xml:space="preserve">Commissie of een door haar aangewezen orgaan zendt deze informatie elk jaar uiterlijk op 1 december of zo spoedig als haalbaar is vóór aanvang van de inspectieactiviteiten door aan het GFCM-secretariaat. </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5. De aan de regeling toegewezen inspecteurs hebben een door de bevoegde autoriteiten afgegeven GFCM-inspecteurskaart bij zich, die de vorm van bijlage IV heeft.</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6. Vaartuigen die in het kader van de regeling inspecties aan boord verrichten, voeren een speciale vlag of wimpel zoals beschreven in bijlage V.</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7. Elke lidstaat zorgt ervoor dat elk inspectieplatform dat zijn vlag mag voeren en in het in lid 1 bedoelde gebied actief is, met elk ander inspectieplatform dat in dat gebied actief is, op beveiligde wijze contact houdt, indien mogelijk dagelijks, om informatie uit te wisselen die nodig is voor het coördineren van de activiteiten.</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rPr>
            </w:pPr>
            <w:r w:rsidRPr="00B8029D">
              <w:rPr>
                <w:b/>
                <w:i/>
              </w:rPr>
              <w:t>8. Elke lidstaat met een inspectie- of surveillanceaanwezigheid in het in lid 1 bedoelde gebied verstrekt aan elk inspectieplatform, bij binnenkomst ervan in het gebied, een lijst van overeenkomstig bijlage VII opgestelde waarnemingen en van inspecties aan boord die hij heeft verricht in de voorgaande periode van tien dagen, zoals datums, coördinaten en andere relevante informatie.</w:t>
            </w:r>
          </w:p>
        </w:tc>
        <w:tc>
          <w:tcPr>
            <w:tcW w:w="4876" w:type="dxa"/>
            <w:tcBorders>
              <w:top w:val="nil"/>
              <w:left w:val="nil"/>
              <w:bottom w:val="nil"/>
              <w:right w:val="nil"/>
            </w:tcBorders>
          </w:tcPr>
          <w:p w:rsidR="00746743" w:rsidRPr="00B8029D" w:rsidRDefault="00746743" w:rsidP="00C93613">
            <w:pPr>
              <w:pStyle w:val="Normal6"/>
              <w:rPr>
                <w:b/>
                <w:i/>
              </w:rPr>
            </w:pP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Het artikel wordt ingevoegd als het nieuwe artikel 121 bis.</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lastRenderedPageBreak/>
        <w:t>&lt;Article&gt;</w:t>
      </w:r>
      <w:r w:rsidRPr="00B8029D">
        <w:t>Artikel 1 – alinea 1 – punt 17</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30 ter – lid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t xml:space="preserve">De lidstaten kunnen inspecteurs en inspectiemiddelen aanwijzen en inspecties verrichten in het kader van de regeling. </w:t>
            </w:r>
            <w:r w:rsidRPr="00B8029D">
              <w:rPr>
                <w:b/>
                <w:i/>
              </w:rPr>
              <w:t>De Commissie of een door haar aangewezen orgaan kan met het oog op de toepassing van de regeling ook inspecteurs van de Unie aanwijzen.</w:t>
            </w:r>
          </w:p>
        </w:tc>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t>De lidstaten kunnen inspecteurs en inspectiemiddelen aanwijzen en inspecties verrichten in het kader van de regeling.</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17</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30 quater</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rPr>
            </w:pPr>
            <w:r w:rsidRPr="00B8029D">
              <w:rPr>
                <w:b/>
                <w:i/>
              </w:rPr>
              <w:t>Artikel 30 quater</w:t>
            </w:r>
          </w:p>
        </w:tc>
        <w:tc>
          <w:tcPr>
            <w:tcW w:w="4876" w:type="dxa"/>
            <w:tcBorders>
              <w:top w:val="nil"/>
              <w:left w:val="nil"/>
              <w:bottom w:val="nil"/>
              <w:right w:val="nil"/>
            </w:tcBorders>
            <w:hideMark/>
          </w:tcPr>
          <w:p w:rsidR="00746743" w:rsidRPr="00B8029D" w:rsidRDefault="00746743" w:rsidP="00C93613">
            <w:pPr>
              <w:pStyle w:val="Normal6"/>
              <w:rPr>
                <w:b/>
                <w:i/>
              </w:rPr>
            </w:pPr>
            <w:r w:rsidRPr="00B8029D">
              <w:rPr>
                <w:b/>
                <w:i/>
              </w:rPr>
              <w:t>Schrappen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bCs/>
                <w:i/>
                <w:noProof/>
              </w:rPr>
            </w:pPr>
            <w:r w:rsidRPr="00B8029D">
              <w:rPr>
                <w:b/>
                <w:i/>
              </w:rPr>
              <w:t>Verrichting van inspecties</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1. Aan de regeling toegewezen inspecteurs:</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a) stellen, voordat zij aan boord gaan, het vissersvaartuig in kennis van de naam van het inspectievaartuig;</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b) voeren op het inspectievaartuig en het boardingvaartuig de in bijlage V beschreven wimpel;</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c) beperken elk inspectieteam tot een maximum van drie inspecteurs.</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 xml:space="preserve">2. Bij het aan boord gaan van het vaartuig laten de inspecteurs de kapitein van het vissersvaartuig de in bijlage IV beschreven identiteitskaart zien. Inspecties worden verricht in een van de officiële talen van de GFCM en, indien </w:t>
            </w:r>
            <w:r w:rsidRPr="00B8029D">
              <w:rPr>
                <w:b/>
                <w:i/>
              </w:rPr>
              <w:lastRenderedPageBreak/>
              <w:t>mogelijk, in de taal van de kapitein van het vissersvaartuig.</w:t>
            </w:r>
          </w:p>
        </w:tc>
        <w:tc>
          <w:tcPr>
            <w:tcW w:w="4876" w:type="dxa"/>
            <w:tcBorders>
              <w:top w:val="nil"/>
              <w:left w:val="nil"/>
              <w:bottom w:val="nil"/>
              <w:right w:val="nil"/>
            </w:tcBorders>
            <w:hideMark/>
          </w:tcPr>
          <w:p w:rsidR="00746743" w:rsidRPr="00B8029D" w:rsidRDefault="00746743" w:rsidP="00C93613">
            <w:pPr>
              <w:rPr>
                <w:b/>
                <w:i/>
                <w:noProof/>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3. De inspecteurs stellen een inspectieverslag op in het formaat van bijlage VI.</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4. De inspecteurs ondertekenen het verslag in aanwezigheid van de kapitein van het vaartuig, die het recht heeft om opmerkingen die hij of zij nuttig acht toe te voegen, en die het verslag medeondertekent.</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noProof/>
              </w:rPr>
            </w:pPr>
            <w:r w:rsidRPr="00B8029D">
              <w:rPr>
                <w:b/>
                <w:i/>
              </w:rPr>
              <w:t>5. Een kopie van het verslag wordt verstrekt aan de kapitein van het vaartuig en aan de autoriteiten van het inspectieteam, die op hun beurt een kopie zenden aan de autoriteiten van de vlaggenstaat van het geïnspecteerde vaartuig en aan de Commissie en/of een door haar aangewezen orgaan. De Commissie stuurt de kopie door aan het GFCM-secretariaat.</w:t>
            </w:r>
          </w:p>
        </w:tc>
        <w:tc>
          <w:tcPr>
            <w:tcW w:w="4876" w:type="dxa"/>
            <w:tcBorders>
              <w:top w:val="nil"/>
              <w:left w:val="nil"/>
              <w:bottom w:val="nil"/>
              <w:right w:val="nil"/>
            </w:tcBorders>
          </w:tcPr>
          <w:p w:rsidR="00746743" w:rsidRPr="00B8029D" w:rsidRDefault="00746743" w:rsidP="00C93613">
            <w:pPr>
              <w:pStyle w:val="Normal6"/>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
              <w:rPr>
                <w:b/>
                <w:i/>
              </w:rPr>
            </w:pPr>
            <w:r w:rsidRPr="00B8029D">
              <w:rPr>
                <w:b/>
                <w:i/>
              </w:rPr>
              <w:t>6. De omvang van het inspectieteam en de duur van de inspectie worden, rekening houdend met alle relevante omstandigheden, bepaald door de commandant van het inspectievaartuig.</w:t>
            </w:r>
          </w:p>
        </w:tc>
        <w:tc>
          <w:tcPr>
            <w:tcW w:w="4876" w:type="dxa"/>
            <w:tcBorders>
              <w:top w:val="nil"/>
              <w:left w:val="nil"/>
              <w:bottom w:val="nil"/>
              <w:right w:val="nil"/>
            </w:tcBorders>
          </w:tcPr>
          <w:p w:rsidR="00746743" w:rsidRPr="00B8029D" w:rsidRDefault="00746743" w:rsidP="00C93613">
            <w:pPr>
              <w:pStyle w:val="Normal6"/>
              <w:rPr>
                <w:b/>
                <w:i/>
              </w:rPr>
            </w:pP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Het artikel wordt ingevoegd als het nieuwe artikel 121 ter.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17</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30 quinquies</w:t>
      </w:r>
      <w:r w:rsidRPr="00B8029D">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Artikel 30 quinquies</w:t>
            </w:r>
          </w:p>
        </w:tc>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Schrappen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lastRenderedPageBreak/>
              <w:t>Inbreuken</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1. Voor de toepassing van dit artikel worden de volgende activiteiten als inbreuk beschouwd:</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a)</w:t>
            </w:r>
            <w:r w:rsidRPr="00B8029D">
              <w:rPr>
                <w:b/>
                <w:i/>
              </w:rPr>
              <w:tab/>
              <w:t>de in artikel 3, lid 1, punten a), b), c), e), f), g) en h), van Verordening (EG) nr. 1005/2008</w:t>
            </w:r>
            <w:r w:rsidRPr="00B8029D">
              <w:rPr>
                <w:b/>
                <w:i/>
              </w:rPr>
              <w:footnoteReference w:id="1"/>
            </w:r>
            <w:r w:rsidRPr="00B8029D">
              <w:rPr>
                <w:b/>
                <w:i/>
              </w:rPr>
              <w:t xml:space="preserve"> bedoelde activiteiten;</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b)</w:t>
            </w:r>
            <w:r w:rsidRPr="00B8029D">
              <w:rPr>
                <w:b/>
                <w:i/>
              </w:rPr>
              <w:tab/>
              <w:t>storen van het satellietvolgsysteem; en</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c)</w:t>
            </w:r>
            <w:r w:rsidRPr="00B8029D">
              <w:rPr>
                <w:b/>
                <w:i/>
              </w:rPr>
              <w:tab/>
              <w:t>actief zijn zonder VMS.</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2. Wanneer de inspecteurs bij een inspectie aan boord van een vissersvaartuig een inbreuk constateren, melden de autoriteiten van de vlaggenlidstaat van het inspectievaartuig dat onmiddellijk aan de Commissie of een door haar aangewezen orgaan, die of dat de vlaggenstaat van het geïnspecteerde vissersvaartuig op de hoogte brengt, zowel rechtstreeks als via het GFCM-secretariaat. Zij melden het tevens aan elk inspectievaartuig van de vlaggenstaat van het vissersvaartuig waarvan bekend is dat het zich in de buurt bevindt.</w:t>
            </w:r>
          </w:p>
        </w:tc>
        <w:tc>
          <w:tcPr>
            <w:tcW w:w="4876" w:type="dxa"/>
            <w:tcBorders>
              <w:top w:val="nil"/>
              <w:left w:val="nil"/>
              <w:bottom w:val="nil"/>
              <w:right w:val="nil"/>
            </w:tcBorders>
            <w:hideMark/>
          </w:tcPr>
          <w:p w:rsidR="00746743" w:rsidRPr="00B8029D" w:rsidRDefault="00746743" w:rsidP="00C93613">
            <w:pPr>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3. De vlaggenlidstaat van het vissersvaartuig zorgt ervoor dat naar aanleiding van een inspectie waarbij een inbreuk is geconstateerd, het betrokken vissersvaartuig elke visserijactiviteit stopzet. De vlaggenlidstaat verzoekt het vissersvaartuig zich binnen 72 uur naar een door hem aangewezen haven te begeven, waar een onderzoek wordt ingesteld.</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 xml:space="preserve">4. Wanneer bij een inspectie een inbreuk is geconstateerd, worden de acties en de follow-upmaatregelen van de vlaggenlidstaat meegedeeld aan de Commissie of een door haar aangewezen orgaan. De Commissie of een door haar </w:t>
            </w:r>
            <w:r w:rsidRPr="00B8029D">
              <w:rPr>
                <w:b/>
                <w:i/>
              </w:rPr>
              <w:lastRenderedPageBreak/>
              <w:t>aangewezen orgaan deelt de acties en de follow-upmaatregelen mee aan het GFCM-secretariaat.</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5. De autoriteiten van de lidstaten geven aan inspectieverslagen als bedoeld in artikel 30, lid 3, aan het waarnemingsformulier van bijlage VII en aan verklaringen op basis van documentinspecties door inspecteurs hetzelfde gevolg als aan verslagen en verklaringen van nationale inspecteurs.</w:t>
            </w:r>
          </w:p>
        </w:tc>
        <w:tc>
          <w:tcPr>
            <w:tcW w:w="4876" w:type="dxa"/>
            <w:tcBorders>
              <w:top w:val="nil"/>
              <w:left w:val="nil"/>
              <w:bottom w:val="nil"/>
              <w:right w:val="nil"/>
            </w:tcBorders>
          </w:tcPr>
          <w:p w:rsidR="00746743" w:rsidRPr="00B8029D" w:rsidRDefault="00746743" w:rsidP="00C93613">
            <w:pPr>
              <w:pStyle w:val="Normal6a"/>
              <w:rPr>
                <w:b/>
                <w:i/>
              </w:rPr>
            </w:pP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Het artikel wordt ingevoegd als het nieuwe artikel 121 quater.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Eric Sargiacomo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20</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36</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Bodemtrawlers die op paaiconcentraties van rode diepzeegarnaal vissen,</w:t>
            </w:r>
            <w:r w:rsidRPr="00B8029D">
              <w:rPr>
                <w:b/>
                <w:i/>
              </w:rPr>
              <w:t xml:space="preserve"> zetten</w:t>
            </w:r>
            <w:r w:rsidRPr="00B8029D">
              <w:t xml:space="preserve"> de visserij tussen maart en december gedurende dertig opeenvolgende dagen stop.</w:t>
            </w:r>
          </w:p>
        </w:tc>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r>
            <w:r w:rsidRPr="00B8029D">
              <w:rPr>
                <w:b/>
                <w:i/>
              </w:rPr>
              <w:t>Afhankelijk van de resultaten die de lidstaten tijdens de in Aanbeveling GFCM/45/2022/7 bedoelde overgangsperiode hebben meegedeeld, zetten</w:t>
            </w:r>
            <w:r w:rsidRPr="00B8029D">
              <w:t xml:space="preserve"> bodemtrawlers die op paaiconcentraties van rode diepzeegarnaal vissen, de visserij tussen maart en december gedurende dertig opeenvolgende dagen stop.</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lastRenderedPageBreak/>
        <w:t>&lt;Article&gt;</w:t>
      </w:r>
      <w:r w:rsidRPr="00B8029D">
        <w:t>Artikel 1 – alinea 1 – punt 22 – inleidende formule</w:t>
      </w:r>
      <w:r w:rsidRPr="00B8029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22)</w:t>
            </w:r>
            <w:r w:rsidRPr="00B8029D">
              <w:tab/>
            </w:r>
            <w:r w:rsidRPr="00B8029D">
              <w:rPr>
                <w:b/>
                <w:i/>
              </w:rPr>
              <w:t>De</w:t>
            </w:r>
            <w:r w:rsidRPr="00B8029D">
              <w:t xml:space="preserve"> volgende </w:t>
            </w:r>
            <w:r w:rsidRPr="00B8029D">
              <w:rPr>
                <w:b/>
                <w:i/>
              </w:rPr>
              <w:t>artikelen</w:t>
            </w:r>
            <w:r w:rsidRPr="00B8029D">
              <w:t xml:space="preserve"> 37 bis</w:t>
            </w:r>
            <w:r w:rsidRPr="00B8029D">
              <w:rPr>
                <w:b/>
                <w:i/>
              </w:rPr>
              <w:t>, 37 ter, 37 quater en 37 quinquies worden</w:t>
            </w:r>
            <w:r w:rsidRPr="00B8029D">
              <w:t xml:space="preserve"> ingevoegd tussen de artikelen 37 en 38:</w:t>
            </w:r>
          </w:p>
        </w:tc>
        <w:tc>
          <w:tcPr>
            <w:tcW w:w="4876" w:type="dxa"/>
            <w:tcBorders>
              <w:top w:val="nil"/>
              <w:left w:val="nil"/>
              <w:bottom w:val="nil"/>
              <w:right w:val="nil"/>
            </w:tcBorders>
            <w:hideMark/>
          </w:tcPr>
          <w:p w:rsidR="00746743" w:rsidRPr="00B8029D" w:rsidRDefault="00746743" w:rsidP="00C93613">
            <w:pPr>
              <w:pStyle w:val="Normal6a"/>
            </w:pPr>
            <w:r w:rsidRPr="00B8029D">
              <w:t>22)</w:t>
            </w:r>
            <w:r w:rsidRPr="00B8029D">
              <w:tab/>
            </w:r>
            <w:r w:rsidRPr="00B8029D">
              <w:rPr>
                <w:b/>
                <w:i/>
              </w:rPr>
              <w:t>Het</w:t>
            </w:r>
            <w:r w:rsidRPr="00B8029D">
              <w:t xml:space="preserve"> volgende </w:t>
            </w:r>
            <w:r w:rsidRPr="00B8029D">
              <w:rPr>
                <w:b/>
                <w:i/>
              </w:rPr>
              <w:t>artikel</w:t>
            </w:r>
            <w:r w:rsidRPr="00B8029D">
              <w:t xml:space="preserve"> 37 bis</w:t>
            </w:r>
            <w:r w:rsidRPr="00B8029D">
              <w:rPr>
                <w:b/>
                <w:i/>
              </w:rPr>
              <w:t xml:space="preserve"> wordt</w:t>
            </w:r>
            <w:r w:rsidRPr="00B8029D">
              <w:t xml:space="preserve"> ingevoegd tussen de artikelen 37 en 38:</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Verplaatst naar de slotbepalingen die van toepassing zijn op de volledige verordening, zie de nieuwe artikelen 121 bis, 121 ter en 121 quater.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37 ter</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jc w:val="center"/>
              <w:rPr>
                <w:b/>
                <w:i/>
              </w:rPr>
            </w:pP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jc w:val="center"/>
              <w:rPr>
                <w:b/>
                <w:i/>
              </w:rPr>
            </w:pPr>
            <w:r w:rsidRPr="00B8029D">
              <w:rPr>
                <w:b/>
                <w:i/>
              </w:rPr>
              <w:t>Artikel 37 ter</w:t>
            </w:r>
          </w:p>
        </w:tc>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Schrappen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jc w:val="center"/>
              <w:rPr>
                <w:b/>
                <w:i/>
              </w:rPr>
            </w:pPr>
            <w:r w:rsidRPr="00B8029D">
              <w:rPr>
                <w:b/>
                <w:i/>
              </w:rPr>
              <w:t>Internationale gezamenlijke inspectie- en surveillanceregeling</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1. De lidstaten kunnen binnen de werkingssfeer van deze afdeling inspectie- en surveillanceactiviteiten verrichten in het kader van de gezamenlijke inspectie- en surveillanceregeling (“de regeling”) voor de niet onder nationale jurisdictie vallende wateren in de geografische GFCM-deelgebieden 12 tot en met 16 (Kanaal van Sicilië) zoals omschreven in bijlage I (“het inspectie- en surveillancegebied”).</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 xml:space="preserve">2. De lidstaten kunnen inspecteurs en inspectiemiddelen aanwijzen en inspecties verrichten in het kader van de regeling. De Commissie of een door haar aangewezen orgaan kan met het oog op de </w:t>
            </w:r>
            <w:r w:rsidRPr="00B8029D">
              <w:rPr>
                <w:b/>
                <w:i/>
              </w:rPr>
              <w:lastRenderedPageBreak/>
              <w:t>toepassing van de regeling ook inspecteurs van de Unie aanwijzen.</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3. De Commissie of een door haar aangewezen orgaan zorgt voor de coördinatie van de surveillance- en inspectieactiviteiten voor de Unie en kan in overleg met de betrokken lidstaten een gezamenlijk inzetplan opstellen op basis waarvan de Unie haar verplichtingen in het kader van de regeling kan nakomen. De lidstaten nemen de nodige maatregelen om de uitvoering van die plannen te vergemakkelijken, met name met betrekking tot de vereiste personele en materiële middelen, alsmede de perioden en geografische gebieden waarin deze moeten worden ingezet.</w:t>
            </w:r>
          </w:p>
        </w:tc>
        <w:tc>
          <w:tcPr>
            <w:tcW w:w="4876" w:type="dxa"/>
            <w:tcBorders>
              <w:top w:val="nil"/>
              <w:left w:val="nil"/>
              <w:bottom w:val="nil"/>
              <w:right w:val="nil"/>
            </w:tcBorders>
            <w:hideMark/>
          </w:tcPr>
          <w:p w:rsidR="00746743" w:rsidRPr="00B8029D" w:rsidRDefault="00746743" w:rsidP="00C93613">
            <w:pPr>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 xml:space="preserve">4. Elke lidstaat stelt elk jaar uiterlijk op 15 november de Commissie of een door haar aangewezen orgaan in kennis van de lijst van namen van de inspecteurs die gemachtigd zijn om inspectie- en surveillanceactiviteiten te verrichten in het in lid 1 bedoelde gebied, alsook de namen van de voor de inspectie en surveillance gebruikte vaartuigen en luchtvaartuigen die zij in het jaar daarop voor de regeling willen inzetten. De Commissie of een door haar aangewezen orgaan zendt deze informatie elk jaar uiterlijk op 1 december of zo spoedig als haalbaar is vóór aanvang van de inspectieactiviteiten door aan het GFCM-secretariaat. </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5. De aan de regeling toegewezen inspecteurs hebben een door de bevoegde autoriteiten afgegeven GFCM-inspecteurskaart bij zich, die de vorm van bijlage IV heeft.</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6. Vaartuigen die in het kader van de regeling inspecties aan boord verrichten, voeren een speciale vlag of wimpel zoals beschreven in bijlage V.</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 xml:space="preserve">7. Elke lidstaat zorgt ervoor dat elk inspectieplatform dat zijn vlag mag voeren en in het in lid 1 bedoelde gebied actief is, </w:t>
            </w:r>
            <w:r w:rsidRPr="00B8029D">
              <w:rPr>
                <w:b/>
                <w:i/>
              </w:rPr>
              <w:lastRenderedPageBreak/>
              <w:t>met elk ander inspectieplatform dat in dat gebied actief is, op beveiligde wijze contact houdt, indien mogelijk dagelijks, om informatie uit te wisselen die nodig is voor het coördineren van de activiteiten.</w:t>
            </w:r>
          </w:p>
        </w:tc>
        <w:tc>
          <w:tcPr>
            <w:tcW w:w="4876" w:type="dxa"/>
            <w:tcBorders>
              <w:top w:val="nil"/>
              <w:left w:val="nil"/>
              <w:bottom w:val="nil"/>
              <w:right w:val="nil"/>
            </w:tcBorders>
          </w:tcPr>
          <w:p w:rsidR="00746743" w:rsidRPr="00B8029D" w:rsidRDefault="00746743" w:rsidP="00C93613">
            <w:pPr>
              <w:pStyle w:val="Normal6a"/>
              <w:rPr>
                <w:b/>
                <w:i/>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8. Elke lidstaat met een inspectie- of surveillanceaanwezigheid in het in lid 1 bedoelde gebied verstrekt aan elk inspectieplatform, bij binnenkomst ervan in het gebied, een lijst van overeenkomstig bijlage VII opgestelde waarnemingen en van inspecties aan boord die hij heeft verricht in de voorgaande periode van tien dagen, zoals datums, coördinaten en andere relevante informatie.</w:t>
            </w:r>
          </w:p>
        </w:tc>
        <w:tc>
          <w:tcPr>
            <w:tcW w:w="4876" w:type="dxa"/>
            <w:tcBorders>
              <w:top w:val="nil"/>
              <w:left w:val="nil"/>
              <w:bottom w:val="nil"/>
              <w:right w:val="nil"/>
            </w:tcBorders>
          </w:tcPr>
          <w:p w:rsidR="00746743" w:rsidRPr="00B8029D" w:rsidRDefault="00746743" w:rsidP="00C93613">
            <w:pPr>
              <w:pStyle w:val="Normal6a"/>
              <w:rPr>
                <w:b/>
                <w:i/>
              </w:rPr>
            </w:pP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Verplaatst naar de slotbepalingen die van toepassing zijn op de volledige verordening, zie de nieuwe artikelen 121 bis, 121 ter en 121 quater.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179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37 ter – lid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t xml:space="preserve">De lidstaten kunnen inspecteurs en inspectiemiddelen aanwijzen en inspecties verrichten in het kader van de regeling. </w:t>
            </w:r>
            <w:r w:rsidRPr="00B8029D">
              <w:rPr>
                <w:b/>
                <w:i/>
              </w:rPr>
              <w:t>De Commissie of een door haar aangewezen orgaan kan met het oog op de toepassing van de regeling ook inspecteurs van de Unie aanwijzen.</w:t>
            </w:r>
          </w:p>
        </w:tc>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t>De lidstaten kunnen inspecteurs en inspectiemiddelen aanwijzen en inspecties verrichten in het kader van de regeling.</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lastRenderedPageBreak/>
        <w:t>&lt;Amend&gt;</w:t>
      </w:r>
      <w:r w:rsidRPr="00B8029D">
        <w:t>Amendement</w:t>
      </w:r>
      <w:r w:rsidRPr="00B8029D">
        <w:tab/>
      </w:r>
      <w:r w:rsidRPr="00B8029D">
        <w:tab/>
      </w:r>
      <w:r w:rsidRPr="00B8029D">
        <w:rPr>
          <w:rStyle w:val="HideTWBExt"/>
          <w:b w:val="0"/>
        </w:rPr>
        <w:t>&lt;NumAm&gt;</w:t>
      </w:r>
      <w:r w:rsidRPr="00B8029D">
        <w:t>180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37 quater</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jc w:val="center"/>
            </w:pPr>
            <w:r w:rsidRPr="00B8029D">
              <w:rPr>
                <w:b/>
                <w:i/>
              </w:rPr>
              <w:t>Artikel 37 quater</w:t>
            </w:r>
          </w:p>
        </w:tc>
        <w:tc>
          <w:tcPr>
            <w:tcW w:w="4876" w:type="dxa"/>
            <w:tcBorders>
              <w:top w:val="nil"/>
              <w:left w:val="nil"/>
              <w:bottom w:val="nil"/>
              <w:right w:val="nil"/>
            </w:tcBorders>
            <w:hideMark/>
          </w:tcPr>
          <w:p w:rsidR="00746743" w:rsidRPr="00B8029D" w:rsidRDefault="00746743" w:rsidP="00C93613">
            <w:pPr>
              <w:pStyle w:val="AmColumnHeading"/>
            </w:pPr>
            <w:r w:rsidRPr="00B8029D">
              <w:rPr>
                <w:b/>
              </w:rPr>
              <w:t>Schrappen</w:t>
            </w: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jc w:val="center"/>
              <w:rPr>
                <w:b/>
                <w:i/>
              </w:rPr>
            </w:pPr>
            <w:r w:rsidRPr="00B8029D">
              <w:rPr>
                <w:b/>
                <w:i/>
              </w:rPr>
              <w:t>Verrichting van inspecties</w:t>
            </w:r>
          </w:p>
        </w:tc>
        <w:tc>
          <w:tcPr>
            <w:tcW w:w="4876" w:type="dxa"/>
            <w:tcBorders>
              <w:top w:val="nil"/>
              <w:left w:val="nil"/>
              <w:bottom w:val="nil"/>
              <w:right w:val="nil"/>
            </w:tcBorders>
          </w:tcPr>
          <w:p w:rsidR="00746743" w:rsidRPr="00B8029D" w:rsidRDefault="00746743" w:rsidP="00C93613">
            <w:pPr>
              <w:pStyle w:val="AmColumnHeading"/>
              <w:jc w:val="left"/>
              <w:rPr>
                <w:b/>
              </w:rPr>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1. Aan de regeling toegewezen inspecteurs:</w:t>
            </w:r>
          </w:p>
        </w:tc>
        <w:tc>
          <w:tcPr>
            <w:tcW w:w="4876" w:type="dxa"/>
            <w:tcBorders>
              <w:top w:val="nil"/>
              <w:left w:val="nil"/>
              <w:bottom w:val="nil"/>
              <w:right w:val="nil"/>
            </w:tcBorders>
          </w:tcPr>
          <w:p w:rsidR="00746743" w:rsidRPr="00B8029D" w:rsidRDefault="00746743" w:rsidP="00C93613">
            <w:pPr>
              <w:pStyle w:val="AmColumnHeading"/>
              <w:jc w:val="left"/>
              <w:rPr>
                <w:b/>
              </w:rPr>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a) stellen, voordat zij aan boord gaan, het vissersvaartuig in kennis van de naam van het inspectievaartuig;</w:t>
            </w:r>
          </w:p>
        </w:tc>
        <w:tc>
          <w:tcPr>
            <w:tcW w:w="4876" w:type="dxa"/>
            <w:tcBorders>
              <w:top w:val="nil"/>
              <w:left w:val="nil"/>
              <w:bottom w:val="nil"/>
              <w:right w:val="nil"/>
            </w:tcBorders>
          </w:tcPr>
          <w:p w:rsidR="00746743" w:rsidRPr="00B8029D" w:rsidRDefault="00746743" w:rsidP="00C93613">
            <w:pPr>
              <w:pStyle w:val="AmColumnHeading"/>
              <w:jc w:val="left"/>
              <w:rPr>
                <w:b/>
              </w:rPr>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b) voeren op het inspectievaartuig en het boardingvaartuig de in bijlage V beschreven wimpel;</w:t>
            </w:r>
          </w:p>
        </w:tc>
        <w:tc>
          <w:tcPr>
            <w:tcW w:w="4876" w:type="dxa"/>
            <w:tcBorders>
              <w:top w:val="nil"/>
              <w:left w:val="nil"/>
              <w:bottom w:val="nil"/>
              <w:right w:val="nil"/>
            </w:tcBorders>
          </w:tcPr>
          <w:p w:rsidR="00746743" w:rsidRPr="00B8029D" w:rsidRDefault="00746743" w:rsidP="00C93613">
            <w:pPr>
              <w:pStyle w:val="AmColumnHeading"/>
              <w:jc w:val="left"/>
              <w:rPr>
                <w:b/>
              </w:rPr>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c) beperken elk inspectieteam tot een maximum van drie inspecteurs.</w:t>
            </w:r>
          </w:p>
        </w:tc>
        <w:tc>
          <w:tcPr>
            <w:tcW w:w="4876" w:type="dxa"/>
            <w:tcBorders>
              <w:top w:val="nil"/>
              <w:left w:val="nil"/>
              <w:bottom w:val="nil"/>
              <w:right w:val="nil"/>
            </w:tcBorders>
          </w:tcPr>
          <w:p w:rsidR="00746743" w:rsidRPr="00B8029D" w:rsidRDefault="00746743" w:rsidP="00C93613">
            <w:pPr>
              <w:pStyle w:val="AmColumnHeading"/>
              <w:jc w:val="left"/>
              <w:rPr>
                <w:b/>
              </w:rPr>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2. Bij het aan boord gaan van het vaartuig laten de inspecteurs de kapitein van het vissersvaartuig de in bijlage IV beschreven identiteitskaart zien. Inspecties worden verricht in een van de officiële talen van de GFCM en, indien mogelijk, in de taal van de kapitein van het vissersvaartuig.</w:t>
            </w:r>
          </w:p>
        </w:tc>
        <w:tc>
          <w:tcPr>
            <w:tcW w:w="4876" w:type="dxa"/>
            <w:tcBorders>
              <w:top w:val="nil"/>
              <w:left w:val="nil"/>
              <w:bottom w:val="nil"/>
              <w:right w:val="nil"/>
            </w:tcBorders>
          </w:tcPr>
          <w:p w:rsidR="00746743" w:rsidRPr="00B8029D" w:rsidRDefault="00746743" w:rsidP="00C93613">
            <w:pPr>
              <w:pStyle w:val="AmColumnHeading"/>
              <w:jc w:val="left"/>
              <w:rPr>
                <w:b/>
              </w:rPr>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3. De inspecteurs stellen een inspectieverslag op in het formaat van bijlage VI.</w:t>
            </w:r>
          </w:p>
        </w:tc>
        <w:tc>
          <w:tcPr>
            <w:tcW w:w="4876" w:type="dxa"/>
            <w:tcBorders>
              <w:top w:val="nil"/>
              <w:left w:val="nil"/>
              <w:bottom w:val="nil"/>
              <w:right w:val="nil"/>
            </w:tcBorders>
          </w:tcPr>
          <w:p w:rsidR="00746743" w:rsidRPr="00B8029D" w:rsidRDefault="00746743" w:rsidP="00C93613">
            <w:pPr>
              <w:pStyle w:val="AmColumnHeading"/>
              <w:jc w:val="left"/>
              <w:rPr>
                <w:b/>
              </w:rPr>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4. De inspecteurs ondertekenen het verslag in aanwezigheid van de kapitein van het vaartuig, die het recht heeft om opmerkingen die hij of zij nuttig acht toe te voegen, en die het verslag medeondertekent.</w:t>
            </w:r>
          </w:p>
        </w:tc>
        <w:tc>
          <w:tcPr>
            <w:tcW w:w="4876" w:type="dxa"/>
            <w:tcBorders>
              <w:top w:val="nil"/>
              <w:left w:val="nil"/>
              <w:bottom w:val="nil"/>
              <w:right w:val="nil"/>
            </w:tcBorders>
          </w:tcPr>
          <w:p w:rsidR="00746743" w:rsidRPr="00B8029D" w:rsidRDefault="00746743" w:rsidP="00C93613">
            <w:pPr>
              <w:pStyle w:val="AmColumnHeading"/>
              <w:jc w:val="left"/>
              <w:rPr>
                <w:b/>
              </w:rPr>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 xml:space="preserve">5. Een kopie van het verslag wordt verstrekt aan de kapitein van het vaartuig en aan de autoriteiten van het inspectieteam, die op hun beurt een kopie </w:t>
            </w:r>
            <w:r w:rsidRPr="00B8029D">
              <w:rPr>
                <w:b/>
                <w:i/>
              </w:rPr>
              <w:lastRenderedPageBreak/>
              <w:t>zenden aan de autoriteiten van de vlaggenstaat van het geïnspecteerde vaartuig en aan de Commissie en/of een door haar aangewezen orgaan. De Commissie stuurt de kopie door aan het GFCM-secretariaat.</w:t>
            </w:r>
          </w:p>
        </w:tc>
        <w:tc>
          <w:tcPr>
            <w:tcW w:w="4876" w:type="dxa"/>
            <w:tcBorders>
              <w:top w:val="nil"/>
              <w:left w:val="nil"/>
              <w:bottom w:val="nil"/>
              <w:right w:val="nil"/>
            </w:tcBorders>
          </w:tcPr>
          <w:p w:rsidR="00746743" w:rsidRPr="00B8029D" w:rsidRDefault="00746743" w:rsidP="00C93613">
            <w:pPr>
              <w:pStyle w:val="AmColumnHeading"/>
              <w:jc w:val="left"/>
              <w:rPr>
                <w:b/>
              </w:rPr>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6. De omvang van het inspectieteam en de duur van de inspectie worden, rekening houdend met alle relevante omstandigheden, bepaald door de commandant van het inspectievaartuig.</w:t>
            </w:r>
          </w:p>
        </w:tc>
        <w:tc>
          <w:tcPr>
            <w:tcW w:w="4876" w:type="dxa"/>
            <w:tcBorders>
              <w:top w:val="nil"/>
              <w:left w:val="nil"/>
              <w:bottom w:val="nil"/>
              <w:right w:val="nil"/>
            </w:tcBorders>
            <w:hideMark/>
          </w:tcPr>
          <w:p w:rsidR="00746743" w:rsidRPr="00B8029D" w:rsidRDefault="00746743" w:rsidP="00C93613">
            <w:pPr>
              <w:rPr>
                <w:b/>
                <w:i/>
              </w:rPr>
            </w:pP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Verplaatst naar de slotbepalingen die van toepassing zijn op de volledige verordening, zie de nieuwe artikelen 121 bis, 121 ter en 121 quater.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181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37 quinquies</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jc w:val="center"/>
            </w:pPr>
            <w:r w:rsidRPr="00B8029D">
              <w:rPr>
                <w:b/>
                <w:i/>
              </w:rPr>
              <w:t>Artikel 37 quinquies</w:t>
            </w:r>
          </w:p>
        </w:tc>
        <w:tc>
          <w:tcPr>
            <w:tcW w:w="4876" w:type="dxa"/>
            <w:tcBorders>
              <w:top w:val="nil"/>
              <w:left w:val="nil"/>
              <w:bottom w:val="nil"/>
              <w:right w:val="nil"/>
            </w:tcBorders>
            <w:hideMark/>
          </w:tcPr>
          <w:p w:rsidR="00746743" w:rsidRPr="00B8029D" w:rsidRDefault="00746743" w:rsidP="00C93613">
            <w:pPr>
              <w:pStyle w:val="AmColumnHeading"/>
            </w:pPr>
            <w:r w:rsidRPr="00B8029D">
              <w:rPr>
                <w:b/>
              </w:rPr>
              <w:t>Schrappen</w:t>
            </w: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rPr>
                <w:b/>
              </w:rPr>
              <w:t>Inbreuken</w:t>
            </w:r>
          </w:p>
        </w:tc>
        <w:tc>
          <w:tcPr>
            <w:tcW w:w="4876" w:type="dxa"/>
            <w:tcBorders>
              <w:top w:val="nil"/>
              <w:left w:val="nil"/>
              <w:bottom w:val="nil"/>
              <w:right w:val="nil"/>
            </w:tcBorders>
          </w:tcPr>
          <w:p w:rsidR="00746743" w:rsidRPr="00B8029D" w:rsidRDefault="00746743" w:rsidP="00C93613">
            <w:pPr>
              <w:pStyle w:val="AmColumnHeading"/>
              <w:jc w:val="left"/>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 Voor de toepassing van dit artikel worden de volgende activiteiten als inbreuk beschouwd:</w:t>
            </w:r>
          </w:p>
        </w:tc>
        <w:tc>
          <w:tcPr>
            <w:tcW w:w="4876" w:type="dxa"/>
            <w:tcBorders>
              <w:top w:val="nil"/>
              <w:left w:val="nil"/>
              <w:bottom w:val="nil"/>
              <w:right w:val="nil"/>
            </w:tcBorders>
          </w:tcPr>
          <w:p w:rsidR="00746743" w:rsidRPr="00B8029D" w:rsidRDefault="00746743" w:rsidP="00C93613">
            <w:pPr>
              <w:pStyle w:val="AmColumnHeading"/>
              <w:jc w:val="left"/>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a)</w:t>
            </w:r>
            <w:r w:rsidRPr="00B8029D">
              <w:rPr>
                <w:b/>
                <w:i/>
              </w:rPr>
              <w:tab/>
              <w:t>de in artikel 3, lid 1, punten a), b), c), e), f), g) en h), van Verordening (EG) nr. 1005/2008 bedoelde activiteiten;</w:t>
            </w:r>
          </w:p>
        </w:tc>
        <w:tc>
          <w:tcPr>
            <w:tcW w:w="4876" w:type="dxa"/>
            <w:tcBorders>
              <w:top w:val="nil"/>
              <w:left w:val="nil"/>
              <w:bottom w:val="nil"/>
              <w:right w:val="nil"/>
            </w:tcBorders>
          </w:tcPr>
          <w:p w:rsidR="00746743" w:rsidRPr="00B8029D" w:rsidRDefault="00746743" w:rsidP="00C93613">
            <w:pPr>
              <w:pStyle w:val="AmColumnHeading"/>
              <w:jc w:val="left"/>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jc w:val="left"/>
            </w:pPr>
            <w:r w:rsidRPr="00B8029D">
              <w:rPr>
                <w:b/>
              </w:rPr>
              <w:t>b)</w:t>
            </w:r>
            <w:r w:rsidRPr="00B8029D">
              <w:rPr>
                <w:b/>
              </w:rPr>
              <w:tab/>
              <w:t>storen van het satellietvolgsysteem; en</w:t>
            </w:r>
          </w:p>
        </w:tc>
        <w:tc>
          <w:tcPr>
            <w:tcW w:w="4876" w:type="dxa"/>
            <w:tcBorders>
              <w:top w:val="nil"/>
              <w:left w:val="nil"/>
              <w:bottom w:val="nil"/>
              <w:right w:val="nil"/>
            </w:tcBorders>
          </w:tcPr>
          <w:p w:rsidR="00746743" w:rsidRPr="00B8029D" w:rsidRDefault="00746743" w:rsidP="00C93613">
            <w:pPr>
              <w:pStyle w:val="AmColumnHeading"/>
              <w:jc w:val="left"/>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c)</w:t>
            </w:r>
            <w:r w:rsidRPr="00B8029D">
              <w:rPr>
                <w:b/>
                <w:i/>
              </w:rPr>
              <w:tab/>
              <w:t>actief zijn zonder VMS.</w:t>
            </w:r>
          </w:p>
        </w:tc>
        <w:tc>
          <w:tcPr>
            <w:tcW w:w="4876" w:type="dxa"/>
            <w:tcBorders>
              <w:top w:val="nil"/>
              <w:left w:val="nil"/>
              <w:bottom w:val="nil"/>
              <w:right w:val="nil"/>
            </w:tcBorders>
          </w:tcPr>
          <w:p w:rsidR="00746743" w:rsidRPr="00B8029D" w:rsidRDefault="00746743" w:rsidP="00C93613">
            <w:pPr>
              <w:pStyle w:val="AmColumnHeading"/>
              <w:jc w:val="left"/>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 xml:space="preserve">2. Wanneer de inspecteurs bij een inspectie aan boord van een </w:t>
            </w:r>
            <w:r w:rsidRPr="00B8029D">
              <w:rPr>
                <w:b/>
                <w:i/>
              </w:rPr>
              <w:lastRenderedPageBreak/>
              <w:t>vissersvaartuig een inbreuk constateren, melden de autoriteiten van de vlaggenlidstaat van het inspectievaartuig dat onmiddellijk aan de Commissie of een door haar aangewezen orgaan, die of dat de vlaggenstaat van het geïnspecteerde vissersvaartuig op de hoogte brengt, zowel rechtstreeks als via het GFCM-secretariaat. Zij melden het tevens aan elk inspectievaartuig van de vlaggenstaat van het vissersvaartuig waarvan bekend is dat het zich in de buurt bevindt.</w:t>
            </w:r>
          </w:p>
        </w:tc>
        <w:tc>
          <w:tcPr>
            <w:tcW w:w="4876" w:type="dxa"/>
            <w:tcBorders>
              <w:top w:val="nil"/>
              <w:left w:val="nil"/>
              <w:bottom w:val="nil"/>
              <w:right w:val="nil"/>
            </w:tcBorders>
          </w:tcPr>
          <w:p w:rsidR="00746743" w:rsidRPr="00B8029D" w:rsidRDefault="00746743" w:rsidP="00C93613">
            <w:pPr>
              <w:pStyle w:val="AmColumnHeading"/>
              <w:jc w:val="left"/>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3. De vlaggenlidstaat van het vissersvaartuig zorgt ervoor dat naar aanleiding van een inspectie waarbij een inbreuk is geconstateerd, het betrokken vissersvaartuig elke visserijactiviteit stopzet. De vlaggenlidstaat verzoekt het vissersvaartuig zich binnen 72 uur naar een door hem aangewezen haven te begeven, waar een onderzoek wordt ingesteld.</w:t>
            </w:r>
          </w:p>
        </w:tc>
        <w:tc>
          <w:tcPr>
            <w:tcW w:w="4876" w:type="dxa"/>
            <w:tcBorders>
              <w:top w:val="nil"/>
              <w:left w:val="nil"/>
              <w:bottom w:val="nil"/>
              <w:right w:val="nil"/>
            </w:tcBorders>
          </w:tcPr>
          <w:p w:rsidR="00746743" w:rsidRPr="00B8029D" w:rsidRDefault="00746743" w:rsidP="00C93613">
            <w:pPr>
              <w:pStyle w:val="AmColumnHeading"/>
              <w:jc w:val="left"/>
            </w:pPr>
          </w:p>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rPr>
                <w:b/>
                <w:i/>
              </w:rPr>
              <w:t>4. Wanneer bij een inspectie een inbreuk is geconstateerd, worden de acties en de follow-upmaatregelen van de vlaggenlidstaat meegedeeld aan de Commissie of een door haar aangewezen orgaan. De Commissie of een door haar aangewezen orgaan deelt de acties en de follow-upmaatregelen mee aan het GFCM-secretariaat.</w:t>
            </w:r>
          </w:p>
        </w:tc>
        <w:tc>
          <w:tcPr>
            <w:tcW w:w="4876" w:type="dxa"/>
            <w:tcBorders>
              <w:top w:val="nil"/>
              <w:left w:val="nil"/>
              <w:bottom w:val="nil"/>
              <w:right w:val="nil"/>
            </w:tcBorders>
          </w:tcPr>
          <w:p w:rsidR="00746743" w:rsidRPr="00B8029D" w:rsidRDefault="00746743" w:rsidP="00C93613">
            <w:pPr>
              <w:pStyle w:val="AmColumnHeading"/>
              <w:jc w:val="left"/>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5. De autoriteiten van de lidstaten geven aan inspectieverslagen als bedoeld in artikel 37 quater, aan het waarnemingsformulier van bijlage VII en aan verklaringen op basis van documentinspecties door inspecteurs hetzelfde gevolg als aan verslagen en verklaringen van nationale inspecteurs.</w:t>
            </w:r>
          </w:p>
        </w:tc>
        <w:tc>
          <w:tcPr>
            <w:tcW w:w="4876" w:type="dxa"/>
            <w:tcBorders>
              <w:top w:val="nil"/>
              <w:left w:val="nil"/>
              <w:bottom w:val="nil"/>
              <w:right w:val="nil"/>
            </w:tcBorders>
            <w:hideMark/>
          </w:tcPr>
          <w:p w:rsidR="00746743" w:rsidRPr="00B8029D" w:rsidRDefault="00746743" w:rsidP="00C93613"/>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Verplaatst naar de slotbepalingen die van toepassing zijn op de volledige verordening, zie de nieuwe artikelen 121 bis, 121 ter en 121 quater.</w:t>
      </w:r>
    </w:p>
    <w:p w:rsidR="00746743" w:rsidRPr="00B8029D" w:rsidRDefault="00746743" w:rsidP="00746743">
      <w:r w:rsidRPr="00B8029D">
        <w:rPr>
          <w:rStyle w:val="HideTWBExt"/>
        </w:rPr>
        <w:lastRenderedPageBreak/>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182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23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46 – lid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23 bis)</w:t>
            </w:r>
            <w:r w:rsidRPr="00B8029D">
              <w:tab/>
            </w:r>
            <w:r w:rsidRPr="00B8029D">
              <w:rPr>
                <w:b/>
                <w:i/>
              </w:rPr>
              <w:t>Artikel 46 wordt vervangen door:</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Artikel 46</w:t>
            </w:r>
          </w:p>
        </w:tc>
        <w:tc>
          <w:tcPr>
            <w:tcW w:w="4876" w:type="dxa"/>
            <w:tcBorders>
              <w:top w:val="nil"/>
              <w:left w:val="nil"/>
              <w:bottom w:val="nil"/>
              <w:right w:val="nil"/>
            </w:tcBorders>
            <w:hideMark/>
          </w:tcPr>
          <w:p w:rsidR="00746743" w:rsidRPr="00B8029D" w:rsidRDefault="00746743" w:rsidP="00C93613">
            <w:pPr>
              <w:pStyle w:val="Normal6a"/>
            </w:pPr>
            <w:r w:rsidRPr="00B8029D">
              <w:rPr>
                <w:b/>
                <w:bCs/>
                <w:i/>
                <w:iCs/>
              </w:rPr>
              <w:t>“</w:t>
            </w:r>
            <w:r w:rsidRPr="00B8029D">
              <w:t>Artikel 46</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Op afstand bediende onderwatervoertuigen (ROV’s)</w:t>
            </w:r>
          </w:p>
        </w:tc>
        <w:tc>
          <w:tcPr>
            <w:tcW w:w="4876" w:type="dxa"/>
            <w:tcBorders>
              <w:top w:val="nil"/>
              <w:left w:val="nil"/>
              <w:bottom w:val="nil"/>
              <w:right w:val="nil"/>
            </w:tcBorders>
            <w:hideMark/>
          </w:tcPr>
          <w:p w:rsidR="00746743" w:rsidRPr="00B8029D" w:rsidRDefault="00746743" w:rsidP="00C93613">
            <w:pPr>
              <w:pStyle w:val="Normal6a"/>
            </w:pPr>
            <w:r w:rsidRPr="00B8029D">
              <w:t>Op afstand bediende onderwatervoertuigen (ROV’s)</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w:t>
            </w:r>
            <w:r w:rsidRPr="00B8029D">
              <w:t xml:space="preserve"> Het gebruik van op afstand bediende </w:t>
            </w:r>
            <w:r w:rsidRPr="00B8029D">
              <w:rPr>
                <w:b/>
                <w:i/>
              </w:rPr>
              <w:t>onderwatervoertuigen</w:t>
            </w:r>
            <w:r w:rsidRPr="00B8029D">
              <w:t xml:space="preserve"> (</w:t>
            </w:r>
            <w:r w:rsidRPr="00B8029D">
              <w:rPr>
                <w:b/>
                <w:i/>
              </w:rPr>
              <w:t>remotely operated underwater vehicles – ROV’s) is verboden</w:t>
            </w:r>
            <w:r w:rsidRPr="00B8029D">
              <w:t xml:space="preserve"> in het </w:t>
            </w:r>
            <w:r w:rsidRPr="00B8029D">
              <w:rPr>
                <w:b/>
                <w:i/>
              </w:rPr>
              <w:t>in artikel 38 bedoelde gebied</w:t>
            </w:r>
            <w:r w:rsidRPr="00B8029D">
              <w:t>.</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Het gebruik van op afstand bediende </w:t>
            </w:r>
            <w:r w:rsidRPr="00B8029D">
              <w:rPr>
                <w:b/>
                <w:i/>
              </w:rPr>
              <w:t>voertuigen</w:t>
            </w:r>
            <w:r w:rsidRPr="00B8029D">
              <w:t xml:space="preserve"> (</w:t>
            </w:r>
            <w:r w:rsidRPr="00B8029D">
              <w:rPr>
                <w:b/>
                <w:i/>
              </w:rPr>
              <w:t>ROV’s) is tot het einde van het GFCM-onderzoeksprogramma toegestaan, zij het alleen voor wetenschappelijke doeleinden en</w:t>
            </w:r>
            <w:r w:rsidRPr="00B8029D">
              <w:t xml:space="preserve"> in het </w:t>
            </w:r>
            <w:r w:rsidRPr="00B8029D">
              <w:rPr>
                <w:b/>
                <w:i/>
              </w:rPr>
              <w:t>kader van door de lidstaten goedgekeurde onderzoeksprogramma’s onder leiding van wetenschappelijke instellingen.</w:t>
            </w:r>
            <w:r w:rsidRPr="00B8029D">
              <w:t xml:space="preserve"> </w:t>
            </w:r>
            <w:r w:rsidRPr="00B8029D">
              <w:rPr>
                <w:b/>
                <w:i/>
              </w:rPr>
              <w:t>Dergelijke machtigingen laten strengere maatregelen van de lidstaten onverlet.”</w:t>
            </w:r>
            <w:r w:rsidRPr="00B8029D">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(https://eur-lex.europa.eu/eli/reg/2023/2124)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GFCM/46/2023/13.</w:t>
      </w:r>
    </w:p>
    <w:p w:rsidR="00746743" w:rsidRPr="00B8029D" w:rsidRDefault="00746743" w:rsidP="00746743">
      <w:pPr>
        <w:pStyle w:val="AmNumberTabs"/>
      </w:pPr>
      <w:r w:rsidRPr="00B8029D">
        <w:rPr>
          <w:rStyle w:val="HideTWBExt"/>
          <w:b w:val="0"/>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183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23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46 – lid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23 bis)</w:t>
            </w:r>
            <w:r w:rsidRPr="00B8029D">
              <w:tab/>
            </w:r>
            <w:r w:rsidRPr="00B8029D">
              <w:rPr>
                <w:b/>
                <w:i/>
              </w:rPr>
              <w:t>In artikel 46 wordt lid 2 vervangen door:</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2. In afwijking van lid 1 is het gebruik van ROV’s uitsluitend voor wetenschappelijke doeleinden in het kader van het GFCM-onderzoeksprogramma toegestaan tot het einde van dat programma.</w:t>
            </w:r>
          </w:p>
        </w:tc>
        <w:tc>
          <w:tcPr>
            <w:tcW w:w="4876" w:type="dxa"/>
            <w:tcBorders>
              <w:top w:val="nil"/>
              <w:left w:val="nil"/>
              <w:bottom w:val="nil"/>
              <w:right w:val="nil"/>
            </w:tcBorders>
            <w:hideMark/>
          </w:tcPr>
          <w:p w:rsidR="00746743" w:rsidRPr="00B8029D" w:rsidRDefault="00746743" w:rsidP="00C93613">
            <w:pPr>
              <w:pStyle w:val="Normal6a"/>
            </w:pPr>
            <w:r w:rsidRPr="00B8029D">
              <w:rPr>
                <w:b/>
                <w:bCs/>
                <w:i/>
                <w:iCs/>
              </w:rPr>
              <w:t>“</w:t>
            </w:r>
            <w:r w:rsidRPr="00B8029D">
              <w:t>2. In afwijking van lid 1 is het gebruik van ROV’s uitsluitend voor wetenschappelijke doeleinden in het kader van het GFCM-onderzoeksprogramma toegestaan tot het einde van dat programma</w:t>
            </w:r>
            <w:r w:rsidRPr="00B8029D">
              <w:rPr>
                <w:b/>
                <w:i/>
              </w:rPr>
              <w:t xml:space="preserve"> en in het kader van door de lidstaten goedgekeurde onderzoeksprogramma’s onder leiding van wetenschappelijke instellingen.</w:t>
            </w:r>
            <w:r w:rsidRPr="00B8029D">
              <w:t xml:space="preserve"> </w:t>
            </w:r>
            <w:r w:rsidRPr="00B8029D">
              <w:rPr>
                <w:b/>
                <w:i/>
              </w:rPr>
              <w:t>Dergelijke machtigingen laten strengere maatregelen van de lidstaten onverlet.”</w:t>
            </w:r>
            <w:r w:rsidRPr="00B8029D">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GFCM/44/2024/2.</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184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24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55</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24 bis)</w:t>
            </w:r>
            <w:r w:rsidRPr="00B8029D">
              <w:tab/>
            </w:r>
            <w:r w:rsidRPr="00B8029D">
              <w:rPr>
                <w:b/>
                <w:i/>
              </w:rPr>
              <w:t>Artikel 55 wordt vervangen door: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55</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Traceerbaarheid van producten van rood koraal</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De lidstaten passen de vangstdocumentatieregeling (VDR) voor rood koraal volledig toe in de hele toeleveringsketen, teneinde de traceerbaarheid van in de Middellandse Zee geoogst rood koraal (Corallium rubrum) te garanderen en bij te dragen tot de bestrijding van illegale, ongemelde en ongereglementeerde visserij (IOO-</w:t>
            </w:r>
            <w:r w:rsidRPr="00B8029D">
              <w:rPr>
                <w:b/>
                <w:i/>
              </w:rPr>
              <w:lastRenderedPageBreak/>
              <w:t>visserij).</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in lid 1 vastgestelde papieren vangstdocumentatieregeling voor rood koraal doet geen afbreuk aan andere geldende nationale traceerbaarheidssystemen die hetzelfde niveau van controle op de traceerbaarheid van producten van rood koraal door de lidstaten garanderen.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De papieren vangstdocumentatieregeling voor rood koraal geldt voor eerste aanlandingen, uitvoer en wederuitvoer. De binnenlandse handel maakt geen deel uit van de valideringsketen.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In afwijking van lid 1 wordt een overgangsperiode van één jaar vastgesteld waarin rood koraal dat vóór 1 januari 2025 is opgeslagen, mag worden uitgevoerd of wederuitgevoerd zonder een gevalideerde rubriek “vangst” in het oogstcertificaat.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Om een koppeling tussen de gevalideerde documenten van de vangstdocumentatieregeling en de zendingen van rood koraal waarop zij betrekking hebben tot stand te brengen, kunnen de lidstaten een etiketteringssysteem invoeren.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6. Elke zending van rood koraal die wordt ingevoerd, uitgevoerd of wederuitgevoerd vanaf de plaats van oorsprong, gaat vergezeld van een gevalideerd certificaat als bedoeld in bijlage XX[RFR2] of een gelijkwaardig document, zoals het in de uitvoerende lidstaten geldende oogstcertificaat.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7. Elk oogstcertificaat heeft een uniek documentidentificatienummer. Dit nummer is specifiek voor de vlaggenlidstaat en wordt toegekend aan elke visser of elk voor de oogst gebruikt vaartuig. De certificaten zijn niet overdraagbaar aan een andere visser of een ander voor de oogst gebruikt vaartuig.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8. De lidstaten valideren oogstcertificaten alleen als na verificatie van de bewijsstukken en de overeenkomstige zending is vastgesteld dat alle gegevens in de vangstdocumentatieregeling voor rood koraal correct zijn.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9. De lidstaten brengen bij de Commissie of een door haar aangewezen orgaan verslag uit over hun vangstdocumentatieregeling en over eventuele voorschriften inzake merking en identificatie en voorschriften inzake traceerbaarheid en tracering voor de oogst van rood koraal, die in overeenstemming moeten zijn met de bepalingen van dit artikel om ervoor te zorgen dat de traceerbaarheidsdoelstelling daadwerkelijk wordt gehaald. De Commissie of een door haar aangewezen orgaan stelt het GFCM-secretariaat in kennis van de vangstdocumentatieregeling van elke lidstaat.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10. De wederuitvoer van producten die met een oogstcertificaat overeenkomstig dit artikel zijn ingevoerd, is toegestaan door middel van de validering, door de bevoegde autoriteiten van de lidstaten van waaruit de wederuitvoer zal plaatsvinden, van de rubriek “wederuitvoer” van het in bijlage XX bedoelde oogstcertificaat of een kopie daarvan, waarop de weder uit te voeren visserijproducten staan vermeld als onderdeel van de ingevoerde producten.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11. Wanneer een lidstaat vaststelt dat de in deze aanbeveling vastgestelde verplichtingen niet zijn nageleefd, meldt de lidstaat dit aan de vlaggenlidstaten en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12. De lidstaten stellen de Commissie of een door haar aangewezen orgaan in kennis van hun bevoegde autoriteiten die verantwoordelijk zijn voor de validering, de controle en de verificatie van de oogstcertificaten, alsook van de </w:t>
            </w:r>
            <w:r w:rsidRPr="00B8029D">
              <w:rPr>
                <w:b/>
                <w:i/>
              </w:rPr>
              <w:lastRenderedPageBreak/>
              <w:t>contactpunten voor de vangstdocumentatieregeling, het valideringszegel en andere informatie die relevant is voor de uitvoering van de vangstdocumentatieregeling. De Commissie of een door haar aangewezen orgaan stelt het GFCM-secretariaat in kennis van de bevoegde autoriteiten en contactpunten en van andere informatie die relevant is voor de uitvoering van de vangstdocumentatieregeling.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13. De lidstaten bewaren de gevalideerde papieren oogstcertificaten voor rood koraal gedurende een periode van tien jaar.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14. De lidstaten brengen jaarlijks verslag uit over de uitvoering van de papieren vangstdocumentatieregeling voor rood koraal, waarbij zij gedetailleerde informatie en statistische gegevens verstrekken over onder meer de jaarlijks gevalideerde hoeveelheden, de jaarlijks verhandelde hoeveelheden, het aantal gevalideerde oogstcertificaten en alle relevante elementen die volgens hen informatie geven over de stand van zaken. De lidstaten dienen het verslag uiterlijk 45 dagen voor elke jaarvergadering van het nalevingscomité in bij de Commissie of een door haar aangewezen orgaan. De Commissie of een door haar aangewezen orgaan dient de verslagen uiterlijk 30 dagen voor elke jaarvergadering van het nalevingscomité in bij het GFCM-secretariaat.”.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GFCM/46/2023/19.</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185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lastRenderedPageBreak/>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28</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59 – lid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w:t>
            </w:r>
            <w:r w:rsidRPr="00B8029D">
              <w:tab/>
            </w:r>
            <w:r w:rsidRPr="00B8029D">
              <w:rPr>
                <w:b/>
                <w:i/>
              </w:rPr>
              <w:t>Op paaiconcentraties van heek gerichte visserijactiviteiten met bodembeugen, kieuwnetten en schakelnetten worden tussen maart en april gedurende dertig opeenvolgende dagen stopgezet. De lidstaten zenden de Commissie elk jaar uiterlijk op 31 mei gegevens over deze temporele beperkingen toe. De Commissie zendt die informatie elk jaar uiterlijk op 30 juni door aan het GFCM-secretariaat.</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186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28</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59 – lid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2.</w:t>
            </w:r>
            <w:r w:rsidRPr="00B8029D">
              <w:tab/>
            </w:r>
            <w:r w:rsidRPr="00B8029D">
              <w:rPr>
                <w:b/>
                <w:i/>
              </w:rPr>
              <w:t>Visserijactiviteiten met bodemtrawls, ongeacht de lengte over alles van de vaartuigen, zijn elk jaar van 1 juli tot en met 30 september niet toegestaan tussen de kust en het gebied bepaald door de dieptelijn van 200 meter in GDG 14 (Golf van Gabès).</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187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lastRenderedPageBreak/>
        <w:t>&lt;Article&gt;</w:t>
      </w:r>
      <w:r w:rsidRPr="00B8029D">
        <w:t>Artikel 1 – alinea 1 – punt 31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63</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Artikel 63</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Internationale gezamenlijke inspectie- en surveillanceregeling</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w:t>
            </w:r>
            <w:r w:rsidRPr="00B8029D">
              <w:t xml:space="preserve">. </w:t>
            </w:r>
            <w:r w:rsidRPr="00B8029D">
              <w:rPr>
                <w:b/>
                <w:i/>
              </w:rPr>
              <w:t>De lidstaten kunnen inspectie- en surveillanceactiviteiten verrichten in het kader van een internationale gezamenlijke inspectie- en surveillanceregeling (hierna “de regeling” genoemd) in de wateren buiten nationale jurisdictie in de GDG’s 12, 13, 14, 15 en 16 zoals omschreven in bijlage I (hierna “het inspectie- en surveillancegebied” genoemd).</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2. De lidstaten kunnen inspecteurs en inspectiemiddelen aanwijzen en inspecties verrichten in het kader van de regeling. De Commissie of een door haar aangewezen orgaan kan met het oog op de toepassing van de regeling ook inspecteurs van de Unie aanwijzen.</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3. De Commissie of een door haar aangewezen orgaan zorgt voor de coördinatie van de surveillance- en inspectieactiviteiten voor de Unie en kan in overleg met de betrokken lidstaten een gezamenlijk inzetplan opstellen op basis waarvan de Unie haar verplichtingen in het kader van de regeling kan nakomen. De lidstaten nemen de nodige maatregelen om de uitvoering van die plannen te vergemakkelijken, met name met betrekking tot de vereiste personele en materiële middelen, alsmede de perioden en geografische gebieden waarin deze moeten worden ingezet.</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4. Elke lidstaat stelt elk jaar uiterlijk op 31 oktober de Commissie of een door haar aangewezen orgaan in kennis van de lijst van de namen van de inspecteurs die gemachtigd zijn om inspectie- en </w:t>
            </w:r>
            <w:r w:rsidRPr="00B8029D">
              <w:rPr>
                <w:b/>
                <w:i/>
              </w:rPr>
              <w:lastRenderedPageBreak/>
              <w:t>surveillanceactiviteiten te verrichten in het in lid 1 bedoelde gebied, alsook de namen van de voor de inspectie en surveillance gebruikte vaartuigen en luchtvaartuigen die zij het volgende jaar voor de regeling willen inzetten. De Commissie of een door haar aangewezen orgaan zendt deze informatie elk jaar uiterlijk op 1 december of zo spoedig als haalbaar is vóór aanvang van de inspectieactiviteiten door aan het GFCM-secretariaat.</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5. De aan de regeling toegewezen inspecteurs hebben een door de bevoegde autoriteiten afgegeven GFCM-identiteitskaart bij zich, die de in bijlage IV vastgestelde vorm heeft.</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6. Vaartuigen die in het kader van de regeling inspecties aan boord verrichten, voeren een speciale vlag of wimpel zoals beschreven in bijlage V.</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7. Elke lidstaat zorgt ervoor dat elk inspectieplatform dat zijn vlag mag voeren en in het in lid 1 bedoelde gebied actief is, met elk ander inspectieplatform dat in dat gebied actief is, op beveiligde wijze contact houdt, indien mogelijk dagelijks, om informatie uit te wisselen die nodig is voor het coördineren van de activiteiten.</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8. Elke lidstaat met een inspectie- of surveillanceaanwezigheid in het in lid 1 bedoelde gebied verstrekt aan elk inspectieplatform, bij binnenkomst ervan in het gebied, een lijst van overeenkomstig bijlage VII opgestelde waarnemingen en van inspecties aan boord die hij heeft verricht in de voorgaande periode van tien dagen, zoals datums, coördinaten en andere relevante informatie.</w:t>
            </w:r>
          </w:p>
        </w:tc>
        <w:tc>
          <w:tcPr>
            <w:tcW w:w="4876" w:type="dxa"/>
            <w:tcBorders>
              <w:top w:val="nil"/>
              <w:left w:val="nil"/>
              <w:bottom w:val="nil"/>
              <w:right w:val="nil"/>
            </w:tcBorders>
          </w:tcPr>
          <w:p w:rsidR="00746743" w:rsidRPr="00B8029D" w:rsidRDefault="00746743" w:rsidP="00C93613">
            <w:pPr>
              <w:pStyle w:val="Normal6a"/>
            </w:pP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lastRenderedPageBreak/>
        <w:t>&lt;TitreJust&gt;</w:t>
      </w:r>
      <w:r w:rsidRPr="00B8029D">
        <w:t>Motivering</w:t>
      </w:r>
      <w:r w:rsidRPr="00B8029D">
        <w:rPr>
          <w:rStyle w:val="HideTWBExt"/>
          <w:i w:val="0"/>
        </w:rPr>
        <w:t>&lt;/TitreJust&gt;</w:t>
      </w:r>
    </w:p>
    <w:p w:rsidR="00746743" w:rsidRPr="00B8029D" w:rsidRDefault="00746743" w:rsidP="00746743">
      <w:pPr>
        <w:pStyle w:val="AmJustText"/>
      </w:pPr>
      <w:r w:rsidRPr="00B8029D">
        <w:t>Het artikel wordt ingevoegd als het nieuwe artikel 121 ter.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188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31 ter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64</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Artikel 64</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Verrichting van inspecties</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w:t>
            </w:r>
            <w:r w:rsidRPr="00B8029D">
              <w:t xml:space="preserve">. </w:t>
            </w:r>
            <w:r w:rsidRPr="00B8029D">
              <w:rPr>
                <w:b/>
                <w:i/>
              </w:rPr>
              <w:t>Aan de regeling toegewezen inspecteurs: a) stellen, vóór zij aan boord gaan, het vissersvaartuig in kennis van de naam van het inspectievaartuig; b) voeren op het inspectievaartuig en het boardingvaartuig de in bijlage V beschreven wimpel; c) beperken elk inspectieteam tot een maximum van drie inspecteurs.</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2. Bij het aan boord gaan van het vaartuig laten de inspecteurs de kapitein van het vissersvaartuig de in bijlage IV beschreven identiteitskaart zien. Inspecties worden verricht in een van de officiële talen van de GFCM en, indien mogelijk, in de taal van de kapitein van het vissersvaartuig.</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3. De inspecteurs stellen een inspectieverslag op in het in bijlage VI vastgestelde formaat.</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4. De inspecteurs ondertekenen het verslag in aanwezigheid van de kapitein van het vaartuig, die het recht heeft om opmerkingen die hij of zij nuttig acht toe te voegen, en die het verslag medeondertekent.</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5. Een kopie van het verslag wordt verstrekt aan de kapitein van het vaartuig </w:t>
            </w:r>
            <w:r w:rsidRPr="00B8029D">
              <w:rPr>
                <w:b/>
                <w:i/>
              </w:rPr>
              <w:lastRenderedPageBreak/>
              <w:t>en aan de autoriteiten van het inspectieteam, die op hun beurt een kopie bezorgen aan de autoriteiten van de vlaggenstaat van het geïnspecteerde vaartuig en aan de Commissie en/of een door haar aangewezen orgaan. De Commissie stuurt de kopie door aan het GFCM-secretariaat.</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6. De omvang van het inspectieteam en de duur van de inspectie worden, rekening houdend met alle relevante omstandigheden, bepaald door de commandant van het inspectievaartuig.</w:t>
            </w:r>
          </w:p>
        </w:tc>
        <w:tc>
          <w:tcPr>
            <w:tcW w:w="4876" w:type="dxa"/>
            <w:tcBorders>
              <w:top w:val="nil"/>
              <w:left w:val="nil"/>
              <w:bottom w:val="nil"/>
              <w:right w:val="nil"/>
            </w:tcBorders>
          </w:tcPr>
          <w:p w:rsidR="00746743" w:rsidRPr="00B8029D" w:rsidRDefault="00746743" w:rsidP="00C93613">
            <w:pPr>
              <w:pStyle w:val="Normal6a"/>
            </w:pP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Het artikel wordt ingevoegd als het nieuwe artikel 121 bis.</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189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65 – lid 5</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32)</w:t>
            </w:r>
            <w:r w:rsidRPr="00B8029D">
              <w:tab/>
            </w:r>
            <w:r w:rsidRPr="00B8029D">
              <w:rPr>
                <w:b/>
                <w:i/>
              </w:rPr>
              <w:t>In artikel 65 wordt lid 5 vervangen door:</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“5. De autoriteiten van de lidstaten geven aan inspectieverslagen als bedoeld in artikel 64, lid 3, aan de waarnemingsformulieren van bijlage VII en aan verklaringen op basis van documentinspecties door inspecteurs hetzelfde gevolg als aan verslagen en verklaringen van nationale inspecteurs die zijn opgesteld overeenkomstig hun nationale wetgeving.”.</w:t>
            </w:r>
          </w:p>
        </w:tc>
        <w:tc>
          <w:tcPr>
            <w:tcW w:w="4876" w:type="dxa"/>
            <w:tcBorders>
              <w:top w:val="nil"/>
              <w:left w:val="nil"/>
              <w:bottom w:val="nil"/>
              <w:right w:val="nil"/>
            </w:tcBorders>
          </w:tcPr>
          <w:p w:rsidR="00746743" w:rsidRPr="00B8029D" w:rsidRDefault="00746743" w:rsidP="00C93613">
            <w:pPr>
              <w:pStyle w:val="Normal6a"/>
            </w:pP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32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65</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Artikel 65</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Inbreuken</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w:t>
            </w:r>
            <w:r w:rsidRPr="00B8029D">
              <w:t xml:space="preserve">. </w:t>
            </w:r>
            <w:r w:rsidRPr="00B8029D">
              <w:rPr>
                <w:b/>
                <w:i/>
              </w:rPr>
              <w:t>Voor de toepassing van dit artikel worden de volgende activiteiten beschouwd als inbreuken: a) de in artikel 3, lid 1, punten a), b), c), e), f), g) en h), van Verordening (EG) nr. 1005/2008 bedoelde activiteiten; b) storen van het satellietvolgsysteem, en c) actief zijn zonder VMS.</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2. Wanneer de inspecteurs bij het aan boord gaan van een vissersvaartuig en de inspectie daarvan een inbreuk vaststellen, melden de autoriteiten van de vlaggenlidstaat van het inspectievaartuig dat onmiddellijk aan de Commissie of een door haar aangewezen orgaan, die de vlaggenstaat van het geïnspecteerde vissersvaartuig op de hoogte brengen, zowel rechtstreeks als via het GFCM-secretariaat. Zij informeren tevens elk inspectievaartuig van de vlaggenstaat van het vissersvaartuig waarvan bekend is dat het zich in de buurt bevindt.</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3. De vlaggenlidstaat van het vaartuig zorgt ervoor dat naar aanleiding van een inspectie waarbij een inbreuk is vastgesteld, het betrokken vissersvaartuig elke visserijactiviteit stopzet. De vlaggenlidstaat verzoekt het vissersvaartuig zich binnen 72 uur naar een door hem aangewezen aanlandingsplaats te begeven, waar een </w:t>
            </w:r>
            <w:r w:rsidRPr="00B8029D">
              <w:rPr>
                <w:b/>
                <w:i/>
              </w:rPr>
              <w:lastRenderedPageBreak/>
              <w:t>onderzoek wordt ingesteld.</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4. Wanneer bij een inspectie een inbreuk is geconstateerd, worden de acties en de follow-upmaatregelen van de vlaggenlidstaat meegedeeld aan de Commissie of een door haar aangewezen orgaan. De Commissie of een door haar aangewezen orgaan deelt de acties en de follow-upmaatregelen mee aan het GFCM-secretariaat.</w:t>
            </w:r>
          </w:p>
        </w:tc>
        <w:tc>
          <w:tcPr>
            <w:tcW w:w="4876" w:type="dxa"/>
            <w:tcBorders>
              <w:top w:val="nil"/>
              <w:left w:val="nil"/>
              <w:bottom w:val="nil"/>
              <w:right w:val="nil"/>
            </w:tcBorders>
          </w:tcPr>
          <w:p w:rsidR="00746743" w:rsidRPr="00B8029D" w:rsidRDefault="00746743" w:rsidP="00C93613">
            <w:pPr>
              <w:pStyle w:val="Normal6a"/>
            </w:pP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5. De autoriteiten van de lidstaten geven aan inspectieverslagen als bedoeld in artikel 64, lid 3, en verklaringen op basis van documentinspecties door inspecteurs hetzelfde gevolg als aan verslagen en verklaringen van nationale inspecteurs.</w:t>
            </w:r>
          </w:p>
        </w:tc>
        <w:tc>
          <w:tcPr>
            <w:tcW w:w="4876" w:type="dxa"/>
            <w:tcBorders>
              <w:top w:val="nil"/>
              <w:left w:val="nil"/>
              <w:bottom w:val="nil"/>
              <w:right w:val="nil"/>
            </w:tcBorders>
          </w:tcPr>
          <w:p w:rsidR="00746743" w:rsidRPr="00B8029D" w:rsidRDefault="00746743" w:rsidP="00C93613">
            <w:pPr>
              <w:pStyle w:val="Normal6a"/>
            </w:pP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Het artikel wordt ingevoegd als het nieuwe artikel 121 quater.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34</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72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r>
            <w:r w:rsidRPr="00B8029D">
              <w:rPr>
                <w:b/>
                <w:i/>
              </w:rPr>
              <w:t xml:space="preserve">Onverminderd artikel 9 van Verordening (EG) nr. 1224/2009 van de Raad zijn </w:t>
            </w:r>
            <w:r w:rsidRPr="00B8029D">
              <w:t xml:space="preserve">gemachtigde trawlers met een lengte over alles van meer dan </w:t>
            </w:r>
            <w:r w:rsidRPr="00B8029D">
              <w:rPr>
                <w:b/>
                <w:i/>
              </w:rPr>
              <w:t>twaalf</w:t>
            </w:r>
            <w:r w:rsidRPr="00B8029D">
              <w:t xml:space="preserve"> meter die binnen de werkingssfeer van deze afdeling vissen, uitgerust met een satelliet-VMS. </w:t>
            </w:r>
            <w:r w:rsidRPr="00B8029D">
              <w:rPr>
                <w:b/>
                <w:i/>
              </w:rPr>
              <w:t xml:space="preserve">In afwijking van artikel 9, lid 3, van Verordening (EG) nr. 1224/2009 van de Raad zijn </w:t>
            </w:r>
            <w:r w:rsidRPr="00B8029D">
              <w:t xml:space="preserve">gemachtigde trawlers met een lengte over alles van minder dan </w:t>
            </w:r>
            <w:r w:rsidRPr="00B8029D">
              <w:rPr>
                <w:b/>
                <w:i/>
              </w:rPr>
              <w:t>negen</w:t>
            </w:r>
            <w:r w:rsidRPr="00B8029D">
              <w:t xml:space="preserve"> meter uitgerust </w:t>
            </w:r>
            <w:r w:rsidRPr="00B8029D">
              <w:lastRenderedPageBreak/>
              <w:t>met een geschikt geolokalisatiesysteem.”.</w:t>
            </w:r>
          </w:p>
        </w:tc>
        <w:tc>
          <w:tcPr>
            <w:tcW w:w="4876" w:type="dxa"/>
            <w:tcBorders>
              <w:top w:val="nil"/>
              <w:left w:val="nil"/>
              <w:bottom w:val="nil"/>
              <w:right w:val="nil"/>
            </w:tcBorders>
            <w:hideMark/>
          </w:tcPr>
          <w:p w:rsidR="00746743" w:rsidRPr="00B8029D" w:rsidRDefault="00746743" w:rsidP="00C93613">
            <w:pPr>
              <w:pStyle w:val="Normal6a"/>
            </w:pPr>
            <w:r w:rsidRPr="00B8029D">
              <w:lastRenderedPageBreak/>
              <w:t>“1.</w:t>
            </w:r>
            <w:r w:rsidRPr="00B8029D">
              <w:tab/>
              <w:t xml:space="preserve">Gemachtigde trawlers met een lengte over alles van meer dan </w:t>
            </w:r>
            <w:r w:rsidRPr="00B8029D">
              <w:rPr>
                <w:b/>
                <w:i/>
              </w:rPr>
              <w:t>25</w:t>
            </w:r>
            <w:r w:rsidRPr="00B8029D">
              <w:t xml:space="preserve"> meter die binnen de werkingssfeer van deze afdeling vissen,</w:t>
            </w:r>
            <w:r w:rsidRPr="00B8029D">
              <w:rPr>
                <w:b/>
                <w:i/>
              </w:rPr>
              <w:t xml:space="preserve"> zijn</w:t>
            </w:r>
            <w:r w:rsidRPr="00B8029D">
              <w:t xml:space="preserve"> uitgerust met een satelliet-VMS. Gemachtigde trawlers met een lengte over alles van minder dan </w:t>
            </w:r>
            <w:r w:rsidRPr="00B8029D">
              <w:rPr>
                <w:b/>
                <w:i/>
              </w:rPr>
              <w:t>18</w:t>
            </w:r>
            <w:r w:rsidRPr="00B8029D">
              <w:t xml:space="preserve"> meter uitgerust met een geschikt geolokalisatiesysteem.”.</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35</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73</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Deze afdeling is van toepassing op alle visserijactiviteiten die gericht zijn op belangrijke kleine pelagische bestanden (ansjovis en sardine) in de GDG’s 17 en 18, zoals bepaald in bijlage I.</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Deze afdeling is van toepassing op alle visserijactiviteiten die gericht zijn op belangrijke kleine pelagische bestanden (ansjovis </w:t>
            </w:r>
            <w:r w:rsidRPr="00B8029D">
              <w:rPr>
                <w:b/>
                <w:i/>
              </w:rPr>
              <w:t xml:space="preserve">(Engraulis encrasicolus) </w:t>
            </w:r>
            <w:r w:rsidRPr="00B8029D">
              <w:t>en sardine</w:t>
            </w:r>
            <w:r w:rsidRPr="00B8029D">
              <w:rPr>
                <w:b/>
                <w:i/>
              </w:rPr>
              <w:t xml:space="preserve"> (Sardina pilchardus)</w:t>
            </w:r>
            <w:r w:rsidRPr="00B8029D">
              <w:t>) in de GDG’s 17 en 18, zoals bepaald in bijlage I.</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Amendement op punt 39 betreffende artikel 77 bis (aantal dagen en periode van het jaar), uit GFCM/2024/3, paragraaf 3).</w:t>
      </w:r>
    </w:p>
    <w:p w:rsidR="00746743" w:rsidRPr="00B8029D" w:rsidRDefault="00746743" w:rsidP="00746743">
      <w:pPr>
        <w:pStyle w:val="AmJustText"/>
      </w:pPr>
      <w:r w:rsidRPr="00B8029D">
        <w:t>Toevoeging van lid 4 aan artikel 78, uit GFCM/2024/3, paragraaf 5.</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Stephen Nikola Bartulica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35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74 – lid 5</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35 bis)</w:t>
            </w:r>
            <w:r w:rsidRPr="00B8029D">
              <w:rPr>
                <w:b/>
                <w:i/>
              </w:rPr>
              <w:tab/>
              <w:t>In artikel 74 wordt lid 5 geschrapt.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lastRenderedPageBreak/>
        <w:t>&lt;TitreJust&gt;</w:t>
      </w:r>
      <w:r w:rsidRPr="00B8029D">
        <w:t>Motivering</w:t>
      </w:r>
      <w:r w:rsidRPr="00B8029D">
        <w:rPr>
          <w:rStyle w:val="HideTWBExt"/>
          <w:i w:val="0"/>
        </w:rPr>
        <w:t>&lt;/TitreJust&gt;</w:t>
      </w:r>
    </w:p>
    <w:p w:rsidR="00746743" w:rsidRPr="00B8029D" w:rsidRDefault="00746743" w:rsidP="00746743">
      <w:pPr>
        <w:pStyle w:val="AmJustText"/>
      </w:pPr>
      <w:r w:rsidRPr="00B8029D">
        <w:t>Artikel 74, lid 5, van Verordening (EU) 2023/2124 zou een overschrijding van het toepassingsgebied van GFCM-aanbeveling GFCM/44/2021/20 inhouden en de lidstaten aanvullende maatregelen en beperkingen opleggen.</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António Tânger Corrêa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36</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74 ter</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Vangsten van doelsoorten, alsmede vangsten van niet-doelsoorten van meer dan 50 kg worden elektronisch aangegeven door vaartuigen met een lengte van meer dan </w:t>
            </w:r>
            <w:r w:rsidRPr="00B8029D">
              <w:rPr>
                <w:b/>
                <w:bCs/>
                <w:i/>
                <w:iCs/>
              </w:rPr>
              <w:t>12</w:t>
            </w:r>
            <w:r w:rsidRPr="00B8029D">
              <w:t> meter en door vaartuigen die meer dan 10 000 kg per jaar vangen, ongeacht de lengte ervan.</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Vangsten van doelsoorten, alsmede vangsten van niet-doelsoorten van meer dan 50 kg worden elektronisch aangegeven door vaartuigen met een lengte van meer dan </w:t>
            </w:r>
            <w:r w:rsidRPr="00B8029D">
              <w:rPr>
                <w:b/>
                <w:bCs/>
                <w:i/>
                <w:iCs/>
              </w:rPr>
              <w:t>18</w:t>
            </w:r>
            <w:r w:rsidRPr="00B8029D">
              <w:t> meter en door vaartuigen die meer dan 10 000 kg per jaar vangen, ongeacht de lengte ervan.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France Jamet, Ton Diepeveen</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40</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79 – lid 10</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10.</w:t>
            </w:r>
            <w:r w:rsidRPr="00B8029D">
              <w:tab/>
            </w:r>
            <w:r w:rsidRPr="00B8029D">
              <w:rPr>
                <w:b/>
                <w:i/>
              </w:rPr>
              <w:t xml:space="preserve">Onverminderd artikel 9 van Verordening (EG) nr. 1224/2009 zijn alle in het kader van dit hoofdstuk gemachtigde vaartuigen met een lengte over alles (LOA) van meer dan tien meter uiterlijk op 1 januari 2024 uitgerust met een volgsysteem voor vaartuigen (VMS) of ander geolocatiesysteem waarmee de controleautoriteiten hun activiteiten </w:t>
            </w:r>
            <w:r w:rsidRPr="00B8029D">
              <w:rPr>
                <w:b/>
                <w:i/>
              </w:rPr>
              <w:lastRenderedPageBreak/>
              <w:t>tijdens de visreizen te allen tijde kunnen volgen.”.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lastRenderedPageBreak/>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42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81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Artikel 81</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42 bis)</w:t>
            </w:r>
            <w:r w:rsidRPr="00B8029D">
              <w:tab/>
            </w:r>
            <w:r w:rsidRPr="00B8029D">
              <w:rPr>
                <w:b/>
                <w:i/>
              </w:rPr>
              <w:t>Artikel 81 wordt vervangen door:</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Werkingssfeer</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“Werkingssfeer</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Dit hoofdstuk is van toepassing op </w:t>
            </w:r>
            <w:r w:rsidRPr="00B8029D">
              <w:rPr>
                <w:b/>
                <w:i/>
              </w:rPr>
              <w:t>alle commerciële</w:t>
            </w:r>
            <w:r w:rsidRPr="00B8029D">
              <w:t xml:space="preserve"> visserijactiviteiten met visaantrekkende voorzieningen (fishing aggregate devices, FAD’s) in de </w:t>
            </w:r>
            <w:r w:rsidRPr="00B8029D">
              <w:rPr>
                <w:b/>
                <w:i/>
              </w:rPr>
              <w:t xml:space="preserve">gehele </w:t>
            </w:r>
            <w:r w:rsidRPr="00B8029D">
              <w:t>Middellandse Zee (GDG’s</w:t>
            </w:r>
            <w:r w:rsidRPr="00B8029D">
              <w:rPr>
                <w:b/>
                <w:i/>
              </w:rPr>
              <w:t xml:space="preserve"> </w:t>
            </w:r>
            <w:r w:rsidRPr="00B8029D">
              <w:t>1 tot en met</w:t>
            </w:r>
            <w:r w:rsidRPr="00B8029D">
              <w:rPr>
                <w:b/>
                <w:i/>
              </w:rPr>
              <w:t xml:space="preserve"> </w:t>
            </w:r>
            <w:r w:rsidRPr="00B8029D">
              <w:t>27) die gericht zijn op goudmakreel (Coryphaena hippurus).</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Dit hoofdstuk is van toepassing op </w:t>
            </w:r>
            <w:r w:rsidRPr="00B8029D">
              <w:rPr>
                <w:b/>
                <w:i/>
              </w:rPr>
              <w:t>pelagische</w:t>
            </w:r>
            <w:r w:rsidRPr="00B8029D">
              <w:t xml:space="preserve"> visserijactiviteiten met visaantrekkende voorzieningen (fishing aggregate devices, FAD’s) in de Middellandse Zee (GDG’s</w:t>
            </w:r>
            <w:r w:rsidRPr="00B8029D">
              <w:rPr>
                <w:b/>
                <w:i/>
              </w:rPr>
              <w:t> </w:t>
            </w:r>
            <w:r w:rsidRPr="00B8029D">
              <w:t>1 tot en met</w:t>
            </w:r>
            <w:r w:rsidRPr="00B8029D">
              <w:rPr>
                <w:b/>
                <w:i/>
              </w:rPr>
              <w:t> </w:t>
            </w:r>
            <w:r w:rsidRPr="00B8029D">
              <w:t>27) die gericht zijn op goudmakreel (Coryphaena hippurus)</w:t>
            </w:r>
            <w:r w:rsidRPr="00B8029D">
              <w:rPr>
                <w:b/>
                <w:i/>
              </w:rPr>
              <w:t>, alsook op recreatievisserij.”</w:t>
            </w:r>
            <w:r w:rsidRPr="00B8029D">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1 van GFCM/46/2023/14.</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42 ter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83</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lastRenderedPageBreak/>
              <w:t>Artikel 83</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42 ter)</w:t>
            </w:r>
            <w:r w:rsidRPr="00B8029D">
              <w:tab/>
            </w:r>
            <w:r w:rsidRPr="00B8029D">
              <w:rPr>
                <w:b/>
                <w:i/>
              </w:rPr>
              <w:t>Artikel 83 wordt vervangen door:</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Overgangsmaatregelen voor het beheer</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w:t>
            </w:r>
            <w:r w:rsidRPr="00B8029D">
              <w:t>Overgangsmaatregelen voor het beheer</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Lidstaten die overwegen te beginnen met gerichte visserij op goudmakreel</w:t>
            </w:r>
            <w:r w:rsidRPr="00B8029D">
              <w:t xml:space="preserve"> met FAD’s</w:t>
            </w:r>
            <w:r w:rsidRPr="00B8029D">
              <w:rPr>
                <w:b/>
                <w:i/>
              </w:rPr>
              <w:t>, dienen hun nationale maatregelen, zodra zij zijn</w:t>
            </w:r>
            <w:r w:rsidRPr="00B8029D">
              <w:t xml:space="preserve"> vastgesteld, in </w:t>
            </w:r>
            <w:r w:rsidRPr="00B8029D">
              <w:rPr>
                <w:b/>
                <w:i/>
              </w:rPr>
              <w:t>bij</w:t>
            </w:r>
            <w:r w:rsidRPr="00B8029D">
              <w:t xml:space="preserve"> de </w:t>
            </w:r>
            <w:r w:rsidRPr="00B8029D">
              <w:rPr>
                <w:b/>
                <w:i/>
              </w:rPr>
              <w:t>Commissie</w:t>
            </w:r>
            <w:r w:rsidRPr="00B8029D">
              <w:t xml:space="preserve">, </w:t>
            </w:r>
            <w:r w:rsidRPr="00B8029D">
              <w:rPr>
                <w:b/>
                <w:i/>
              </w:rPr>
              <w:t>die deze maatregelen onverwijld doorzendt aan het GFCM-secretariaat</w:t>
            </w:r>
            <w:r w:rsidRPr="00B8029D">
              <w:t>.</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Tot en met 31 december 2026 wordt er een tijdelijke visserijregeling voor de visserij met FAD’s vastgesteld. Tijdens de overgangsperiode zorgen de lidstaten ervoor dat op basis van de aan de GFCM gemelde aanlandingen een vangstbeperking wordt</w:t>
            </w:r>
            <w:r w:rsidRPr="00B8029D">
              <w:t xml:space="preserve"> vastgesteld, </w:t>
            </w:r>
            <w:r w:rsidRPr="00B8029D">
              <w:rPr>
                <w:b/>
                <w:i/>
              </w:rPr>
              <w:t xml:space="preserve">en wel als volgt: hetzij i) op basis van het gemiddelde van de aanlandingen </w:t>
            </w:r>
            <w:r w:rsidRPr="00B8029D">
              <w:t xml:space="preserve">in </w:t>
            </w:r>
            <w:r w:rsidRPr="00B8029D">
              <w:rPr>
                <w:b/>
                <w:i/>
              </w:rPr>
              <w:t>twee willekeurige jaren in</w:t>
            </w:r>
            <w:r w:rsidRPr="00B8029D">
              <w:t xml:space="preserve"> de </w:t>
            </w:r>
            <w:r w:rsidRPr="00B8029D">
              <w:rPr>
                <w:b/>
                <w:i/>
              </w:rPr>
              <w:t>periode 2018-2022</w:t>
            </w:r>
            <w:r w:rsidRPr="00B8029D">
              <w:t xml:space="preserve">, </w:t>
            </w:r>
            <w:r w:rsidRPr="00B8029D">
              <w:rPr>
                <w:b/>
                <w:i/>
              </w:rPr>
              <w:t>hetzij ii) op basis van de aanlandingen in 2022.”</w:t>
            </w:r>
            <w:r w:rsidRPr="00B8029D">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11 van GFCM/46/2023/14.</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42 quater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84</w:t>
      </w:r>
      <w:r w:rsidRPr="00B8029D">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Artikel 84</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42 ter)</w:t>
            </w:r>
            <w:r w:rsidRPr="00B8029D">
              <w:tab/>
            </w:r>
            <w:r w:rsidRPr="00B8029D">
              <w:rPr>
                <w:b/>
                <w:i/>
              </w:rPr>
              <w:t>In artikel 84 wordt een nieuw lid 3 ingevoegd:</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Wetenschappelijke monitoring, aanpassing en herziening van beheersmaatregelen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w:t>
            </w:r>
            <w:r w:rsidRPr="00B8029D">
              <w:t>Wetenschappelijke monitoring, aanpassing en herziening van beheersmaatregelen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 De lidstaten monitoren de biologische en milieueffecten van de FAD’s die worden gebruikt door onder hun vlag varende vaartuigen die vissen op goudmakreel.</w:t>
            </w:r>
          </w:p>
        </w:tc>
        <w:tc>
          <w:tcPr>
            <w:tcW w:w="4876" w:type="dxa"/>
            <w:tcBorders>
              <w:top w:val="nil"/>
              <w:left w:val="nil"/>
              <w:bottom w:val="nil"/>
              <w:right w:val="nil"/>
            </w:tcBorders>
            <w:hideMark/>
          </w:tcPr>
          <w:p w:rsidR="00746743" w:rsidRPr="00B8029D" w:rsidRDefault="00746743" w:rsidP="00C93613">
            <w:pPr>
              <w:pStyle w:val="Normal6a"/>
            </w:pPr>
            <w:r w:rsidRPr="00B8029D">
              <w:t>1. De lidstaten monitoren de biologische en milieueffecten van de FAD’s die worden gebruikt door onder hun vlag varende vaartuigen die vissen op goudmakreel.</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2. Ter vergemakkelijking van de adviesverstrekking door het SAC met het </w:t>
            </w:r>
            <w:r w:rsidRPr="00B8029D">
              <w:lastRenderedPageBreak/>
              <w:t>oog op de herziening van de in dit hoofdstuk bepaalde maatregelen verzamelen de lidstaten de bestaande desbetreffende gegevens, met inbegrip van onderzoekssurveygegevens, ter ondersteuning van de gegevensverzameling door het SAC.</w:t>
            </w:r>
          </w:p>
        </w:tc>
        <w:tc>
          <w:tcPr>
            <w:tcW w:w="4876" w:type="dxa"/>
            <w:tcBorders>
              <w:top w:val="nil"/>
              <w:left w:val="nil"/>
              <w:bottom w:val="nil"/>
              <w:right w:val="nil"/>
            </w:tcBorders>
            <w:hideMark/>
          </w:tcPr>
          <w:p w:rsidR="00746743" w:rsidRPr="00B8029D" w:rsidRDefault="00746743" w:rsidP="00C93613">
            <w:pPr>
              <w:pStyle w:val="Normal6a"/>
            </w:pPr>
            <w:r w:rsidRPr="00B8029D">
              <w:lastRenderedPageBreak/>
              <w:t xml:space="preserve">2. Ter vergemakkelijking van de adviesverstrekking door het SAC met het </w:t>
            </w:r>
            <w:r w:rsidRPr="00B8029D">
              <w:lastRenderedPageBreak/>
              <w:t>oog op de herziening van de in dit hoofdstuk bepaalde maatregelen verzamelen de lidstaten de bestaande desbetreffende gegevens, met inbegrip van onderzoekssurveygegevens, ter ondersteuning van de gegevensverzameling door het SAC.</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tc>
        <w:tc>
          <w:tcPr>
            <w:tcW w:w="4876" w:type="dxa"/>
            <w:tcBorders>
              <w:top w:val="nil"/>
              <w:left w:val="nil"/>
              <w:bottom w:val="nil"/>
              <w:right w:val="nil"/>
            </w:tcBorders>
            <w:hideMark/>
          </w:tcPr>
          <w:p w:rsidR="00746743" w:rsidRPr="00B8029D" w:rsidRDefault="00746743" w:rsidP="00C93613">
            <w:pPr>
              <w:pStyle w:val="Normal6a"/>
            </w:pPr>
            <w:r w:rsidRPr="00B8029D">
              <w:rPr>
                <w:b/>
                <w:i/>
              </w:rPr>
              <w:t>3. De lidstaten dienen hun nationale gegevens (zoals gespecificeerd in bijlage XXV) uiterlijk op 15 juli van elk jaar in bij de Commissie. De Commissie dient de nationale gegevens uiterlijk op 31 juli van elk kalenderjaar in bij het GFCM-secretariaat.”.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41 van GFCM/46/2023/14.</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199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42 octies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42 octies)</w:t>
            </w:r>
            <w:r w:rsidRPr="00B8029D">
              <w:tab/>
            </w:r>
            <w:r w:rsidRPr="00B8029D">
              <w:rPr>
                <w:b/>
                <w:i/>
              </w:rPr>
              <w:t>In artikel 86 wordt voor lid 1 een nieuw lid ingevoegd:</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“-1. De lidstaten zorgen ervoor dat tot en met acht jaar na de datum van initiële goedkeuring van de overeenkomstig het vorige artikel op nationaal niveau vastgestelde beheersmaatregelen of beheersplannen, de totale vlootcapaciteit van de vloten die met FAD’s zijn uitgerust en actief vissen op het belangrijke bestand, in brutotonnage (BT), motorvermogen (kW) en aantal vaartuigen zoals geregistreerd in zowel het nationale als het GFCM-register niet </w:t>
            </w:r>
            <w:r w:rsidRPr="00B8029D">
              <w:rPr>
                <w:b/>
                <w:i/>
              </w:rPr>
              <w:lastRenderedPageBreak/>
              <w:t>groter is dan de vlootcapaciteit voor de FAD-visserij op goudmakreel in het jaar 2019.”.</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42 decies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Hoofdstuk VII</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(Niet van toepassing op de Nederlandse versie)</w:t>
            </w:r>
            <w:r w:rsidRPr="00B8029D">
              <w:tab/>
            </w:r>
            <w:r w:rsidRPr="00B8029D">
              <w:rPr>
                <w:b/>
                <w:i/>
              </w:rPr>
              <w:t xml:space="preserve"> </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HOOFDSTUK VII</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 </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Goudmakreel</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 </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43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85</w:t>
      </w:r>
      <w:r w:rsidRPr="00B8029D">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Artikel 85</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43 bis)</w:t>
            </w:r>
            <w:r w:rsidRPr="00B8029D">
              <w:tab/>
            </w:r>
            <w:r w:rsidRPr="00B8029D">
              <w:rPr>
                <w:b/>
                <w:i/>
              </w:rPr>
              <w:t>Artikel 85 wordt vervangen door:</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Nationale beheersmaatregelen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w:t>
            </w:r>
            <w:r w:rsidRPr="00B8029D">
              <w:t>Nationale beheersmaatregelen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De</w:t>
            </w:r>
            <w:r w:rsidRPr="00B8029D">
              <w:t xml:space="preserve"> </w:t>
            </w:r>
            <w:r w:rsidRPr="00B8029D">
              <w:rPr>
                <w:b/>
                <w:i/>
              </w:rPr>
              <w:t>lidstaten die gericht vissen op goudmakreel met behulp</w:t>
            </w:r>
            <w:r w:rsidRPr="00B8029D">
              <w:t xml:space="preserve"> van </w:t>
            </w:r>
            <w:r w:rsidRPr="00B8029D">
              <w:rPr>
                <w:b/>
                <w:i/>
              </w:rPr>
              <w:t>FAD’s en die niet over nationale beheersmaatregelen beschikken</w:t>
            </w:r>
            <w:r w:rsidRPr="00B8029D">
              <w:t xml:space="preserve">, stellen </w:t>
            </w:r>
            <w:r w:rsidRPr="00B8029D">
              <w:rPr>
                <w:b/>
                <w:i/>
              </w:rPr>
              <w:t xml:space="preserve">nationale beheersmaatregelen vast, waaronder ten minste een reeks </w:t>
            </w:r>
            <w:r w:rsidRPr="00B8029D">
              <w:rPr>
                <w:b/>
                <w:i/>
              </w:rPr>
              <w:lastRenderedPageBreak/>
              <w:t>maatregelen</w:t>
            </w:r>
            <w:r w:rsidRPr="00B8029D">
              <w:t xml:space="preserve"> met</w:t>
            </w:r>
            <w:r w:rsidRPr="00B8029D">
              <w:rPr>
                <w:b/>
                <w:i/>
              </w:rPr>
              <w:t xml:space="preserve"> de in bijlage IX opgenomen elementen</w:t>
            </w:r>
            <w:r w:rsidRPr="00B8029D">
              <w:t>.</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lastRenderedPageBreak/>
              <w:t>1. Om een adequate instandhouding</w:t>
            </w:r>
            <w:r w:rsidRPr="00B8029D">
              <w:t xml:space="preserve"> van </w:t>
            </w:r>
            <w:r w:rsidRPr="00B8029D">
              <w:rPr>
                <w:b/>
                <w:i/>
              </w:rPr>
              <w:t>goudmakreel te waarborgen</w:t>
            </w:r>
            <w:r w:rsidRPr="00B8029D">
              <w:t xml:space="preserve">, stellen </w:t>
            </w:r>
            <w:r w:rsidRPr="00B8029D">
              <w:rPr>
                <w:b/>
                <w:i/>
              </w:rPr>
              <w:t>de lidstaten in de GDG’s 1 tot en</w:t>
            </w:r>
            <w:r w:rsidRPr="00B8029D">
              <w:t xml:space="preserve"> met</w:t>
            </w:r>
            <w:r w:rsidRPr="00B8029D">
              <w:rPr>
                <w:b/>
                <w:i/>
              </w:rPr>
              <w:t> 27 visserijbeheersmaatregelen of nationale beheersplannen vast</w:t>
            </w:r>
            <w:r w:rsidRPr="00B8029D">
              <w: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lidstaten stellen de Commissie vanaf 30 september 2024 in kennis van de op nationaal niveau vastgestelde beheersmaatregelen of beheersplannen. De Commissie stelt het GFCM-secretariaat in kennis van de op nationaal niveau vastgestelde beheersmaatregelen of beheersplannen.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In voorkomend geval stellen de lidstaten bij een eventuele wijziging van deze maatregelen de Commissie uiterlijk op 15 april van het daaropvolgende jaar in kennis van deze wijzigingen. De Commissie stelt het GFCM-secretariaat uiterlijk op 30 april van het daaropvolgende jaar in kennis van de wijzigingen van de op nationaal niveau vastgestelde beheersmaatregelen of beheersplannen.”.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Paragrafen 66 en 67 van GFCM/46/2023/14.</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44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87</w:t>
      </w:r>
      <w:r w:rsidRPr="00B8029D">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Artikel 87</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44 bis)</w:t>
            </w:r>
            <w:r w:rsidRPr="00B8029D">
              <w:tab/>
            </w:r>
            <w:r w:rsidRPr="00B8029D">
              <w:rPr>
                <w:b/>
                <w:i/>
              </w:rPr>
              <w:t>Lid 5 wordt als volgt gewijzigd:</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Rapportage van FAD-visserijactiviteiten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w:t>
            </w:r>
            <w:r w:rsidRPr="00B8029D">
              <w:t>Rapportage van FAD-visserijactiviteiten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1. Onverminderd Verordening (EU) 2017/1004 van het Europees Parlement en de Raad zetten de lidstaten </w:t>
            </w:r>
            <w:r w:rsidRPr="00B8029D">
              <w:lastRenderedPageBreak/>
              <w:t>een passend systeem voor de verzameling en verwerking van vangst- en visserij-inspanningsgegevens op.</w:t>
            </w:r>
          </w:p>
        </w:tc>
        <w:tc>
          <w:tcPr>
            <w:tcW w:w="4876" w:type="dxa"/>
            <w:tcBorders>
              <w:top w:val="nil"/>
              <w:left w:val="nil"/>
              <w:bottom w:val="nil"/>
              <w:right w:val="nil"/>
            </w:tcBorders>
            <w:hideMark/>
          </w:tcPr>
          <w:p w:rsidR="00746743" w:rsidRPr="00B8029D" w:rsidRDefault="00746743" w:rsidP="00C93613">
            <w:pPr>
              <w:pStyle w:val="Normal6a"/>
            </w:pPr>
            <w:r w:rsidRPr="00B8029D">
              <w:lastRenderedPageBreak/>
              <w:t xml:space="preserve">1. Onverminderd Verordening (EU) 2017/1004 van het Europees Parlement en de Raad zetten de lidstaten </w:t>
            </w:r>
            <w:r w:rsidRPr="00B8029D">
              <w:lastRenderedPageBreak/>
              <w:t>een passend systeem voor de verzameling en verwerking van vangst- en visserij-inspanningsgegevens op.</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lastRenderedPageBreak/>
              <w:t>2. De lidstaten brengen elk jaar uiterlijk op 15 januari aan de Commissie verslag uit over het totale aantal onder hun vlag varende vaartuigen dat gedurende het voorgaande jaar in elk GDG van het GFCM-overeenkomstgebied als vastgesteld in bijlage I op goudmakreel heeft gevist, alsmede over de overeenkomstige totale aanlandingen en overladingen.</w:t>
            </w:r>
          </w:p>
        </w:tc>
        <w:tc>
          <w:tcPr>
            <w:tcW w:w="4876" w:type="dxa"/>
            <w:tcBorders>
              <w:top w:val="nil"/>
              <w:left w:val="nil"/>
              <w:bottom w:val="nil"/>
              <w:right w:val="nil"/>
            </w:tcBorders>
            <w:hideMark/>
          </w:tcPr>
          <w:p w:rsidR="00746743" w:rsidRPr="00B8029D" w:rsidRDefault="00746743" w:rsidP="00C93613">
            <w:pPr>
              <w:pStyle w:val="Normal6a"/>
            </w:pPr>
            <w:r w:rsidRPr="00B8029D">
              <w:t>2. De lidstaten brengen elk jaar uiterlijk op 15 januari aan de Commissie verslag uit over het totale aantal onder hun vlag varende vaartuigen dat gedurende het voorgaande jaar in elk GDG van het GFCM-overeenkomstgebied als vastgesteld in bijlage I op goudmakreel heeft gevist, alsmede over de overeenkomstige totale aanlandingen en overladingen.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3. De Commissie kan uitvoeringshandelingen vaststellen wat betreft de gedetailleerde regels voor de vorm en verzending van deze verslagen. Die uitvoeringshandelingen worden vastgesteld volgens de in artikel 138, lid 2, bedoelde onderzoeksprocedure.</w:t>
            </w:r>
          </w:p>
        </w:tc>
        <w:tc>
          <w:tcPr>
            <w:tcW w:w="4876" w:type="dxa"/>
            <w:tcBorders>
              <w:top w:val="nil"/>
              <w:left w:val="nil"/>
              <w:bottom w:val="nil"/>
              <w:right w:val="nil"/>
            </w:tcBorders>
            <w:hideMark/>
          </w:tcPr>
          <w:p w:rsidR="00746743" w:rsidRPr="00B8029D" w:rsidRDefault="00746743" w:rsidP="00C93613">
            <w:pPr>
              <w:pStyle w:val="Normal6a"/>
            </w:pPr>
            <w:r w:rsidRPr="00B8029D">
              <w:t>3. De Commissie kan uitvoeringshandelingen vaststellen wat betreft de gedetailleerde regels voor de vorm en verzending van deze verslagen. Die uitvoeringshandelingen worden vastgesteld volgens de in artikel 138, lid 2, bedoelde onderzoeksprocedure.</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4. De Commissie zendt de van de lidstaten ontvangen informatie door naar het GFCM-secretariaat.</w:t>
            </w:r>
          </w:p>
        </w:tc>
        <w:tc>
          <w:tcPr>
            <w:tcW w:w="4876" w:type="dxa"/>
            <w:tcBorders>
              <w:top w:val="nil"/>
              <w:left w:val="nil"/>
              <w:bottom w:val="nil"/>
              <w:right w:val="nil"/>
            </w:tcBorders>
            <w:hideMark/>
          </w:tcPr>
          <w:p w:rsidR="00746743" w:rsidRPr="00B8029D" w:rsidRDefault="00746743" w:rsidP="00C93613">
            <w:pPr>
              <w:pStyle w:val="Normal6a"/>
            </w:pPr>
            <w:r w:rsidRPr="00B8029D">
              <w:t>4. De Commissie zendt de van de lidstaten ontvangen informatie door naar het GFCM-secretariaat.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5. De vissers of kapiteins van gemachtigde vissersvaartuigen die binnen de werkingssfeer van deze afdeling op goudmakreel vissen, </w:t>
            </w:r>
            <w:r w:rsidRPr="00B8029D">
              <w:rPr>
                <w:b/>
                <w:i/>
              </w:rPr>
              <w:t xml:space="preserve">registreren </w:t>
            </w:r>
            <w:r w:rsidRPr="00B8029D">
              <w:t>hun visserijactiviteiten met FAD’s.</w:t>
            </w:r>
          </w:p>
        </w:tc>
        <w:tc>
          <w:tcPr>
            <w:tcW w:w="4876" w:type="dxa"/>
            <w:tcBorders>
              <w:top w:val="nil"/>
              <w:left w:val="nil"/>
              <w:bottom w:val="nil"/>
              <w:right w:val="nil"/>
            </w:tcBorders>
            <w:hideMark/>
          </w:tcPr>
          <w:p w:rsidR="00746743" w:rsidRPr="00B8029D" w:rsidRDefault="00746743" w:rsidP="00C93613">
            <w:pPr>
              <w:pStyle w:val="Normal6a"/>
            </w:pPr>
            <w:r w:rsidRPr="00B8029D">
              <w:t xml:space="preserve">5. De </w:t>
            </w:r>
            <w:r w:rsidRPr="00B8029D">
              <w:rPr>
                <w:b/>
                <w:i/>
              </w:rPr>
              <w:t xml:space="preserve">lidstaten zien erop toe dat alle onder hun vlag varende vissersvaartuigen en </w:t>
            </w:r>
            <w:r w:rsidRPr="00B8029D">
              <w:t>vissers of kapiteins van gemachtigde vissersvaartuigen die binnen de werkingssfeer van deze afdeling op goudmakreel vissen, hun visserijactiviteiten met FAD’s</w:t>
            </w:r>
            <w:r w:rsidRPr="00B8029D">
              <w:rPr>
                <w:b/>
                <w:i/>
              </w:rPr>
              <w:t xml:space="preserve"> registreren</w:t>
            </w:r>
            <w:r w:rsidRPr="00B8029D">
              <w:t>.</w:t>
            </w:r>
            <w:r w:rsidRPr="00B8029D">
              <w:rPr>
                <w:b/>
                <w:i/>
              </w:rPr>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52 van GFCM/46/2023/14.</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44 quater (nieuw)</w:t>
      </w:r>
      <w:r w:rsidRPr="00B8029D">
        <w:rPr>
          <w:rStyle w:val="HideTWBExt"/>
          <w:b w:val="0"/>
        </w:rPr>
        <w:t>&lt;/Article&gt;</w:t>
      </w:r>
    </w:p>
    <w:p w:rsidR="00746743" w:rsidRPr="00B8029D" w:rsidRDefault="00746743" w:rsidP="00746743">
      <w:r w:rsidRPr="00B8029D">
        <w:rPr>
          <w:rStyle w:val="HideTWBExt"/>
        </w:rPr>
        <w:lastRenderedPageBreak/>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88</w:t>
      </w:r>
      <w:r w:rsidRPr="00B8029D">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Artikel 88</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44 quater)</w:t>
            </w:r>
            <w:r w:rsidRPr="00B8029D">
              <w:tab/>
            </w:r>
            <w:r w:rsidRPr="00B8029D">
              <w:rPr>
                <w:b/>
                <w:i/>
              </w:rPr>
              <w:t>In artikel 88 wordt een nieuw lid 3 bis ingevoegd:</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Samenstelling, locatie, onderhoud en vervanging van FAD’s</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w:t>
            </w:r>
            <w:r w:rsidRPr="00B8029D">
              <w:t>Samenstelling, locatie, onderhoud en vervanging van FAD’s</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 In gevallen waarin de oppervlaktestructuur van een FAD met materiaal is bedekt, zorgen de lidstaten ervoor dat dit materiaal wordt verwijderd of dat de structuur uitsluitend bedekt is met materiaal waarbij het risico dat niet-doelsoorten, in het bijzonder kwetsbare soorten, erin verstrikt raken of dat andere vaartuigen erdoor worden gehinderd, minimaal is.</w:t>
            </w:r>
          </w:p>
        </w:tc>
        <w:tc>
          <w:tcPr>
            <w:tcW w:w="4876" w:type="dxa"/>
            <w:tcBorders>
              <w:top w:val="nil"/>
              <w:left w:val="nil"/>
              <w:bottom w:val="nil"/>
              <w:right w:val="nil"/>
            </w:tcBorders>
            <w:hideMark/>
          </w:tcPr>
          <w:p w:rsidR="00746743" w:rsidRPr="00B8029D" w:rsidRDefault="00746743" w:rsidP="00C93613">
            <w:pPr>
              <w:pStyle w:val="Normal6a"/>
            </w:pPr>
            <w:r w:rsidRPr="00B8029D">
              <w:t>1. In gevallen waarin de oppervlaktestructuur van een FAD met materiaal is bedekt, zorgen de lidstaten ervoor dat dit materiaal wordt verwijderd of dat de structuur uitsluitend bedekt is met materiaal waarbij het risico dat niet-doelsoorten, in het bijzonder kwetsbare soorten, erin verstrikt raken of dat andere vaartuigen erdoor worden gehinderd, minimaal is.</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2. De FAD-onderdelen onder het wateroppervlak bevatten uitsluitende materialen waarin niet-doelsoorten niet verstrikt kunnen raken.</w:t>
            </w:r>
          </w:p>
        </w:tc>
        <w:tc>
          <w:tcPr>
            <w:tcW w:w="4876" w:type="dxa"/>
            <w:tcBorders>
              <w:top w:val="nil"/>
              <w:left w:val="nil"/>
              <w:bottom w:val="nil"/>
              <w:right w:val="nil"/>
            </w:tcBorders>
            <w:hideMark/>
          </w:tcPr>
          <w:p w:rsidR="00746743" w:rsidRPr="00B8029D" w:rsidRDefault="00746743" w:rsidP="00C93613">
            <w:pPr>
              <w:pStyle w:val="Normal6a"/>
            </w:pPr>
            <w:r w:rsidRPr="00B8029D">
              <w:t>2. De FAD-onderdelen onder het wateroppervlak bevatten uitsluitende materialen waarin niet-doelsoorten niet verstrikt kunnen raken.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3. Bij het ontwerpen van FAD’s wordt de voorkeur gegeven aan biologisch afbreekbare materialen.</w:t>
            </w:r>
          </w:p>
        </w:tc>
        <w:tc>
          <w:tcPr>
            <w:tcW w:w="4876" w:type="dxa"/>
            <w:tcBorders>
              <w:top w:val="nil"/>
              <w:left w:val="nil"/>
              <w:bottom w:val="nil"/>
              <w:right w:val="nil"/>
            </w:tcBorders>
            <w:hideMark/>
          </w:tcPr>
          <w:p w:rsidR="00746743" w:rsidRPr="00B8029D" w:rsidRDefault="00746743" w:rsidP="00C93613">
            <w:pPr>
              <w:pStyle w:val="Normal6a"/>
            </w:pPr>
            <w:r w:rsidRPr="00B8029D">
              <w:t>3. Bij het ontwerpen van FAD’s wordt de voorkeur gegeven aan biologisch afbreekbare materialen.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bis. Vanaf de eerste dag van het open FAD-seizoen in 2027 mogen FAD’s uitsluitend gebouwd zijn met biologisch afbreekbare materialen.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4. FAD’s zijn op betrouwbare wijze gelokaliseerd op de plaats waar zij worden ingezet. FAD’s worden zo ontworpen dat een passend aantal tegengewichten langs het touw ervoor zorgt dat het touw naar de zeebodem zinkt wanneer het vlottende gedeelte losraakt en wegdrijft.</w:t>
            </w:r>
          </w:p>
        </w:tc>
        <w:tc>
          <w:tcPr>
            <w:tcW w:w="4876" w:type="dxa"/>
            <w:tcBorders>
              <w:top w:val="nil"/>
              <w:left w:val="nil"/>
              <w:bottom w:val="nil"/>
              <w:right w:val="nil"/>
            </w:tcBorders>
            <w:hideMark/>
          </w:tcPr>
          <w:p w:rsidR="00746743" w:rsidRPr="00B8029D" w:rsidRDefault="00746743" w:rsidP="00C93613">
            <w:pPr>
              <w:pStyle w:val="Normal6a"/>
            </w:pPr>
            <w:r w:rsidRPr="00B8029D">
              <w:t>4. FAD’s zijn op betrouwbare wijze gelokaliseerd op de plaats waar zij worden ingezet. FAD’s worden zo ontworpen dat een passend aantal tegengewichten langs het touw ervoor zorgt dat het touw naar de zeebodem zinkt wanneer het vlottende gedeelte losraakt en wegdrijft.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5. De vissers of kapiteins van vissersvaartuigen die vissen op goudmakreel, zien erop toe dat de FAD’s regelmatig worden onderhouden, zo nodig worden vervangen, en worden verwijderd wanneer zij niet in gebruik zijn. De vervangende FAD’s zijn qua type, ontwerp, constructie, materialen en </w:t>
            </w:r>
            <w:r w:rsidRPr="00B8029D">
              <w:lastRenderedPageBreak/>
              <w:t>markering identiek aan de vervangen FAD. FAD’s die een verankerde FAD vervangen, nemen dezelfde positie in als de vervangen FAD.</w:t>
            </w:r>
          </w:p>
        </w:tc>
        <w:tc>
          <w:tcPr>
            <w:tcW w:w="4876" w:type="dxa"/>
            <w:tcBorders>
              <w:top w:val="nil"/>
              <w:left w:val="nil"/>
              <w:bottom w:val="nil"/>
              <w:right w:val="nil"/>
            </w:tcBorders>
            <w:hideMark/>
          </w:tcPr>
          <w:p w:rsidR="00746743" w:rsidRPr="00B8029D" w:rsidRDefault="00746743" w:rsidP="00C93613">
            <w:pPr>
              <w:pStyle w:val="Normal6a"/>
            </w:pPr>
            <w:r w:rsidRPr="00B8029D">
              <w:lastRenderedPageBreak/>
              <w:t xml:space="preserve">5. De vissers of kapiteins van vissersvaartuigen die vissen op goudmakreel, zien erop toe dat de FAD’s regelmatig worden onderhouden, zo nodig worden vervangen, en worden verwijderd wanneer zij niet in gebruik zijn. De vervangende FAD’s zijn qua type, ontwerp, constructie, materialen en </w:t>
            </w:r>
            <w:r w:rsidRPr="00B8029D">
              <w:lastRenderedPageBreak/>
              <w:t>markering identiek aan de vervangen FAD. FAD’s die een verankerde FAD vervangen, nemen dezelfde positie in als de vervangen FAD.</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lastRenderedPageBreak/>
              <w:t>6. Als een FAD verloren gaat of niet kan worden binnengehaald, registreren de vissers of de kapiteins van een vissersvaartuig de laatst bekende positie en de datum ervan. Vissersvaartuigen die op goudmakreel vissen, noteren en melden de laatste geregistreerde positie van de verloren FAD en de datum van de laatste geregistreerde positie, het identificatienummer ervan en alle informatie aan de hand waarvan de eigenaar van de FAD kan worden geïdentificeerd.</w:t>
            </w:r>
          </w:p>
        </w:tc>
        <w:tc>
          <w:tcPr>
            <w:tcW w:w="4876" w:type="dxa"/>
            <w:tcBorders>
              <w:top w:val="nil"/>
              <w:left w:val="nil"/>
              <w:bottom w:val="nil"/>
              <w:right w:val="nil"/>
            </w:tcBorders>
            <w:hideMark/>
          </w:tcPr>
          <w:p w:rsidR="00746743" w:rsidRPr="00B8029D" w:rsidRDefault="00746743" w:rsidP="00C93613">
            <w:pPr>
              <w:pStyle w:val="Normal6a"/>
            </w:pPr>
            <w:r w:rsidRPr="00B8029D">
              <w:t>6. Als een FAD verloren gaat of niet kan worden binnengehaald, registreren de vissers of de kapiteins van een vissersvaartuig de laatst bekende positie en de datum ervan. Vissersvaartuigen die op goudmakreel vissen, noteren en melden de laatste geregistreerde positie van de verloren FAD en de datum van de laatste geregistreerde positie, het identificatienummer ervan en alle informatie aan de hand waarvan de eigenaar van de FAD kan worden geïdentificeerd.</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7. De lidstaten nemen alle nodige maatregelen om ervoor te zorgen dat verouderde en ongebruikte FAD’s worden teruggehaald.</w:t>
            </w:r>
          </w:p>
        </w:tc>
        <w:tc>
          <w:tcPr>
            <w:tcW w:w="4876" w:type="dxa"/>
            <w:tcBorders>
              <w:top w:val="nil"/>
              <w:left w:val="nil"/>
              <w:bottom w:val="nil"/>
              <w:right w:val="nil"/>
            </w:tcBorders>
            <w:hideMark/>
          </w:tcPr>
          <w:p w:rsidR="00746743" w:rsidRPr="00B8029D" w:rsidRDefault="00746743" w:rsidP="00C93613">
            <w:pPr>
              <w:pStyle w:val="Normal6a"/>
              <w:rPr>
                <w:b/>
                <w:i/>
              </w:rPr>
            </w:pPr>
            <w:r w:rsidRPr="00B8029D">
              <w:t>7. De lidstaten nemen alle nodige maatregelen om ervoor te zorgen dat verouderde en ongebruikte FAD’s worden teruggehaald.</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8. Onder de vlag van een lidstaat varende vaartuigen mogen geen vis vangen die is aangetrokken door een niet door dat vaartuig uitgezette FAD.</w:t>
            </w:r>
          </w:p>
        </w:tc>
        <w:tc>
          <w:tcPr>
            <w:tcW w:w="4876" w:type="dxa"/>
            <w:tcBorders>
              <w:top w:val="nil"/>
              <w:left w:val="nil"/>
              <w:bottom w:val="nil"/>
              <w:right w:val="nil"/>
            </w:tcBorders>
            <w:hideMark/>
          </w:tcPr>
          <w:p w:rsidR="00746743" w:rsidRPr="00B8029D" w:rsidRDefault="00746743" w:rsidP="00C93613">
            <w:pPr>
              <w:pStyle w:val="Normal6a"/>
            </w:pPr>
            <w:r w:rsidRPr="00B8029D">
              <w:t>8. Onder de vlag van een lidstaat varende vaartuigen mogen geen vis vangen die is aangetrokken door een niet door dat vaartuig uitgezette FAD.</w:t>
            </w:r>
            <w:r w:rsidRPr="00B8029D">
              <w:rPr>
                <w:b/>
                <w:i/>
              </w:rPr>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44 van GFCM/46/2023/14.</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Eric Sargiacomo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45</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88– lid 6</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6.</w:t>
            </w:r>
            <w:r w:rsidRPr="00B8029D">
              <w:tab/>
              <w:t xml:space="preserve">Onverminderd striktere bepalingen </w:t>
            </w:r>
            <w:r w:rsidRPr="00B8029D">
              <w:lastRenderedPageBreak/>
              <w:t>van artikel 14, lid 7, en artikel 48 van Verordening (EG) nr. 1224/2009 registreren vissers of kapiteins van vissersvaartuigen, als een FAD verloren gaat of niet kan worden binnengehaald, de laatst bekende positie en de datum ervan. Vissersvaartuigen die op goudmakreel vissen, noteren en melden de laatste geregistreerde positie van de verloren FAD en de datum van de laatste geregistreerde positie, het identificatienummer ervan en alle informatie aan de hand waarvan de eigenaar van de FAD kan worden geïdentificeerd.”.</w:t>
            </w:r>
          </w:p>
        </w:tc>
        <w:tc>
          <w:tcPr>
            <w:tcW w:w="4876" w:type="dxa"/>
            <w:tcBorders>
              <w:top w:val="nil"/>
              <w:left w:val="nil"/>
              <w:bottom w:val="nil"/>
              <w:right w:val="nil"/>
            </w:tcBorders>
            <w:hideMark/>
          </w:tcPr>
          <w:p w:rsidR="00746743" w:rsidRPr="00B8029D" w:rsidRDefault="00746743" w:rsidP="00C93613">
            <w:pPr>
              <w:pStyle w:val="Normal6a"/>
            </w:pPr>
            <w:r w:rsidRPr="00B8029D">
              <w:lastRenderedPageBreak/>
              <w:t>6.</w:t>
            </w:r>
            <w:r w:rsidRPr="00B8029D">
              <w:tab/>
              <w:t xml:space="preserve">Onverminderd striktere bepalingen </w:t>
            </w:r>
            <w:r w:rsidRPr="00B8029D">
              <w:lastRenderedPageBreak/>
              <w:t>van artikel 14, lid 7, en artikel 48 van Verordening (EG) nr. 1224/2009 registreren vissers of kapiteins van vissersvaartuigen, als een FAD verloren gaat of niet kan worden binnengehaald, de laatst bekende positie en de datum ervan</w:t>
            </w:r>
            <w:r w:rsidRPr="00B8029D">
              <w:rPr>
                <w:b/>
                <w:i/>
              </w:rPr>
              <w:t xml:space="preserve"> in het logboek</w:t>
            </w:r>
            <w:r w:rsidRPr="00B8029D">
              <w:t>. Vissersvaartuigen die op goudmakreel vissen, noteren en melden de laatste geregistreerde positie van de verloren FAD en de datum van de laatste geregistreerde positie, het identificatienummer ervan en alle informatie aan de hand waarvan de eigenaar van de FAD kan worden geïdentificeerd.”.</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{FR}</w:t>
      </w:r>
      <w:r w:rsidRPr="00B8029D">
        <w:t>fr</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45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89</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45 bis)</w:t>
            </w:r>
            <w:r w:rsidRPr="00B8029D">
              <w:tab/>
            </w:r>
            <w:r w:rsidRPr="00B8029D">
              <w:rPr>
                <w:b/>
                <w:i/>
              </w:rPr>
              <w:t>In artikel 89 wordt het volgende nieuwe lid 3 ingevoegd:</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In geval van verlies van een FAD zien de lidstaten erop toe dat de vaartuigen die hun vlag voeren de laatst geregistreerde positie van de verloren FAD en de datum van de laatste geregistreerde positie, het identificatienummer ervan en alle informatie aan de hand waarvan de eigenaar van de FAD kan worden geïdentificeerd, noteren en melden.”.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De toekomstige identificatie van FAD’s moet gebaseerd zijn op Verordening (EG) nr. 1224/2009.</w:t>
      </w:r>
    </w:p>
    <w:p w:rsidR="00746743" w:rsidRPr="00B8029D" w:rsidRDefault="00746743" w:rsidP="00746743">
      <w:r w:rsidRPr="00B8029D">
        <w:rPr>
          <w:rStyle w:val="HideTWBExt"/>
        </w:rPr>
        <w:lastRenderedPageBreak/>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45 quater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89</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45 quater)</w:t>
            </w:r>
            <w:r w:rsidRPr="00B8029D">
              <w:tab/>
            </w:r>
            <w:r w:rsidRPr="00B8029D">
              <w:rPr>
                <w:b/>
                <w:i/>
              </w:rPr>
              <w:t>Het nieuwe artikel 89 bis wordt ingevoegd tussen de artikelen 89 en 90:</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89 bis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Specifieke maatregelen om IOO-visserijactiviteiten aan te pakken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Elke lidstaat zorgt ervoor dat er passende mechanismen bestaan voor de registratie van alle vissersvaartuigen in een nationaal vlootregister voor de registratie van de vangsten en de visserijinspanning van de vaartuigen in het logboek en voor de monitoring van de visserijactiviteiten en aanlandingen van de vaartuigen door middel van onderzoeken en monsternemingen van vangsten en visserijinspanning, uitgevoerd overeenkomstig de door elke lidstaat vastgestelde voorschriften.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lidstaten wijzen aanlandingsplaatsen aan waar aanlandingen door vaartuigen die in de Middellandse Zee actief vissen op goudmakreel moeten plaatsvinden. Voor elke aangewezen haven specificeren de betrokken lidstaten de toegestane tijdstippen en plaatsen van aanlanding en overlading. De lidstaten zorgen er ook voor dat dergelijke activiteiten tijdens aanlandings- en overladingstijden op alle aangewezen plaatsen worden gecontroleerd op basis van een risicoanalyse.</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3. Het is verboden om in de Middellandse </w:t>
            </w:r>
            <w:r w:rsidRPr="00B8029D">
              <w:rPr>
                <w:b/>
                <w:i/>
              </w:rPr>
              <w:lastRenderedPageBreak/>
              <w:t>Zee gevangen goudmakreel vanaf vissersvaartuigen aan te landen of over te laden op andere plaatsen dan de overeenkomstig lid 2 door de lidstaten aangewezen aanlandingsplaatsen.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Elk jaar uiterlijk op 15 november delen de lidstaten de Commissie alle wijzigingen mee van de lijst van aangewezen aanlandingsplaatsen waar aanlandingen van in de Middellandse Zee gevangen goudmakreel mogen plaatsvinden zoals bedoeld in lid 2. De Commissie zendt die wijzigingen elk jaar uiterlijk op 30 november toe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De lidstaten die partij zijn, verbinden zich ertoe samen te werken bij de bestrijding van IOO-visserijactiviteiten, met name door informatie uit te wisselen en inlichtingen te verzamelen om illegale activiteiten te bestrijden.”.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Paragrafen 55 tot en met 62 van GFCM/46/2023/14.</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47</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94 bis</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w:t>
            </w:r>
            <w:r w:rsidRPr="00B8029D">
              <w:tab/>
            </w:r>
            <w:r w:rsidRPr="00B8029D">
              <w:rPr>
                <w:b/>
                <w:i/>
              </w:rPr>
              <w:t xml:space="preserve">De lidstaten geven een GFCM-vangstcertificaat af op basis waarvan de oorsprong van tarbotvangsten in GDG 29 in alle stadia van de toeleveringsketen kan worden bepaald. Aan de hand van een dergelijk certificaat wordt bevestigd dat die vangsten zijn gedaan overeenkomstig de instandhoudings- en </w:t>
            </w:r>
            <w:r w:rsidRPr="00B8029D">
              <w:rPr>
                <w:b/>
                <w:i/>
              </w:rPr>
              <w:lastRenderedPageBreak/>
              <w:t>beheersmaatregelen van titel II, hoofdstuk VIII.</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lastRenderedPageBreak/>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47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94 bis</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47 bis)</w:t>
            </w:r>
            <w:r w:rsidRPr="00B8029D">
              <w:tab/>
            </w:r>
            <w:r w:rsidRPr="00B8029D">
              <w:rPr>
                <w:b/>
                <w:i/>
              </w:rPr>
              <w:t>Artikel 94 bis (Commissievoorstel – 2021/2022 GFCM-wijziging) wordt vervangen door: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94 bis Vangstdocumentatieregeling voor tarbot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De lidstaten passen de vangstdocumentatieregeling voor tarbot volledig toe in de hele toeleveringsketen, teneinde de traceerbaarheid van in de Zwarte Zee gevangen tarbot te garanderen en bij te dragen tot de bestrijding van illegale, ongemelde en ongereglementeerde visserijactiviteiten (IOO-visserij).</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in lid 1 vastgestelde papieren vangstdocumentatieregeling voor tarbot doet geen afbreuk aan andere geldende nationale traceerbaarheidssystemen die hetzelfde niveau van controle op de traceerbaarheid van tarbot door de lidstaten garanderen, en bevat de in bijlage XXIV vermelde gegevens.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De papieren vangstdocumentatieregeling voor tarbot geldt voor eerste aanlandingen, uitvoer en wederuitvoer. De binnenlandse handel maakt geen deel uit van de valideringsketen.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4. Elk vangstcertificaat heeft een uniek </w:t>
            </w:r>
            <w:r w:rsidRPr="00B8029D">
              <w:rPr>
                <w:b/>
                <w:i/>
              </w:rPr>
              <w:lastRenderedPageBreak/>
              <w:t>documentidentificatienummer. Dit nummer is specifiek voor de vlaggenlidstaat en wordt toegekend aan elk vissersvaartuig. De certificaten zijn niet overdraagbaar aan een ander vissersvaartuig.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De lidstaten valideren vangstcertificaten alleen als na verificatie van de bewijsstukken en de overeenkomstige zending is vastgesteld dat alle gegevens in de vangstdocumentatieregeling voor tarbot correct zijn.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6. De lidstaten brengen bij de Commissie verslag uit over hun vangstdocumentatieregeling en over eventuele voorschriften inzake merking en identificatie en voorschriften inzake traceerbaarheid en tracering voor tarbot, die in overeenstemming moeten zijn met de bepalingen van dit artikel om ervoor te zorgen dat de traceerbaarheidsdoelstelling daadwerkelijk wordt gehaald. De Commissie zendt die verslagen uiterlijk op 1 juli 2025 toe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7. De lidstaten stellen de Commissie in kennis van hun bevoegde autoriteiten die verantwoordelijk zijn voor de validering, de controle en de verificatie van de vangstcertificaten, alsook van de contactpunten voor de vangstdocumentatieregeling, het valideringszegel en andere informatie die relevant is voor de uitvoering van de vangstdocumentatieregeling. De Commissie zendt die informatie uiterlijk op 1 juli 2025 toe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8. De lidstaten bewaren de gevalideerde papieren vangstcertificaten voor tarbot gedurende een periode van vijf jaar.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9. De lidstaten brengen jaarlijks bij de Commissie verslag uit over de uitvoering van de papieren vangstdocumentatieregeling voor tarbot </w:t>
            </w:r>
            <w:r w:rsidRPr="00B8029D">
              <w:rPr>
                <w:b/>
                <w:i/>
              </w:rPr>
              <w:lastRenderedPageBreak/>
              <w:t>met het oog op kennisgeving aan het nalevingscomité, waarbij zij gedetailleerde informatie en statistische gegevens verstrekken over onder meer de jaarlijks gevalideerde hoeveelheden, de jaarlijks verhandelde hoeveelheden, het aantal gevalideerde oogstcertificaten en alle relevante elementen die volgens hen informatie geven over de stand van zaken. De Commissie dient de verslagen uiterlijk 30 dagen voor de vergadering van het nalevingscomité in bij het GFCM-secretariaat.</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GFCM/46/2023/20.</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209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Željana Zovko</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49 – a</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98 – lid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 xml:space="preserve">De lidstaten zorgen ervoor dat de soorten Elasmobranchii die zijn vermeld in </w:t>
            </w:r>
            <w:r w:rsidRPr="00B8029D">
              <w:rPr>
                <w:b/>
                <w:i/>
              </w:rPr>
              <w:t>de bijlagen</w:t>
            </w:r>
            <w:r w:rsidRPr="00B8029D">
              <w:t> II</w:t>
            </w:r>
            <w:r w:rsidRPr="00B8029D">
              <w:rPr>
                <w:b/>
                <w:i/>
              </w:rPr>
              <w:t xml:space="preserve"> en III</w:t>
            </w:r>
            <w:r w:rsidRPr="00B8029D">
              <w:t xml:space="preserve"> bij het Protocol inzake de speciaal beschermde gebieden en de biologische diversiteit in de Middellandse Zee, krachtig worden beschermd tegen visserijactiviteiten.</w:t>
            </w:r>
          </w:p>
        </w:tc>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 xml:space="preserve">De lidstaten zorgen ervoor dat de soorten Elasmobranchii die zijn vermeld in </w:t>
            </w:r>
            <w:r w:rsidRPr="00B8029D">
              <w:rPr>
                <w:b/>
                <w:i/>
              </w:rPr>
              <w:t>bijlage</w:t>
            </w:r>
            <w:r w:rsidRPr="00B8029D">
              <w:t> II bij het Protocol inzake de speciaal beschermde gebieden en de biologische diversiteit in de Middellandse Zee, krachtig worden beschermd tegen visserijactiviteiten.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 xml:space="preserve">Artikel 1, punt 49, van het voorstel tot wijziging van artikel 98 van Verordening (EU) 2023/2124 moet in overeenstemming worden gebracht met paragraaf 6 van GFCM-aanbeveling 42/2018/2 door de verwijzing naar bijlage III bij het Protocol bij het Verdrag van Barcelona uit de bepaling te schrappen, aangezien in deze bijlage kraakbeenvissoorten </w:t>
      </w:r>
      <w:r w:rsidRPr="00B8029D">
        <w:lastRenderedPageBreak/>
        <w:t>zijn opgenomen die voor commerciële exploitatie zijn toegestaan maar onderworpen zijn aan gereguleerd beheer.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210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Isabella Lövin</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{Greens/EFA}</w:t>
      </w:r>
      <w:r w:rsidRPr="00B8029D">
        <w:t>namens de Verts/ALE-Fractie</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49 – a</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98 – alinea 1 bis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bis.</w:t>
            </w:r>
            <w:r w:rsidRPr="00B8029D">
              <w:tab/>
            </w:r>
            <w:r w:rsidRPr="00B8029D">
              <w:rPr>
                <w:b/>
                <w:i/>
              </w:rPr>
              <w:t>De lidstaten moedigen verdere acties aan om de staat van instandhouding van de soorten Elasmobranchii die zijn vermeld in de bijlagen II en III bij het Protocol inzake de speciaal beschermde gebieden en de biologische diversiteit in de Middellandse Zee te verbeteren en om met betrekking tot speciaal beschermde gebieden en de biologische diversiteit in de Middellandse Zee het risico van incidentele vangst bij visserijactiviteiten en/of de daarmee gepaard gaande sterfte te beperken of, waar mogelijk, uit te bannen.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2 van Aanbeveling GFCM/44/2021/16 (werkingssfeer).</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211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49 – b</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98 – lid -4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lastRenderedPageBreak/>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w:t>
            </w:r>
            <w:r w:rsidRPr="00B8029D">
              <w:tab/>
            </w:r>
            <w:r w:rsidRPr="00B8029D">
              <w:rPr>
                <w:b/>
                <w:i/>
              </w:rPr>
              <w:t>De lidstaten nemen de nodige maatregelen om de sterfte van soorten Elasmobranchii die bij toeval zijn gevangen tijdens visserijactiviteiten te verminderen door relevante mitigerende maatregelen vast te stellen, waaronder de invoering van een stimuleringssysteem voor kapiteins van vaartuigen om incidentele sterfte bij Elasmobranchii terug te dringen en technische opleidings- en certificeringsregelingen voor kapiteins van vaartuigen, alsook door onderzoek te verrichten om vistuig, uitrusting en visserijtechnieken te verbeteren, teneinde in de bijvangst de sterfte onder Elasmobranchii te verminderen en de overlevingspercentages na vrijlating te verhogen.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Deze formulering is afkomstig uit Aanbeveling GFCM/44/2021/16 en ontbreekt in het Commissievoorstel.</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212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49 – b</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98 – lid -4 bis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bis.</w:t>
            </w:r>
            <w:r w:rsidRPr="00B8029D">
              <w:tab/>
            </w:r>
            <w:r w:rsidRPr="00B8029D">
              <w:rPr>
                <w:b/>
                <w:i/>
              </w:rPr>
              <w:t xml:space="preserve">De lidstaten stellen mitigerende maatregelen vast om tijdens visserijactiviteiten in visserijen met een door het SAC geconstateerd hoog bijvangstrisico, en waar mogelijk in visserijen met een laag bijvangstrisico, de incidentele vangst van Elasmobranchii tot een minimum te beperken en waar </w:t>
            </w:r>
            <w:r w:rsidRPr="00B8029D">
              <w:rPr>
                <w:b/>
                <w:i/>
              </w:rPr>
              <w:lastRenderedPageBreak/>
              <w:t>mogelijk uit te bannen. Dergelijke maatregelen gaan vergezeld van een passende monitoring van de doeltreffendheid van de acties en kunnen onder meer het volgende omvatten: - aanpassingen van het vistuig en keuze voor andere soorten vistuig; - betere markering en herkenning van vistuig; - tijd- of gebiedsgebonden vangstbeperkingen of sluitingen, indien van toepassing; - invoering van maximale potentiële bijvangstdrempels; en - gebruik van magnetische afschrikmiddelen, indien gebaseerd op wetenschappelijke studies en na een kosten-batenanalyse.</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Deze formulering is afkomstig uit Aanbeveling GFCM/44/2021/16 en ontbreekt in het Commissievoorstel.</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213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49 – b</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98 – lid -4 ter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ter.</w:t>
            </w:r>
            <w:r w:rsidRPr="00B8029D">
              <w:tab/>
            </w:r>
            <w:r w:rsidRPr="00B8029D">
              <w:rPr>
                <w:b/>
                <w:i/>
              </w:rPr>
              <w:t xml:space="preserve">De Commissie en de lidstaten kunnen ook op vrijwillige basis andere vormen van beheer overwegen, zoals op stimulansen gebaseerd beheer, waarbij exploitanten met een geringe impact worden beloond terwijl slecht presterende exploitanten voor de keuze worden geplaatst om hun methoden te verbeteren of de sector te verlaten, of op stimulansen gebaseerd marktgericht beheer, dat bijvoorbeeld etikettering met de aanduiding Elasmobranchii-veilig of </w:t>
            </w:r>
            <w:r w:rsidRPr="00B8029D">
              <w:rPr>
                <w:b/>
                <w:i/>
              </w:rPr>
              <w:lastRenderedPageBreak/>
              <w:t>Elasmobranchii-vriendelijk bij visserijen met een middelhoog tot hoog risico kan omvatten.</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Deze formulering is afkomstig uit Aanbeveling GFCM/44/2021/16 en ontbreekt in het Commissievoorstel.</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214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Isabella Lövin</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{Greens/EFA}</w:t>
      </w:r>
      <w:r w:rsidRPr="00B8029D">
        <w:t>namens de Verts/ALE-Fractie</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49 – b</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98 – lid 5 bis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bis.</w:t>
            </w:r>
            <w:r w:rsidRPr="00B8029D">
              <w:tab/>
            </w:r>
            <w:r w:rsidRPr="00B8029D">
              <w:rPr>
                <w:b/>
                <w:i/>
              </w:rPr>
              <w:t>De lidstaten worden aangemoedigd een stimuleringssysteem voor kapiteins van vaartuigen in te voeren om incidentele sterfte bij Elasmobranchii terug te dringen en te voorzien in technische opleidings- en certificeringsregelingen voor kapiteins van vaartuigen en in onderzoek om vistuig, uitrusting en visserijtechnieken te verbeteren, teneinde in de bijvangst de sterfte onder Elasmobranchii te verminderen en de overlevingspercentages na vrijlating te verhogen.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GFCM-aanbeveling 44/2021/16.</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215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Isabella Lövin</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{Greens/EFA}</w:t>
      </w:r>
      <w:r w:rsidRPr="00B8029D">
        <w:t>namens de Verts/ALE-Fractie</w:t>
      </w:r>
      <w:r w:rsidRPr="00B8029D">
        <w:rPr>
          <w:rStyle w:val="HideTWBExt"/>
        </w:rPr>
        <w:t>&lt;/AuNomDe&gt;</w:t>
      </w:r>
    </w:p>
    <w:p w:rsidR="00746743" w:rsidRPr="00B8029D" w:rsidRDefault="00746743" w:rsidP="00746743">
      <w:pPr>
        <w:pStyle w:val="NormalBold"/>
      </w:pPr>
      <w:r w:rsidRPr="00B8029D">
        <w:rPr>
          <w:rStyle w:val="HideTWBExt"/>
          <w:b w:val="0"/>
        </w:rPr>
        <w:lastRenderedPageBreak/>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49 – b</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 xml:space="preserve"> Artikel 98 – lid 5 ter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ter.</w:t>
            </w:r>
            <w:r w:rsidRPr="00B8029D">
              <w:tab/>
            </w:r>
            <w:r w:rsidRPr="00B8029D">
              <w:rPr>
                <w:b/>
                <w:i/>
              </w:rPr>
              <w:t>De lidstaten worden aangemoedigd mitigerende maatregelen vast te stellen om tijdens visserijactiviteiten in visserijen met een hoog bijvangstrisico, en waar mogelijk in visserijen met een laag bijvangstrisico, de incidentele vangst van Elasmobranchii tot een minimum te beperken en waar mogelijk uit te bannen. Dergelijke maatregelen gaan vergezeld van een passende monitoring van de doeltreffendheid van de acties en kunnen onder meer het volgende omvatten: aanpassingen van het vistuig en keuze voor andere soorten vistuig; betere markering en herkenning van vistuig; tijd- of gebiedsgebonden vangstbeperkingen of sluitingen, indien van toepassing; invoering van maximale potentiële bijvangstdrempels; en gebruik van magnetische afschrikmiddelen, indien gebaseerd op wetenschappelijke studies en na een kosten-batenanalyse.</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GFCM-aanbeveling 44/2021/16.</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216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Isabella Lövin</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{Greens/EFA}</w:t>
      </w:r>
      <w:r w:rsidRPr="00B8029D">
        <w:t>namens de Verts/ALE-Fractie</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49 – b</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5 – lid 5 quater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lastRenderedPageBreak/>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quater.</w:t>
            </w:r>
            <w:r w:rsidRPr="00B8029D">
              <w:tab/>
            </w:r>
            <w:r w:rsidRPr="00B8029D">
              <w:rPr>
                <w:b/>
                <w:i/>
              </w:rPr>
              <w:t>De lidstaten worden aangemoedigd andere vormen van beheer in te voeren, zoals op stimulansen gebaseerd beheer, waarbij exploitanten met een geringe impact worden beloond terwijl slecht presterende exploitanten voor de keuze worden geplaatst om hun methoden te verbeteren of de sector te verlaten, of op stimulansen gebaseerd marktgericht beheer, zoals etikettering met de aanduiding Elasmobranchii-veilig of Elasmobranchii-vriendelijk bij visserijen met een middelhoog tot hoog risico.</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GFCM-aanbeveling 44/2021/16.</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217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Isabella Lövin</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{Greens/EFA}</w:t>
      </w:r>
      <w:r w:rsidRPr="00B8029D">
        <w:t>namens de Verts/ALE-Fractie</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49 – b</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98 – lid 5 quinquies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quinquies.</w:t>
            </w:r>
            <w:r w:rsidRPr="00B8029D">
              <w:tab/>
            </w:r>
            <w:r w:rsidRPr="00B8029D">
              <w:rPr>
                <w:b/>
                <w:i/>
              </w:rPr>
              <w:t>De lidstaten worden aangemoedigd om kritieke habitats van Elasmobranchii in kaart te brengen en de effecten van vistuig en mogelijke andere soorten vistuig te bestuderen.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GFCM-aanbeveling 44/2021/16.</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lastRenderedPageBreak/>
        <w:t>&lt;Amend&gt;</w:t>
      </w:r>
      <w:r w:rsidRPr="00B8029D">
        <w:t>Amendement</w:t>
      </w:r>
      <w:r w:rsidRPr="00B8029D">
        <w:tab/>
      </w:r>
      <w:r w:rsidRPr="00B8029D">
        <w:tab/>
      </w:r>
      <w:r w:rsidRPr="00B8029D">
        <w:rPr>
          <w:rStyle w:val="HideTWBExt"/>
          <w:b w:val="0"/>
        </w:rPr>
        <w:t>&lt;NumAm&gt;</w:t>
      </w:r>
      <w:r w:rsidRPr="00B8029D">
        <w:t>218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50</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102 – lid 3 – punt b</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b)</w:t>
            </w:r>
            <w:r w:rsidRPr="00B8029D">
              <w:tab/>
              <w:t xml:space="preserve">de lidstaten evalueren </w:t>
            </w:r>
            <w:r w:rsidRPr="00B8029D">
              <w:rPr>
                <w:b/>
                <w:i/>
              </w:rPr>
              <w:t xml:space="preserve">uiterlijk in 2024 </w:t>
            </w:r>
            <w:r w:rsidRPr="00B8029D">
              <w:t>de doeltreffendheid van ten minste twee in bijlage XVIII vermelde mitigerende overgangsmaatregelen om de staat van instandhouding van zeevogelsoorten te verbeteren en het risico van incidentele zeevogelvangsten bij visserijverrichtingen en de daarmee gepaard gaande sterfte te beperken en waar mogelijk uit te bannen.</w:t>
            </w:r>
          </w:p>
        </w:tc>
        <w:tc>
          <w:tcPr>
            <w:tcW w:w="4876" w:type="dxa"/>
            <w:tcBorders>
              <w:top w:val="nil"/>
              <w:left w:val="nil"/>
              <w:bottom w:val="nil"/>
              <w:right w:val="nil"/>
            </w:tcBorders>
            <w:hideMark/>
          </w:tcPr>
          <w:p w:rsidR="00746743" w:rsidRPr="00B8029D" w:rsidRDefault="00746743" w:rsidP="00C93613">
            <w:pPr>
              <w:pStyle w:val="Normal6a"/>
            </w:pPr>
            <w:r w:rsidRPr="00B8029D">
              <w:t>b)</w:t>
            </w:r>
            <w:r w:rsidRPr="00B8029D">
              <w:tab/>
              <w:t>de lidstaten evalueren de doeltreffendheid van ten minste twee in bijlage XVIII vermelde mitigerende overgangsmaatregelen om de staat van instandhouding van zeevogelsoorten te verbeteren en het risico van incidentele zeevogelvangsten bij visserijverrichtingen en de daarmee gepaard gaande sterfte te beperken en waar mogelijk uit te bannen.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219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51</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103 bis – lid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 xml:space="preserve">De lidstaten </w:t>
            </w:r>
            <w:r w:rsidRPr="00B8029D">
              <w:rPr>
                <w:b/>
                <w:i/>
              </w:rPr>
              <w:t>worden aangespoord</w:t>
            </w:r>
            <w:r w:rsidRPr="00B8029D">
              <w:t xml:space="preserve"> de nodige stappen</w:t>
            </w:r>
            <w:r w:rsidRPr="00B8029D">
              <w:rPr>
                <w:b/>
                <w:i/>
              </w:rPr>
              <w:t xml:space="preserve"> te zetten</w:t>
            </w:r>
            <w:r w:rsidRPr="00B8029D">
              <w:t xml:space="preserve"> om de bestaande wetgeving en mitigerende maatregelen uit te voeren om de incidentele vangst van zeeschildpadden tijdens visserijverrichtingen te beperken en waar mogelijk uit te bannen, zoals:</w:t>
            </w:r>
          </w:p>
        </w:tc>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 xml:space="preserve">De lidstaten </w:t>
            </w:r>
            <w:r w:rsidRPr="00B8029D">
              <w:rPr>
                <w:b/>
                <w:i/>
              </w:rPr>
              <w:t>zetten</w:t>
            </w:r>
            <w:r w:rsidRPr="00B8029D">
              <w:t xml:space="preserve"> de nodige stappen om de bestaande wetgeving en mitigerende maatregelen uit te voeren om de incidentele vangst van zeeschildpadden tijdens visserijverrichtingen te beperken en waar mogelijk uit te bannen, zoals:</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220</w:t>
      </w:r>
      <w:r w:rsidRPr="00B8029D">
        <w:rPr>
          <w:rStyle w:val="HideTWBExt"/>
          <w:b w:val="0"/>
        </w:rPr>
        <w:t>&lt;/NumAm&gt;</w:t>
      </w:r>
    </w:p>
    <w:p w:rsidR="00746743" w:rsidRPr="00B8029D" w:rsidRDefault="00746743" w:rsidP="00746743">
      <w:pPr>
        <w:pStyle w:val="NormalBold"/>
      </w:pPr>
      <w:r w:rsidRPr="00B8029D">
        <w:rPr>
          <w:rStyle w:val="HideTWBExt"/>
          <w:b w:val="0"/>
        </w:rPr>
        <w:lastRenderedPageBreak/>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51</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103 bis – lid 1 – punt e</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e)</w:t>
            </w:r>
            <w:r w:rsidRPr="00B8029D">
              <w:tab/>
              <w:t>regels voor visserijgedrag en -strategieën.</w:t>
            </w:r>
          </w:p>
        </w:tc>
        <w:tc>
          <w:tcPr>
            <w:tcW w:w="4876" w:type="dxa"/>
            <w:tcBorders>
              <w:top w:val="nil"/>
              <w:left w:val="nil"/>
              <w:bottom w:val="nil"/>
              <w:right w:val="nil"/>
            </w:tcBorders>
            <w:hideMark/>
          </w:tcPr>
          <w:p w:rsidR="00746743" w:rsidRPr="00B8029D" w:rsidRDefault="00746743" w:rsidP="00C93613">
            <w:pPr>
              <w:pStyle w:val="Normal6a"/>
            </w:pPr>
            <w:r w:rsidRPr="00B8029D">
              <w:t>e)</w:t>
            </w:r>
            <w:r w:rsidRPr="00B8029D">
              <w:tab/>
              <w:t xml:space="preserve">regels voor visserijgedrag en -strategieën, </w:t>
            </w:r>
            <w:r w:rsidRPr="00B8029D">
              <w:rPr>
                <w:b/>
                <w:i/>
              </w:rPr>
              <w:t>zoals een kortere uitzettijd, het overdag terughalen van vistuig en het opstellen van vishaken op een grotere diepte dan die waar schildpadden zich gewoonlijk bevinden (40-100 meter).</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GFCM/44/2021/14: deel van paragraaf 3 ontbreekt.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51</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103 bis – lid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t xml:space="preserve">De lidstaten </w:t>
            </w:r>
            <w:r w:rsidRPr="00B8029D">
              <w:rPr>
                <w:b/>
                <w:i/>
              </w:rPr>
              <w:t>worden aangespoord</w:t>
            </w:r>
            <w:r w:rsidRPr="00B8029D">
              <w:t xml:space="preserve"> de uitvoering van maatregelen ter voorkoming van verstrikking bij depredatie en ter beperking van de sterfte na vrijlating</w:t>
            </w:r>
            <w:r w:rsidRPr="00B8029D">
              <w:rPr>
                <w:b/>
                <w:i/>
              </w:rPr>
              <w:t xml:space="preserve"> te ondersteunen</w:t>
            </w:r>
            <w:r w:rsidRPr="00B8029D">
              <w:t xml:space="preserve"> met richtsnoeren en opleiding.</w:t>
            </w:r>
          </w:p>
        </w:tc>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t xml:space="preserve">De lidstaten </w:t>
            </w:r>
            <w:r w:rsidRPr="00B8029D">
              <w:rPr>
                <w:b/>
                <w:i/>
              </w:rPr>
              <w:t>ondersteunen</w:t>
            </w:r>
            <w:r w:rsidRPr="00B8029D">
              <w:t xml:space="preserve"> de uitvoering van maatregelen ter voorkoming van verstrikking bij depredatie en ter beperking van de sterfte na vrijlating met richtsnoeren en opleiding.</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lastRenderedPageBreak/>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51</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103 bis – lid 4</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4.</w:t>
            </w:r>
            <w:r w:rsidRPr="00B8029D">
              <w:tab/>
              <w:t>De Commissie stelt het GFCM-secretariaat onverwijld in kennis van dergelijke maatregelen.</w:t>
            </w:r>
          </w:p>
        </w:tc>
        <w:tc>
          <w:tcPr>
            <w:tcW w:w="4876" w:type="dxa"/>
            <w:tcBorders>
              <w:top w:val="nil"/>
              <w:left w:val="nil"/>
              <w:bottom w:val="nil"/>
              <w:right w:val="nil"/>
            </w:tcBorders>
            <w:hideMark/>
          </w:tcPr>
          <w:p w:rsidR="00746743" w:rsidRPr="00B8029D" w:rsidRDefault="00746743" w:rsidP="00C93613">
            <w:pPr>
              <w:pStyle w:val="Normal6a"/>
            </w:pPr>
            <w:r w:rsidRPr="00B8029D">
              <w:rPr>
                <w:i/>
              </w:rPr>
              <w:t>(Niet van toepassing op de Nederlandse versie)</w:t>
            </w:r>
            <w:r w:rsidRPr="00B8029D">
              <w:tab/>
              <w:t xml:space="preserve"> </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105 bis – lid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 xml:space="preserve">De lidstaten </w:t>
            </w:r>
            <w:r w:rsidRPr="00B8029D">
              <w:rPr>
                <w:b/>
                <w:i/>
              </w:rPr>
              <w:t>worden aangespoord</w:t>
            </w:r>
            <w:r w:rsidRPr="00B8029D">
              <w:t xml:space="preserve"> bijvangstbeperkende maatregelen uit</w:t>
            </w:r>
            <w:r w:rsidRPr="00B8029D">
              <w:rPr>
                <w:b/>
                <w:i/>
              </w:rPr>
              <w:t xml:space="preserve"> te breiden</w:t>
            </w:r>
            <w:r w:rsidRPr="00B8029D">
              <w:t xml:space="preserve"> om de incidentele vangst van walvisachtigen tijdens visserijverrichtingen in visserijen met een door het wetenschappelijk raadgevend comité geconstateerd hoog bijvangstrisico tot een minimum te beperken en waar mogelijk uit te bannen. Dergelijke mitigerende maatregelen gaan vergezeld van een passende monitoring van de doeltreffendheid van de acties en kunnen onder meer het volgende omvatten:</w:t>
            </w:r>
          </w:p>
        </w:tc>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 xml:space="preserve">De lidstaten </w:t>
            </w:r>
            <w:r w:rsidRPr="00B8029D">
              <w:rPr>
                <w:b/>
                <w:i/>
              </w:rPr>
              <w:t>breiden</w:t>
            </w:r>
            <w:r w:rsidRPr="00B8029D">
              <w:t xml:space="preserve"> bijvangstbeperkende maatregelen uit om de incidentele vangst van walvisachtigen tijdens visserijverrichtingen in visserijen met een door het wetenschappelijk raadgevend comité geconstateerd hoog bijvangstrisico tot een minimum te beperken en waar mogelijk uit te bannen. Dergelijke mitigerende maatregelen gaan vergezeld van een passende monitoring van de doeltreffendheid van de acties en kunnen onder meer het volgende omvatten: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lastRenderedPageBreak/>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105 bis – lid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t xml:space="preserve">De lidstaten </w:t>
            </w:r>
            <w:r w:rsidRPr="00B8029D">
              <w:rPr>
                <w:b/>
                <w:i/>
              </w:rPr>
              <w:t>worden aangespoord</w:t>
            </w:r>
            <w:r w:rsidRPr="00B8029D">
              <w:t xml:space="preserve"> de uitvoering van maatregelen ter voorkoming van verstrikking bij depredatie en ter beperking van de sterfte na vrijlating</w:t>
            </w:r>
            <w:r w:rsidRPr="00B8029D">
              <w:rPr>
                <w:b/>
                <w:i/>
              </w:rPr>
              <w:t xml:space="preserve"> te ondersteunen</w:t>
            </w:r>
            <w:r w:rsidRPr="00B8029D">
              <w:t xml:space="preserve"> met richtsnoeren en opleiding.</w:t>
            </w:r>
          </w:p>
        </w:tc>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t xml:space="preserve">De lidstaten </w:t>
            </w:r>
            <w:r w:rsidRPr="00B8029D">
              <w:rPr>
                <w:b/>
                <w:i/>
              </w:rPr>
              <w:t>ondersteunen</w:t>
            </w:r>
            <w:r w:rsidRPr="00B8029D">
              <w:t xml:space="preserve"> de uitvoering van maatregelen ter voorkoming van verstrikking bij depredatie en ter beperking van de sterfte na vrijlating met richtsnoeren en opleiding.</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105 bis – lid 3</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t xml:space="preserve">De lidstaten </w:t>
            </w:r>
            <w:r w:rsidRPr="00B8029D">
              <w:rPr>
                <w:b/>
                <w:i/>
              </w:rPr>
              <w:t xml:space="preserve">worden aangespoord te </w:t>
            </w:r>
            <w:r w:rsidRPr="00B8029D">
              <w:t>bepalen in welke gebieden er sprake is van een hoog risico van interacties tussen visserijen en walvisachtigen, en kunnen op basis van de bestaande druk overwegen om de vigerende nationale wetgeving te wijzigen.</w:t>
            </w:r>
          </w:p>
        </w:tc>
        <w:tc>
          <w:tcPr>
            <w:tcW w:w="4876" w:type="dxa"/>
            <w:tcBorders>
              <w:top w:val="nil"/>
              <w:left w:val="nil"/>
              <w:bottom w:val="nil"/>
              <w:right w:val="nil"/>
            </w:tcBorders>
            <w:hideMark/>
          </w:tcPr>
          <w:p w:rsidR="00746743" w:rsidRPr="00B8029D" w:rsidRDefault="00746743" w:rsidP="00C93613">
            <w:pPr>
              <w:pStyle w:val="Normal6a"/>
            </w:pPr>
            <w:r w:rsidRPr="00B8029D">
              <w:t>3.</w:t>
            </w:r>
            <w:r w:rsidRPr="00B8029D">
              <w:tab/>
              <w:t>De lidstaten bepalen in welke gebieden er sprake is van een hoog risico van interacties tussen visserijen en walvisachtigen, en kunnen op basis van de bestaande druk overwegen om de vigerende nationale wetgeving te wijzigen.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52</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lastRenderedPageBreak/>
        <w:t>&lt;Article2&gt;</w:t>
      </w:r>
      <w:r w:rsidRPr="00B8029D">
        <w:t>Artikel 105 bis – lid 4</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4.</w:t>
            </w:r>
            <w:r w:rsidRPr="00B8029D">
              <w:tab/>
              <w:t xml:space="preserve">De </w:t>
            </w:r>
            <w:r w:rsidRPr="00B8029D">
              <w:rPr>
                <w:b/>
                <w:i/>
              </w:rPr>
              <w:t>CPC’s</w:t>
            </w:r>
            <w:r w:rsidRPr="00B8029D">
              <w:t xml:space="preserve"> kunnen ook op vrijwillige basis andere vormen van beheer overwegen, zoals op stimulansen gebaseerd beheer, het belonen van exploitanten met een geringe impact terwijl slecht presterende exploitanten voor de keuze worden geplaatst om hun methoden te verbeteren of de sector te verlaten, of op stimulansen gebaseerd marktgericht beheer zoals etikettering met de aanduiding dolfijnveilig of dolfijnvriendelijk bij visserijen met een middelhoog tot hoog risico van interacties met walvisachtigen.</w:t>
            </w:r>
          </w:p>
        </w:tc>
        <w:tc>
          <w:tcPr>
            <w:tcW w:w="4876" w:type="dxa"/>
            <w:tcBorders>
              <w:top w:val="nil"/>
              <w:left w:val="nil"/>
              <w:bottom w:val="nil"/>
              <w:right w:val="nil"/>
            </w:tcBorders>
            <w:hideMark/>
          </w:tcPr>
          <w:p w:rsidR="00746743" w:rsidRPr="00B8029D" w:rsidRDefault="00746743" w:rsidP="00C93613">
            <w:pPr>
              <w:pStyle w:val="Normal6a"/>
            </w:pPr>
            <w:r w:rsidRPr="00B8029D">
              <w:t>4.</w:t>
            </w:r>
            <w:r w:rsidRPr="00B8029D">
              <w:tab/>
              <w:t xml:space="preserve">De </w:t>
            </w:r>
            <w:r w:rsidRPr="00B8029D">
              <w:rPr>
                <w:b/>
                <w:i/>
              </w:rPr>
              <w:t>Commissie en de lidstaten</w:t>
            </w:r>
            <w:r w:rsidRPr="00B8029D">
              <w:t xml:space="preserve"> kunnen ook op vrijwillige basis andere vormen van beheer overwegen, zoals op stimulansen gebaseerd beheer, het belonen van exploitanten met een geringe impact terwijl slecht presterende exploitanten voor de keuze worden geplaatst om hun methoden te verbeteren of de sector te verlaten, of op stimulansen gebaseerd marktgericht beheer zoals etikettering met de aanduiding dolfijnveilig of dolfijnvriendelijk bij visserijen met een middelhoog tot hoog risico van interacties met walvisachtigen.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54</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106 bis – alinea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Deze onderafdeling bevat minimumnormen voor </w:t>
            </w:r>
            <w:r w:rsidRPr="00B8029D">
              <w:rPr>
                <w:b/>
                <w:i/>
              </w:rPr>
              <w:t xml:space="preserve">en is van toepassing op </w:t>
            </w:r>
            <w:r w:rsidRPr="00B8029D">
              <w:t>alle voor de visserij beperkte gebieden die</w:t>
            </w:r>
            <w:r w:rsidRPr="00B8029D">
              <w:rPr>
                <w:b/>
                <w:i/>
              </w:rPr>
              <w:t xml:space="preserve"> na 2022</w:t>
            </w:r>
            <w:r w:rsidRPr="00B8029D">
              <w:t xml:space="preserve"> op GFCM-niveau zijn vastgesteld.</w:t>
            </w:r>
          </w:p>
        </w:tc>
        <w:tc>
          <w:tcPr>
            <w:tcW w:w="4876" w:type="dxa"/>
            <w:tcBorders>
              <w:top w:val="nil"/>
              <w:left w:val="nil"/>
              <w:bottom w:val="nil"/>
              <w:right w:val="nil"/>
            </w:tcBorders>
            <w:hideMark/>
          </w:tcPr>
          <w:p w:rsidR="00746743" w:rsidRPr="00B8029D" w:rsidRDefault="00746743" w:rsidP="00C93613">
            <w:pPr>
              <w:pStyle w:val="Normal6a"/>
            </w:pPr>
            <w:r w:rsidRPr="00B8029D">
              <w:t>Deze onderafdeling bevat minimumnormen voor alle voor de visserij beperkte gebieden die op GFCM-niveau zijn vastgesteld.</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54</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lastRenderedPageBreak/>
        <w:t>&lt;Article2&gt;</w:t>
      </w:r>
      <w:r w:rsidRPr="00B8029D">
        <w:t>Artikel 106 quater – lid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 De lidstaten stellen voor elk voor de visserij beperkt gebied een wetenschappelijk monitoringplan met onder meer een toolkit en geïntegreerde richtsnoeren op voor de verstrekking van de informatie die nodig is voor de beoordeling van het effect van het voor de visserij beperkte gebied op het herstel van de bestanden</w:t>
            </w:r>
            <w:r w:rsidRPr="00B8029D">
              <w:rPr>
                <w:b/>
                <w:i/>
              </w:rPr>
              <w:t xml:space="preserve"> en voor</w:t>
            </w:r>
            <w:r w:rsidRPr="00B8029D">
              <w:t xml:space="preserve"> de bescherming van de habitats en kwetsbare mariene ecosystemen.</w:t>
            </w:r>
          </w:p>
        </w:tc>
        <w:tc>
          <w:tcPr>
            <w:tcW w:w="4876" w:type="dxa"/>
            <w:tcBorders>
              <w:top w:val="nil"/>
              <w:left w:val="nil"/>
              <w:bottom w:val="nil"/>
              <w:right w:val="nil"/>
            </w:tcBorders>
            <w:hideMark/>
          </w:tcPr>
          <w:p w:rsidR="00746743" w:rsidRPr="00B8029D" w:rsidRDefault="00746743" w:rsidP="00C93613">
            <w:pPr>
              <w:pStyle w:val="Normal6a"/>
            </w:pPr>
            <w:r w:rsidRPr="00B8029D">
              <w:t>1. De lidstaten stellen voor elk voor de visserij beperkt gebied een wetenschappelijk monitoringplan met onder meer een toolkit en geïntegreerde richtsnoeren op voor de verstrekking van de informatie die nodig is voor de beoordeling van het effect van het voor de visserij beperkte gebied op het herstel van de bestanden</w:t>
            </w:r>
            <w:r w:rsidRPr="00B8029D">
              <w:rPr>
                <w:b/>
                <w:i/>
              </w:rPr>
              <w:t>,</w:t>
            </w:r>
            <w:r w:rsidRPr="00B8029D">
              <w:t xml:space="preserve"> de bescherming van de habitats en kwetsbare mariene ecosystemen</w:t>
            </w:r>
            <w:r w:rsidRPr="00B8029D">
              <w:rPr>
                <w:b/>
                <w:i/>
              </w:rPr>
              <w:t>, en de verbetering van de dichtheid van organismen wat biomassa en abundantie binnen het voor de visserij beperkt gebied betreft</w:t>
            </w:r>
            <w:r w:rsidRPr="00B8029D">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GFCM/45/2022/11.</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229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54</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106 quinquies – lid 5</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5.</w:t>
            </w:r>
            <w:r w:rsidRPr="00B8029D">
              <w:tab/>
              <w:t xml:space="preserve">Het in lid </w:t>
            </w:r>
            <w:r w:rsidRPr="00B8029D">
              <w:rPr>
                <w:b/>
                <w:i/>
              </w:rPr>
              <w:t>2</w:t>
            </w:r>
            <w:r w:rsidRPr="00B8029D">
              <w:t xml:space="preserve"> bedoelde verslag bevat:</w:t>
            </w:r>
          </w:p>
        </w:tc>
        <w:tc>
          <w:tcPr>
            <w:tcW w:w="4876" w:type="dxa"/>
            <w:tcBorders>
              <w:top w:val="nil"/>
              <w:left w:val="nil"/>
              <w:bottom w:val="nil"/>
              <w:right w:val="nil"/>
            </w:tcBorders>
            <w:hideMark/>
          </w:tcPr>
          <w:p w:rsidR="00746743" w:rsidRPr="00B8029D" w:rsidRDefault="00746743" w:rsidP="00C93613">
            <w:pPr>
              <w:pStyle w:val="Normal6a"/>
            </w:pPr>
            <w:r w:rsidRPr="00B8029D">
              <w:t>5.</w:t>
            </w:r>
            <w:r w:rsidRPr="00B8029D">
              <w:tab/>
              <w:t xml:space="preserve">Het in lid </w:t>
            </w:r>
            <w:r w:rsidRPr="00B8029D">
              <w:rPr>
                <w:b/>
                <w:i/>
              </w:rPr>
              <w:t>4</w:t>
            </w:r>
            <w:r w:rsidRPr="00B8029D">
              <w:t xml:space="preserve"> bedoelde verslag bevat: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55</w:t>
      </w:r>
      <w:r w:rsidRPr="00B8029D">
        <w:rPr>
          <w:rStyle w:val="HideTWBExt"/>
          <w:b w:val="0"/>
        </w:rPr>
        <w:t>&lt;/Article&gt;</w:t>
      </w:r>
    </w:p>
    <w:p w:rsidR="00746743" w:rsidRPr="00B8029D" w:rsidRDefault="00746743" w:rsidP="00746743">
      <w:r w:rsidRPr="00B8029D">
        <w:rPr>
          <w:rStyle w:val="HideTWBExt"/>
        </w:rPr>
        <w:lastRenderedPageBreak/>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107 – lid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 xml:space="preserve">In het oostelijk deel van de Golfe du Lion </w:t>
            </w:r>
            <w:r w:rsidRPr="00B8029D">
              <w:rPr>
                <w:b/>
                <w:i/>
              </w:rPr>
              <w:t>wordt binnen de lijnen die</w:t>
            </w:r>
            <w:r w:rsidRPr="00B8029D">
              <w:t xml:space="preserve"> de </w:t>
            </w:r>
            <w:r w:rsidRPr="00B8029D">
              <w:rPr>
                <w:b/>
                <w:i/>
              </w:rPr>
              <w:t>in bijlage XI, deel A, vermelde punten met elkaar verbinden, een voor de visserij beperkt gebied ingesteld</w:t>
            </w:r>
            <w:r w:rsidRPr="00B8029D">
              <w:t>.</w:t>
            </w:r>
          </w:p>
        </w:tc>
        <w:tc>
          <w:tcPr>
            <w:tcW w:w="4876" w:type="dxa"/>
            <w:tcBorders>
              <w:top w:val="nil"/>
              <w:left w:val="nil"/>
              <w:bottom w:val="nil"/>
              <w:right w:val="nil"/>
            </w:tcBorders>
            <w:hideMark/>
          </w:tcPr>
          <w:p w:rsidR="00746743" w:rsidRPr="00B8029D" w:rsidRDefault="00746743" w:rsidP="00C93613">
            <w:pPr>
              <w:pStyle w:val="Normal6a"/>
            </w:pPr>
            <w:r w:rsidRPr="00B8029D">
              <w:t>1.</w:t>
            </w:r>
            <w:r w:rsidRPr="00B8029D">
              <w:tab/>
              <w:t xml:space="preserve">In het oostelijk deel van de Golfe du Lion </w:t>
            </w:r>
            <w:r w:rsidRPr="00B8029D">
              <w:rPr>
                <w:b/>
                <w:i/>
              </w:rPr>
              <w:t>(geografisch deelgebied 7) wordt een voor</w:t>
            </w:r>
            <w:r w:rsidRPr="00B8029D">
              <w:t xml:space="preserve"> de </w:t>
            </w:r>
            <w:r w:rsidRPr="00B8029D">
              <w:rPr>
                <w:b/>
                <w:i/>
              </w:rPr>
              <w:t>visserij beperkt gebied ingesteld om de bescherming van paaiconcentraties en kwetsbare diepzeehabitats te versterken</w:t>
            </w:r>
            <w:r w:rsidRPr="00B8029D">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1 van GFCM/46/2023/1.</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55</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107 – lid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t xml:space="preserve">In </w:t>
            </w:r>
            <w:r w:rsidRPr="00B8029D">
              <w:rPr>
                <w:b/>
                <w:i/>
              </w:rPr>
              <w:t>zone (</w:t>
            </w:r>
            <w:r w:rsidRPr="00B8029D">
              <w:t>1</w:t>
            </w:r>
            <w:r w:rsidRPr="00B8029D">
              <w:rPr>
                <w:b/>
                <w:i/>
              </w:rPr>
              <w:t>) van deel A zijn professionele vissersvaartuigen die met sleepnetten, bodem-</w:t>
            </w:r>
            <w:r w:rsidRPr="00B8029D">
              <w:t xml:space="preserve"> en </w:t>
            </w:r>
            <w:r w:rsidRPr="00B8029D">
              <w:rPr>
                <w:b/>
                <w:i/>
              </w:rPr>
              <w:t>pelagische beuglijnen</w:t>
            </w:r>
            <w:r w:rsidRPr="00B8029D">
              <w:t xml:space="preserve"> en </w:t>
            </w:r>
            <w:r w:rsidRPr="00B8029D">
              <w:rPr>
                <w:b/>
                <w:i/>
              </w:rPr>
              <w:t>bodemnetten op demersale bestanden vissen</w:t>
            </w:r>
            <w:r w:rsidRPr="00B8029D">
              <w:t xml:space="preserve">, </w:t>
            </w:r>
            <w:r w:rsidRPr="00B8029D">
              <w:rPr>
                <w:b/>
                <w:i/>
              </w:rPr>
              <w:t>en recreatievisserij verboden</w:t>
            </w:r>
            <w:r w:rsidRPr="00B8029D">
              <w:t>.</w:t>
            </w:r>
          </w:p>
        </w:tc>
        <w:tc>
          <w:tcPr>
            <w:tcW w:w="4876" w:type="dxa"/>
            <w:tcBorders>
              <w:top w:val="nil"/>
              <w:left w:val="nil"/>
              <w:bottom w:val="nil"/>
              <w:right w:val="nil"/>
            </w:tcBorders>
            <w:hideMark/>
          </w:tcPr>
          <w:p w:rsidR="00746743" w:rsidRPr="00B8029D" w:rsidRDefault="00746743" w:rsidP="00C93613">
            <w:pPr>
              <w:pStyle w:val="Normal6a"/>
            </w:pPr>
            <w:r w:rsidRPr="00B8029D">
              <w:t>2.</w:t>
            </w:r>
            <w:r w:rsidRPr="00B8029D">
              <w:tab/>
            </w:r>
            <w:r w:rsidRPr="00B8029D">
              <w:rPr>
                <w:b/>
                <w:i/>
              </w:rPr>
              <w:t>Het</w:t>
            </w:r>
            <w:r w:rsidRPr="00B8029D">
              <w:t xml:space="preserve"> in </w:t>
            </w:r>
            <w:r w:rsidRPr="00B8029D">
              <w:rPr>
                <w:b/>
                <w:i/>
              </w:rPr>
              <w:t>lid </w:t>
            </w:r>
            <w:r w:rsidRPr="00B8029D">
              <w:t>1</w:t>
            </w:r>
            <w:r w:rsidRPr="00B8029D">
              <w:rPr>
                <w:b/>
                <w:i/>
              </w:rPr>
              <w:t xml:space="preserve"> bedoeld voor de visserij beperkt gebied wordt verdeeld in zone A</w:t>
            </w:r>
            <w:r w:rsidRPr="00B8029D">
              <w:t xml:space="preserve"> en </w:t>
            </w:r>
            <w:r w:rsidRPr="00B8029D">
              <w:rPr>
                <w:b/>
                <w:i/>
              </w:rPr>
              <w:t>zone B</w:t>
            </w:r>
            <w:r w:rsidRPr="00B8029D">
              <w:t xml:space="preserve"> en </w:t>
            </w:r>
            <w:r w:rsidRPr="00B8029D">
              <w:rPr>
                <w:b/>
                <w:i/>
              </w:rPr>
              <w:t>valt binnen de lijnen die de in bijlage XI, deel A</w:t>
            </w:r>
            <w:r w:rsidRPr="00B8029D">
              <w:t xml:space="preserve">, </w:t>
            </w:r>
            <w:r w:rsidRPr="00B8029D">
              <w:rPr>
                <w:b/>
                <w:i/>
              </w:rPr>
              <w:t>vermelde punten met elkaar verbinden</w:t>
            </w:r>
            <w:r w:rsidRPr="00B8029D">
              <w:t>.</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2 van GFCM/46/2023/1.</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lastRenderedPageBreak/>
        <w:t>&lt;Article&gt;</w:t>
      </w:r>
      <w:r w:rsidRPr="00B8029D">
        <w:t>Artikel 1 – alinea 1– punt 55</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107 – lid 3</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3.</w:t>
            </w:r>
            <w:r w:rsidRPr="00B8029D">
              <w:tab/>
            </w:r>
            <w:r w:rsidRPr="00B8029D">
              <w:rPr>
                <w:b/>
                <w:i/>
              </w:rPr>
              <w:t>Op demersale bestanden gerichte visserijactiviteiten met sleepnetten, bodem- en pelagische beuglijnen en met bodemnetten zijn jaarlijks van 1 november tot en met 30 april verboden in zone (2) van deel A.</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55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107 bis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55 bis)</w:t>
            </w:r>
            <w:r w:rsidRPr="00B8029D">
              <w:tab/>
            </w:r>
            <w:r w:rsidRPr="00B8029D">
              <w:rPr>
                <w:b/>
                <w:i/>
              </w:rPr>
              <w:t>Het volgende artikel 107 bis wordt ingevoegd tussen de artikelen 107 en 108:</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107 bis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Beheer en monitoring van de vangstcapaciteit en de visserijinspanning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Om bij te dragen tot de bescherming van kwetsbare mariene ecosystemen en essentiële vishabitats voor demersale bestanden zoals heek (Merluccius merluccius) zijn alle professionele vissersvaartuigen die op demersale bestanden vissen en die sleepnetten, bodem- of pelagische beuglijnen of bodemnetten gebruiken, verboden in zone A.</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2. Op demersale bestanden gerichte visserijactiviteiten met sleepnetten, bodem- of pelagische beuglijnen of bodemnetten zijn van 1 november tot en </w:t>
            </w:r>
            <w:r w:rsidRPr="00B8029D">
              <w:rPr>
                <w:b/>
                <w:i/>
              </w:rPr>
              <w:lastRenderedPageBreak/>
              <w:t>met 30 april verboden in zone B.</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Elke vorm van recreatievisserij is verboden in zone A en B.”.</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56</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108 – lid 1</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1.</w:t>
            </w:r>
            <w:r w:rsidRPr="00B8029D">
              <w:tab/>
            </w:r>
            <w:r w:rsidRPr="00B8029D">
              <w:rPr>
                <w:b/>
                <w:i/>
              </w:rPr>
              <w:t>De visserijinspanning (dagen op zee) die met betrekking tot demersale bestanden wordt geleverd door vaartuigen die in het in artikel 107 bedoelde voor de visserij beperkte gebied gebruikmaken van sleepnetten, bodem- en pelagische beuglijnen en bodemnetten, overschrijdt het niveau van de visserijinspanning die in 2008 door elke lidstaat in dat gebied werd toegepast, niet.</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235</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56</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108 – lid 1 bis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bis.</w:t>
            </w:r>
            <w:r w:rsidRPr="00B8029D">
              <w:tab/>
            </w:r>
            <w:r w:rsidRPr="00B8029D">
              <w:rPr>
                <w:b/>
                <w:i/>
              </w:rPr>
              <w:t xml:space="preserve">De jaarlijkse visserijinspanning (dagen op zee) op demersale bestanden door vaartuigen die gemachtigd zijn in voor de visserij beperkte gebieden te vissen met sleepnetten, bodem- of </w:t>
            </w:r>
            <w:r w:rsidRPr="00B8029D">
              <w:rPr>
                <w:b/>
                <w:i/>
              </w:rPr>
              <w:lastRenderedPageBreak/>
              <w:t>pelagische beuglijnen of bodemnetten, mag het niveau van de visserijinspanning tijdens de referentieperiode (de jaren 2015-2017) niet overschrijden.</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236</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56</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108 – lid 2</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2.</w:t>
            </w:r>
            <w:r w:rsidRPr="00B8029D">
              <w:tab/>
            </w:r>
            <w:r w:rsidRPr="00B8029D">
              <w:rPr>
                <w:b/>
                <w:i/>
              </w:rPr>
              <w:t>De lidstaten dragen geen inspanning over tussen vaartuigen die gemachtigd zijn om in het voor de visserij beperkte gebied met ander vistuig te vissen.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Schrappen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237</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56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110</w:t>
      </w:r>
      <w:r w:rsidRPr="00B8029D">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Bestaande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trHeight w:val="240"/>
          <w:jc w:val="center"/>
        </w:trPr>
        <w:tc>
          <w:tcPr>
            <w:tcW w:w="4876" w:type="dxa"/>
            <w:tcBorders>
              <w:top w:val="nil"/>
              <w:left w:val="nil"/>
              <w:bottom w:val="nil"/>
              <w:right w:val="nil"/>
            </w:tcBorders>
          </w:tcPr>
          <w:p w:rsidR="00746743" w:rsidRPr="00B8029D" w:rsidRDefault="00746743" w:rsidP="00C93613">
            <w:pPr>
              <w:pStyle w:val="AmColumnHeading"/>
            </w:pPr>
          </w:p>
        </w:tc>
        <w:tc>
          <w:tcPr>
            <w:tcW w:w="4876" w:type="dxa"/>
            <w:tcBorders>
              <w:top w:val="nil"/>
              <w:left w:val="nil"/>
              <w:bottom w:val="nil"/>
              <w:right w:val="nil"/>
            </w:tcBorders>
            <w:hideMark/>
          </w:tcPr>
          <w:p w:rsidR="00746743" w:rsidRPr="00B8029D" w:rsidRDefault="00746743" w:rsidP="00C93613">
            <w:pPr>
              <w:pStyle w:val="AmColumnHeading"/>
              <w:jc w:val="left"/>
              <w:rPr>
                <w:b/>
              </w:rPr>
            </w:pPr>
            <w:r w:rsidRPr="00B8029D">
              <w:rPr>
                <w:b/>
              </w:rPr>
              <w:t>56 bis)</w:t>
            </w:r>
            <w:r w:rsidRPr="00B8029D">
              <w:rPr>
                <w:b/>
              </w:rPr>
              <w:tab/>
              <w:t>Artikel 110 wordt vervangen door:</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Artikel 110</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110</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Gemachtigde vaartuigen</w:t>
            </w:r>
          </w:p>
        </w:tc>
        <w:tc>
          <w:tcPr>
            <w:tcW w:w="4876" w:type="dxa"/>
            <w:tcBorders>
              <w:top w:val="nil"/>
              <w:left w:val="nil"/>
              <w:bottom w:val="nil"/>
              <w:right w:val="nil"/>
            </w:tcBorders>
            <w:hideMark/>
          </w:tcPr>
          <w:p w:rsidR="00746743" w:rsidRPr="00B8029D" w:rsidRDefault="00746743" w:rsidP="00C93613">
            <w:pPr>
              <w:pStyle w:val="Normal6a"/>
            </w:pPr>
            <w:r w:rsidRPr="00B8029D">
              <w:t>Gemachtigde vaartuigen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 xml:space="preserve">1. De lidstaten geven voor hun vaartuigen die gemachtigd zijn in het in artikel 107 van deze verordening bedoelde gebied te vissen, overeenkomstig artikel 7 van Verordening (EG) nr. 1224/2009 een </w:t>
            </w:r>
            <w:r w:rsidRPr="00B8029D">
              <w:lastRenderedPageBreak/>
              <w:t>vismachtiging af.</w:t>
            </w:r>
          </w:p>
        </w:tc>
        <w:tc>
          <w:tcPr>
            <w:tcW w:w="4876" w:type="dxa"/>
            <w:tcBorders>
              <w:top w:val="nil"/>
              <w:left w:val="nil"/>
              <w:bottom w:val="nil"/>
              <w:right w:val="nil"/>
            </w:tcBorders>
            <w:hideMark/>
          </w:tcPr>
          <w:p w:rsidR="00746743" w:rsidRPr="00B8029D" w:rsidRDefault="00746743" w:rsidP="00C93613">
            <w:pPr>
              <w:pStyle w:val="Normal6a"/>
            </w:pPr>
            <w:r w:rsidRPr="00B8029D">
              <w:lastRenderedPageBreak/>
              <w:t xml:space="preserve">1. De lidstaten geven voor hun vaartuigen die gemachtigd zijn in het in artikel 107 van deze verordening bedoelde gebied te vissen, overeenkomstig artikel 7 van Verordening (EG) nr. 1224/2009 een </w:t>
            </w:r>
            <w:r w:rsidRPr="00B8029D">
              <w:lastRenderedPageBreak/>
              <w:t>vismachtiging af.</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lastRenderedPageBreak/>
              <w:t>2. Vissersvaartuigen die geen registers hebben van vóór 31 december 2008 in het in artikel 107 bedoelde gebied verrichte visserijactiviteiten, worden niet gemachtigd in dat gebied te beginnen te vissen.</w:t>
            </w:r>
          </w:p>
        </w:tc>
        <w:tc>
          <w:tcPr>
            <w:tcW w:w="4876" w:type="dxa"/>
            <w:tcBorders>
              <w:top w:val="nil"/>
              <w:left w:val="nil"/>
              <w:bottom w:val="nil"/>
              <w:right w:val="nil"/>
            </w:tcBorders>
            <w:hideMark/>
          </w:tcPr>
          <w:p w:rsidR="00746743" w:rsidRPr="00B8029D" w:rsidRDefault="00746743" w:rsidP="00C93613">
            <w:pPr>
              <w:pStyle w:val="Normal6a"/>
            </w:pPr>
            <w:r w:rsidRPr="00B8029D">
              <w:t>2. Vissersvaartuigen die geen registers hebben van vóór 31 december 2008 in het in artikel 107 bedoelde gebied verrichte visserijactiviteiten, worden niet gemachtigd in dat gebied te beginnen te vissen.</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i/>
              </w:rPr>
            </w:pPr>
            <w:r w:rsidRPr="00B8029D">
              <w:t xml:space="preserve">3. De lidstaten delen aan de Commissie </w:t>
            </w:r>
            <w:r w:rsidRPr="00B8029D">
              <w:rPr>
                <w:b/>
                <w:i/>
              </w:rPr>
              <w:t xml:space="preserve">uiterlijk op 16 februari 2012 </w:t>
            </w:r>
            <w:r w:rsidRPr="00B8029D">
              <w:t xml:space="preserve">de op 31 december 2008 geldende wetgeving met betrekking tot de volgende onderwerpen mee: </w:t>
            </w:r>
          </w:p>
        </w:tc>
        <w:tc>
          <w:tcPr>
            <w:tcW w:w="4876" w:type="dxa"/>
            <w:tcBorders>
              <w:top w:val="nil"/>
              <w:left w:val="nil"/>
              <w:bottom w:val="nil"/>
              <w:right w:val="nil"/>
            </w:tcBorders>
            <w:hideMark/>
          </w:tcPr>
          <w:p w:rsidR="00746743" w:rsidRPr="00B8029D" w:rsidRDefault="00746743" w:rsidP="00C93613">
            <w:pPr>
              <w:pStyle w:val="Normal6a"/>
            </w:pPr>
            <w:r w:rsidRPr="00B8029D">
              <w:t>3. De lidstaten delen aan de Commissie de op 31 december 2008 geldende</w:t>
            </w:r>
            <w:r w:rsidRPr="00B8029D">
              <w:rPr>
                <w:b/>
                <w:i/>
              </w:rPr>
              <w:t xml:space="preserve"> nationale</w:t>
            </w:r>
            <w:r w:rsidRPr="00B8029D">
              <w:t xml:space="preserve"> wetgeving met betrekking tot de volgende onderwerpen mee:</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rPr>
                <w:b/>
                <w:i/>
              </w:rPr>
              <w:t>a)</w:t>
            </w:r>
            <w:r w:rsidRPr="00B8029D">
              <w:rPr>
                <w:b/>
                <w:i/>
              </w:rPr>
              <w:tab/>
              <w:t>het maximumaantal uren per dag dat een vaartuig mag vissen</w:t>
            </w:r>
            <w:r w:rsidRPr="00B8029D">
              <w:t>;</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a)</w:t>
            </w:r>
            <w:r w:rsidRPr="00B8029D">
              <w:tab/>
            </w:r>
            <w:r w:rsidRPr="00B8029D">
              <w:rPr>
                <w:b/>
                <w:i/>
              </w:rPr>
              <w:t>de maximumduur van de dagelijkse visserijactiviteit</w:t>
            </w:r>
            <w:r w:rsidRPr="00B8029D">
              <w: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rPr>
                <w:b/>
              </w:rPr>
            </w:pPr>
            <w:r w:rsidRPr="00B8029D">
              <w:rPr>
                <w:b/>
                <w:i/>
              </w:rPr>
              <w:t>b)</w:t>
            </w:r>
            <w:r w:rsidRPr="00B8029D">
              <w:rPr>
                <w:b/>
                <w:i/>
              </w:rPr>
              <w:tab/>
            </w:r>
            <w:r w:rsidRPr="00B8029D">
              <w:t>het maximumaantal dagen per week</w:t>
            </w:r>
            <w:r w:rsidRPr="00B8029D">
              <w:rPr>
                <w:b/>
                <w:i/>
              </w:rPr>
              <w:t xml:space="preserve"> dat een vaartuig</w:t>
            </w:r>
            <w:r w:rsidRPr="00B8029D">
              <w:t xml:space="preserve"> op zee</w:t>
            </w:r>
            <w:r w:rsidRPr="00B8029D">
              <w:rPr>
                <w:b/>
                <w:i/>
              </w:rPr>
              <w:t xml:space="preserve"> en buitengaats mag doorbrengen;</w:t>
            </w:r>
          </w:p>
        </w:tc>
        <w:tc>
          <w:tcPr>
            <w:tcW w:w="4876" w:type="dxa"/>
            <w:tcBorders>
              <w:top w:val="nil"/>
              <w:left w:val="nil"/>
              <w:bottom w:val="nil"/>
              <w:right w:val="nil"/>
            </w:tcBorders>
            <w:hideMark/>
          </w:tcPr>
          <w:p w:rsidR="00746743" w:rsidRPr="00B8029D" w:rsidRDefault="00746743" w:rsidP="00C93613">
            <w:pPr>
              <w:pStyle w:val="Normal6a"/>
            </w:pPr>
            <w:r w:rsidRPr="00B8029D">
              <w:rPr>
                <w:b/>
                <w:i/>
              </w:rPr>
              <w:t>en b)</w:t>
            </w:r>
            <w:r w:rsidRPr="00B8029D">
              <w:t xml:space="preserve"> het maximumaantal dagen per week op zee</w:t>
            </w:r>
            <w:r w:rsidRPr="00B8029D">
              <w:rPr>
                <w:b/>
                <w:i/>
              </w:rPr>
              <w:t>;</w:t>
            </w:r>
            <w:r w:rsidRPr="00B8029D">
              <w:t xml:space="preserve"> </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pPr>
              <w:pStyle w:val="Normal6a"/>
            </w:pPr>
            <w:r w:rsidRPr="00B8029D">
              <w:t>en</w:t>
            </w:r>
            <w:r w:rsidRPr="00B8029D">
              <w:rPr>
                <w:b/>
                <w:i/>
              </w:rPr>
              <w:t xml:space="preserve"> </w:t>
            </w:r>
            <w:r w:rsidRPr="00B8029D">
              <w:t xml:space="preserve">c) </w:t>
            </w:r>
            <w:r w:rsidRPr="00B8029D">
              <w:rPr>
                <w:b/>
                <w:i/>
              </w:rPr>
              <w:t>het tijdstip waarop vissersvaartuigen de geregistreerde haven moeten</w:t>
            </w:r>
            <w:r w:rsidRPr="00B8029D">
              <w:t xml:space="preserve"> verlaten en binnenvaren.</w:t>
            </w:r>
          </w:p>
        </w:tc>
        <w:tc>
          <w:tcPr>
            <w:tcW w:w="4876" w:type="dxa"/>
            <w:tcBorders>
              <w:top w:val="nil"/>
              <w:left w:val="nil"/>
              <w:bottom w:val="nil"/>
              <w:right w:val="nil"/>
            </w:tcBorders>
            <w:hideMark/>
          </w:tcPr>
          <w:p w:rsidR="00746743" w:rsidRPr="00B8029D" w:rsidRDefault="00746743" w:rsidP="00C93613">
            <w:pPr>
              <w:pStyle w:val="Normal6a"/>
            </w:pPr>
            <w:r w:rsidRPr="00B8029D">
              <w:t>en</w:t>
            </w:r>
            <w:r w:rsidRPr="00B8029D">
              <w:rPr>
                <w:b/>
                <w:i/>
              </w:rPr>
              <w:t> </w:t>
            </w:r>
            <w:r w:rsidRPr="00B8029D">
              <w:t xml:space="preserve">c) </w:t>
            </w:r>
            <w:r w:rsidRPr="00B8029D">
              <w:rPr>
                <w:b/>
                <w:i/>
              </w:rPr>
              <w:t>de wettelijk verplichte tijden voor het</w:t>
            </w:r>
            <w:r w:rsidRPr="00B8029D">
              <w:t xml:space="preserve"> verlaten en binnenvaren</w:t>
            </w:r>
            <w:r w:rsidRPr="00B8029D">
              <w:rPr>
                <w:b/>
                <w:i/>
              </w:rPr>
              <w:t xml:space="preserve"> van de geregistreerde haven</w:t>
            </w:r>
            <w:r w:rsidRPr="00B8029D">
              <w: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bis.</w:t>
            </w:r>
            <w:r w:rsidRPr="00B8029D">
              <w:rPr>
                <w:b/>
                <w:i/>
              </w:rPr>
              <w:tab/>
              <w:t>De lidstaten dragen geen inspanning over tussen vaartuigen die gemachtigd zijn om in het voor de visserij beperkte gebied met ander vistuig te vissen.”.</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(32023R2124)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Paragrafen 9 en 10 van GFCM/46/2023/1.</w:t>
      </w:r>
    </w:p>
    <w:p w:rsidR="00746743" w:rsidRPr="00B8029D" w:rsidRDefault="00746743" w:rsidP="00746743">
      <w:pPr>
        <w:pStyle w:val="AmNumberTabs"/>
      </w:pPr>
      <w:r w:rsidRPr="00B8029D">
        <w:rPr>
          <w:rStyle w:val="HideTWBExt"/>
          <w:b w:val="0"/>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238</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Sebastian Everding</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{The Left}</w:t>
      </w:r>
      <w:r w:rsidRPr="00B8029D">
        <w:t>namens de Fractie The Left</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56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110 bis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lastRenderedPageBreak/>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56 bis)</w:t>
            </w:r>
            <w:r w:rsidRPr="00B8029D">
              <w:tab/>
            </w:r>
            <w:r w:rsidRPr="00B8029D">
              <w:rPr>
                <w:b/>
                <w:i/>
              </w:rPr>
              <w:t>Het volgende artikel 110 bis wordt ingevoegd:</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110 bis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Controle- en handhavingsmaatregelen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De lidstaten houden een register bij van vaartuigen die gemachtigd zijn in het voor de visserij beperkt gebied te vissen.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Uiterlijk op 30 mei 2024 delen de lidstaten aan het GFCM-secretariaat, via het onlineplatform van het referentiekader voor gegevensverzameling van de GFCM, de lijst van vaartuigen mee die onder hun vlag varen en gemachtigd zijn in het voor de visserij beperkt gebied te vissen. Voor elk vaartuig bevat de lijst de in bijlage VIII vermelde informatie.</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De lidstaten zenden het GFCM-secretariaat elk jaar uiterlijk op 31 mei een verslag toe over de beheersmaatregelen die zij voor de voor de visserij beperkte gebieden hebben genomen. Om een gemeenschappelijke aanpak in het hele GFCM-toepassingsgebied te vergemakkelijken, wordt dit verslag opgesteld volgens gemeenschappelijke richtsnoeren van het GFCM-secretariaat. Het verslag wordt binnen twee maanden na ontvangst op de GFCM-website gepubliceerd op een wijze die strookt met het beleid en de procedures van de GFCM inzake vertrouwelijkheid van gegevens.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De lidstaten delen het GFCM-secretariaat uiterlijk op 30 mei 2024 de wettelijke voorwaarden zoals van kracht op 31 december 2023 mee met betrekking tot de maximale duur van een visdag.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De lidstaten zien erop toe dat de vissersvaartuigen die in het voor de visserij beperkt gebied actief zijn de verplichtingen uit hoofde van de leden 1 en 2 naleven.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6. Professionele vissersvaartuigen met een lengte van meer dan 12 m die het voor de visserij beperkt gebied doorvaren, hebben een operationele transponder aan boord voor volgsystemen voor vaartuigen (VMS) en/of automatische identificatiesystemen (AIS) die een verhoogde gegevenstransmissiefrequentie weergeven, en al het vistuig moet tijdens de volledige duur van de doorvaart zijn vastgesjord en opgeborgen. Professionele vissersvaartuigen volgen overeenkomstig de GFCM-aanbeveling een directe koers met een constante snelheid van niet minder dan zes knopen, behalve in geval van overmacht of ongunstige omstandigheden. In dergelijke gevallen brengt de kapitein van het vaartuig het visserijcontrolecentrum van de vlaggenstaat van het vaartuig onmiddellijk op de hoogte, zodat het geval van overmacht aan de bevoegde autoriteiten van de lidstaten kan worden gemeld.”.</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GFCM/46/2023/1.</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239</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Isabella Lövin</w:t>
      </w:r>
      <w:r w:rsidRPr="00B8029D">
        <w:rPr>
          <w:rStyle w:val="HideTWBExt"/>
          <w:b w:val="0"/>
        </w:rPr>
        <w:t>&lt;/Members&gt;</w:t>
      </w:r>
    </w:p>
    <w:p w:rsidR="00746743" w:rsidRPr="00B8029D" w:rsidRDefault="00746743" w:rsidP="00746743">
      <w:r w:rsidRPr="00B8029D">
        <w:rPr>
          <w:rStyle w:val="HideTWBExt"/>
        </w:rPr>
        <w:t>&lt;AuNomDe&gt;</w:t>
      </w:r>
      <w:r w:rsidRPr="00B8029D">
        <w:rPr>
          <w:rStyle w:val="HideTWBInt"/>
        </w:rPr>
        <w:t>{Greens/EFA}</w:t>
      </w:r>
      <w:r w:rsidRPr="00B8029D">
        <w:t>namens de Verts/ALE-Fractie</w:t>
      </w:r>
      <w:r w:rsidRPr="00B8029D">
        <w:rPr>
          <w:rStyle w:val="HideTWBExt"/>
        </w:rPr>
        <w:t>&lt;/AuNomDe&gt;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56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110 ter (nieuw)</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hideMark/>
          </w:tcPr>
          <w:p w:rsidR="00746743" w:rsidRPr="00B8029D" w:rsidRDefault="00746743" w:rsidP="00C93613"/>
        </w:tc>
        <w:tc>
          <w:tcPr>
            <w:tcW w:w="4876" w:type="dxa"/>
            <w:tcBorders>
              <w:top w:val="nil"/>
              <w:left w:val="nil"/>
              <w:bottom w:val="nil"/>
              <w:right w:val="nil"/>
            </w:tcBorders>
            <w:hideMark/>
          </w:tcPr>
          <w:p w:rsidR="00746743" w:rsidRPr="00B8029D" w:rsidRDefault="00746743" w:rsidP="00C93613">
            <w:pPr>
              <w:pStyle w:val="Normal6a"/>
            </w:pPr>
            <w:r w:rsidRPr="00B8029D">
              <w:rPr>
                <w:b/>
                <w:i/>
              </w:rPr>
              <w:t>56 bis)</w:t>
            </w:r>
            <w:r w:rsidRPr="00B8029D">
              <w:tab/>
            </w:r>
            <w:r w:rsidRPr="00B8029D">
              <w:rPr>
                <w:b/>
                <w:i/>
              </w:rPr>
              <w:t>Het volgende artikel wordt ingevoegd:</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110 ter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Controle- en handhavingsmaatregelen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w:t>
            </w:r>
            <w:r w:rsidRPr="00B8029D">
              <w:t xml:space="preserve">. </w:t>
            </w:r>
            <w:r w:rsidRPr="00B8029D">
              <w:rPr>
                <w:b/>
                <w:i/>
              </w:rPr>
              <w:t>De lidstaten houden een register bij van vaartuigen die gemachtigd zijn in het voor de visserij beperkt gebied te vissen.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lidstaten delen aan het GFCM-secretariaat, via het onlineplatform van het referentiekader voor gegevensverzameling van de GFCM, de lijst van vaartuigen mee die onder hun vlag varen en gemachtigd zijn in het voor de visserij beperkt gebied te vissen. Voor elk vaartuig bevat de lijst de in bijlage VIII vermelde informatie.</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De lidstaten zenden het GFCM-secretariaat elk jaar uiterlijk op 31 mei een verslag toe over de beheersmaatregelen die zij in voor de visserij beperkte gebieden hebben genomen. Om een gemeenschappelijke aanpak in het hele GFCM-toepassingsgebied te vergemakkelijken, wordt dit verslag opgesteld volgens gemeenschappelijke richtsnoeren van het GFCM-secretariaat. Het verslag wordt binnen twee maanden na ontvangst op de GFCM-website gepubliceerd op een wijze die strookt met het beleid en de procedures van de GFCM inzake vertrouwelijkheid van gegevens.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De lidstaten delen het GFCM-secretariaat de wettelijke voorwaarden zoals van kracht op 31 december 2023 mee met betrekking tot de maximale duur van een visdag.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De lidstaten zien erop toe dat de vissersvaartuigen die in het voor de visserij beperkt gebied actief zijn de verplichtingen uit hoofde van de leden 1 en 2 naleven.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6. Professionele vissersvaartuigen met een lengte van meer dan 12 m die het voor de visserij beperkt gebied doorvaren, hebben een operationele transponder aan boord voor volgsystemen voor vaartuigen (VMS) en/of automatische identificatiesystemen </w:t>
            </w:r>
            <w:r w:rsidRPr="00B8029D">
              <w:rPr>
                <w:b/>
                <w:i/>
              </w:rPr>
              <w:lastRenderedPageBreak/>
              <w:t>(AIS) die een verhoogde gegevenstransmissiefrequentie weergeven, en al het vistuig moet tijdens de volledige duur van de doorvaart zijn vastgesjord en opgeborgen. Professionele vissersvaartuigen volgen overeenkomstig de GFCM-aanbeveling een directe koers met een constante snelheid van niet minder dan zes knopen, behalve in geval van overmacht of ongunstige omstandigheden. In dergelijke gevallen brengt de kapitein van het vaartuig het visserijcontrolecentrum van de vlaggenstaat van het vaartuig onmiddellijk op de hoogte, zodat het geval van overmacht aan de bevoegde autoriteiten van de lidstaten kan worden gemeld.”.</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CrossRef"/>
      </w:pPr>
      <w:r w:rsidRPr="00B8029D">
        <w:t>(Verordening (EU) nr. 2023/2124)</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GFCM/46/2023/1.</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240</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56 quater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110</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56 quater)</w:t>
            </w:r>
            <w:r w:rsidRPr="00B8029D">
              <w:tab/>
            </w:r>
            <w:r w:rsidRPr="00B8029D">
              <w:rPr>
                <w:b/>
                <w:i/>
              </w:rPr>
              <w:t>De volgende artikelen 110 bis en 110 ter worden ingevoegd tussen de artikelen 110 en 111:</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110 bis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Wetenschappelijke monitoring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De lidstaten zorgen ervoor: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1. dat er een wetenschappelijk monitoringplan voor het voor de visserij </w:t>
            </w:r>
            <w:r w:rsidRPr="00B8029D">
              <w:rPr>
                <w:b/>
                <w:i/>
              </w:rPr>
              <w:lastRenderedPageBreak/>
              <w:t>beperkt gebied wordt ontwikkeld;</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dat de resultaten van het monitoringplan voor het voor de visserij beperkt gebied regelmatig worden gerapporteerd en besproken in de relevante ondersteunende organen van het wetenschappelijk adviescomité voor de visserij (SAC). Het monitoringplan en de doeltreffendheid ervan worden regelmatig beoordeeld door het wetenschappelijk adviescomité voor de visserij (SAC);</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dat informatie over alle vaartuigen die gemachtigd zijn in zone B van het voor de visserij beperkt gebied te vissen, door de lidstaten wordt geregistreerd (op basis van de lijst van bijlage VIII) en op de GFCM-website wordt bekendgemaakt op een wijze die strookt met het beleid en de procedures van de GFCM inzake vertrouwelijkheid van gegevens;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dat informatie over visserijactiviteiten, vangst van belangrijke soorten, incidentele vangsten, de vrijlating en/of de teruggooi van kwetsbare soorten die zijn vermeld in bijlage II of bijlage III bij het Protocol inzake de speciaal beschermde gebieden en de biologische diversiteit in de Middellandse Zee bij het Verdrag inzake de bescherming van het mariene milieu en de kustgebieden van de Middellandse Zee, door de scheepseigenaar wordt vastgelegd in het elektronische logboek of in een gelijkwaardig document conform de internationale normen en de gegevensrapportagevereisten van de desbetreffende GFCM-aanbevelingen;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dat deze informatie wordt gerapporteerd aan de nationale autoriteiten met het oog op kennisgeving aan het GFCM-secretariaat, overeenkomstig het handboek voor het referentiekader voor gegevensverzameling;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6. dat er eventuele andere aanvullende maatregelen, bijvoorbeeld waarnemers </w:t>
            </w:r>
            <w:r w:rsidRPr="00B8029D">
              <w:rPr>
                <w:b/>
                <w:i/>
              </w:rPr>
              <w:lastRenderedPageBreak/>
              <w:t>aan boord bij 5 % van de vaartuigen of elektronische monitoring op afstand, om te zorgen voor een gelijk speelveld voor alle vaartuigen worden genomen, teneinde de gegevensverzameling te verbeteren met het oog op de wetenschappelijke monitoring van belangrijke soorten.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110 ter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Controle- en handhavingsmaatregelen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De lidstaten houden een register bij van vaartuigen die gemachtigd zijn in het voor de visserij beperkt gebied te vissen.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lidstaten delen aan het GFCM-secretariaat, via het onlineplatform van het referentiekader voor gegevensverzameling van de GFCM, de lijst van vaartuigen mee die onder hun vlag varen en gemachtigd zijn in het voor de visserij beperkt gebied te vissen. Voor elk vaartuig bevat de lijst de in bijlage VIII vermelde informatie.</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De lidstaten zenden de Commissie elk jaar uiterlijk op 15 mei een verslag toe over de beheersmaatregelen die zij in voor de visserij beperkte gebieden hebben genomen. De Commissie zendt het verslag elk jaar uiterlijk op 31 mei toe aan het GFCM-secretariaat. Om een gemeenschappelijke aanpak in het hele GFCM-toepassingsgebied te vergemakkelijken, wordt dit verslag opgesteld volgens gemeenschappelijke richtsnoeren van het GFCM-secretariaat. Het verslag wordt binnen twee maanden na ontvangst op de GFCM-website gepubliceerd op een wijze die strookt met het beleid en de procedures van de GFCM inzake vertrouwelijkheid van gegevens.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De lidstaten delen de Commissie de wettelijke voorwaarden zoals van kracht op 31 december 2023 mee met betrekking tot de maximale duur van een visdag. De Commissie zendt die informatie toe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De lidstaten zien erop toe dat de vissersvaartuigen die in het voor de visserij beperkt gebied actief zijn de verplichtingen uit hoofde van de leden 1 en 2 naleven.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6. Professionele vissersvaartuigen met een lengte van meer dan 12 m die het voor de visserij beperkt gebied doorvaren, hebben een operationele transponder aan boord voor volgsystemen voor vaartuigen (VMS) en/of automatische identificatiesystemen (AIS) die een verhoogde gegevenstransmissiefrequentie weergeven, en al het vistuig moet tijdens de volledige duur van de doorvaart zijn vastgesjord en opgeborgen. Professionele vissersvaartuigen volgen een directe koers met een constante snelheid van niet minder dan zes knopen, behalve in geval van overmacht of ongunstige omstandigheden. In dergelijke gevallen brengt de kapitein van het vaartuig het visserijcontrolecentrum van de vlaggenstaat van het vaartuig onmiddellijk op de hoogte, zodat het geval van overmacht aan de bevoegde autoriteiten van de lidstaten kan worden gemeld.”.</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Paragraaf 11 en de paragrafen 12 t/m 17 van GFCM/46/2023/1.</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241</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 punt 59 bis (nieuw)</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Artikel 116</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59 bis)</w:t>
            </w:r>
            <w:r w:rsidRPr="00B8029D">
              <w:tab/>
            </w:r>
            <w:r w:rsidRPr="00B8029D">
              <w:rPr>
                <w:b/>
                <w:i/>
              </w:rPr>
              <w:t xml:space="preserve">De nieuwe artikelen 116 bis en </w:t>
            </w:r>
            <w:r w:rsidRPr="00B8029D">
              <w:rPr>
                <w:b/>
                <w:i/>
              </w:rPr>
              <w:lastRenderedPageBreak/>
              <w:t>116 ter worden ingevoegd na artikel 116:</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116 bis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Visserijbeperkingen in het Kanaal van Otranto</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Alle demersale visserijactiviteiten of demersale recreatievisserijactiviteiten zijn verboden in zone A binnen de lijnen die de in bijlage XI, deel D bis, vermelde punten met elkaar verbinden.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Elk jaar gedurende een periode van twee maanden tussen september en november is visserij met bodemnetten, bodemtrawls, grondbeugen en vallen verboden in zone B binnen de lijnen die de in bijlage XI, deel D bis, vermelde punten met elkaar verbinden. 3. Visserij met ringzegens en pelagische trawls op ansjovis of sardine is verboden in het gebied binnen de lijnen die de in bijlage XI, deel D, vermelde punten met elkaar verbinden.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116 ter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Gemachtigde vaartuigen in het Kanaal van Otranto</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Onverminderd artikel 116 bis, lid 2, zijn commerciële visserijactiviteiten die worden verricht met bodemnetten, bodemtrawls, grondbeugen en vallen enkel toegestaan in de in dit lid bedoelde gebieden indien het vaartuig in het bezit is van een specifieke machtiging en indien het kan aantonen dat het in het verleden visserijactiviteiten in de betrokken gebieden heeft verricht.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In het in artikel 116 bis, lid 2, bedoelde gebied mogen gemachtigde vissersvaartuigen niet meer dan 70 visdagen per jaar of twee visdagen per week actief zijn.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3. Aan de vaartuigen die gemachtigd zijn om in het in artikel 116 bis, lid 2, bedoelde gebied te vissen met het in lid 1 van dit artikel bedoelde vistuig, wordt door hun lidstaat een vismachtiging afgegeven </w:t>
            </w:r>
            <w:r w:rsidRPr="00B8029D">
              <w:rPr>
                <w:b/>
                <w:i/>
              </w:rPr>
              <w:lastRenderedPageBreak/>
              <w:t>overeenkomstig artikel 7 van Verordening (EG) nr. 1224/2009.</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De lidstaten zenden elk jaar uiterlijk op 31 maart de lijst van vaartuigen waarvoor zij de in lid 1 bedoelde machtiging hebben afgegeven toe aan de Commissie. De Commissie deelt elk jaar uiterlijk op 30 april aan het GFCM-secretariaat de voor het volgende jaar vastgestelde lijst van gemachtigde vaartuigen mee. Voor elk vaartuig bevat de lijst de in bijlage VIII bedoelde informatie.</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6. Gemachtigde vissersvaartuigen landen vangsten van demersale bestanden enkel aan in aangewezen aanlandingsplaatsen. Daartoe wijst elke betrokken lidstaat de aanlandingsplaatsen aan waar aanlandingen van vangsten uit het voor de visserij beperkt gebied Kanaal van Otranto zijn toegestaan. De lijst van die aanlandingsplaatsen wordt elk jaar uiterlijk op 10 april aan de Commissie meegedeeld. De Commissie zendt die lijst elk jaar uiterlijk op 30 april toe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7. Vissersvaartuigen die gemachtigd zijn om te vissen in de in artikel 116 bis, lid 2, bedoelde gebieden met het in lid 1 van dit artikel bedoelde vistuig, beschikken over een correct functionerend VMS en/of automatisch identificatiesysteem (AIS), en het vistuig aan boord of in gebruik wordt naar behoren geïdentificeerd, genummerd en van merktekens voorzien voordat in die gebieden visserijactiviteiten worden aangevangen of wordt gevaren. 8. Vissersvaartuigen zonder machtiging die zijn uitgerust met bodemnetten, bodemtrawls, grondbeugen en vallen, mogen enkel door het voor de visserij beperkt gebied varen indien zij een directe koers volgen met een constante snelheid van niet minder dan zeven knopen, een werkend VMS en/of AIS aan boord hebben en geen enkele visserijactiviteit verrichten.”.</w:t>
            </w:r>
          </w:p>
        </w:tc>
      </w:tr>
    </w:tbl>
    <w:p w:rsidR="00746743" w:rsidRPr="00B8029D" w:rsidRDefault="00746743" w:rsidP="00746743">
      <w:pPr>
        <w:pStyle w:val="AmOrLang"/>
        <w:rPr>
          <w:lang w:eastAsia="en-US"/>
        </w:rPr>
      </w:pPr>
      <w:r w:rsidRPr="00B8029D">
        <w:lastRenderedPageBreak/>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GFCM/47/2024/6.</w:t>
      </w:r>
    </w:p>
    <w:p w:rsidR="00746743" w:rsidRPr="00B8029D" w:rsidRDefault="00746743" w:rsidP="00746743">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242</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Artikel 1 – alinea 1– punt 60</w:t>
      </w:r>
      <w:r w:rsidRPr="00B8029D">
        <w:rPr>
          <w:rStyle w:val="HideTWBExt"/>
          <w:b w:val="0"/>
        </w:rPr>
        <w:t>&lt;/Article&gt;</w:t>
      </w:r>
    </w:p>
    <w:p w:rsidR="00746743" w:rsidRPr="00B8029D" w:rsidRDefault="00746743" w:rsidP="00746743">
      <w:r w:rsidRPr="00B8029D">
        <w:rPr>
          <w:rStyle w:val="HideTWBExt"/>
        </w:rPr>
        <w:t>&lt;DocAmend2&gt;</w:t>
      </w:r>
      <w:r w:rsidRPr="00B8029D">
        <w:t>Verordening (EU) nr. 2023/2124</w:t>
      </w:r>
      <w:r w:rsidRPr="00B8029D">
        <w:rPr>
          <w:rStyle w:val="HideTWBExt"/>
        </w:rPr>
        <w:t>&lt;/DocAmend2&gt;</w:t>
      </w:r>
    </w:p>
    <w:p w:rsidR="00746743" w:rsidRPr="00B8029D" w:rsidRDefault="00746743" w:rsidP="00746743">
      <w:r w:rsidRPr="00B8029D">
        <w:rPr>
          <w:rStyle w:val="HideTWBExt"/>
        </w:rPr>
        <w:t>&lt;Article2&gt;</w:t>
      </w:r>
      <w:r w:rsidRPr="00B8029D">
        <w:t>Hoofdstuk III</w:t>
      </w:r>
      <w:r w:rsidRPr="00B8029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6743" w:rsidRPr="00B8029D" w:rsidTr="00C93613">
        <w:trPr>
          <w:trHeight w:val="240"/>
          <w:jc w:val="center"/>
        </w:trPr>
        <w:tc>
          <w:tcPr>
            <w:tcW w:w="9752" w:type="dxa"/>
            <w:gridSpan w:val="2"/>
            <w:tcBorders>
              <w:top w:val="nil"/>
              <w:left w:val="nil"/>
              <w:bottom w:val="nil"/>
              <w:right w:val="nil"/>
            </w:tcBorders>
          </w:tcPr>
          <w:p w:rsidR="00746743" w:rsidRPr="00B8029D" w:rsidRDefault="00746743" w:rsidP="00C93613"/>
        </w:tc>
      </w:tr>
      <w:tr w:rsidR="00746743" w:rsidRPr="00B8029D" w:rsidTr="00C93613">
        <w:trPr>
          <w:trHeight w:val="240"/>
          <w:jc w:val="center"/>
        </w:trPr>
        <w:tc>
          <w:tcPr>
            <w:tcW w:w="4876" w:type="dxa"/>
            <w:tcBorders>
              <w:top w:val="nil"/>
              <w:left w:val="nil"/>
              <w:bottom w:val="nil"/>
              <w:right w:val="nil"/>
            </w:tcBorders>
            <w:hideMark/>
          </w:tcPr>
          <w:p w:rsidR="00746743" w:rsidRPr="00B8029D" w:rsidRDefault="00746743" w:rsidP="00C93613">
            <w:pPr>
              <w:pStyle w:val="AmColumnHeading"/>
            </w:pPr>
            <w:r w:rsidRPr="00B8029D">
              <w:t>Door de Commissie voorgestelde tekst</w:t>
            </w:r>
          </w:p>
        </w:tc>
        <w:tc>
          <w:tcPr>
            <w:tcW w:w="4876" w:type="dxa"/>
            <w:tcBorders>
              <w:top w:val="nil"/>
              <w:left w:val="nil"/>
              <w:bottom w:val="nil"/>
              <w:right w:val="nil"/>
            </w:tcBorders>
            <w:hideMark/>
          </w:tcPr>
          <w:p w:rsidR="00746743" w:rsidRPr="00B8029D" w:rsidRDefault="00746743" w:rsidP="00C93613">
            <w:pPr>
              <w:pStyle w:val="AmColumnHeading"/>
            </w:pPr>
            <w:r w:rsidRPr="00B8029D">
              <w:t>Amendement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bis.</w:t>
            </w:r>
            <w:r w:rsidRPr="00B8029D">
              <w:tab/>
            </w:r>
            <w:r w:rsidRPr="00B8029D">
              <w:rPr>
                <w:b/>
                <w:i/>
              </w:rPr>
              <w:t>Vóór afdeling I van hoofdstuk III wordt tussen artikel 121 en artikel 122 een nieuwe afdeling ingevoegd met de volgende nieuwe artikelen 121 bis, 121 ter en 121 quater: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“Afdeling I</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Inspecties en inbreuken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121 bis Internationale gezamenlijke inspectie- en surveillanceregeling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De lidstaten kunnen inspectie- en surveillanceactiviteiten verrichten in het kader van een internationale gezamenlijke inspectie- en surveillanceregeling (“de regeling”) in de wateren buiten nationale jurisdictie in geografische GFCM-deelgebieden, zoals omschreven in bijlage I (“het inspectie- en surveillancegebied”), van toepassing op elke soort als bedoeld in de artikelen 22, 31, 57, 73 en 81.</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De lidstaten kunnen inspecteurs en inspectiemiddelen aanwijzen en inspecties verrichten in het kader van de regeling. De Commissie of een door haar aangewezen orgaan kan met het oog op de toepassing van de regeling ook inspecteurs van de Unie aanwijzen.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De Commissie of een door haar aangewezen orgaan zorgt voor de coördinatie van de surveillance- en inspectieactiviteiten voor de Unie en kan in overleg met de betrokken lidstaten een gezamenlijk inzetplan opstellen op basis waarvan de Unie haar verplichtingen in het kader van de regeling kan nakomen. De lidstaten nemen de nodige maatregelen om de uitvoering van die plannen te vergemakkelijken, met name met betrekking tot de vereiste personele en materiële middelen, alsmede de perioden en geografische gebieden waarin deze moeten worden ingezet.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Elke lidstaat stelt de Commissie of het door haar aangewezen orgaan elk jaar uiterlijk op 15 november in kennis van de lijst van namen van de inspecteurs die gemachtigd zijn om inspectie- en surveillanceactiviteiten te verrichten in het in lid 1 bedoelde gebied, alsook de namen van de voor de inspectie en surveillance gebruikte vaartuigen en luchtvaartuigen die zij in het jaar daarop voor de regeling willen inzetten. De Commissie of een door haar aangewezen orgaan zendt deze informatie elk jaar uiterlijk op 1 december of zo spoedig als haalbaar is vóór aanvang van de inspectieactiviteiten toe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De aan de regeling toegewezen inspecteurs hebben een door de bevoegde autoriteiten afgegeven GFCM-inspecteurskaart bij zich, die de vorm van bijlage IV heeft.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6. Vaartuigen die in het kader van de regeling inspecties aan boord verrichten, voeren een speciale vlag of wimpel zoals beschreven in bijlage V.</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7. Elke lidstaat zorgt ervoor dat elk inspectieplatform dat zijn vlag mag voeren en in het in lid 1 bedoelde gebied actief is, met elk ander inspectieplatform dat in dat gebied actief is, op beveiligde wijze </w:t>
            </w:r>
            <w:r w:rsidRPr="00B8029D">
              <w:rPr>
                <w:b/>
                <w:i/>
              </w:rPr>
              <w:lastRenderedPageBreak/>
              <w:t>contact houdt, indien mogelijk dagelijks, om informatie uit te wisselen die nodig is voor het coördineren van de activiteiten.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8. Elke lidstaat met een inspectie- of surveillanceaanwezigheid in het in lid 1 bedoelde gebied verstrekt aan elk inspectieplatform, bij binnenkomst ervan in het gebied, een lijst van overeenkomstig bijlage VII opgestelde waarnemingen en van inspecties aan boord die hij heeft verricht in de voorgaande periode van tien dagen, zoals datums, coördinaten en andere relevante informatie.</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121 ter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Verrichting van inspecties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Aan de regeling toegewezen inspecteurs: a) stellen, voordat zij aan boord gaan, het vissersvaartuig in kennis van de naam van het inspectievaartuig; b) voeren op het inspectievaartuig en het boardingvaartuig de in bijlage V beschreven wimpel; c) beperken elk inspectieteam tot een maximum van drie inspecteurs.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Bij het aan boord gaan van het vaartuig laten de inspecteurs de kapitein van het vissersvaartuig de in bijlage IV beschreven identiteitskaart zien. Inspecties worden verricht in een van de officiële talen van de GFCM en, indien mogelijk, in de taal van de kapitein van het vissersvaartuig.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3. De inspecteurs stellen een inspectieverslag op in het in bijlage VI vastgestelde formaat.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De inspecteurs ondertekenen het verslag in aanwezigheid van de kapitein van het vaartuig, die het recht heeft om opmerkingen die hij of zij nuttig acht toe te voegen, en die het verslag medeondertekent.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5. Een kopie van het verslag wordt verstrekt aan de kapitein van het vaartuig en aan de autoriteiten van het </w:t>
            </w:r>
            <w:r w:rsidRPr="00B8029D">
              <w:rPr>
                <w:b/>
                <w:i/>
              </w:rPr>
              <w:lastRenderedPageBreak/>
              <w:t>inspectieteam, die op hun beurt een kopie bezorgen aan de autoriteiten van de vlaggenstaat van het geïnspecteerde vaartuig en aan de Commissie en/of een door haar aangewezen orgaan. De Commissie stuurt de kopie door naar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6. De omvang van het inspectieteam en de duur van de inspectie worden, rekening houdend met alle relevante omstandigheden, bepaald door de commandant van het inspectievaartuig.</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Artikel 121 ter</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Inbreuken</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1. Voor de toepassing van dit artikel worden de volgende activiteiten als inbreuk beschouwd: a) de in artikel 3, lid 1, punten a), b), c), e), f), g) en h), van Verordening (EG) nr. 1005/2008 bedoelde activiteiten; b) storen van het satellietvolgsysteem; en c) actief zijn zonder VMS.</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2. Wanneer de inspecteurs bij een inspectie aan boord van een vissersvaartuig een inbreuk constateren, melden de autoriteiten van de vlaggenlidstaat van het inspectievaartuig dat onmiddellijk aan de Commissie of een door haar aangewezen orgaan, die of dat de vlaggenstaat van het geïnspecteerde vissersvaartuig op de hoogte brengt, zowel rechtstreeks als via het GFCM-secretariaat. Zij informeren tevens elk inspectievaartuig van de vlaggenstaat van het vissersvaartuig waarvan bekend is dat het zich in de buurt bevindt.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 xml:space="preserve">3. De vlaggenlidstaat van het vissersvaartuig zorgt ervoor dat naar aanleiding van een inspectie waarbij een inbreuk is geconstateerd, het betrokken vissersvaartuig elke visserijactiviteit stopzet. De vlaggenlidstaat verzoekt het vissersvaartuig zich binnen 72 uur naar een door hem aangewezen haven te begeven, waar een onderzoek wordt </w:t>
            </w:r>
            <w:r w:rsidRPr="00B8029D">
              <w:rPr>
                <w:b/>
                <w:i/>
              </w:rPr>
              <w:lastRenderedPageBreak/>
              <w:t>ingesteld.</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4. Wanneer bij een inspectie een inbreuk is geconstateerd, worden de acties en de follow-upmaatregelen van de vlaggenlidstaat meegedeeld aan de Commissie of een door haar aangewezen orgaan. De Commissie of een door haar aangewezen orgaan deelt de acties en de follow-upmaatregelen mee aan het GFCM-secretariaat.</w:t>
            </w:r>
          </w:p>
        </w:tc>
      </w:tr>
      <w:tr w:rsidR="00746743" w:rsidRPr="00B8029D" w:rsidTr="00C93613">
        <w:trPr>
          <w:jc w:val="center"/>
        </w:trPr>
        <w:tc>
          <w:tcPr>
            <w:tcW w:w="4876" w:type="dxa"/>
            <w:tcBorders>
              <w:top w:val="nil"/>
              <w:left w:val="nil"/>
              <w:bottom w:val="nil"/>
              <w:right w:val="nil"/>
            </w:tcBorders>
          </w:tcPr>
          <w:p w:rsidR="00746743" w:rsidRPr="00B8029D" w:rsidRDefault="00746743" w:rsidP="00C93613">
            <w:pPr>
              <w:pStyle w:val="Normal6a"/>
            </w:pPr>
          </w:p>
        </w:tc>
        <w:tc>
          <w:tcPr>
            <w:tcW w:w="4876" w:type="dxa"/>
            <w:tcBorders>
              <w:top w:val="nil"/>
              <w:left w:val="nil"/>
              <w:bottom w:val="nil"/>
              <w:right w:val="nil"/>
            </w:tcBorders>
            <w:hideMark/>
          </w:tcPr>
          <w:p w:rsidR="00746743" w:rsidRPr="00B8029D" w:rsidRDefault="00746743" w:rsidP="00C93613">
            <w:pPr>
              <w:pStyle w:val="Normal6a"/>
            </w:pPr>
            <w:r w:rsidRPr="00B8029D">
              <w:rPr>
                <w:b/>
                <w:i/>
              </w:rPr>
              <w:t>5. De autoriteiten van de lidstaten geven aan inspectieverslagen als bedoeld in artikel 121 ter, lid 3, aan de waarnemingsformulieren van bijlage VII en aan verklaringen op basis van documentinspecties door inspecteurs hetzelfde gevolg als aan verslagen en verklaringen van nationale inspecteurs die zijn opgesteld overeenkomstig hun nationale wetgeving.”.</w:t>
            </w:r>
          </w:p>
        </w:tc>
      </w:tr>
    </w:tbl>
    <w:p w:rsidR="00746743" w:rsidRPr="00B8029D" w:rsidRDefault="00746743" w:rsidP="00746743">
      <w:pPr>
        <w:pStyle w:val="AmOrLang"/>
        <w:rPr>
          <w:lang w:eastAsia="en-US"/>
        </w:rPr>
      </w:pPr>
      <w:r w:rsidRPr="00B8029D">
        <w:t xml:space="preserve">Or. </w:t>
      </w:r>
      <w:r w:rsidRPr="00B8029D">
        <w:rPr>
          <w:rStyle w:val="HideTWBExt"/>
        </w:rPr>
        <w:t>&lt;Original&gt;</w:t>
      </w:r>
      <w:r w:rsidRPr="00B8029D">
        <w:rPr>
          <w:rStyle w:val="HideTWBInt"/>
        </w:rPr>
        <w:t>{EN}</w:t>
      </w:r>
      <w:r w:rsidRPr="00B8029D">
        <w:t>en</w:t>
      </w:r>
      <w:r w:rsidRPr="00B8029D">
        <w:rPr>
          <w:rStyle w:val="HideTWBExt"/>
        </w:rPr>
        <w:t>&lt;/Original&gt;</w:t>
      </w:r>
    </w:p>
    <w:p w:rsidR="00746743" w:rsidRPr="00B8029D" w:rsidRDefault="00746743" w:rsidP="00746743">
      <w:pPr>
        <w:pStyle w:val="AmJustTitle"/>
      </w:pPr>
      <w:r w:rsidRPr="00B8029D">
        <w:rPr>
          <w:rStyle w:val="HideTWBExt"/>
          <w:i w:val="0"/>
        </w:rPr>
        <w:t>&lt;TitreJust&gt;</w:t>
      </w:r>
      <w:r w:rsidRPr="00B8029D">
        <w:t>Motivering</w:t>
      </w:r>
      <w:r w:rsidRPr="00B8029D">
        <w:rPr>
          <w:rStyle w:val="HideTWBExt"/>
          <w:i w:val="0"/>
        </w:rPr>
        <w:t>&lt;/TitreJust&gt;</w:t>
      </w:r>
    </w:p>
    <w:p w:rsidR="00746743" w:rsidRPr="00B8029D" w:rsidRDefault="00746743" w:rsidP="00746743">
      <w:pPr>
        <w:pStyle w:val="AmJustText"/>
      </w:pPr>
      <w:r w:rsidRPr="00B8029D">
        <w:t>Ter vervanging van alle bepalingen over: 1 - Internationale gezamenlijke inspectie- en surveillanceregeling; 2 - Uitvoering van inspecties; 3 - Inbreuken, Commissievoorstellen ter vervanging van: de door de Commissie voorgestelde nieuwe artikelen 30 ter, 30 quater en 30 quinquies, de nieuwe artikelen 37 ter, 37 quater en 37 quinquies, de artikelen 63, 64 en 65, de nieuwe artikelen 75, lid 1, 75, lid 2, en 75, lid 3, en de nieuwe artikelen 89 ter, 89 quater en 89 quinquies.</w:t>
      </w:r>
    </w:p>
    <w:p w:rsidR="00746743" w:rsidRPr="00B8029D" w:rsidRDefault="00746743" w:rsidP="00746743">
      <w:pPr>
        <w:rPr>
          <w:szCs w:val="24"/>
        </w:rPr>
      </w:pPr>
      <w:r w:rsidRPr="00B8029D">
        <w:rPr>
          <w:rStyle w:val="HideTWBExt"/>
        </w:rPr>
        <w:t>&lt;/Amend&gt;</w:t>
      </w:r>
    </w:p>
    <w:p w:rsidR="00746743" w:rsidRPr="00B8029D" w:rsidRDefault="00746743" w:rsidP="00746743">
      <w:pPr>
        <w:pStyle w:val="AmNumberTabs"/>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243</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Bijlage I – punt 1</w:t>
      </w:r>
      <w:r w:rsidRPr="00B8029D">
        <w:rPr>
          <w:rStyle w:val="HideTWBExt"/>
          <w:b w:val="0"/>
        </w:rPr>
        <w:t>&lt;/Article&gt;</w:t>
      </w:r>
    </w:p>
    <w:p w:rsidR="00746743" w:rsidRPr="00B8029D" w:rsidRDefault="00746743" w:rsidP="00746743">
      <w:pPr>
        <w:keepNext/>
      </w:pPr>
      <w:r w:rsidRPr="00B8029D">
        <w:rPr>
          <w:rStyle w:val="HideTWBExt"/>
        </w:rPr>
        <w:t>&lt;DocAmend2&gt;</w:t>
      </w:r>
      <w:r w:rsidRPr="00B8029D">
        <w:t>Verordening (EU) nr. 2023/2124</w:t>
      </w:r>
      <w:r w:rsidRPr="00B8029D">
        <w:rPr>
          <w:rStyle w:val="HideTWBExt"/>
        </w:rPr>
        <w:t>&lt;/DocAmend2&gt;</w:t>
      </w:r>
    </w:p>
    <w:p w:rsidR="00746743" w:rsidRPr="00B8029D" w:rsidRDefault="00746743" w:rsidP="00746743">
      <w:pPr>
        <w:rPr>
          <w:rStyle w:val="HideTWBExt"/>
        </w:rPr>
      </w:pPr>
      <w:r w:rsidRPr="00B8029D">
        <w:rPr>
          <w:rStyle w:val="HideTWBExt"/>
        </w:rPr>
        <w:t>&lt;Article2&gt;</w:t>
      </w:r>
      <w:r w:rsidRPr="00B8029D">
        <w:t>Bijlage I</w:t>
      </w:r>
      <w:r w:rsidRPr="00B8029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46743" w:rsidRPr="00B8029D" w:rsidTr="00C93613">
        <w:trPr>
          <w:jc w:val="center"/>
        </w:trPr>
        <w:tc>
          <w:tcPr>
            <w:tcW w:w="5387" w:type="dxa"/>
            <w:hideMark/>
          </w:tcPr>
          <w:p w:rsidR="00746743" w:rsidRPr="00B8029D" w:rsidRDefault="00746743" w:rsidP="00C93613">
            <w:pPr>
              <w:pStyle w:val="ColumnHeading"/>
              <w:keepNext/>
            </w:pPr>
            <w:r w:rsidRPr="00B8029D">
              <w:t>Door de Commissie voorgestelde tekst</w:t>
            </w:r>
          </w:p>
        </w:tc>
        <w:tc>
          <w:tcPr>
            <w:tcW w:w="4365" w:type="dxa"/>
            <w:hideMark/>
          </w:tcPr>
          <w:p w:rsidR="00746743" w:rsidRPr="00B8029D" w:rsidRDefault="00746743" w:rsidP="00C93613"/>
        </w:tc>
      </w:tr>
    </w:tbl>
    <w:p w:rsidR="00746743" w:rsidRPr="00B8029D" w:rsidRDefault="00746743" w:rsidP="00746743">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46743" w:rsidRPr="00B8029D" w:rsidTr="00C93613">
        <w:trPr>
          <w:jc w:val="center"/>
        </w:trPr>
        <w:tc>
          <w:tcPr>
            <w:tcW w:w="5387" w:type="dxa"/>
            <w:hideMark/>
          </w:tcPr>
          <w:p w:rsidR="00746743" w:rsidRPr="00B8029D" w:rsidRDefault="00746743" w:rsidP="00C93613">
            <w:pPr>
              <w:pStyle w:val="Normal6"/>
              <w:jc w:val="center"/>
              <w:rPr>
                <w:i/>
                <w:szCs w:val="24"/>
              </w:rPr>
            </w:pPr>
            <w:r w:rsidRPr="00B8029D">
              <w:rPr>
                <w:i/>
              </w:rPr>
              <w:t>Amendement</w:t>
            </w:r>
          </w:p>
        </w:tc>
        <w:tc>
          <w:tcPr>
            <w:tcW w:w="4365" w:type="dxa"/>
          </w:tcPr>
          <w:p w:rsidR="00746743" w:rsidRPr="00B8029D" w:rsidRDefault="00746743" w:rsidP="00C93613">
            <w:pPr>
              <w:pStyle w:val="TableParagraph"/>
              <w:spacing w:before="154" w:line="252" w:lineRule="exact"/>
              <w:ind w:left="110"/>
              <w:rPr>
                <w:noProof/>
                <w:sz w:val="24"/>
                <w:szCs w:val="24"/>
              </w:rPr>
            </w:pPr>
          </w:p>
        </w:tc>
      </w:tr>
      <w:tr w:rsidR="00746743" w:rsidRPr="00B8029D" w:rsidTr="00C93613">
        <w:trPr>
          <w:jc w:val="center"/>
        </w:trPr>
        <w:tc>
          <w:tcPr>
            <w:tcW w:w="9752" w:type="dxa"/>
            <w:gridSpan w:val="2"/>
            <w:hideMark/>
          </w:tcPr>
          <w:p w:rsidR="00746743" w:rsidRPr="00B8029D" w:rsidRDefault="00746743" w:rsidP="00C93613">
            <w:pPr>
              <w:pStyle w:val="TableParagraph"/>
              <w:spacing w:before="154" w:line="252" w:lineRule="exact"/>
              <w:ind w:left="110"/>
              <w:rPr>
                <w:noProof/>
                <w:sz w:val="24"/>
                <w:szCs w:val="24"/>
              </w:rPr>
            </w:pPr>
            <w:r w:rsidRPr="00B8029D">
              <w:t>In bijlage I wordt een nieuw deel D bis ingevoegd:</w:t>
            </w:r>
          </w:p>
        </w:tc>
      </w:tr>
    </w:tbl>
    <w:p w:rsidR="00746743" w:rsidRPr="00B8029D" w:rsidRDefault="00746743" w:rsidP="00746743">
      <w:pPr>
        <w:pStyle w:val="Normal6"/>
        <w:rPr>
          <w:b/>
        </w:rPr>
      </w:pPr>
      <w:r w:rsidRPr="00B8029D">
        <w:rPr>
          <w:b/>
        </w:rPr>
        <w:lastRenderedPageBreak/>
        <w:t>“D bis) Ruimtelijke en temporele sluitingen voor langoustines in de Adriatische Zee (GDG’s 17 en 18)</w:t>
      </w:r>
    </w:p>
    <w:tbl>
      <w:tblPr>
        <w:tblW w:w="0" w:type="dxa"/>
        <w:jc w:val="center"/>
        <w:tblLayout w:type="fixed"/>
        <w:tblLook w:val="04A0" w:firstRow="1" w:lastRow="0" w:firstColumn="1" w:lastColumn="0" w:noHBand="0" w:noVBand="1"/>
      </w:tblPr>
      <w:tblGrid>
        <w:gridCol w:w="1568"/>
        <w:gridCol w:w="1701"/>
        <w:gridCol w:w="2126"/>
      </w:tblGrid>
      <w:tr w:rsidR="00746743" w:rsidRPr="00B8029D" w:rsidTr="00C93613">
        <w:trPr>
          <w:jc w:val="center"/>
        </w:trPr>
        <w:tc>
          <w:tcPr>
            <w:tcW w:w="5395" w:type="dxa"/>
            <w:gridSpan w:val="3"/>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rPr>
                <w:b/>
              </w:rPr>
            </w:pPr>
            <w:r w:rsidRPr="00B8029D">
              <w:rPr>
                <w:b/>
              </w:rPr>
              <w:t>Zone A</w:t>
            </w:r>
          </w:p>
        </w:tc>
      </w:tr>
      <w:tr w:rsidR="00746743" w:rsidRPr="00B8029D" w:rsidTr="00C93613">
        <w:trPr>
          <w:jc w:val="center"/>
        </w:trPr>
        <w:tc>
          <w:tcPr>
            <w:tcW w:w="1568"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rPr>
                <w:b/>
              </w:rPr>
            </w:pPr>
            <w:r w:rsidRPr="00B8029D">
              <w:rPr>
                <w:b/>
              </w:rPr>
              <w:t>Breedtegraad</w:t>
            </w:r>
          </w:p>
        </w:tc>
        <w:tc>
          <w:tcPr>
            <w:tcW w:w="170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rPr>
                <w:b/>
              </w:rPr>
            </w:pPr>
            <w:r w:rsidRPr="00B8029D">
              <w:rPr>
                <w:b/>
              </w:rPr>
              <w:t xml:space="preserve">Lengtegraad </w:t>
            </w:r>
          </w:p>
        </w:tc>
        <w:tc>
          <w:tcPr>
            <w:tcW w:w="212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Sluitingsperiode</w:t>
            </w:r>
          </w:p>
        </w:tc>
      </w:tr>
      <w:tr w:rsidR="00746743" w:rsidRPr="00B8029D" w:rsidTr="00C93613">
        <w:trPr>
          <w:jc w:val="center"/>
        </w:trPr>
        <w:tc>
          <w:tcPr>
            <w:tcW w:w="1568"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43.45498395</w:t>
            </w:r>
          </w:p>
        </w:tc>
        <w:tc>
          <w:tcPr>
            <w:tcW w:w="170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14.31352476</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pPr>
              <w:spacing w:before="120" w:after="120"/>
            </w:pPr>
            <w:r w:rsidRPr="00B8029D">
              <w:t>15 oktober-15 december</w:t>
            </w:r>
          </w:p>
        </w:tc>
      </w:tr>
      <w:tr w:rsidR="00746743" w:rsidRPr="00B8029D" w:rsidTr="00C93613">
        <w:trPr>
          <w:jc w:val="center"/>
        </w:trPr>
        <w:tc>
          <w:tcPr>
            <w:tcW w:w="1568"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43.45498395</w:t>
            </w:r>
          </w:p>
        </w:tc>
        <w:tc>
          <w:tcPr>
            <w:tcW w:w="170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tc>
      </w:tr>
      <w:tr w:rsidR="00746743" w:rsidRPr="00B8029D" w:rsidTr="00C93613">
        <w:trPr>
          <w:jc w:val="center"/>
        </w:trPr>
        <w:tc>
          <w:tcPr>
            <w:tcW w:w="1568"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43.73796819</w:t>
            </w:r>
          </w:p>
        </w:tc>
        <w:tc>
          <w:tcPr>
            <w:tcW w:w="170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tc>
      </w:tr>
      <w:tr w:rsidR="00746743" w:rsidRPr="00B8029D" w:rsidTr="00C93613">
        <w:trPr>
          <w:jc w:val="center"/>
        </w:trPr>
        <w:tc>
          <w:tcPr>
            <w:tcW w:w="1568"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43.73796819</w:t>
            </w:r>
          </w:p>
        </w:tc>
        <w:tc>
          <w:tcPr>
            <w:tcW w:w="170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tc>
      </w:tr>
      <w:tr w:rsidR="00746743" w:rsidRPr="00B8029D" w:rsidTr="00C93613">
        <w:trPr>
          <w:jc w:val="center"/>
        </w:trPr>
        <w:tc>
          <w:tcPr>
            <w:tcW w:w="1568"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43.45498395</w:t>
            </w:r>
          </w:p>
        </w:tc>
        <w:tc>
          <w:tcPr>
            <w:tcW w:w="170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tc>
      </w:tr>
    </w:tbl>
    <w:p w:rsidR="00746743" w:rsidRPr="00B8029D" w:rsidRDefault="00746743" w:rsidP="00746743">
      <w:pPr>
        <w:tabs>
          <w:tab w:val="left" w:pos="1681"/>
          <w:tab w:val="left" w:pos="3382"/>
        </w:tabs>
        <w:spacing w:before="120" w:after="120"/>
        <w:ind w:left="113"/>
        <w:rPr>
          <w:szCs w:val="24"/>
        </w:rPr>
      </w:pPr>
    </w:p>
    <w:tbl>
      <w:tblPr>
        <w:tblW w:w="0" w:type="dxa"/>
        <w:jc w:val="center"/>
        <w:tblLayout w:type="fixed"/>
        <w:tblLook w:val="04A0" w:firstRow="1" w:lastRow="0" w:firstColumn="1" w:lastColumn="0" w:noHBand="0" w:noVBand="1"/>
      </w:tblPr>
      <w:tblGrid>
        <w:gridCol w:w="1830"/>
        <w:gridCol w:w="1842"/>
        <w:gridCol w:w="1701"/>
      </w:tblGrid>
      <w:tr w:rsidR="00746743" w:rsidRPr="00B8029D" w:rsidTr="00C93613">
        <w:trPr>
          <w:jc w:val="center"/>
        </w:trPr>
        <w:tc>
          <w:tcPr>
            <w:tcW w:w="5373" w:type="dxa"/>
            <w:gridSpan w:val="3"/>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rPr>
                <w:b/>
              </w:rPr>
            </w:pPr>
            <w:r w:rsidRPr="00B8029D">
              <w:rPr>
                <w:b/>
              </w:rPr>
              <w:t>Zone B</w:t>
            </w:r>
          </w:p>
        </w:tc>
      </w:tr>
      <w:tr w:rsidR="00746743" w:rsidRPr="00B8029D" w:rsidTr="00C93613">
        <w:trPr>
          <w:jc w:val="center"/>
        </w:trPr>
        <w:tc>
          <w:tcPr>
            <w:tcW w:w="1830"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rPr>
                <w:b/>
              </w:rPr>
            </w:pPr>
            <w:r w:rsidRPr="00B8029D">
              <w:rPr>
                <w:b/>
              </w:rPr>
              <w:t>Breedtegraad</w:t>
            </w:r>
          </w:p>
        </w:tc>
        <w:tc>
          <w:tcPr>
            <w:tcW w:w="184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rPr>
                <w:b/>
              </w:rPr>
            </w:pPr>
            <w:r w:rsidRPr="00B8029D">
              <w:rPr>
                <w:b/>
              </w:rPr>
              <w:t xml:space="preserve">Lengtegraad </w:t>
            </w:r>
          </w:p>
        </w:tc>
        <w:tc>
          <w:tcPr>
            <w:tcW w:w="170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Sluitingsperiode</w:t>
            </w:r>
          </w:p>
        </w:tc>
      </w:tr>
      <w:tr w:rsidR="00746743" w:rsidRPr="00B8029D" w:rsidTr="00C93613">
        <w:trPr>
          <w:jc w:val="center"/>
        </w:trPr>
        <w:tc>
          <w:tcPr>
            <w:tcW w:w="1830"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41.75575813</w:t>
            </w:r>
          </w:p>
        </w:tc>
        <w:tc>
          <w:tcPr>
            <w:tcW w:w="184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16.94671418</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pPr>
              <w:spacing w:before="120" w:after="120"/>
            </w:pPr>
            <w:r w:rsidRPr="00B8029D">
              <w:t>15 oktober-15 december</w:t>
            </w:r>
          </w:p>
        </w:tc>
      </w:tr>
      <w:tr w:rsidR="00746743" w:rsidRPr="00B8029D" w:rsidTr="00C93613">
        <w:trPr>
          <w:jc w:val="center"/>
        </w:trPr>
        <w:tc>
          <w:tcPr>
            <w:tcW w:w="1830"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41.75575813</w:t>
            </w:r>
          </w:p>
        </w:tc>
        <w:tc>
          <w:tcPr>
            <w:tcW w:w="184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tc>
      </w:tr>
      <w:tr w:rsidR="00746743" w:rsidRPr="00B8029D" w:rsidTr="00C93613">
        <w:trPr>
          <w:jc w:val="center"/>
        </w:trPr>
        <w:tc>
          <w:tcPr>
            <w:tcW w:w="1830"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42.07296819</w:t>
            </w:r>
          </w:p>
        </w:tc>
        <w:tc>
          <w:tcPr>
            <w:tcW w:w="184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tc>
      </w:tr>
      <w:tr w:rsidR="00746743" w:rsidRPr="00B8029D" w:rsidTr="00C93613">
        <w:trPr>
          <w:jc w:val="center"/>
        </w:trPr>
        <w:tc>
          <w:tcPr>
            <w:tcW w:w="1830"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42.07296819</w:t>
            </w:r>
          </w:p>
        </w:tc>
        <w:tc>
          <w:tcPr>
            <w:tcW w:w="184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tc>
      </w:tr>
      <w:tr w:rsidR="00746743" w:rsidRPr="00B8029D" w:rsidTr="00C93613">
        <w:trPr>
          <w:jc w:val="center"/>
        </w:trPr>
        <w:tc>
          <w:tcPr>
            <w:tcW w:w="1830"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41.75575813</w:t>
            </w:r>
          </w:p>
        </w:tc>
        <w:tc>
          <w:tcPr>
            <w:tcW w:w="184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spacing w:before="120" w:after="120"/>
            </w:pPr>
            <w:r w:rsidRPr="00B8029D">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46743" w:rsidRPr="00B8029D" w:rsidRDefault="00746743" w:rsidP="00C93613"/>
        </w:tc>
      </w:tr>
    </w:tbl>
    <w:p w:rsidR="00746743" w:rsidRPr="00B8029D" w:rsidRDefault="00746743" w:rsidP="00746743">
      <w:pPr>
        <w:rPr>
          <w:rFonts w:cstheme="minorHAnsi"/>
          <w:b/>
          <w:i/>
          <w:noProof/>
          <w:lang w:eastAsia="en-US"/>
        </w:rPr>
      </w:pPr>
    </w:p>
    <w:p w:rsidR="00746743" w:rsidRPr="00B8029D" w:rsidRDefault="00746743" w:rsidP="00746743">
      <w:pPr>
        <w:pStyle w:val="Olang"/>
      </w:pPr>
      <w:r w:rsidRPr="00B8029D">
        <w:rPr>
          <w:noProof w:val="0"/>
        </w:rPr>
        <w:t xml:space="preserve">Or. </w:t>
      </w:r>
      <w:r w:rsidRPr="00B8029D">
        <w:rPr>
          <w:rStyle w:val="HideTWBExt"/>
        </w:rPr>
        <w:t>&lt;Original&gt;</w:t>
      </w:r>
      <w:r w:rsidRPr="00B8029D">
        <w:rPr>
          <w:rStyle w:val="HideTWBInt"/>
        </w:rPr>
        <w:t>{EN}</w:t>
      </w:r>
      <w:r w:rsidRPr="00B8029D">
        <w:rPr>
          <w:noProof w:val="0"/>
        </w:rPr>
        <w:t>en</w:t>
      </w:r>
      <w:r w:rsidRPr="00B8029D">
        <w:rPr>
          <w:rStyle w:val="HideTWBExt"/>
        </w:rPr>
        <w:t>&lt;/Original&gt;</w:t>
      </w:r>
    </w:p>
    <w:p w:rsidR="00746743" w:rsidRPr="00B8029D" w:rsidRDefault="00746743" w:rsidP="00746743">
      <w:pPr>
        <w:pStyle w:val="Normal12Italic"/>
        <w:jc w:val="center"/>
      </w:pPr>
      <w:r w:rsidRPr="00B8029D">
        <w:t>(32023R2124)</w:t>
      </w:r>
    </w:p>
    <w:p w:rsidR="00746743" w:rsidRPr="00B8029D" w:rsidRDefault="00746743" w:rsidP="00746743">
      <w:pPr>
        <w:pStyle w:val="Normal12Italic"/>
        <w:jc w:val="center"/>
        <w:rPr>
          <w:noProof w:val="0"/>
        </w:rPr>
      </w:pPr>
      <w:r w:rsidRPr="00B8029D">
        <w:t>GFCM/47/2024/5</w:t>
      </w:r>
    </w:p>
    <w:p w:rsidR="00746743" w:rsidRPr="00B8029D" w:rsidRDefault="00746743" w:rsidP="00746743">
      <w:r w:rsidRPr="00B8029D">
        <w:rPr>
          <w:rStyle w:val="HideTWBExt"/>
        </w:rPr>
        <w:t>&lt;/Amend&gt;</w:t>
      </w:r>
    </w:p>
    <w:p w:rsidR="00746743" w:rsidRPr="00B8029D" w:rsidRDefault="00746743" w:rsidP="00746743">
      <w:pPr>
        <w:pStyle w:val="AmNumberTabs"/>
        <w:keepNext/>
      </w:pPr>
      <w:r w:rsidRPr="00B8029D">
        <w:rPr>
          <w:rStyle w:val="HideTWBExt"/>
          <w:b w:val="0"/>
        </w:rPr>
        <w:t>&lt;Amend&gt;</w:t>
      </w:r>
      <w:r w:rsidRPr="00B8029D">
        <w:t>Amendement</w:t>
      </w:r>
      <w:r w:rsidRPr="00B8029D">
        <w:tab/>
      </w:r>
      <w:r w:rsidRPr="00B8029D">
        <w:tab/>
      </w:r>
      <w:r w:rsidRPr="00B8029D">
        <w:rPr>
          <w:rStyle w:val="HideTWBExt"/>
          <w:b w:val="0"/>
        </w:rPr>
        <w:t>&lt;NumAm&gt;</w:t>
      </w:r>
      <w:r w:rsidRPr="00B8029D">
        <w:t>244</w:t>
      </w:r>
      <w:r w:rsidRPr="00B8029D">
        <w:rPr>
          <w:rStyle w:val="HideTWBExt"/>
          <w:b w:val="0"/>
        </w:rPr>
        <w:t>&lt;/NumAm&gt;</w:t>
      </w:r>
    </w:p>
    <w:p w:rsidR="00746743" w:rsidRPr="00B8029D" w:rsidRDefault="00746743" w:rsidP="00746743">
      <w:pPr>
        <w:pStyle w:val="NormalBold"/>
      </w:pPr>
      <w:r w:rsidRPr="00B8029D">
        <w:rPr>
          <w:rStyle w:val="HideTWBExt"/>
          <w:b w:val="0"/>
        </w:rPr>
        <w:t>&lt;RepeatBlock-By&gt;&lt;Members&gt;</w:t>
      </w:r>
      <w:r w:rsidRPr="00B8029D">
        <w:t>Thomas Bajada</w:t>
      </w:r>
      <w:r w:rsidRPr="00B8029D">
        <w:rPr>
          <w:rStyle w:val="HideTWBExt"/>
          <w:b w:val="0"/>
        </w:rPr>
        <w:t>&lt;/Members&gt;</w:t>
      </w:r>
    </w:p>
    <w:p w:rsidR="00746743" w:rsidRPr="00B8029D" w:rsidRDefault="00746743" w:rsidP="00746743">
      <w:pPr>
        <w:pStyle w:val="NormalBold"/>
      </w:pPr>
      <w:r w:rsidRPr="00B8029D">
        <w:rPr>
          <w:rStyle w:val="HideTWBExt"/>
          <w:b w:val="0"/>
        </w:rPr>
        <w:t>&lt;/RepeatBlock-By&gt;</w:t>
      </w:r>
    </w:p>
    <w:p w:rsidR="00746743" w:rsidRPr="00B8029D" w:rsidRDefault="00746743" w:rsidP="00746743">
      <w:pPr>
        <w:pStyle w:val="NormalBold"/>
      </w:pPr>
      <w:r w:rsidRPr="00B8029D">
        <w:rPr>
          <w:rStyle w:val="HideTWBExt"/>
          <w:b w:val="0"/>
        </w:rPr>
        <w:t>&lt;DocAmend&gt;</w:t>
      </w:r>
      <w:r w:rsidRPr="00B8029D">
        <w:t>Voorstel voor een verordening</w:t>
      </w:r>
      <w:r w:rsidRPr="00B8029D">
        <w:rPr>
          <w:rStyle w:val="HideTWBExt"/>
          <w:b w:val="0"/>
        </w:rPr>
        <w:t>&lt;/DocAmend&gt;</w:t>
      </w:r>
    </w:p>
    <w:p w:rsidR="00746743" w:rsidRPr="00B8029D" w:rsidRDefault="00746743" w:rsidP="00746743">
      <w:pPr>
        <w:pStyle w:val="NormalBold"/>
      </w:pPr>
      <w:r w:rsidRPr="00B8029D">
        <w:rPr>
          <w:rStyle w:val="HideTWBExt"/>
          <w:b w:val="0"/>
        </w:rPr>
        <w:t>&lt;Article&gt;</w:t>
      </w:r>
      <w:r w:rsidRPr="00B8029D">
        <w:t>Bijlage XI – punt 1</w:t>
      </w:r>
      <w:r w:rsidRPr="00B8029D">
        <w:rPr>
          <w:rStyle w:val="HideTWBExt"/>
          <w:b w:val="0"/>
        </w:rPr>
        <w:t>&lt;/Article&gt;</w:t>
      </w:r>
    </w:p>
    <w:p w:rsidR="00746743" w:rsidRPr="00B8029D" w:rsidRDefault="00746743" w:rsidP="00746743">
      <w:pPr>
        <w:keepNext/>
      </w:pPr>
      <w:r w:rsidRPr="00B8029D">
        <w:rPr>
          <w:rStyle w:val="HideTWBExt"/>
        </w:rPr>
        <w:lastRenderedPageBreak/>
        <w:t>&lt;DocAmend2&gt;</w:t>
      </w:r>
      <w:r w:rsidRPr="00B8029D">
        <w:t>Verordening (EU) nr. 2023/2124</w:t>
      </w:r>
      <w:r w:rsidRPr="00B8029D">
        <w:rPr>
          <w:rStyle w:val="HideTWBExt"/>
        </w:rPr>
        <w:t>&lt;/DocAmend2&gt;</w:t>
      </w:r>
    </w:p>
    <w:p w:rsidR="00746743" w:rsidRPr="00B8029D" w:rsidRDefault="00746743" w:rsidP="00746743">
      <w:pPr>
        <w:rPr>
          <w:rStyle w:val="HideTWBExt"/>
        </w:rPr>
      </w:pPr>
      <w:r w:rsidRPr="00B8029D">
        <w:rPr>
          <w:rStyle w:val="HideTWBExt"/>
        </w:rPr>
        <w:t>&lt;Article2&gt;</w:t>
      </w:r>
      <w:r w:rsidRPr="00B8029D">
        <w:t>Bijlage XI</w:t>
      </w:r>
      <w:r w:rsidRPr="00B8029D">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46743" w:rsidRPr="00B8029D" w:rsidTr="00C93613">
        <w:trPr>
          <w:jc w:val="center"/>
        </w:trPr>
        <w:tc>
          <w:tcPr>
            <w:tcW w:w="5387" w:type="dxa"/>
            <w:hideMark/>
          </w:tcPr>
          <w:p w:rsidR="00746743" w:rsidRPr="00B8029D" w:rsidRDefault="00746743" w:rsidP="00C93613">
            <w:pPr>
              <w:pStyle w:val="ColumnHeading"/>
              <w:keepNext/>
            </w:pPr>
            <w:r w:rsidRPr="00B8029D">
              <w:t>Door de Commissie voorgestelde tekst</w:t>
            </w:r>
          </w:p>
        </w:tc>
        <w:tc>
          <w:tcPr>
            <w:tcW w:w="4365" w:type="dxa"/>
            <w:hideMark/>
          </w:tcPr>
          <w:p w:rsidR="00746743" w:rsidRPr="00B8029D" w:rsidRDefault="00746743" w:rsidP="00C93613"/>
        </w:tc>
      </w:tr>
    </w:tbl>
    <w:p w:rsidR="00746743" w:rsidRPr="00B8029D" w:rsidRDefault="00746743" w:rsidP="00746743">
      <w:pPr>
        <w:pStyle w:val="AmOrLang"/>
        <w:jc w:val="left"/>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46743" w:rsidRPr="00B8029D" w:rsidTr="00C93613">
        <w:trPr>
          <w:jc w:val="center"/>
        </w:trPr>
        <w:tc>
          <w:tcPr>
            <w:tcW w:w="5387" w:type="dxa"/>
            <w:hideMark/>
          </w:tcPr>
          <w:p w:rsidR="00746743" w:rsidRPr="00B8029D" w:rsidRDefault="00746743" w:rsidP="00C93613">
            <w:pPr>
              <w:pStyle w:val="Normal6"/>
              <w:jc w:val="center"/>
              <w:rPr>
                <w:i/>
                <w:szCs w:val="24"/>
              </w:rPr>
            </w:pPr>
            <w:r w:rsidRPr="00B8029D">
              <w:rPr>
                <w:i/>
              </w:rPr>
              <w:t>Amendement</w:t>
            </w:r>
          </w:p>
        </w:tc>
        <w:tc>
          <w:tcPr>
            <w:tcW w:w="4365" w:type="dxa"/>
          </w:tcPr>
          <w:p w:rsidR="00746743" w:rsidRPr="00B8029D" w:rsidRDefault="00746743" w:rsidP="00C93613">
            <w:pPr>
              <w:pStyle w:val="TableParagraph"/>
              <w:spacing w:before="154" w:line="252" w:lineRule="exact"/>
              <w:ind w:left="110"/>
              <w:rPr>
                <w:noProof/>
                <w:sz w:val="24"/>
                <w:szCs w:val="24"/>
              </w:rPr>
            </w:pPr>
          </w:p>
        </w:tc>
      </w:tr>
      <w:tr w:rsidR="00746743" w:rsidRPr="00B8029D" w:rsidTr="00C93613">
        <w:trPr>
          <w:jc w:val="center"/>
        </w:trPr>
        <w:tc>
          <w:tcPr>
            <w:tcW w:w="9752" w:type="dxa"/>
            <w:gridSpan w:val="2"/>
            <w:hideMark/>
          </w:tcPr>
          <w:p w:rsidR="00746743" w:rsidRPr="00B8029D" w:rsidRDefault="00746743" w:rsidP="00C93613">
            <w:pPr>
              <w:pStyle w:val="TableParagraph"/>
              <w:spacing w:before="154" w:line="252" w:lineRule="exact"/>
              <w:ind w:left="110"/>
              <w:rPr>
                <w:noProof/>
                <w:sz w:val="24"/>
                <w:szCs w:val="24"/>
              </w:rPr>
            </w:pPr>
            <w:r w:rsidRPr="00B8029D">
              <w:t>Een nieuw deel D bis wordt toegevoegd:</w:t>
            </w:r>
          </w:p>
        </w:tc>
      </w:tr>
    </w:tbl>
    <w:p w:rsidR="00746743" w:rsidRPr="00B8029D" w:rsidRDefault="00746743" w:rsidP="00746743">
      <w:pPr>
        <w:pStyle w:val="AmOrLang"/>
        <w:jc w:val="left"/>
      </w:pPr>
      <w:r w:rsidRPr="00B8029D">
        <w:t>“D bis. Visserijbeperkingen in het Kanaal van Otranto (geografisch deelgebied 18) in de Adriatische Zee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
        <w:gridCol w:w="992"/>
        <w:gridCol w:w="2835"/>
        <w:gridCol w:w="2693"/>
      </w:tblGrid>
      <w:tr w:rsidR="00746743" w:rsidRPr="00B8029D" w:rsidTr="00C93613">
        <w:trPr>
          <w:trHeight w:val="110"/>
          <w:jc w:val="center"/>
        </w:trPr>
        <w:tc>
          <w:tcPr>
            <w:tcW w:w="7616" w:type="dxa"/>
            <w:gridSpan w:val="4"/>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“ZONE A (KERNZONE)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RANGORDE</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ID</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Breedtegraad</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Lengtegraad</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A</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57' 43.84800000"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33' 17.85600000"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2</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B</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58' 28.03368000"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42' 45.85824000"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3</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C</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55' 15.45024000"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46' 23.21868000"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4</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D</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52' 28.76988000"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48' 11.33568000"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5</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D2</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50' 10.64724000"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50' 36.78360000"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6</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E</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46' 36.26328000"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52' 23.60856000"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7</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F</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39' 36.98856000"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57' 26.91756000"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8</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G</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30' 42.01848000"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59' 22.69464000"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9</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H</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21' 40.96800000"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019° 04' 21.28800000"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10</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I</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18' 30.42000000"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54' 06.12000000"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11</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P</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18' 09.88610400"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44' 56.45333400"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12</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O</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21' 35.41141080"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42' 55.44978840"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13</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33' 48.79144800"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41' 47.41117440"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14</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M</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42' 56.59378560"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37' 57.75797640"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15</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L</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48' 08.42628600"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30' 02.37403440"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16</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K</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50' 53.47825080"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21' 48.06343080" E</w:t>
            </w:r>
          </w:p>
        </w:tc>
      </w:tr>
      <w:tr w:rsidR="00746743" w:rsidRPr="00B8029D" w:rsidTr="00C9361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17</w:t>
            </w:r>
          </w:p>
        </w:tc>
        <w:tc>
          <w:tcPr>
            <w:tcW w:w="992"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J</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52' 12.60584760" N</w:t>
            </w:r>
          </w:p>
        </w:tc>
        <w:tc>
          <w:tcPr>
            <w:tcW w:w="2693"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19' 11.93260080" E</w:t>
            </w:r>
          </w:p>
        </w:tc>
      </w:tr>
    </w:tbl>
    <w:p w:rsidR="00746743" w:rsidRPr="00B8029D" w:rsidRDefault="00746743" w:rsidP="00746743">
      <w:pPr>
        <w:pStyle w:val="AmOrLang"/>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2835"/>
        <w:gridCol w:w="2835"/>
      </w:tblGrid>
      <w:tr w:rsidR="00746743" w:rsidRPr="00B8029D" w:rsidTr="00C93613">
        <w:trPr>
          <w:trHeight w:val="110"/>
          <w:jc w:val="center"/>
        </w:trPr>
        <w:tc>
          <w:tcPr>
            <w:tcW w:w="7650" w:type="dxa"/>
            <w:gridSpan w:val="4"/>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ZONE B (BUFFERZONE)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RANGORDE</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ID</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Breedtegraad</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Lengtegraad</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Q</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59' 23.96400000"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32' 23.78400000"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2</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R</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52' 28.12800000"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13' 56.20800000"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3</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S</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49' 07.64400000"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20' 31.88400000"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4</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T</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46' 24.38400000"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28' 43.32000000"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5</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U</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41' 39.37200000"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35' 56.79600000"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6</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V</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33' 24.44400000"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39' 13.14000000"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7</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W</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21' 05.61600000"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40' 20.71200000"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8</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X</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16' 05.62800000"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43' 17.50800000"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lastRenderedPageBreak/>
              <w:t>9</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Y</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16' 31.94400000"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54' 19.65600000"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10</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Z</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20' 34.40400000"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019° 06' 31.70916000"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11</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AA</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30' 59.31612000"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019° 00' 54.54936000"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12</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AB</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40' 45.02136000"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58' 40.49868000"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13</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AC</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45' 45.86436000"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54' 12.23640000"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14</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AD</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47' 56.52672000"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53' 17.58480000"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15</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AD2</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49' 19.90344000"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51' 20.36196000"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16</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AF</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40° 53' 15.18144000"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48' 36.66528000" E</w:t>
            </w:r>
          </w:p>
        </w:tc>
      </w:tr>
      <w:tr w:rsidR="00746743" w:rsidRPr="00B8029D" w:rsidTr="00C9361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b/>
              </w:rPr>
              <w:t>17</w:t>
            </w:r>
          </w:p>
        </w:tc>
        <w:tc>
          <w:tcPr>
            <w:tcW w:w="851"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AE</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41° 00' 17.90856000" N</w:t>
            </w:r>
          </w:p>
        </w:tc>
        <w:tc>
          <w:tcPr>
            <w:tcW w:w="2835" w:type="dxa"/>
            <w:tcBorders>
              <w:top w:val="single" w:sz="4" w:space="0" w:color="auto"/>
              <w:left w:val="single" w:sz="4" w:space="0" w:color="auto"/>
              <w:bottom w:val="single" w:sz="4" w:space="0" w:color="auto"/>
              <w:right w:val="single" w:sz="4" w:space="0" w:color="auto"/>
            </w:tcBorders>
            <w:hideMark/>
          </w:tcPr>
          <w:p w:rsidR="00746743" w:rsidRPr="00B8029D" w:rsidRDefault="00746743" w:rsidP="00C93613">
            <w:pPr>
              <w:pStyle w:val="Default"/>
              <w:jc w:val="center"/>
              <w:rPr>
                <w:rFonts w:ascii="Times New Roman" w:hAnsi="Times New Roman" w:cs="Times New Roman"/>
              </w:rPr>
            </w:pPr>
            <w:r w:rsidRPr="00B8029D">
              <w:rPr>
                <w:rFonts w:ascii="Times New Roman" w:hAnsi="Times New Roman"/>
              </w:rPr>
              <w:t>018° 44' 47.24772000" E</w:t>
            </w:r>
          </w:p>
        </w:tc>
      </w:tr>
    </w:tbl>
    <w:p w:rsidR="00746743" w:rsidRPr="00B8029D" w:rsidRDefault="00746743" w:rsidP="00746743">
      <w:pPr>
        <w:pStyle w:val="AmOrLang"/>
      </w:pPr>
      <w:r w:rsidRPr="00B8029D">
        <w:t xml:space="preserve">Or. </w:t>
      </w:r>
      <w:r w:rsidRPr="00B8029D">
        <w:rPr>
          <w:rStyle w:val="HideTWBExt"/>
          <w:rFonts w:eastAsiaTheme="majorEastAsia"/>
        </w:rPr>
        <w:t>&lt;Original&gt;</w:t>
      </w:r>
      <w:r w:rsidRPr="00B8029D">
        <w:rPr>
          <w:rStyle w:val="HideTWBInt"/>
        </w:rPr>
        <w:t>{EN}</w:t>
      </w:r>
      <w:r w:rsidRPr="00B8029D">
        <w:t>en</w:t>
      </w:r>
      <w:r w:rsidRPr="00B8029D">
        <w:rPr>
          <w:rStyle w:val="HideTWBExt"/>
          <w:rFonts w:eastAsiaTheme="majorEastAsia"/>
        </w:rPr>
        <w:t>&lt;/Original&gt;</w:t>
      </w:r>
    </w:p>
    <w:p w:rsidR="00746743" w:rsidRPr="00B8029D" w:rsidRDefault="00746743" w:rsidP="00746743">
      <w:pPr>
        <w:pStyle w:val="Normal12Italic"/>
        <w:jc w:val="center"/>
      </w:pPr>
      <w:r w:rsidRPr="00B8029D">
        <w:t>(32023R2124)</w:t>
      </w:r>
    </w:p>
    <w:p w:rsidR="00746743" w:rsidRPr="00B8029D" w:rsidRDefault="00746743" w:rsidP="00746743">
      <w:pPr>
        <w:pStyle w:val="Normal12Italic"/>
        <w:jc w:val="center"/>
        <w:rPr>
          <w:noProof w:val="0"/>
        </w:rPr>
      </w:pPr>
      <w:r w:rsidRPr="00B8029D">
        <w:t>GFCM/47/2024/5</w:t>
      </w:r>
    </w:p>
    <w:p w:rsidR="00746743" w:rsidRPr="00B8029D" w:rsidRDefault="00746743" w:rsidP="00746743">
      <w:pPr>
        <w:pStyle w:val="AmCrossRef"/>
      </w:pPr>
    </w:p>
    <w:p w:rsidR="00746743" w:rsidRPr="00B8029D" w:rsidRDefault="00746743" w:rsidP="00746743">
      <w:r w:rsidRPr="00B8029D">
        <w:rPr>
          <w:rStyle w:val="HideTWBExt"/>
        </w:rPr>
        <w:t>&lt;/Amend&gt;&lt;/RepeatBlock-Amend&gt;</w:t>
      </w:r>
    </w:p>
    <w:p w:rsidR="00FA192C" w:rsidRPr="00B8029D" w:rsidRDefault="00FA192C" w:rsidP="00746743"/>
    <w:sectPr w:rsidR="00FA192C" w:rsidRPr="00B8029D" w:rsidSect="0074674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AC8" w:rsidRPr="00B8029D" w:rsidRDefault="00D66AC8">
      <w:r w:rsidRPr="00B8029D">
        <w:separator/>
      </w:r>
    </w:p>
  </w:endnote>
  <w:endnote w:type="continuationSeparator" w:id="0">
    <w:p w:rsidR="00D66AC8" w:rsidRPr="00B8029D" w:rsidRDefault="00D66AC8">
      <w:r w:rsidRPr="00B802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743" w:rsidRPr="00B8029D" w:rsidRDefault="00746743" w:rsidP="00746743">
    <w:pPr>
      <w:pStyle w:val="EPFooter"/>
    </w:pPr>
    <w:r w:rsidRPr="00B8029D">
      <w:t>PE</w:t>
    </w:r>
    <w:r w:rsidRPr="00B8029D">
      <w:rPr>
        <w:rStyle w:val="HideTWBExt"/>
      </w:rPr>
      <w:t>&lt;NoPE&gt;</w:t>
    </w:r>
    <w:r w:rsidRPr="00B8029D">
      <w:t>771.930</w:t>
    </w:r>
    <w:r w:rsidRPr="00B8029D">
      <w:rPr>
        <w:rStyle w:val="HideTWBExt"/>
      </w:rPr>
      <w:t>&lt;/NoPE&gt;&lt;Version&gt;</w:t>
    </w:r>
    <w:r w:rsidRPr="00B8029D">
      <w:t>v02-00</w:t>
    </w:r>
    <w:r w:rsidRPr="00B8029D">
      <w:rPr>
        <w:rStyle w:val="HideTWBExt"/>
      </w:rPr>
      <w:t>&lt;/Version&gt;</w:t>
    </w:r>
    <w:r w:rsidRPr="00B8029D">
      <w:tab/>
    </w:r>
    <w:r w:rsidRPr="00B8029D">
      <w:fldChar w:fldCharType="begin"/>
    </w:r>
    <w:r w:rsidRPr="00B8029D">
      <w:instrText xml:space="preserve"> PAGE  \* MERGEFORMAT </w:instrText>
    </w:r>
    <w:r w:rsidRPr="00B8029D">
      <w:fldChar w:fldCharType="separate"/>
    </w:r>
    <w:r w:rsidR="0011767B">
      <w:rPr>
        <w:noProof/>
      </w:rPr>
      <w:t>100</w:t>
    </w:r>
    <w:r w:rsidRPr="00B8029D">
      <w:fldChar w:fldCharType="end"/>
    </w:r>
    <w:r w:rsidRPr="00B8029D">
      <w:t>/</w:t>
    </w:r>
    <w:fldSimple w:instr=" NUMPAGES  \* MERGEFORMAT ">
      <w:r w:rsidR="0011767B">
        <w:rPr>
          <w:noProof/>
        </w:rPr>
        <w:t>102</w:t>
      </w:r>
    </w:fldSimple>
    <w:r w:rsidRPr="00B8029D">
      <w:tab/>
    </w:r>
    <w:r w:rsidRPr="00B8029D">
      <w:rPr>
        <w:rStyle w:val="HideTWBExt"/>
      </w:rPr>
      <w:t>&lt;PathFdR&gt;</w:t>
    </w:r>
    <w:r w:rsidRPr="00B8029D">
      <w:t>AM\1319572NL.docx</w:t>
    </w:r>
    <w:r w:rsidRPr="00B8029D">
      <w:rPr>
        <w:rStyle w:val="HideTWBExt"/>
      </w:rPr>
      <w:t>&lt;/PathFdR&gt;</w:t>
    </w:r>
  </w:p>
  <w:p w:rsidR="00D66AC8" w:rsidRPr="00B8029D" w:rsidRDefault="00746743" w:rsidP="00746743">
    <w:pPr>
      <w:pStyle w:val="EPFooter2"/>
    </w:pPr>
    <w:r w:rsidRPr="00B8029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743" w:rsidRPr="00B8029D" w:rsidRDefault="00746743" w:rsidP="00746743">
    <w:pPr>
      <w:pStyle w:val="EPFooter"/>
    </w:pPr>
    <w:r w:rsidRPr="00B8029D">
      <w:rPr>
        <w:rStyle w:val="HideTWBExt"/>
      </w:rPr>
      <w:t>&lt;PathFdR&gt;</w:t>
    </w:r>
    <w:r w:rsidRPr="00B8029D">
      <w:t>AM\1319572NL.docx</w:t>
    </w:r>
    <w:r w:rsidRPr="00B8029D">
      <w:rPr>
        <w:rStyle w:val="HideTWBExt"/>
      </w:rPr>
      <w:t>&lt;/PathFdR&gt;</w:t>
    </w:r>
    <w:r w:rsidRPr="00B8029D">
      <w:tab/>
    </w:r>
    <w:r w:rsidRPr="00B8029D">
      <w:fldChar w:fldCharType="begin"/>
    </w:r>
    <w:r w:rsidRPr="00B8029D">
      <w:instrText xml:space="preserve"> PAGE  \* MERGEFORMAT </w:instrText>
    </w:r>
    <w:r w:rsidRPr="00B8029D">
      <w:fldChar w:fldCharType="separate"/>
    </w:r>
    <w:r w:rsidR="0011767B">
      <w:rPr>
        <w:noProof/>
      </w:rPr>
      <w:t>101</w:t>
    </w:r>
    <w:r w:rsidRPr="00B8029D">
      <w:fldChar w:fldCharType="end"/>
    </w:r>
    <w:r w:rsidRPr="00B8029D">
      <w:t>/</w:t>
    </w:r>
    <w:fldSimple w:instr=" NUMPAGES  \* MERGEFORMAT ">
      <w:r w:rsidR="0011767B">
        <w:rPr>
          <w:noProof/>
        </w:rPr>
        <w:t>102</w:t>
      </w:r>
    </w:fldSimple>
    <w:r w:rsidRPr="00B8029D">
      <w:tab/>
      <w:t>PE</w:t>
    </w:r>
    <w:r w:rsidRPr="00B8029D">
      <w:rPr>
        <w:rStyle w:val="HideTWBExt"/>
      </w:rPr>
      <w:t>&lt;NoPE&gt;</w:t>
    </w:r>
    <w:r w:rsidRPr="00B8029D">
      <w:t>771.930</w:t>
    </w:r>
    <w:r w:rsidRPr="00B8029D">
      <w:rPr>
        <w:rStyle w:val="HideTWBExt"/>
      </w:rPr>
      <w:t>&lt;/NoPE&gt;&lt;Version&gt;</w:t>
    </w:r>
    <w:r w:rsidRPr="00B8029D">
      <w:t>v02-00</w:t>
    </w:r>
    <w:r w:rsidRPr="00B8029D">
      <w:rPr>
        <w:rStyle w:val="HideTWBExt"/>
      </w:rPr>
      <w:t>&lt;/Version&gt;</w:t>
    </w:r>
  </w:p>
  <w:p w:rsidR="00D66AC8" w:rsidRPr="00B8029D" w:rsidRDefault="00746743" w:rsidP="00746743">
    <w:pPr>
      <w:pStyle w:val="EPFooter2"/>
    </w:pPr>
    <w:r w:rsidRPr="00B8029D">
      <w:tab/>
    </w:r>
    <w:r w:rsidRPr="00B8029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743" w:rsidRPr="00B8029D" w:rsidRDefault="00746743" w:rsidP="00746743">
    <w:pPr>
      <w:pStyle w:val="EPFooter"/>
    </w:pPr>
    <w:r w:rsidRPr="00B8029D">
      <w:rPr>
        <w:rStyle w:val="HideTWBExt"/>
      </w:rPr>
      <w:t>&lt;PathFdR&gt;</w:t>
    </w:r>
    <w:r w:rsidRPr="00B8029D">
      <w:t>AM\1319572NL.docx</w:t>
    </w:r>
    <w:r w:rsidRPr="00B8029D">
      <w:rPr>
        <w:rStyle w:val="HideTWBExt"/>
      </w:rPr>
      <w:t>&lt;/PathFdR&gt;</w:t>
    </w:r>
    <w:r w:rsidRPr="00B8029D">
      <w:tab/>
    </w:r>
    <w:r w:rsidRPr="00B8029D">
      <w:tab/>
      <w:t>PE</w:t>
    </w:r>
    <w:r w:rsidRPr="00B8029D">
      <w:rPr>
        <w:rStyle w:val="HideTWBExt"/>
      </w:rPr>
      <w:t>&lt;NoPE&gt;</w:t>
    </w:r>
    <w:r w:rsidRPr="00B8029D">
      <w:t>771.930</w:t>
    </w:r>
    <w:r w:rsidRPr="00B8029D">
      <w:rPr>
        <w:rStyle w:val="HideTWBExt"/>
      </w:rPr>
      <w:t>&lt;/NoPE&gt;&lt;Version&gt;</w:t>
    </w:r>
    <w:r w:rsidRPr="00B8029D">
      <w:t>v02-00</w:t>
    </w:r>
    <w:r w:rsidRPr="00B8029D">
      <w:rPr>
        <w:rStyle w:val="HideTWBExt"/>
      </w:rPr>
      <w:t>&lt;/Version&gt;</w:t>
    </w:r>
  </w:p>
  <w:p w:rsidR="00D66AC8" w:rsidRPr="00B8029D" w:rsidRDefault="00746743" w:rsidP="00746743">
    <w:pPr>
      <w:pStyle w:val="EPFooter2"/>
    </w:pPr>
    <w:r w:rsidRPr="00B8029D">
      <w:t>NL</w:t>
    </w:r>
    <w:r w:rsidRPr="00B8029D">
      <w:tab/>
    </w:r>
    <w:r w:rsidRPr="00B8029D">
      <w:rPr>
        <w:b w:val="0"/>
        <w:i/>
        <w:color w:val="C0C0C0"/>
        <w:sz w:val="22"/>
      </w:rPr>
      <w:t>In verscheidenheid verenigd</w:t>
    </w:r>
    <w:r w:rsidRPr="00B8029D">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AC8" w:rsidRPr="00B8029D" w:rsidRDefault="00D66AC8">
      <w:r w:rsidRPr="00B8029D">
        <w:separator/>
      </w:r>
    </w:p>
  </w:footnote>
  <w:footnote w:type="continuationSeparator" w:id="0">
    <w:p w:rsidR="00D66AC8" w:rsidRPr="00B8029D" w:rsidRDefault="00D66AC8">
      <w:r w:rsidRPr="00B8029D">
        <w:continuationSeparator/>
      </w:r>
    </w:p>
  </w:footnote>
  <w:footnote w:id="1">
    <w:p w:rsidR="00746743" w:rsidRPr="00B8029D" w:rsidRDefault="00746743" w:rsidP="00746743">
      <w:pPr>
        <w:pStyle w:val="FootnoteText"/>
      </w:pPr>
      <w:r w:rsidRPr="00B8029D">
        <w:rPr>
          <w:rStyle w:val="FootnoteReference"/>
        </w:rPr>
        <w:footnoteRef/>
      </w:r>
      <w:r w:rsidRPr="00B8029D">
        <w:tab/>
        <w:t>Verordening (EG) nr. 1005/2008 van de Raad van 29 september 2008 houdende de totstandbrenging van een communautair systeem om illegale, ongemelde en ongereglementeerde visserij te voorkomen, tegen te gaan en te beëindigen, tot wijziging van Verordeningen (EEG) nr. 2847/93, (EG) nr. 1936/2001 en (EG) nr. 601/2004 en tot intrekking van Verordeningen (EG) nr. 1093</w:t>
      </w:r>
      <w:r w:rsidRPr="00B8029D">
        <w:t xml:space="preserve">/94 en (EG) nr. 1447/1999 (PB L </w:t>
      </w:r>
      <w:r w:rsidRPr="00B8029D">
        <w:t>286 van 29.10.2008, blz. 1), ELI: http://data.e</w:t>
      </w:r>
      <w:r w:rsidRPr="00B8029D">
        <w:t>uropa.eu/eli/reg/2008/1005/oj.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7B" w:rsidRDefault="00117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7B" w:rsidRDefault="00117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7B" w:rsidRDefault="001176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PECH"/>
    <w:docVar w:name="CVA" w:val="244"/>
    <w:docVar w:name="DOCCODMNU" w:val=" 1"/>
    <w:docVar w:name="DOCDT" w:val="09/04/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4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63731 HideTWBInt;}}{\*\rsidtbl \rsid24658\rsid223860\rsid735077\rsid1718133\rsid2892074\rsid3554127_x000d__x000a_\rsid3565327\rsid4666813\rsid6641733\rsid7823322\rsid9636012\rsid9663731\rsid10377208\rsid11215221\rsid11549030\rsid12154954\rsid14382809\rsid14424199\rsid15204470\rsid15285974\rsid15950462\rsid16324206\rsid16662270}{\mmathPr\mmathFont34\mbrkBin0_x000d__x000a_\mbrkBinSub0\msmallFrac0\mdispDef1\mlMargin0\mrMargin0\mdefJc1\mwrapIndent1440\mintLim0\mnaryLim1}{\info{\author NENICKOVA Sylvia}{\operator NENICKOVA Sylvia}{\creatim\yr2025\mo4\dy8\hr19}{\revtim\yr2025\mo4\dy8\hr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63731\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3554127 \chftnsep _x000d__x000a_\par }}{\*\ftnsepc \ltrpar \pard\plain \ltrpar\ql \li0\ri0\widctlpar\wrapdefault\aspalpha\aspnum\faauto\adjustright\rin0\lin0\itap0 \rtlch\fcs1 \af0\afs20\alang1025 \ltrch\fcs0 \fs24\lang2057\langfe2057\cgrid\langnp2057\langfenp2057 {\rtlch\fcs1 \af0 _x000d__x000a_\ltrch\fcs0 \insrsid3554127 \chftnsepc _x000d__x000a_\par }}{\*\aftnsep \ltrpar \pard\plain \ltrpar\ql \li0\ri0\widctlpar\wrapdefault\aspalpha\aspnum\faauto\adjustright\rin0\lin0\itap0 \rtlch\fcs1 \af0\afs20\alang1025 \ltrch\fcs0 \fs24\lang2057\langfe2057\cgrid\langnp2057\langfenp2057 {\rtlch\fcs1 \af0 _x000d__x000a_\ltrch\fcs0 \insrsid3554127 \chftnsep _x000d__x000a_\par }}{\*\aftnsepc \ltrpar \pard\plain \ltrpar\ql \li0\ri0\widctlpar\wrapdefault\aspalpha\aspnum\faauto\adjustright\rin0\lin0\itap0 \rtlch\fcs1 \af0\afs20\alang1025 \ltrch\fcs0 \fs24\lang2057\langfe2057\cgrid\langnp2057\langfenp2057 {\rtlch\fcs1 \af0 _x000d__x000a_\ltrch\fcs0 \insrsid3554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663731\charrsid11683480 {\*\bkmkstart ReplaceBookmark}#}{\rtlch\fcs1 \af1 \ltrch\fcs0 _x000d__x000a_\cs17\v\f1\fs20\cf15\insrsid9663731\charrsid11683480 &gt;&gt;&gt;CVAR@@AmendA}{\rtlch\fcs1 \af0 \ltrch\fcs0 \insrsid9663731\charrsid1168348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b_x000d__x000a_6d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35556 HideTWBExt;}{\*\cs18 \additive \v\f1\fs20\cf15 _x000d__x000a_\spriority0 \styrsid13435556 HideTWBInt;}{\s19\ql \li0\ri0\sa120\nowidctlpar\wrapdefault\aspalpha\aspnum\faauto\adjustright\rin0\lin0\itap0 \rtlch\fcs1 \af0\afs20\alang1025 \ltrch\fcs0 \fs24\lang2057\langfe2057\cgrid\langnp2057\langfenp2057 _x000d__x000a_\sbasedon0 \snext19 \spriority0 \styrsid13435556 Normal6a;}{\s20\ql \li0\ri0\nowidctlpar\wrapdefault\aspalpha\aspnum\faauto\adjustright\rin0\lin0\itap0 \rtlch\fcs1 \af0\afs20\alang1025 \ltrch\fcs0 \b\fs24\lang2057\langfe2057\cgrid\langnp2057\langfenp2057 _x000d__x000a_\sbasedon0 \snext20 \spriority0 \styrsid13435556 NormalBold;}{\s21\qr \li0\ri0\sb240\sa240\nowidctlpar\wrapdefault\aspalpha\aspnum\faauto\adjustright\rin0\lin0\itap0 \rtlch\fcs1 \af0\afs20\alang1025 \ltrch\fcs0 _x000d__x000a_\fs24\lang2057\langfe2057\cgrid\langnp2057\langfenp2057 \sbasedon0 \snext21 \spriority0 \styrsid13435556 AmOrLang;}{\s22\qc \li0\ri0\sa240\nowidctlpar\wrapdefault\aspalpha\aspnum\faauto\adjustright\rin0\lin0\itap0 \rtlch\fcs1 \af0\afs20\alang1025 _x000d__x000a_\ltrch\fcs0 \i\fs24\lang2057\langfe2057\cgrid\langnp2057\langfenp2057 \sbasedon0 \snext22 \spriority0 \styrsid134355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435556 AmNumberTabs;}}{\*\rsidtbl \rsid24658\rsid223860\rsid735077\rsid1718133\rsid2892074\rsid3565327\rsid4666813\rsid6641733\rsid7823322_x000d__x000a_\rsid9469515\rsid9636012\rsid10377208\rsid11215221\rsid11549030\rsid12154954\rsid13435556\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35556\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9469515 \chftnsep _x000d__x000a_\par }}{\*\ftnsepc \ltrpar \pard\plain \ltrpar\ql \li0\ri0\widctlpar\wrapdefault\aspalpha\aspnum\faauto\adjustright\rin0\lin0\itap0 \rtlch\fcs1 \af0\afs20\alang1025 \ltrch\fcs0 \fs24\lang2057\langfe2057\cgrid\langnp2057\langfenp2057 {\rtlch\fcs1 \af0 _x000d__x000a_\ltrch\fcs0 \insrsid9469515 \chftnsepc _x000d__x000a_\par }}{\*\aftnsep \ltrpar \pard\plain \ltrpar\ql \li0\ri0\widctlpar\wrapdefault\aspalpha\aspnum\faauto\adjustright\rin0\lin0\itap0 \rtlch\fcs1 \af0\afs20\alang1025 \ltrch\fcs0 \fs24\lang2057\langfe2057\cgrid\langnp2057\langfenp2057 {\rtlch\fcs1 \af0 _x000d__x000a_\ltrch\fcs0 \insrsid9469515 \chftnsep _x000d__x000a_\par }}{\*\aftnsepc \ltrpar \pard\plain \ltrpar\ql \li0\ri0\widctlpar\wrapdefault\aspalpha\aspnum\faauto\adjustright\rin0\lin0\itap0 \rtlch\fcs1 \af0\afs20\alang1025 \ltrch\fcs0 \fs24\lang2057\langfe2057\cgrid\langnp2057\langfenp2057 {\rtlch\fcs1 \af0 _x000d__x000a_\ltrch\fcs0 \insrsid9469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435556 \rtlch\fcs1 _x000d__x000a_\af0\afs20\alang1025 \ltrch\fcs0 \b\fs24\lang2057\langfe2057\cgrid\langnp2057\langfenp2057 {\rtlch\fcs1 \af0 \ltrch\fcs0 \cs17\b0\v\fs20\cf9\lang1024\langfe1024\loch\af1\hich\af1\dbch\af31501\noproof\insrsid13435556\charrsid11683480 {\*\bkmkstart restartA_x000d__x000a_}\hich\af1\dbch\af31501\loch\f1 &lt;AmendA&gt;}{\rtlch\fcs1 \af0 \ltrch\fcs0 \insrsid13435556\charrsid11683480 Amendment\tab \tab }{\rtlch\fcs1 \af0 \ltrch\fcs0 _x000d__x000a_\cs17\b0\v\fs20\cf9\lang1024\langfe1024\loch\af1\hich\af1\dbch\af31501\noproof\insrsid13435556\charrsid11683480 \hich\af1\dbch\af31501\loch\f1 &lt;NumAmA&gt;}{\rtlch\fcs1 \af0 \ltrch\fcs0 \insrsid13435556\charrsid11683480 #}{\rtlch\fcs1 \af1 \ltrch\fcs0 _x000d__x000a_\cs18\v\f1\fs20\cf15\insrsid13435556\charrsid11683480 ENMIENDA@NRAM@}{\rtlch\fcs1 \af0 \ltrch\fcs0 \insrsid13435556\charrsid11683480 #}{\rtlch\fcs1 \af0 \ltrch\fcs0 _x000d__x000a_\cs17\b0\v\fs20\cf9\lang1024\langfe1024\loch\af1\hich\af1\dbch\af31501\noproof\insrsid13435556\charrsid11683480 \hich\af1\dbch\af31501\loch\f1 &lt;/NumAmA&gt;}{\rtlch\fcs1 \af0 \ltrch\fcs0 \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RepeatBlock-By&gt;}{\rtlch\fcs1 \af0 \ltrch\fcs0 \insrsid13435556\charrsid11683480 #}{\rtlch\fcs1 _x000d__x000a_\af1 \ltrch\fcs0 \cs18\v\f1\fs20\cf15\insrsid13435556\charrsid11683480 (MOD@InsideLoop()}{\rtlch\fcs1 \af0 \ltrch\fcs0 \insrsid13435556\charrsid11683480 ##}{\rtlch\fcs1 \af1 \ltrch\fcs0 \cs18\v\f1\fs20\cf15\insrsid13435556\charrsid11683480 _x000d__x000a_&gt;&gt;&gt;@[ZMEMBERSMSG]@}{\rtlch\fcs1 \af0 \ltrch\fcs0 \insrsid13435556\charrsid11683480 #}{\rtlch\fcs1 \af0 \ltrch\fcs0 \cs17\b0\v\fs20\cf9\lang1024\langfe1024\loch\af1\hich\af1\dbch\af31501\noproof\insrsid13435556\charrsid11683480 _x000d__x000a_\hich\af1\dbch\af31501\loch\f1 &lt;Members&gt;}{\rtlch\fcs1 \af0 \ltrch\fcs0 \insrsid13435556\charrsid11683480 #}{\rtlch\fcs1 \af1 \ltrch\fcs0 \cs18\v\f1\fs20\cf15\insrsid13435556\charrsid11683480 (MOD@InsideLoop(\'a7)}{\rtlch\fcs1 \af0 \ltrch\fcs0 _x000d__x000a_\insrsid13435556\charrsid11683480 #}{\rtlch\fcs1 \af0 \ltrch\fcs0 \cf10\insrsid13435556\charrsid11683480 \u9668\'3f}{\rtlch\fcs1 \af0 \ltrch\fcs0 \insrsid13435556\charrsid11683480 #}{\rtlch\fcs1 \af1 \ltrch\fcs0 _x000d__x000a_\cs18\v\f1\fs20\cf15\insrsid13435556\charrsid11683480 TVTMEMBERS\'a7@MEMBERS@}{\rtlch\fcs1 \af0 \ltrch\fcs0 \insrsid13435556\charrsid11683480 #}{\rtlch\fcs1 \af0 \ltrch\fcs0 \cf10\insrsid13435556\charrsid11683480 \u9658\'3f}{\rtlch\fcs1 \af0 \ltrch\fcs0 _x000d__x000a_\cs17\b0\v\fs20\cf9\lang1024\langfe1024\loch\af1\hich\af1\dbch\af31501\noproof\insrsid13435556\charrsid11683480 \hich\af1\dbch\af31501\loch\f1 &lt;/Members&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uNomDe&gt;&lt;OptDel&gt;}{\rtlch\fcs1 \af0 \ltrch\fcs0 \insrsid13435556\charrsid11683480 #}{\rtlch\fcs1 \af1 \ltrch\fcs0 _x000d__x000a_\cs18\v\f1\fs20\cf15\insrsid13435556\charrsid11683480 MNU[ONBEHALFYES][NOTAPP]@CHOICE@}{\rtlch\fcs1 \af0 \ltrch\fcs0 \insrsid13435556\charrsid11683480 #}{\rtlch\fcs1 \af0 \ltrch\fcs0 _x000d__x000a_\cs17\v\fs20\cf9\lang1024\langfe1024\loch\af1\hich\af1\dbch\af31501\noproof\insrsid13435556\charrsid11683480 \hich\af1\dbch\af31501\loch\f1 &lt;/OptDel&gt;&lt;/AuNomDe&gt;}{\rtlch\fcs1 \af0 \ltrch\fcs0 \insrsid13435556\charrsid11683480 _x000d__x000a_\par &lt;&lt;&lt;}{\rtlch\fcs1 \af0 \ltrch\fcs0 \cs17\v\fs20\cf9\lang1024\langfe1024\loch\af1\hich\af1\dbch\af31501\noproof\insrsid13435556\charrsid11683480 \hich\af1\dbch\af31501\loch\f1 &lt;/RepeatBlock-By&gt;}{\rtlch\fcs1 \af0 \ltrch\fcs0 _x000d__x000a_\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DocAmend&gt;}{\rtlch\fcs1 \af0 \ltrch\fcs0 \insrsid13435556\charrsid11683480 _x000d__x000a_Draft legislative resolution}{\rtlch\fcs1 \af0 \ltrch\fcs0 \cs17\b0\v\fs20\cf9\lang1024\langfe1024\loch\af1\hich\af1\dbch\af31501\noproof\insrsid13435556\charrsid11683480 \hich\af1\dbch\af31501\loch\f1 &lt;/DocAmend&gt;}{\rtlch\fcs1 \af0 \ltrch\fcs0 _x000d__x000a_\insrsid13435556\charrsid11683480 _x000d__x000a_\par }{\rtlch\fcs1 \af0 \ltrch\fcs0 \cs17\b0\v\fs20\cf9\lang1024\langfe1024\loch\af1\hich\af1\dbch\af31501\noproof\insrsid13435556\charrsid11683480 \hich\af1\dbch\af31501\loch\f1 &lt;Article&gt;}{\rtlch\fcs1 \af0 \ltrch\fcs0 \cf10\insrsid13435556\charrsid11683480 _x000d__x000a_\u9668\'3f}{\rtlch\fcs1 \af0 \ltrch\fcs0 \insrsid13435556\charrsid11683480 #}{\rtlch\fcs1 \af1 \ltrch\fcs0 \cs18\v\f1\fs20\cf15\insrsid13435556\charrsid11683480 TVTRESPART@RESPART@}{\rtlch\fcs1 \af0 \ltrch\fcs0 \insrsid13435556\charrsid11683480 #}{_x000d__x000a_\rtlch\fcs1 \af0 \ltrch\fcs0 \cf10\insrsid13435556\charrsid11683480 \u9658\'3f}{\rtlch\fcs1 \af0 \ltrch\fcs0 \cs17\b0\v\fs20\cf9\lang1024\langfe1024\loch\af1\hich\af1\dbch\af31501\noproof\insrsid13435556\charrsid11683480 \hich\af1\dbch\af31501\loch\f1 _x000d__x000a_&lt;/Article&gt;}{\rtlch\fcs1 \af0 \ltrch\fcs0 \insrsid13435556\charrsid1168348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435556\charrsid11683480 Draft legislative resolution\cell Amendment\cell }\pard\plain \ltrpar\ql \li0\ri0\widctlpar\intbl\wrapdefault\aspalpha\aspnum\faauto\adjustright\rin0\lin0 \rtlch\fcs1 \af0\afs20\alang1025 _x000d__x000a_\ltrch\fcs0 \fs24\lang2057\langfe2057\cgrid\langnp2057\langfenp2057 {\rtlch\fcs1 \af0 \ltrch\fcs0 \insrsid13435556\charrsid1168348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435556\charrsid11683480 ##\cell ##}{\rtlch\fcs1 \af0\afs24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435556 \rtlch\fcs1 \af0\afs20\alang1025 \ltrch\fcs0 \fs24\lang2057\langfe2057\cgrid\langnp2057\langfenp2057 {\rtlch\fcs1 \af0 \ltrch\fcs0 _x000d__x000a_\insrsid13435556\charrsid11683480 Or. }{\rtlch\fcs1 \af0 \ltrch\fcs0 \cs17\v\fs20\cf9\lang1024\langfe1024\loch\af1\hich\af1\dbch\af31501\noproof\insrsid13435556\charrsid11683480 \hich\af1\dbch\af31501\loch\f1 &lt;Original&gt;}{\rtlch\fcs1 \af0 \ltrch\fcs0 _x000d__x000a_\insrsid13435556\charrsid11683480 #}{\rtlch\fcs1 \af1 \ltrch\fcs0 \cs18\v\f1\fs20\cf15\insrsid13435556\charrsid11683480 KEY(MAIN/LANGMIN)sh@ORLANGMSG@}{\rtlch\fcs1 \af0 \ltrch\fcs0 \insrsid13435556\charrsid11683480 #}{\rtlch\fcs1 \af0 \ltrch\fcs0 _x000d__x000a_\cs17\v\fs20\cf9\lang1024\langfe1024\loch\af1\hich\af1\dbch\af31501\noproof\insrsid13435556\charrsid11683480 \hich\af1\dbch\af31501\loch\f1 &lt;/Original&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b_x000d__x000a_7044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3705 HideTWBExt;}{\*\cs18 \additive \v\f1\fs20\cf15 _x000d__x000a_\spriority0 \styrsid4523705 HideTWBInt;}{\s19\ql \li0\ri0\sa120\nowidctlpar\wrapdefault\aspalpha\aspnum\faauto\adjustright\rin0\lin0\itap0 \rtlch\fcs1 \af0\afs20\alang1025 \ltrch\fcs0 \fs24\lang2057\langfe2057\cgrid\langnp2057\langfenp2057 _x000d__x000a_\sbasedon0 \snext19 \spriority0 \styrsid4523705 Normal6a;}{\s20\ql \li0\ri0\nowidctlpar\wrapdefault\aspalpha\aspnum\faauto\adjustright\rin0\lin0\itap0 \rtlch\fcs1 \af0\afs20\alang1025 \ltrch\fcs0 \b\fs24\lang2057\langfe2057\cgrid\langnp2057\langfenp2057 _x000d__x000a_\sbasedon0 \snext20 \spriority0 \styrsid4523705 NormalBold;}{\s21\ql \li0\ri0\sa240\nowidctlpar\wrapdefault\aspalpha\aspnum\faauto\adjustright\rin0\lin0\itap0 \rtlch\fcs1 \af0\afs20\alang1025 \ltrch\fcs0 _x000d__x000a_\i\fs24\lang2057\langfe2057\cgrid\langnp2057\langfenp2057 \sbasedon0 \snext21 \spriority0 \styrsid4523705 AmJustText;}{\s22\qc \li0\ri0\sb240\sa240\nowidctlpar\wrapdefault\aspalpha\aspnum\faauto\adjustright\rin0\lin0\itap0 \rtlch\fcs1 _x000d__x000a_\af0\afs20\alang1025 \ltrch\fcs0 \i\fs24\lang2057\langfe2057\cgrid\langnp2057\langfenp2057 \sbasedon0 \snext22 \spriority0 \styrsid4523705 AmCrossRef;}{_x000d__x000a_\s23\qc \li0\ri0\sb240\sa240\keepn\nowidctlpar\wrapdefault\aspalpha\aspnum\faauto\adjustright\rin0\lin0\itap0 \rtlch\fcs1 \af0\afs20\alang1025 \ltrch\fcs0 \i\fs24\lang2057\langfe2057\cgrid\langnp2057\langfenp2057 _x000d__x000a_\sbasedon0 \snext21 \spriority0 \styrsid4523705 AmJustTitle;}{\s24\qr \li0\ri0\sb240\sa240\nowidctlpar\wrapdefault\aspalpha\aspnum\faauto\adjustright\rin0\lin0\itap0 \rtlch\fcs1 \af0\afs20\alang1025 \ltrch\fcs0 _x000d__x000a_\fs24\lang2057\langfe2057\cgrid\langnp2057\langfenp2057 \sbasedon0 \snext24 \spriority0 \styrsid4523705 AmOrLang;}{\s25\qc \li0\ri0\sa240\nowidctlpar\wrapdefault\aspalpha\aspnum\faauto\adjustright\rin0\lin0\itap0 \rtlch\fcs1 \af0\afs20\alang1025 _x000d__x000a_\ltrch\fcs0 \i\fs24\lang2057\langfe2057\cgrid\langnp2057\langfenp2057 \sbasedon0 \snext25 \spriority0 \styrsid452370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3705 AmNumberTabs;}}{\*\rsidtbl \rsid24658\rsid223860\rsid735077\rsid1718133\rsid2892074\rsid3565327\rsid4523705\rsid4666813\rsid6044855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23705\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6044855 \chftnsep _x000d__x000a_\par }}{\*\ftnsepc \ltrpar \pard\plain \ltrpar\ql \li0\ri0\widctlpar\wrapdefault\aspalpha\aspnum\faauto\adjustright\rin0\lin0\itap0 \rtlch\fcs1 \af0\afs20\alang1025 \ltrch\fcs0 \fs24\lang2057\langfe2057\cgrid\langnp2057\langfenp2057 {\rtlch\fcs1 \af0 _x000d__x000a_\ltrch\fcs0 \insrsid6044855 \chftnsepc _x000d__x000a_\par }}{\*\aftnsep \ltrpar \pard\plain \ltrpar\ql \li0\ri0\widctlpar\wrapdefault\aspalpha\aspnum\faauto\adjustright\rin0\lin0\itap0 \rtlch\fcs1 \af0\afs20\alang1025 \ltrch\fcs0 \fs24\lang2057\langfe2057\cgrid\langnp2057\langfenp2057 {\rtlch\fcs1 \af0 _x000d__x000a_\ltrch\fcs0 \insrsid6044855 \chftnsep _x000d__x000a_\par }}{\*\aftnsepc \ltrpar \pard\plain \ltrpar\ql \li0\ri0\widctlpar\wrapdefault\aspalpha\aspnum\faauto\adjustright\rin0\lin0\itap0 \rtlch\fcs1 \af0\afs20\alang1025 \ltrch\fcs0 \fs24\lang2057\langfe2057\cgrid\langnp2057\langfenp2057 {\rtlch\fcs1 \af0 _x000d__x000a_\ltrch\fcs0 \insrsid60448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3705 \rtlch\fcs1 _x000d__x000a_\af0\afs20\alang1025 \ltrch\fcs0 \b\fs24\lang2057\langfe2057\cgrid\langnp2057\langfenp2057 {\rtlch\fcs1 \af0 \ltrch\fcs0 \cs17\b0\v\fs20\cf9\lang1024\langfe1024\loch\af1\hich\af1\dbch\af31501\noproof\insrsid4523705\charrsid11683480 {\*\bkmkstart restartB}_x000d__x000a_\hich\af1\dbch\af31501\loch\f1 &lt;AmendB&gt;}{\rtlch\fcs1 \af0 \ltrch\fcs0 \insrsid4523705\charrsid11683480 Amendment\tab \tab }{\rtlch\fcs1 \af0 \ltrch\fcs0 _x000d__x000a_\cs17\b0\v\fs20\cf9\lang1024\langfe1024\loch\af1\hich\af1\dbch\af31501\noproof\insrsid4523705\charrsid11683480 \hich\af1\dbch\af31501\loch\f1 &lt;NumAmB&gt;}{\rtlch\fcs1 \af0 \ltrch\fcs0 \insrsid4523705\charrsid11683480 #}{\rtlch\fcs1 \af1 \ltrch\fcs0 _x000d__x000a_\cs18\v\f1\fs20\cf15\insrsid4523705\charrsid11683480 ENMIENDA@NRAM@}{\rtlch\fcs1 \af0 \ltrch\fcs0 \insrsid4523705\charrsid11683480 #}{\rtlch\fcs1 \af0 \ltrch\fcs0 _x000d__x000a_\cs17\b0\v\fs20\cf9\lang1024\langfe1024\loch\af1\hich\af1\dbch\af31501\noproof\insrsid4523705\charrsid11683480 \hich\af1\dbch\af31501\loch\f1 &lt;/NumAmB&gt;}{\rtlch\fcs1 \af0 \ltrch\fcs0 \insrsid4523705\charrsid11683480 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RepeatBlock-By&gt;}{\rtlch\fcs1 \af0 \ltrch\fcs0 \insrsid4523705\charrsid11683480 #}{\rtlch\fcs1 \af1 _x000d__x000a_\ltrch\fcs0 \cs18\v\f1\fs20\cf15\insrsid4523705\charrsid11683480 (MOD@InsideLoop()}{\rtlch\fcs1 \af0 \ltrch\fcs0 \insrsid4523705\charrsid11683480 ##}{\rtlch\fcs1 \af1 \ltrch\fcs0 \cs18\v\f1\fs20\cf15\insrsid4523705\charrsid11683480 &gt;&gt;&gt;@[ZMEMBERSMSG]@}{_x000d__x000a_\rtlch\fcs1 \af0 \ltrch\fcs0 \insrsid4523705\charrsid11683480 #}{\rtlch\fcs1 \af0 \ltrch\fcs0 \cs17\b0\v\fs20\cf9\lang1024\langfe1024\loch\af1\hich\af1\dbch\af31501\noproof\insrsid4523705\charrsid11683480 \hich\af1\dbch\af31501\loch\f1 &lt;Members&gt;}{_x000d__x000a_\rtlch\fcs1 \af0 \ltrch\fcs0 \insrsid4523705\charrsid11683480 #}{\rtlch\fcs1 \af1 \ltrch\fcs0 \cs18\v\f1\fs20\cf15\insrsid4523705\charrsid11683480 (MOD@InsideLoop(\'a7)}{\rtlch\fcs1 \af0 \ltrch\fcs0 \insrsid4523705\charrsid11683480 #}{\rtlch\fcs1 \af0 _x000d__x000a_\ltrch\fcs0 \cf10\insrsid4523705\charrsid11683480 \u9668\'3f}{\rtlch\fcs1 \af0 \ltrch\fcs0 \insrsid4523705\charrsid11683480 #}{\rtlch\fcs1 \af1 \ltrch\fcs0 \cs18\v\f1\fs20\cf15\insrsid4523705\charrsid11683480 TVTMEMBERS\'a7@MEMBERS@}{\rtlch\fcs1 \af0 _x000d__x000a_\ltrch\fcs0 \insrsid4523705\charrsid11683480 #}{\rtlch\fcs1 \af0 \ltrch\fcs0 \cf10\insrsid4523705\charrsid11683480 \u9658\'3f}{\rtlch\fcs1 \af0 \ltrch\fcs0 _x000d__x000a_\cs17\b0\v\fs20\cf9\lang1024\langfe1024\loch\af1\hich\af1\dbch\af31501\noproof\insrsid4523705\charrsid11683480 \hich\af1\dbch\af31501\loch\f1 &lt;/Members&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uNomDe&gt;&lt;OptDel&gt;}{\rtlch\fcs1 \af0 \ltrch\fcs0 \insrsid4523705\charrsid11683480 #}{\rtlch\fcs1 \af1 \ltrch\fcs0 _x000d__x000a_\cs18\v\f1\fs20\cf15\insrsid4523705\charrsid11683480 MNU[ONBEHALFYES][NOTAPP]@CHOICE@}{\rtlch\fcs1 \af0 \ltrch\fcs0 \insrsid4523705\charrsid11683480 #}{\rtlch\fcs1 \af0 \ltrch\fcs0 _x000d__x000a_\cs17\v\fs20\cf9\lang1024\langfe1024\loch\af1\hich\af1\dbch\af31501\noproof\insrsid4523705\charrsid11683480 \hich\af1\dbch\af31501\loch\f1 &lt;/OptDel&gt;&lt;/AuNomDe&gt;}{\rtlch\fcs1 \af0 \ltrch\fcs0 \insrsid4523705\charrsid11683480 _x000d__x000a_\par &lt;&lt;&lt;}{\rtlch\fcs1 \af0 \ltrch\fcs0 \cs17\v\fs20\cf9\lang1024\langfe1024\loch\af1\hich\af1\dbch\af31501\noproof\insrsid4523705\charrsid11683480 \hich\af1\dbch\af31501\loch\f1 &lt;/RepeatBlock-By&gt;}{\rtlch\fcs1 \af0 \ltrch\fcs0 \insrsid4523705\charrsid11683480 _x000d__x000a_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DocAmend&gt;}{\rtlch\fcs1 \af0 \ltrch\fcs0 \insrsid4523705\charrsid11683480 #}{\rtlch\fcs1 \af1 _x000d__x000a_\ltrch\fcs0 \cs18\v\f1\fs20\cf15\insrsid4523705\charrsid11683480 MNU[OPTPROPOSALCOD][OPTPROPOSALCNS][OPTPROPOSALNLE]@CHOICE@CODEMNU}{\rtlch\fcs1 \af0 \ltrch\fcs0 \insrsid4523705\charrsid11683480 #}{\rtlch\fcs1 \af0 \ltrch\fcs0 _x000d__x000a_\cs17\b0\v\fs20\cf9\lang1024\langfe1024\loch\af1\hich\af1\dbch\af31501\noproof\insrsid4523705\charrsid11683480 \hich\af1\dbch\af31501\loch\f1 &lt;/DocAmend&gt;}{\rtlch\fcs1 \af0 \ltrch\fcs0 \insrsid4523705\charrsid11683480 _x000d__x000a_\par }\pard \ltrpar\s20\ql \li0\ri0\keepn\nowidctlpar\wrapdefault\aspalpha\aspnum\faauto\adjustright\rin0\lin0\itap0\pararsid4523705 {\rtlch\fcs1 \af0 \ltrch\fcs0 _x000d__x000a_\cs17\b0\v\fs20\cf9\lang1024\langfe1024\loch\af1\hich\af1\dbch\af31501\noproof\insrsid4523705\charrsid11683480 \hich\af1\dbch\af31501\loch\f1 &lt;Article&gt;}{\rtlch\fcs1 \af0 \ltrch\fcs0 \insrsid4523705\charrsid11683480 #}{\rtlch\fcs1 \af1 \ltrch\fcs0 _x000d__x000a_\cs18\v\f1\fs20\cf15\insrsid4523705\charrsid11683480 MNU[AMACTPARTYES][AMACTPARTNO]@CHOICE@AMACTMNU}{\rtlch\fcs1 \af0 \ltrch\fcs0 \insrsid4523705\charrsid11683480 #}{\rtlch\fcs1 \af0 \ltrch\fcs0 _x000d__x000a_\cs17\b0\v\fs20\cf9\lang1024\langfe1024\loch\af1\hich\af1\dbch\af31501\noproof\insrsid4523705\charrsid11683480 \hich\af1\dbch\af31501\loch\f1 &lt;/Article&gt;}{\rtlch\fcs1 \af0 \ltrch\fcs0 \insrsid4523705\charrsid11683480 _x000d__x000a_\par }\pard\plain \ltrpar\ql \li0\ri0\keepn\widctlpar\wrapdefault\aspalpha\aspnum\faauto\adjustright\rin0\lin0\itap0\pararsid4523705 \rtlch\fcs1 \af0\afs20\alang1025 \ltrch\fcs0 \fs24\lang2057\langfe2057\cgrid\langnp2057\langfenp2057 {\rtlch\fcs1 \af0 _x000d__x000a_\ltrch\fcs0 \cs17\v\fs20\cf9\lang1024\langfe1024\loch\af1\hich\af1\dbch\af31501\noproof\insrsid4523705\charrsid11683480 \hich\af1\dbch\af31501\loch\f1 &lt;DocAmend2&gt;&lt;OptDel&gt;}{\rtlch\fcs1 \af0 \ltrch\fcs0 \insrsid4523705\charrsid11683480 #}{\rtlch\fcs1 \af1 _x000d__x000a_\ltrch\fcs0 \cs18\v\f1\fs20\cf15\insrsid4523705\charrsid11683480 MNU[OPTNRACTYES][NOTAPP]@CHOICE@AMACTMNU}{\rtlch\fcs1 \af0 \ltrch\fcs0 \insrsid4523705\charrsid11683480 #}{\rtlch\fcs1 \af0 \ltrch\fcs0 _x000d__x000a_\cs17\v\fs20\cf9\lang1024\langfe1024\loch\af1\hich\af1\dbch\af31501\noproof\insrsid4523705\charrsid11683480 \hich\af1\dbch\af31501\loch\f1 &lt;/OptDel&gt;&lt;/DocAmend2&gt;}{\rtlch\fcs1 \af0 \ltrch\fcs0 \insrsid4523705\charrsid11683480 _x000d__x000a_\par }\pard \ltrpar\ql \li0\ri0\widctlpar\wrapdefault\aspalpha\aspnum\faauto\adjustright\rin0\lin0\itap0\pararsid4523705 {\rtlch\fcs1 \af0 \ltrch\fcs0 \cs17\v\fs20\cf9\lang1024\langfe1024\loch\af1\hich\af1\dbch\af31501\noproof\insrsid4523705\charrsid11683480 _x000d__x000a_\hich\af1\dbch\af31501\loch\f1 &lt;Article2&gt;&lt;OptDel&gt;}{\rtlch\fcs1 \af0 \ltrch\fcs0 \insrsid4523705\charrsid11683480 #}{\rtlch\fcs1 \af1 \ltrch\fcs0 \cs18\v\f1\fs20\cf15\insrsid4523705\charrsid11683480 MNU[OPTACTPARTYES][NOTAPP]@CHOICE@AMACTMNU}{\rtlch\fcs1 _x000d__x000a_\af0 \ltrch\fcs0 \insrsid4523705\charrsid11683480 #}{\rtlch\fcs1 \af0 \ltrch\fcs0 \cs17\v\fs20\cf9\lang1024\langfe1024\loch\af1\hich\af1\dbch\af31501\noproof\insrsid4523705\charrsid11683480 \hich\af1\dbch\af31501\loch\f1 &lt;/OptDel&gt;&lt;/Article2&gt;}{\rtlch\fcs1 _x000d__x000a_\af0 \ltrch\fcs0 \insrsid4523705\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523705\charrsid11683480 #}{\rtlch\fcs1 \af1 \ltrch\fcs0 \cs18\v\f1\fs20\cf15\insrsid4523705\charrsid11683480 MNU[OPTLEFTAMACT][LEFTPROP]@CHOICE@AMACTMNU}{_x000d__x000a_\rtlch\fcs1 \af0 \ltrch\fcs0 \insrsid4523705\charrsid11683480 #\cell Amendment\cell }\pard\plain \ltrpar\ql \li0\ri0\widctlpar\intbl\wrapdefault\aspalpha\aspnum\faauto\adjustright\rin0\lin0 \rtlch\fcs1 \af0\afs20\alang1025 \ltrch\fcs0 _x000d__x000a_\fs24\lang2057\langfe2057\cgrid\langnp2057\langfenp2057 {\rtlch\fcs1 \af0 \ltrch\fcs0 \insrsid4523705\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523705\charrsid11683480 ##\cell ##}{\rtlch\fcs1 \af0\afs24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523705 \rtlch\fcs1 \af0\afs20\alang1025 \ltrch\fcs0 \fs24\lang2057\langfe2057\cgrid\langnp2057\langfenp2057 {\rtlch\fcs1 \af0 \ltrch\fcs0 _x000d__x000a_\insrsid4523705\charrsid11683480 Or. }{\rtlch\fcs1 \af0 \ltrch\fcs0 \cs17\v\fs20\cf9\lang1024\langfe1024\loch\af1\hich\af1\dbch\af31501\noproof\insrsid4523705\charrsid11683480 \hich\af1\dbch\af31501\loch\f1 &lt;Original&gt;}{\rtlch\fcs1 \af0 \ltrch\fcs0 _x000d__x000a_\insrsid4523705\charrsid11683480 #}{\rtlch\fcs1 \af1 \ltrch\fcs0 \cs18\v\f1\fs20\cf15\insrsid4523705\charrsid11683480 KEY(MAIN/LANGMIN)sh@ORLANGMSG@}{\rtlch\fcs1 \af0 \ltrch\fcs0 \insrsid4523705\charrsid11683480 #}{\rtlch\fcs1 \af0 \ltrch\fcs0 _x000d__x000a_\cs17\v\fs20\cf9\lang1024\langfe1024\loch\af1\hich\af1\dbch\af31501\noproof\insrsid4523705\charrsid11683480 \hich\af1\dbch\af31501\loch\f1 &lt;/Original&gt;}{\rtlch\fcs1 \af0 \ltrch\fcs0 \insrsid4523705\charrsid11683480 _x000d__x000a_\par }\pard\plain \ltrpar\s22\qc \li0\ri0\sb240\sa240\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OptDel&gt;}{\rtlch\fcs1 \af0 \ltrch\fcs0 \insrsid4523705\charrsid11683480 #}{_x000d__x000a_\rtlch\fcs1 \af1 \ltrch\fcs0 \cs18\v\f1\fs20\cf15\insrsid4523705\charrsid11683480 MNU[CROSSREFNO][CROSSREFYES]@CHOICE@}{\rtlch\fcs1 \af0 \ltrch\fcs0 \insrsid4523705\charrsid11683480 #}{\rtlch\fcs1 \af0 \ltrch\fcs0 _x000d__x000a_\cs17\i0\v\fs20\cf9\lang1024\langfe1024\loch\af1\hich\af1\dbch\af31501\noproof\insrsid4523705\charrsid11683480 \hich\af1\dbch\af31501\loch\f1 &lt;/OptDel&gt;}{\rtlch\fcs1 \af0 \ltrch\fcs0 \insrsid4523705\charrsid11683480 _x000d__x000a_\par }\pard\plain \ltrpar\s23\qc \li0\ri0\sb240\sa240\keepn\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TitreJust&gt;}{\rtlch\fcs1 \af0 \ltrch\fcs0 \insrsid4523705\charrsid11683480 _x000d__x000a_Justification}{\rtlch\fcs1 \af0 \ltrch\fcs0 \cs17\i0\v\fs20\cf9\lang1024\langfe1024\loch\af1\hich\af1\dbch\af31501\noproof\insrsid4523705\charrsid11683480 \hich\af1\dbch\af31501\loch\f1 &lt;/TitreJust&gt;}{\rtlch\fcs1 \af0 \ltrch\fcs0 _x000d__x000a_\insrsid4523705\charrsid11683480 _x000d__x000a_\par }\pard\plain \ltrpar\s21\ql \li0\ri0\sa240\nowidctlpar\wrapdefault\aspalpha\aspnum\faauto\adjustright\rin0\lin0\itap0\pararsid4523705 \rtlch\fcs1 \af0\afs20\alang1025 \ltrch\fcs0 \i\fs24\lang2057\langfe2057\cgrid\langnp2057\langfenp2057 {\rtlch\fcs1 \af0 _x000d__x000a_\ltrch\fcs0 \cs17\i0\v\fs20\cf9\lang1024\langfe1024\loch\af1\hich\af1\dbch\af31501\noproof\insrsid4523705\charrsid11683480 \hich\af1\dbch\af31501\loch\f1 &lt;OptDelPrev&gt;}{\rtlch\fcs1 \af0 \ltrch\fcs0 \insrsid4523705\charrsid11683480 #}{\rtlch\fcs1 \af1 _x000d__x000a_\ltrch\fcs0 \cs18\v\f1\fs20\cf15\insrsid4523705\charrsid11683480 MNU[TEXTJUSTYES][TEXTJUSTNO]@CHOICE@}{\rtlch\fcs1 \af0 \ltrch\fcs0 \insrsid4523705\charrsid11683480 #}{\rtlch\fcs1 \af0 \ltrch\fcs0 _x000d__x000a_\cs17\i0\v\fs20\cf9\lang1024\langfe1024\loch\af1\hich\af1\dbch\af31501\noproof\insrsid4523705\charrsid11683480 \hich\af1\dbch\af31501\loch\f1 &lt;/OptDelPrev&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c_x000d__x000a_7145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6262 HideTWBExt;}{\*\cs18 \additive \v\f1\fs20\cf15 _x000d__x000a_\spriority0 \styrsid1196262 HideTWBInt;}{\s19\ql \li0\ri0\sa120\nowidctlpar\wrapdefault\aspalpha\aspnum\faauto\adjustright\rin0\lin0\itap0 \rtlch\fcs1 \af0\afs20\alang1025 \ltrch\fcs0 \fs24\lang2057\langfe2057\cgrid\langnp2057\langfenp2057 _x000d__x000a_\sbasedon0 \snext19 \spriority0 \styrsid1196262 Normal6a;}{\s20\ql \li0\ri0\nowidctlpar\wrapdefault\aspalpha\aspnum\faauto\adjustright\rin0\lin0\itap0 \rtlch\fcs1 \af0\afs20\alang1025 \ltrch\fcs0 \b\fs24\lang2057\langfe2057\cgrid\langnp2057\langfenp2057 _x000d__x000a_\sbasedon0 \snext20 \spriority0 \styrsid1196262 NormalBold;}{\s21\ql \li0\ri0\sa240\nowidctlpar\wrapdefault\aspalpha\aspnum\faauto\adjustright\rin0\lin0\itap0 \rtlch\fcs1 \af0\afs20\alang1025 \ltrch\fcs0 _x000d__x000a_\i\fs24\lang2057\langfe2057\cgrid\langnp2057\langfenp2057 \sbasedon0 \snext21 \spriority0 \styrsid1196262 AmJustText;}{\s22\qc \li0\ri0\sb240\sa240\nowidctlpar\wrapdefault\aspalpha\aspnum\faauto\adjustright\rin0\lin0\itap0 \rtlch\fcs1 _x000d__x000a_\af0\afs20\alang1025 \ltrch\fcs0 \i\fs24\lang2057\langfe2057\cgrid\langnp2057\langfenp2057 \sbasedon0 \snext22 \spriority0 \styrsid1196262 AmCrossRef;}{_x000d__x000a_\s23\qc \li0\ri0\sb240\sa240\keepn\nowidctlpar\wrapdefault\aspalpha\aspnum\faauto\adjustright\rin0\lin0\itap0 \rtlch\fcs1 \af0\afs20\alang1025 \ltrch\fcs0 \i\fs24\lang2057\langfe2057\cgrid\langnp2057\langfenp2057 _x000d__x000a_\sbasedon0 \snext21 \spriority0 \styrsid1196262 AmJustTitle;}{\s24\qr \li0\ri0\sb240\sa240\nowidctlpar\wrapdefault\aspalpha\aspnum\faauto\adjustright\rin0\lin0\itap0 \rtlch\fcs1 \af0\afs20\alang1025 \ltrch\fcs0 _x000d__x000a_\fs24\lang2057\langfe2057\cgrid\langnp2057\langfenp2057 \sbasedon0 \snext24 \spriority0 \styrsid1196262 AmOrLang;}{\s25\qc \li0\ri0\sa240\nowidctlpar\wrapdefault\aspalpha\aspnum\faauto\adjustright\rin0\lin0\itap0 \rtlch\fcs1 \af0\afs20\alang1025 _x000d__x000a_\ltrch\fcs0 \i\fs24\lang2057\langfe2057\cgrid\langnp2057\langfenp2057 \sbasedon0 \snext25 \spriority0 \styrsid11962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96262 AmNumberTabs;}}{\*\rsidtbl \rsid24658\rsid223860\rsid735077\rsid863474\rsid1196262\rsid1718133\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9}{\revtim\yr2025\mo4\dy8\hr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6262\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863474 \chftnsep _x000d__x000a_\par }}{\*\ftnsepc \ltrpar \pard\plain \ltrpar\ql \li0\ri0\widctlpar\wrapdefault\aspalpha\aspnum\faauto\adjustright\rin0\lin0\itap0 \rtlch\fcs1 \af0\afs20\alang1025 \ltrch\fcs0 \fs24\lang2057\langfe2057\cgrid\langnp2057\langfenp2057 {\rtlch\fcs1 \af0 _x000d__x000a_\ltrch\fcs0 \insrsid863474 \chftnsepc _x000d__x000a_\par }}{\*\aftnsep \ltrpar \pard\plain \ltrpar\ql \li0\ri0\widctlpar\wrapdefault\aspalpha\aspnum\faauto\adjustright\rin0\lin0\itap0 \rtlch\fcs1 \af0\afs20\alang1025 \ltrch\fcs0 \fs24\lang2057\langfe2057\cgrid\langnp2057\langfenp2057 {\rtlch\fcs1 \af0 _x000d__x000a_\ltrch\fcs0 \insrsid863474 \chftnsep _x000d__x000a_\par }}{\*\aftnsepc \ltrpar \pard\plain \ltrpar\ql \li0\ri0\widctlpar\wrapdefault\aspalpha\aspnum\faauto\adjustright\rin0\lin0\itap0 \rtlch\fcs1 \af0\afs20\alang1025 \ltrch\fcs0 \fs24\lang2057\langfe2057\cgrid\langnp2057\langfenp2057 {\rtlch\fcs1 \af0 _x000d__x000a_\ltrch\fcs0 \insrsid863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96262 \rtlch\fcs1 _x000d__x000a_\af0\afs20\alang1025 \ltrch\fcs0 \b\fs24\lang2057\langfe2057\cgrid\langnp2057\langfenp2057 {\rtlch\fcs1 \af0 \ltrch\fcs0 \cs17\b0\v\fs20\cf9\lang1024\langfe1024\loch\af1\hich\af1\dbch\af31501\noproof\insrsid1196262\charrsid11683480 {\*\bkmkstart restart}_x000d__x000a_\hich\af1\dbch\af31501\loch\f1 &lt;}{\rtlch\fcs1 \af0 \ltrch\fcs0 \cs17\b0\v\fs20\cf9\lang1024\langfe1024\loch\af1\hich\af1\dbch\af31501\noproof\insrsid1196262 \hich\af1\dbch\af31501\loch\f1 Amend}{\rtlch\fcs1 \af0 \ltrch\fcs0 _x000d__x000a_\cs17\b0\v\fs20\cf9\lang1024\langfe1024\loch\af1\hich\af1\dbch\af31501\noproof\insrsid1196262\charrsid11683480 \hich\af1\dbch\af31501\loch\f1 &gt;}{\rtlch\fcs1 \af0 \ltrch\fcs0 \insrsid1196262\charrsid11683480 Amendment\tab \tab }{\rtlch\fcs1 \af0 _x000d__x000a_\ltrch\fcs0 \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rtlch\fcs1 \af1 \ltrch\fcs0 _x000d__x000a_\cs18\v\f1\fs20\cf15\insrsid1196262\charrsid11683480 ENMIENDA@NRAM@}{\rtlch\fcs1 \af0 \ltrch\fcs0 \insrsid1196262\charrsid11683480 #}{\rtlch\fcs1 \af0 \ltrch\fcs0 _x000d__x000a_\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hich\af1\dbch\af31501\loch\f1 RepeatBlock-By&gt;}{\rtlch\fcs1 \af0 \ltrch\fcs0 _x000d__x000a_\insrsid1196262\charrsid11683480 #}{\rtlch\fcs1 \af1 \ltrch\fcs0 \cs18\v\f1\fs20\cf15\insrsid1196262\charrsid11683480 (MOD@InsideLoop()}{\rtlch\fcs1 \af0 \ltrch\fcs0 \insrsid1196262\charrsid11683480 ##}{\rtlch\fcs1 \af1 \ltrch\fcs0 _x000d__x000a_\cs18\v\f1\fs20\cf15\insrsid1196262\charrsid11683480 &gt;&gt;&gt;@[ZMEMBERSMSG]@}{\rtlch\fcs1 \af0 \ltrch\fcs0 \insrsid1196262\charrsid11683480 #}{\rtlch\fcs1 \af0 \ltrch\fcs0 _x000d__x000a_\cs17\b0\v\fs20\cf9\lang1024\langfe1024\loch\af1\hich\af1\dbch\af31501\noproof\insrsid1196262\charrsid11683480 \hich\af1\dbch\af31501\loch\f1 &lt;Members&gt;}{\rtlch\fcs1 \af0 \ltrch\fcs0 \insrsid1196262\charrsid11683480 #}{\rtlch\fcs1 \af1 \ltrch\fcs0 _x000d__x000a_\cs18\v\f1\fs20\cf15\insrsid1196262\charrsid11683480 (MOD@InsideLoop(\'a7)}{\rtlch\fcs1 \af0 \ltrch\fcs0 \insrsid1196262\charrsid11683480 #}{\rtlch\fcs1 \af0 \ltrch\fcs0 \cf10\insrsid1196262\charrsid2112918 \u9668\'3f}{\rtlch\fcs1 \af0 \ltrch\fcs0 _x000d__x000a_\insrsid1196262\charrsid11683480 #}{\rtlch\fcs1 \af1 \ltrch\fcs0 \cs18\v\f1\fs20\cf15\insrsid1196262\charrsid11683480 TVTMEMBERS\'a7@MEMBERS@}{\rtlch\fcs1 \af0 \ltrch\fcs0 \insrsid1196262\charrsid11683480 #}{\rtlch\fcs1 \af0 \ltrch\fcs0 _x000d__x000a_\cf10\insrsid1196262\charrsid2112918 \u9658\'3f}{\rtlch\fcs1 \af0 \ltrch\fcs0 \cs17\b0\v\fs20\cf9\lang1024\langfe1024\loch\af1\hich\af1\dbch\af31501\noproof\insrsid1196262\charrsid11683480 \hich\af1\dbch\af31501\loch\f1 &lt;/Members&gt;}{\rtlch\fcs1 \af0 _x000d__x000a_\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AuNomDe&gt;&lt;OptDel&gt;}{\rtlch\fcs1 \af0 \ltrch\fcs0 \insrsid1196262\charrsid11683480 #}{\rtlch\fcs1 \af1 \ltrch\fcs0 _x000d__x000a_\cs18\v\f1\fs20\cf15\insrsid1196262\charrsid11683480 MNU[ONBEHALFYES][NOTAPP]@CHOICE@}{\rtlch\fcs1 \af0 \ltrch\fcs0 \insrsid1196262\charrsid11683480 #}{\rtlch\fcs1 \af0 \ltrch\fcs0 _x000d__x000a_\cs17\v\fs20\cf9\lang1024\langfe1024\loch\af1\hich\af1\dbch\af31501\noproof\insrsid1196262\charrsid11683480 \hich\af1\dbch\af31501\loch\f1 &lt;/OptDel&gt;&lt;/AuNomDe&gt;}{\rtlch\fcs1 \af0 \ltrch\fcs0 \insrsid1196262\charrsid11683480 _x000d__x000a_\par &lt;&lt;&lt;}{\rtlch\fcs1 \af0 \ltrch\fcs0 \cs17\v\fs20\cf9\lang1024\langfe1024\loch\af1\hich\af1\dbch\af31501\noproof\insrsid1196262\charrsid11683480 \hich\af1\dbch\af31501\loch\f1 &lt;/RepeatBlock-By&gt;}{\rtlch\fcs1 \af0 \ltrch\fcs0 \insrsid1196262\charrsid11683480 _x000d__x000a_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DocAmend&gt;}{\rtlch\fcs1 \af0 \ltrch\fcs0 \insrsid1196262\charrsid11683480 #}{\rtlch\fcs1 \af1 _x000d__x000a_\ltrch\fcs0 \cs18\v\f1\fs20\cf15\insrsid1196262\charrsid11683480 MNU[OPTPROPOSALCOD][OPTPROPOSALCNS][OPTPROPOSALNLE]@CHOICE@CODEMNU}{\rtlch\fcs1 \af0 \ltrch\fcs0 \insrsid1196262\charrsid11683480 #}{\rtlch\fcs1 \af0 \ltrch\fcs0 _x000d__x000a_\cs17\b0\v\fs20\cf9\lang1024\langfe1024\loch\af1\hich\af1\dbch\af31501\noproof\insrsid1196262\charrsid11683480 \hich\af1\dbch\af31501\loch\f1 &lt;/DocAmend&gt;}{\rtlch\fcs1 \af0 \ltrch\fcs0 \insrsid1196262\charrsid11683480 _x000d__x000a_\par }\pard \ltrpar\s20\ql \li0\ri0\keepn\nowidctlpar\wrapdefault\aspalpha\aspnum\faauto\adjustright\rin0\lin0\itap0\pararsid1196262 {\rtlch\fcs1 \af0 \ltrch\fcs0 _x000d__x000a_\cs17\b0\v\fs20\cf9\lang1024\langfe1024\loch\af1\hich\af1\dbch\af31501\noproof\insrsid1196262\charrsid11683480 \hich\af1\dbch\af31501\loch\f1 &lt;Article&gt;}{\rtlch\fcs1 \af0 \ltrch\fcs0 \insrsid1196262\charrsid11683480 #}{\rtlch\fcs1 \af1 \ltrch\fcs0 _x000d__x000a_\cs18\v\f1\fs20\cf15\insrsid1196262\charrsid11683480 MNU[AMACTPARTYES][AMACTPARTNO]@CHOICE@AMACTMNU}{\rtlch\fcs1 \af0 \ltrch\fcs0 \insrsid1196262\charrsid11683480 #}{\rtlch\fcs1 \af0 \ltrch\fcs0 _x000d__x000a_\cs17\b0\v\fs20\cf9\lang1024\langfe1024\loch\af1\hich\af1\dbch\af31501\noproof\insrsid1196262\charrsid11683480 \hich\af1\dbch\af31501\loch\f1 &lt;/Article&gt;}{\rtlch\fcs1 \af0 \ltrch\fcs0 \insrsid1196262\charrsid11683480 _x000d__x000a_\par }\pard\plain \ltrpar\ql \li0\ri0\keepn\widctlpar\wrapdefault\aspalpha\aspnum\faauto\adjustright\rin0\lin0\itap0\pararsid1196262 \rtlch\fcs1 \af0\afs20\alang1025 \ltrch\fcs0 \fs24\lang2057\langfe2057\cgrid\langnp2057\langfenp2057 {\rtlch\fcs1 \af0 _x000d__x000a_\ltrch\fcs0 \cs17\v\fs20\cf9\lang1024\langfe1024\loch\af1\hich\af1\dbch\af31501\noproof\insrsid1196262\charrsid11683480 \hich\af1\dbch\af31501\loch\f1 &lt;DocAmend2&gt;&lt;OptDel&gt;}{\rtlch\fcs1 \af0 \ltrch\fcs0 \insrsid1196262\charrsid11683480 #}{\rtlch\fcs1 \af1 _x000d__x000a_\ltrch\fcs0 \cs18\v\f1\fs20\cf15\insrsid1196262\charrsid11683480 MNU[OPTNRACTYES][NOTAPP]@CHOICE@AMACTMNU}{\rtlch\fcs1 \af0 \ltrch\fcs0 \insrsid1196262\charrsid11683480 #}{\rtlch\fcs1 \af0 \ltrch\fcs0 _x000d__x000a_\cs17\v\fs20\cf9\lang1024\langfe1024\loch\af1\hich\af1\dbch\af31501\noproof\insrsid1196262\charrsid11683480 \hich\af1\dbch\af31501\loch\f1 &lt;/OptDel&gt;&lt;/DocAmend2&gt;}{\rtlch\fcs1 \af0 \ltrch\fcs0 \insrsid1196262\charrsid11683480 _x000d__x000a_\par }\pard \ltrpar\ql \li0\ri0\widctlpar\wrapdefault\aspalpha\aspnum\faauto\adjustright\rin0\lin0\itap0\pararsid1196262 {\rtlch\fcs1 \af0 \ltrch\fcs0 \cs17\v\fs20\cf9\lang1024\langfe1024\loch\af1\hich\af1\dbch\af31501\noproof\insrsid1196262\charrsid11683480 _x000d__x000a_\hich\af1\dbch\af31501\loch\f1 &lt;Article2&gt;&lt;OptDel&gt;}{\rtlch\fcs1 \af0 \ltrch\fcs0 \insrsid1196262\charrsid11683480 #}{\rtlch\fcs1 \af1 \ltrch\fcs0 \cs18\v\f1\fs20\cf15\insrsid1196262\charrsid11683480 MNU[OPTACTPARTYES][NOTAPP]@CHOICE@AMACTMNU}{\rtlch\fcs1 _x000d__x000a_\af0 \ltrch\fcs0 \insrsid1196262\charrsid11683480 #}{\rtlch\fcs1 \af0 \ltrch\fcs0 \cs17\v\fs20\cf9\lang1024\langfe1024\loch\af1\hich\af1\dbch\af31501\noproof\insrsid1196262\charrsid11683480 \hich\af1\dbch\af31501\loch\f1 &lt;/OptDel&gt;&lt;/Article2&gt;}{\rtlch\fcs1 _x000d__x000a_\af0 \ltrch\fcs0 \insrsid1196262\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96262\charrsid11683480 #}{\rtlch\fcs1 \af1 \ltrch\fcs0 \cs18\v\f1\fs20\cf15\insrsid1196262\charrsid11683480 MNU[OPTLEFTAMACT][LEFTPROP]@CHOICE@AMACTMNU}{_x000d__x000a_\rtlch\fcs1 \af0 \ltrch\fcs0 \insrsid1196262\charrsid11683480 #\cell Amendment\cell }\pard\plain \ltrpar\ql \li0\ri0\widctlpar\intbl\wrapdefault\aspalpha\aspnum\faauto\adjustright\rin0\lin0 \rtlch\fcs1 \af0\afs20\alang1025 \ltrch\fcs0 _x000d__x000a_\fs24\lang2057\langfe2057\cgrid\langnp2057\langfenp2057 {\rtlch\fcs1 \af0 \ltrch\fcs0 \insrsid1196262\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96262\charrsid11683480 ##\cell ##}{\rtlch\fcs1 \af0\afs24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96262 \rtlch\fcs1 \af0\afs20\alang1025 \ltrch\fcs0 \fs24\lang2057\langfe2057\cgrid\langnp2057\langfenp2057 {\rtlch\fcs1 \af0 \ltrch\fcs0 _x000d__x000a_\insrsid1196262\charrsid11683480 Or. }{\rtlch\fcs1 \af0 \ltrch\fcs0 \cs17\v\fs20\cf9\lang1024\langfe1024\loch\af1\hich\af1\dbch\af31501\noproof\insrsid1196262\charrsid11683480 \hich\af1\dbch\af31501\loch\f1 &lt;Original&gt;}{\rtlch\fcs1 \af0 \ltrch\fcs0 _x000d__x000a_\insrsid1196262\charrsid11683480 #}{\rtlch\fcs1 \af1 \ltrch\fcs0 \cs18\v\f1\fs20\cf15\insrsid1196262\charrsid11683480 KEY(MAIN/LANGMIN)sh@ORLANGMSG@}{\rtlch\fcs1 \af0 \ltrch\fcs0 \insrsid1196262\charrsid11683480 #}{\rtlch\fcs1 \af0 \ltrch\fcs0 _x000d__x000a_\cs17\v\fs20\cf9\lang1024\langfe1024\loch\af1\hich\af1\dbch\af31501\noproof\insrsid1196262\charrsid11683480 \hich\af1\dbch\af31501\loch\f1 &lt;/Original&gt;}{\rtlch\fcs1 \af0 \ltrch\fcs0 \insrsid1196262\charrsid11683480 _x000d__x000a_\par }\pard\plain \ltrpar\s22\qc \li0\ri0\sb240\sa240\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OptDel&gt;}{\rtlch\fcs1 \af0 \ltrch\fcs0 \insrsid1196262\charrsid11683480 #}{_x000d__x000a_\rtlch\fcs1 \af1 \ltrch\fcs0 \cs18\v\f1\fs20\cf15\insrsid1196262\charrsid11683480 MNU[CROSSREFNO][CROSSREFYES]@CHOICE@}{\rtlch\fcs1 \af0 \ltrch\fcs0 \insrsid1196262\charrsid11683480 #}{\rtlch\fcs1 \af0 \ltrch\fcs0 _x000d__x000a_\cs17\i0\v\fs20\cf9\lang1024\langfe1024\loch\af1\hich\af1\dbch\af31501\noproof\insrsid1196262\charrsid11683480 \hich\af1\dbch\af31501\loch\f1 &lt;/OptDel&gt;}{\rtlch\fcs1 \af0 \ltrch\fcs0 \insrsid1196262\charrsid11683480 _x000d__x000a_\par }\pard\plain \ltrpar\s23\qc \li0\ri0\sb240\sa240\keepn\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TitreJust&gt;}{\rtlch\fcs1 \af0 \ltrch\fcs0 \insrsid1196262\charrsid11683480 _x000d__x000a_Justification}{\rtlch\fcs1 \af0 \ltrch\fcs0 \cs17\i0\v\fs20\cf9\lang1024\langfe1024\loch\af1\hich\af1\dbch\af31501\noproof\insrsid1196262\charrsid11683480 \hich\af1\dbch\af31501\loch\f1 &lt;/TitreJust&gt;}{\rtlch\fcs1 \af0 \ltrch\fcs0 _x000d__x000a_\insrsid1196262\charrsid11683480 _x000d__x000a_\par }\pard\plain \ltrpar\s21\ql \li0\ri0\sa240\nowidctlpar\wrapdefault\aspalpha\aspnum\faauto\adjustright\rin0\lin0\itap0\pararsid1196262 \rtlch\fcs1 \af0\afs20\alang1025 \ltrch\fcs0 \i\fs24\lang2057\langfe2057\cgrid\langnp2057\langfenp2057 {\rtlch\fcs1 \af0 _x000d__x000a_\ltrch\fcs0 \cs17\i0\v\fs20\cf9\lang1024\langfe1024\loch\af1\hich\af1\dbch\af31501\noproof\insrsid1196262\charrsid11683480 \hich\af1\dbch\af31501\loch\f1 &lt;OptDelPrev&gt;}{\rtlch\fcs1 \af0 \ltrch\fcs0 \insrsid1196262\charrsid11683480 #}{\rtlch\fcs1 \af1 _x000d__x000a_\ltrch\fcs0 \cs18\v\f1\fs20\cf15\insrsid1196262\charrsid11683480 MNU[TEXTJUSTYES][TEXTJUSTNO]@CHOICE@}{\rtlch\fcs1 \af0 \ltrch\fcs0 \insrsid1196262\charrsid11683480 #}{\rtlch\fcs1 \af0 \ltrch\fcs0 _x000d__x000a_\cs17\i0\v\fs20\cf9\lang1024\langfe1024\loch\af1\hich\af1\dbch\af31501\noproof\insrsid1196262\charrsid11683480 \hich\af1\dbch\af31501\loch\f1 &lt;/OptDelPrev&gt;}{\rtlch\fcs1 \af0 \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rtlch\fcs1 \af0 \ltrch\fcs0 _x000d__x000a_\cs17\v\fs20\cf9\lang1024\langfe1024\loch\af1\hich\af1\dbch\af31501\noproof\insrsid1196262 \hich\af1\dbch\af31501\loch\f1 Ame\hich\af1\dbch\af31501\loch\f1 nd}{\rtlch\fcs1 \af0 \ltrch\fcs0 _x000d__x000a_\cs17\v\fs20\cf9\lang1024\langfe1024\loch\af1\hich\af1\dbch\af31501\noproof\insrsid1196262\charrsid1168348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e1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9"/>
    <w:docVar w:name="TXTAUTHOR" w:val="Željana Zovko"/>
    <w:docVar w:name="TXTLANGUE" w:val="NL"/>
    <w:docVar w:name="TXTLANGUEMIN" w:val="nl"/>
    <w:docVar w:name="TXTNRC" w:val="0006/2024"/>
    <w:docVar w:name="TXTNRCOM" w:val="(2024)0183"/>
    <w:docVar w:name="TXTNRFIRSTAM" w:val="127"/>
    <w:docVar w:name="TXTNRLASTAM" w:val="244"/>
    <w:docVar w:name="TXTNRPE" w:val="771.930"/>
    <w:docVar w:name="TXTNRPE2" w:val="765.292"/>
    <w:docVar w:name="TXTNRPROC" w:val="2024"/>
    <w:docVar w:name="TXTPEorAP" w:val="PE"/>
    <w:docVar w:name="TXTROUTE" w:val="AM\1319572NL.docx"/>
    <w:docVar w:name="TXTTITLE" w:val="Proposal for a regulation of the European Parliament and of the Council amending Regulation (EU) No 2023/2124 of the European Parliament and of the Council of 4 October 2023 on certain provisions for fishing in the GFCM (General Fisheries Commission for the Mediterranean) Agreement area"/>
    <w:docVar w:name="TXTVERSION" w:val="02-00"/>
    <w:docVar w:name="TXTVERSION2" w:val="01-00"/>
  </w:docVars>
  <w:rsids>
    <w:rsidRoot w:val="00B24698"/>
    <w:rsid w:val="000111BD"/>
    <w:rsid w:val="00073830"/>
    <w:rsid w:val="00075DBE"/>
    <w:rsid w:val="000B0781"/>
    <w:rsid w:val="000D446F"/>
    <w:rsid w:val="000E7234"/>
    <w:rsid w:val="000F2A80"/>
    <w:rsid w:val="000F7815"/>
    <w:rsid w:val="0011767B"/>
    <w:rsid w:val="001177CB"/>
    <w:rsid w:val="00126BC4"/>
    <w:rsid w:val="0013748B"/>
    <w:rsid w:val="00150057"/>
    <w:rsid w:val="00166CCB"/>
    <w:rsid w:val="0017484C"/>
    <w:rsid w:val="001809DD"/>
    <w:rsid w:val="001A4802"/>
    <w:rsid w:val="001B761C"/>
    <w:rsid w:val="001C2054"/>
    <w:rsid w:val="001C502E"/>
    <w:rsid w:val="001D13C9"/>
    <w:rsid w:val="001D5CC4"/>
    <w:rsid w:val="001D7A49"/>
    <w:rsid w:val="001F0FDD"/>
    <w:rsid w:val="0020367C"/>
    <w:rsid w:val="00203D96"/>
    <w:rsid w:val="00222325"/>
    <w:rsid w:val="00231EA7"/>
    <w:rsid w:val="00236619"/>
    <w:rsid w:val="002574CB"/>
    <w:rsid w:val="00280EA6"/>
    <w:rsid w:val="002A1C82"/>
    <w:rsid w:val="002B6A7B"/>
    <w:rsid w:val="002C5761"/>
    <w:rsid w:val="002E3F68"/>
    <w:rsid w:val="002E4311"/>
    <w:rsid w:val="002F6249"/>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B4881"/>
    <w:rsid w:val="004E0AAC"/>
    <w:rsid w:val="004E1C4C"/>
    <w:rsid w:val="004F03F0"/>
    <w:rsid w:val="004F2903"/>
    <w:rsid w:val="004F2CB9"/>
    <w:rsid w:val="005246D8"/>
    <w:rsid w:val="00547F73"/>
    <w:rsid w:val="00557617"/>
    <w:rsid w:val="00571479"/>
    <w:rsid w:val="005A7205"/>
    <w:rsid w:val="005A7EB4"/>
    <w:rsid w:val="005B32E3"/>
    <w:rsid w:val="005E50C2"/>
    <w:rsid w:val="006051F7"/>
    <w:rsid w:val="00607ABE"/>
    <w:rsid w:val="006337D4"/>
    <w:rsid w:val="00637384"/>
    <w:rsid w:val="0066168A"/>
    <w:rsid w:val="00665DDA"/>
    <w:rsid w:val="00672807"/>
    <w:rsid w:val="006746CD"/>
    <w:rsid w:val="00687070"/>
    <w:rsid w:val="00695CC1"/>
    <w:rsid w:val="006965BE"/>
    <w:rsid w:val="006A2838"/>
    <w:rsid w:val="006B4B58"/>
    <w:rsid w:val="006B6438"/>
    <w:rsid w:val="006D4E12"/>
    <w:rsid w:val="006D6B15"/>
    <w:rsid w:val="006F3F81"/>
    <w:rsid w:val="006F4B73"/>
    <w:rsid w:val="00702F62"/>
    <w:rsid w:val="007059E9"/>
    <w:rsid w:val="00706049"/>
    <w:rsid w:val="007152AF"/>
    <w:rsid w:val="00736FBA"/>
    <w:rsid w:val="0074160E"/>
    <w:rsid w:val="007418EC"/>
    <w:rsid w:val="00746743"/>
    <w:rsid w:val="007659AC"/>
    <w:rsid w:val="0079060C"/>
    <w:rsid w:val="007A42AB"/>
    <w:rsid w:val="007C71DE"/>
    <w:rsid w:val="00822C94"/>
    <w:rsid w:val="008363E4"/>
    <w:rsid w:val="00851460"/>
    <w:rsid w:val="0085430F"/>
    <w:rsid w:val="0087052C"/>
    <w:rsid w:val="00870CF2"/>
    <w:rsid w:val="0087412A"/>
    <w:rsid w:val="00874862"/>
    <w:rsid w:val="00875A9C"/>
    <w:rsid w:val="00887FDC"/>
    <w:rsid w:val="008B251A"/>
    <w:rsid w:val="008D6D06"/>
    <w:rsid w:val="008F0DDD"/>
    <w:rsid w:val="00900CAE"/>
    <w:rsid w:val="00904AD5"/>
    <w:rsid w:val="00907CCA"/>
    <w:rsid w:val="009154FF"/>
    <w:rsid w:val="00917A85"/>
    <w:rsid w:val="0094646B"/>
    <w:rsid w:val="00966038"/>
    <w:rsid w:val="009A65D8"/>
    <w:rsid w:val="009B0305"/>
    <w:rsid w:val="009B4539"/>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1432"/>
    <w:rsid w:val="00AE4459"/>
    <w:rsid w:val="00AF25FC"/>
    <w:rsid w:val="00AF2819"/>
    <w:rsid w:val="00B0638A"/>
    <w:rsid w:val="00B10564"/>
    <w:rsid w:val="00B24698"/>
    <w:rsid w:val="00B41B4D"/>
    <w:rsid w:val="00B72691"/>
    <w:rsid w:val="00B77A45"/>
    <w:rsid w:val="00B8029D"/>
    <w:rsid w:val="00B8066A"/>
    <w:rsid w:val="00B85286"/>
    <w:rsid w:val="00B90B7F"/>
    <w:rsid w:val="00B9188F"/>
    <w:rsid w:val="00B93401"/>
    <w:rsid w:val="00BA48D2"/>
    <w:rsid w:val="00BC1B1F"/>
    <w:rsid w:val="00BE0C84"/>
    <w:rsid w:val="00BE293C"/>
    <w:rsid w:val="00BE5062"/>
    <w:rsid w:val="00BE738F"/>
    <w:rsid w:val="00C046F3"/>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23D18"/>
    <w:rsid w:val="00D42398"/>
    <w:rsid w:val="00D44842"/>
    <w:rsid w:val="00D66AC8"/>
    <w:rsid w:val="00D677D5"/>
    <w:rsid w:val="00D755F1"/>
    <w:rsid w:val="00D767AC"/>
    <w:rsid w:val="00D773DF"/>
    <w:rsid w:val="00D82FCC"/>
    <w:rsid w:val="00D85E21"/>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ECE5AB"/>
  <w15:chartTrackingRefBased/>
  <w15:docId w15:val="{C96CA274-2611-4930-A483-DECAFDDC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3D96"/>
    <w:rPr>
      <w:rFonts w:ascii="Arial" w:hAnsi="Arial"/>
      <w:b/>
      <w:kern w:val="28"/>
      <w:sz w:val="28"/>
    </w:rPr>
  </w:style>
  <w:style w:type="character" w:customStyle="1" w:styleId="Heading2Char">
    <w:name w:val="Heading 2 Char"/>
    <w:basedOn w:val="DefaultParagraphFont"/>
    <w:link w:val="Heading2"/>
    <w:semiHidden/>
    <w:rsid w:val="00203D96"/>
    <w:rPr>
      <w:rFonts w:ascii="Arial" w:hAnsi="Arial"/>
      <w:b/>
      <w:i/>
      <w:sz w:val="24"/>
    </w:rPr>
  </w:style>
  <w:style w:type="character" w:customStyle="1" w:styleId="Heading3Char">
    <w:name w:val="Heading 3 Char"/>
    <w:basedOn w:val="DefaultParagraphFont"/>
    <w:link w:val="Heading3"/>
    <w:semiHidden/>
    <w:rsid w:val="00203D96"/>
    <w:rPr>
      <w:rFonts w:ascii="Arial" w:hAnsi="Arial"/>
      <w:sz w:val="24"/>
    </w:rPr>
  </w:style>
  <w:style w:type="character" w:customStyle="1" w:styleId="Heading4Char">
    <w:name w:val="Heading 4 Char"/>
    <w:basedOn w:val="DefaultParagraphFont"/>
    <w:link w:val="Heading4"/>
    <w:semiHidden/>
    <w:rsid w:val="00203D96"/>
    <w:rPr>
      <w:rFonts w:ascii="Arial" w:hAnsi="Arial"/>
      <w:b/>
      <w:sz w:val="24"/>
    </w:rPr>
  </w:style>
  <w:style w:type="character" w:customStyle="1" w:styleId="Heading5Char">
    <w:name w:val="Heading 5 Char"/>
    <w:basedOn w:val="DefaultParagraphFont"/>
    <w:link w:val="Heading5"/>
    <w:semiHidden/>
    <w:rsid w:val="00203D96"/>
    <w:rPr>
      <w:sz w:val="22"/>
    </w:rPr>
  </w:style>
  <w:style w:type="character" w:customStyle="1" w:styleId="Heading6Char">
    <w:name w:val="Heading 6 Char"/>
    <w:basedOn w:val="DefaultParagraphFont"/>
    <w:link w:val="Heading6"/>
    <w:semiHidden/>
    <w:rsid w:val="00203D96"/>
    <w:rPr>
      <w:i/>
      <w:sz w:val="22"/>
    </w:rPr>
  </w:style>
  <w:style w:type="character" w:customStyle="1" w:styleId="Heading7Char">
    <w:name w:val="Heading 7 Char"/>
    <w:basedOn w:val="DefaultParagraphFont"/>
    <w:link w:val="Heading7"/>
    <w:semiHidden/>
    <w:rsid w:val="00203D96"/>
    <w:rPr>
      <w:rFonts w:ascii="Arial" w:hAnsi="Arial"/>
      <w:sz w:val="24"/>
    </w:rPr>
  </w:style>
  <w:style w:type="character" w:customStyle="1" w:styleId="Heading8Char">
    <w:name w:val="Heading 8 Char"/>
    <w:basedOn w:val="DefaultParagraphFont"/>
    <w:link w:val="Heading8"/>
    <w:semiHidden/>
    <w:rsid w:val="00203D96"/>
    <w:rPr>
      <w:rFonts w:ascii="Arial" w:hAnsi="Arial"/>
      <w:i/>
      <w:sz w:val="24"/>
    </w:rPr>
  </w:style>
  <w:style w:type="character" w:customStyle="1" w:styleId="Heading9Char">
    <w:name w:val="Heading 9 Char"/>
    <w:basedOn w:val="DefaultParagraphFont"/>
    <w:link w:val="Heading9"/>
    <w:semiHidden/>
    <w:rsid w:val="00203D96"/>
    <w:rPr>
      <w:rFonts w:ascii="Arial" w:hAnsi="Arial"/>
      <w:b/>
      <w:i/>
      <w:sz w:val="18"/>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03D96"/>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noteTextChar">
    <w:name w:val="Footnote Text Char"/>
    <w:basedOn w:val="DefaultParagraphFont"/>
    <w:link w:val="FootnoteText"/>
    <w:uiPriority w:val="99"/>
    <w:rsid w:val="00203D96"/>
    <w:rPr>
      <w:rFonts w:eastAsiaTheme="minorHAnsi"/>
      <w:lang w:eastAsia="en-US"/>
    </w:rPr>
  </w:style>
  <w:style w:type="paragraph" w:styleId="FootnoteText">
    <w:name w:val="footnote text"/>
    <w:basedOn w:val="Normal"/>
    <w:link w:val="FootnoteTextChar"/>
    <w:uiPriority w:val="99"/>
    <w:unhideWhenUsed/>
    <w:rsid w:val="00203D96"/>
    <w:pPr>
      <w:widowControl/>
      <w:ind w:left="720" w:hanging="720"/>
      <w:jc w:val="both"/>
    </w:pPr>
    <w:rPr>
      <w:rFonts w:eastAsiaTheme="minorHAnsi"/>
      <w:sz w:val="20"/>
      <w:lang w:eastAsia="en-US"/>
    </w:rPr>
  </w:style>
  <w:style w:type="character" w:customStyle="1" w:styleId="CommentTextChar">
    <w:name w:val="Comment Text Char"/>
    <w:basedOn w:val="DefaultParagraphFont"/>
    <w:link w:val="CommentText"/>
    <w:rsid w:val="00203D96"/>
  </w:style>
  <w:style w:type="paragraph" w:styleId="CommentText">
    <w:name w:val="annotation text"/>
    <w:basedOn w:val="Normal"/>
    <w:link w:val="CommentTextChar"/>
    <w:unhideWhenUsed/>
    <w:rsid w:val="00203D96"/>
    <w:rPr>
      <w:sz w:val="20"/>
    </w:rPr>
  </w:style>
  <w:style w:type="character" w:customStyle="1" w:styleId="FooterChar">
    <w:name w:val="Footer Char"/>
    <w:basedOn w:val="DefaultParagraphFont"/>
    <w:link w:val="Footer"/>
    <w:semiHidden/>
    <w:rsid w:val="00203D96"/>
    <w:rPr>
      <w:sz w:val="24"/>
    </w:rPr>
  </w:style>
  <w:style w:type="paragraph" w:styleId="Footer">
    <w:name w:val="footer"/>
    <w:basedOn w:val="Normal"/>
    <w:link w:val="FooterChar"/>
    <w:semiHidden/>
    <w:unhideWhenUsed/>
    <w:rsid w:val="00203D96"/>
    <w:pPr>
      <w:tabs>
        <w:tab w:val="center" w:pos="4513"/>
        <w:tab w:val="right" w:pos="9026"/>
      </w:tabs>
    </w:pPr>
  </w:style>
  <w:style w:type="character" w:customStyle="1" w:styleId="CommentSubjectChar">
    <w:name w:val="Comment Subject Char"/>
    <w:basedOn w:val="CommentTextChar"/>
    <w:link w:val="CommentSubject"/>
    <w:semiHidden/>
    <w:rsid w:val="00203D96"/>
    <w:rPr>
      <w:b/>
      <w:bCs/>
    </w:rPr>
  </w:style>
  <w:style w:type="paragraph" w:styleId="CommentSubject">
    <w:name w:val="annotation subject"/>
    <w:basedOn w:val="CommentText"/>
    <w:next w:val="CommentText"/>
    <w:link w:val="CommentSubjectChar"/>
    <w:semiHidden/>
    <w:unhideWhenUsed/>
    <w:rsid w:val="00203D96"/>
    <w:rPr>
      <w:b/>
      <w:bCs/>
    </w:rPr>
  </w:style>
  <w:style w:type="character" w:customStyle="1" w:styleId="BalloonTextChar">
    <w:name w:val="Balloon Text Char"/>
    <w:basedOn w:val="DefaultParagraphFont"/>
    <w:link w:val="BalloonText"/>
    <w:semiHidden/>
    <w:rsid w:val="00203D96"/>
    <w:rPr>
      <w:rFonts w:ascii="Segoe UI" w:hAnsi="Segoe UI" w:cs="Segoe UI"/>
      <w:sz w:val="18"/>
      <w:szCs w:val="18"/>
    </w:rPr>
  </w:style>
  <w:style w:type="paragraph" w:styleId="BalloonText">
    <w:name w:val="Balloon Text"/>
    <w:basedOn w:val="Normal"/>
    <w:link w:val="BalloonTextChar"/>
    <w:semiHidden/>
    <w:unhideWhenUsed/>
    <w:rsid w:val="00203D96"/>
    <w:rPr>
      <w:rFonts w:ascii="Segoe UI" w:hAnsi="Segoe UI" w:cs="Segoe UI"/>
      <w:sz w:val="18"/>
      <w:szCs w:val="18"/>
    </w:rPr>
  </w:style>
  <w:style w:type="character" w:customStyle="1" w:styleId="Normal6Char">
    <w:name w:val="Normal6 Char"/>
    <w:basedOn w:val="DefaultParagraphFont"/>
    <w:link w:val="Normal6"/>
    <w:locked/>
    <w:rsid w:val="00203D96"/>
    <w:rPr>
      <w:sz w:val="24"/>
      <w:lang w:val="nl-NL"/>
    </w:rPr>
  </w:style>
  <w:style w:type="paragraph" w:customStyle="1" w:styleId="Normal6">
    <w:name w:val="Normal6"/>
    <w:basedOn w:val="Normal"/>
    <w:link w:val="Normal6Char"/>
    <w:rsid w:val="00203D96"/>
    <w:pPr>
      <w:spacing w:after="120"/>
    </w:pPr>
  </w:style>
  <w:style w:type="paragraph" w:customStyle="1" w:styleId="ColumnHeading">
    <w:name w:val="ColumnHeading"/>
    <w:basedOn w:val="Normal"/>
    <w:rsid w:val="00203D96"/>
    <w:pPr>
      <w:spacing w:after="240"/>
      <w:jc w:val="center"/>
    </w:pPr>
    <w:rPr>
      <w:i/>
    </w:rPr>
  </w:style>
  <w:style w:type="paragraph" w:customStyle="1" w:styleId="Normal12Italic">
    <w:name w:val="Normal12Italic"/>
    <w:basedOn w:val="Normal"/>
    <w:rsid w:val="00203D96"/>
    <w:pPr>
      <w:spacing w:after="240"/>
    </w:pPr>
    <w:rPr>
      <w:i/>
      <w:noProof/>
    </w:rPr>
  </w:style>
  <w:style w:type="paragraph" w:customStyle="1" w:styleId="TableParagraph">
    <w:name w:val="Table Paragraph"/>
    <w:basedOn w:val="Normal"/>
    <w:uiPriority w:val="1"/>
    <w:qFormat/>
    <w:rsid w:val="00203D96"/>
    <w:pPr>
      <w:spacing w:line="252" w:lineRule="auto"/>
    </w:pPr>
    <w:rPr>
      <w:sz w:val="22"/>
      <w:szCs w:val="22"/>
      <w:lang w:eastAsia="en-US"/>
    </w:rPr>
  </w:style>
  <w:style w:type="paragraph" w:customStyle="1" w:styleId="Olang">
    <w:name w:val="Olang"/>
    <w:basedOn w:val="Normal"/>
    <w:rsid w:val="00203D96"/>
    <w:pPr>
      <w:spacing w:before="240" w:after="240"/>
      <w:jc w:val="right"/>
    </w:pPr>
    <w:rPr>
      <w:noProof/>
      <w:szCs w:val="24"/>
    </w:rPr>
  </w:style>
  <w:style w:type="character" w:styleId="FootnoteReference">
    <w:name w:val="footnote reference"/>
    <w:basedOn w:val="DefaultParagraphFont"/>
    <w:uiPriority w:val="99"/>
    <w:unhideWhenUsed/>
    <w:rsid w:val="00203D96"/>
    <w:rPr>
      <w:vertAlign w:val="superscript"/>
    </w:rPr>
  </w:style>
  <w:style w:type="paragraph" w:customStyle="1" w:styleId="Default">
    <w:name w:val="Default"/>
    <w:rsid w:val="0017484C"/>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20780</Words>
  <Characters>121548</Characters>
  <Application>Microsoft Office Word</Application>
  <DocSecurity>0</DocSecurity>
  <Lines>5163</Lines>
  <Paragraphs>1847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140858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2025-04-24T12:38:00Z</dcterms:created>
  <dcterms:modified xsi:type="dcterms:W3CDTF">2025-04-24T12:38:00Z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1319572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10.0.1 Build [20250315]</vt:lpwstr>
  </property>
  <property fmtid="{D5CDD505-2E9C-101B-9397-08002B2CF9AE}" pid="9" name="FooterPath">
    <vt:lpwstr>AM\1319572NL.docx</vt:lpwstr>
  </property>
  <property fmtid="{D5CDD505-2E9C-101B-9397-08002B2CF9AE}" pid="10" name="LastEdited with">
    <vt:lpwstr>10.1.0 Build [20250401]</vt:lpwstr>
  </property>
  <property fmtid="{D5CDD505-2E9C-101B-9397-08002B2CF9AE}" pid="11" name="PE number">
    <vt:lpwstr>771.930</vt:lpwstr>
  </property>
  <property fmtid="{D5CDD505-2E9C-101B-9397-08002B2CF9AE}" pid="12" name="SendToEpades">
    <vt:lpwstr>OK(AMNUM) - 2025/04/09 09:01</vt:lpwstr>
  </property>
  <property fmtid="{D5CDD505-2E9C-101B-9397-08002B2CF9AE}" pid="13" name="SDLStudio">
    <vt:lpwstr/>
  </property>
  <property fmtid="{D5CDD505-2E9C-101B-9397-08002B2CF9AE}" pid="14" name="Bookout">
    <vt:lpwstr>OK - 2025/04/24 14:38</vt:lpwstr>
  </property>
</Properties>
</file>