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959E7" w:rsidRPr="002554BF" w:rsidTr="00203D96">
        <w:trPr>
          <w:trHeight w:hRule="exact" w:val="1418"/>
        </w:trPr>
        <w:tc>
          <w:tcPr>
            <w:tcW w:w="6804" w:type="dxa"/>
            <w:shd w:val="clear" w:color="auto" w:fill="auto"/>
            <w:vAlign w:val="center"/>
          </w:tcPr>
          <w:p w:rsidR="00BE5062" w:rsidRPr="002554BF" w:rsidRDefault="00811D8D" w:rsidP="00203D96">
            <w:pPr>
              <w:pStyle w:val="EPName"/>
            </w:pPr>
            <w:bookmarkStart w:id="0" w:name="_GoBack"/>
            <w:bookmarkEnd w:id="0"/>
            <w:r w:rsidRPr="002554BF">
              <w:t>Parlamento Europeu</w:t>
            </w:r>
          </w:p>
          <w:p w:rsidR="00BE5062" w:rsidRPr="002554BF" w:rsidRDefault="00811D8D" w:rsidP="00203D96">
            <w:pPr>
              <w:pStyle w:val="EPTerm"/>
            </w:pPr>
            <w:r w:rsidRPr="002554BF">
              <w:t>2024-2029</w:t>
            </w:r>
          </w:p>
        </w:tc>
        <w:tc>
          <w:tcPr>
            <w:tcW w:w="2268" w:type="dxa"/>
            <w:shd w:val="clear" w:color="auto" w:fill="auto"/>
          </w:tcPr>
          <w:p w:rsidR="00BE5062" w:rsidRPr="002554BF" w:rsidRDefault="00811D8D" w:rsidP="00203D96">
            <w:pPr>
              <w:pStyle w:val="EPLogo"/>
            </w:pPr>
            <w:r w:rsidRPr="002554BF">
              <w:rPr>
                <w:noProof/>
                <w:lang w:eastAsia="pt-PT"/>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2554BF" w:rsidRDefault="000E7234" w:rsidP="000E7234">
      <w:pPr>
        <w:pStyle w:val="LineTop"/>
      </w:pPr>
    </w:p>
    <w:p w:rsidR="000E7234" w:rsidRPr="002554BF" w:rsidRDefault="00811D8D" w:rsidP="000E7234">
      <w:pPr>
        <w:pStyle w:val="EPBody"/>
      </w:pPr>
      <w:r w:rsidRPr="002554BF">
        <w:rPr>
          <w:rStyle w:val="HideTWBExt"/>
          <w:color w:val="auto"/>
        </w:rPr>
        <w:t>&lt;</w:t>
      </w:r>
      <w:r w:rsidRPr="002554BF">
        <w:rPr>
          <w:rStyle w:val="HideTWBExt"/>
          <w:i w:val="0"/>
          <w:color w:val="auto"/>
        </w:rPr>
        <w:t>Commission</w:t>
      </w:r>
      <w:r w:rsidRPr="002554BF">
        <w:rPr>
          <w:rStyle w:val="HideTWBExt"/>
          <w:color w:val="auto"/>
        </w:rPr>
        <w:t>&gt;</w:t>
      </w:r>
      <w:r w:rsidRPr="002554BF">
        <w:rPr>
          <w:rStyle w:val="HideTWBInt"/>
          <w:color w:val="auto"/>
        </w:rPr>
        <w:t>{PECH}</w:t>
      </w:r>
      <w:r w:rsidRPr="002554BF">
        <w:t>Comissão das Pescas</w:t>
      </w:r>
      <w:r w:rsidRPr="002554BF">
        <w:rPr>
          <w:rStyle w:val="HideTWBExt"/>
          <w:color w:val="auto"/>
        </w:rPr>
        <w:t>&lt;/</w:t>
      </w:r>
      <w:r w:rsidRPr="002554BF">
        <w:rPr>
          <w:rStyle w:val="HideTWBExt"/>
          <w:i w:val="0"/>
          <w:color w:val="auto"/>
        </w:rPr>
        <w:t>Commission</w:t>
      </w:r>
      <w:r w:rsidRPr="002554BF">
        <w:rPr>
          <w:rStyle w:val="HideTWBExt"/>
          <w:color w:val="auto"/>
        </w:rPr>
        <w:t>&gt;</w:t>
      </w:r>
    </w:p>
    <w:p w:rsidR="000E7234" w:rsidRPr="002554BF" w:rsidRDefault="000E7234" w:rsidP="000E7234">
      <w:pPr>
        <w:pStyle w:val="LineBottom"/>
      </w:pPr>
    </w:p>
    <w:p w:rsidR="00B85286" w:rsidRPr="002554BF" w:rsidRDefault="00811D8D">
      <w:pPr>
        <w:pStyle w:val="CoverReference"/>
      </w:pPr>
      <w:r w:rsidRPr="002554BF">
        <w:rPr>
          <w:rStyle w:val="HideTWBExt"/>
          <w:b w:val="0"/>
          <w:color w:val="auto"/>
        </w:rPr>
        <w:t>&lt;RefProc&gt;</w:t>
      </w:r>
      <w:r w:rsidRPr="002554BF">
        <w:t>2024/0098</w:t>
      </w:r>
      <w:r w:rsidRPr="002554BF">
        <w:rPr>
          <w:rStyle w:val="HideTWBExt"/>
          <w:b w:val="0"/>
          <w:color w:val="auto"/>
        </w:rPr>
        <w:t>&lt;/RefProc&gt;&lt;RefTypeProc&gt;</w:t>
      </w:r>
      <w:r w:rsidRPr="002554BF">
        <w:t>(COD)</w:t>
      </w:r>
      <w:r w:rsidRPr="002554BF">
        <w:rPr>
          <w:rStyle w:val="HideTWBExt"/>
          <w:b w:val="0"/>
          <w:color w:val="auto"/>
        </w:rPr>
        <w:t>&lt;/RefTypeProc&gt;</w:t>
      </w:r>
    </w:p>
    <w:p w:rsidR="00B85286" w:rsidRPr="002554BF" w:rsidRDefault="00811D8D">
      <w:pPr>
        <w:pStyle w:val="CoverDate"/>
      </w:pPr>
      <w:r w:rsidRPr="002554BF">
        <w:rPr>
          <w:rStyle w:val="HideTWBExt"/>
          <w:color w:val="auto"/>
        </w:rPr>
        <w:t>&lt;Date&gt;</w:t>
      </w:r>
      <w:r w:rsidRPr="002554BF">
        <w:rPr>
          <w:rStyle w:val="HideTWBInt"/>
          <w:color w:val="auto"/>
        </w:rPr>
        <w:t>{09/04/2025}</w:t>
      </w:r>
      <w:r w:rsidRPr="002554BF">
        <w:t>16.4.2025</w:t>
      </w:r>
      <w:r w:rsidRPr="002554BF">
        <w:rPr>
          <w:rStyle w:val="HideTWBExt"/>
          <w:color w:val="auto"/>
        </w:rPr>
        <w:t>&lt;/Date&gt;</w:t>
      </w:r>
    </w:p>
    <w:p w:rsidR="009B0305" w:rsidRPr="002554BF" w:rsidRDefault="00811D8D" w:rsidP="009B0305">
      <w:pPr>
        <w:pStyle w:val="CoverDocType"/>
      </w:pPr>
      <w:r w:rsidRPr="002554BF">
        <w:rPr>
          <w:rStyle w:val="HideTWBExt"/>
          <w:b w:val="0"/>
          <w:color w:val="auto"/>
        </w:rPr>
        <w:t>&lt;TypeAM&gt;</w:t>
      </w:r>
      <w:r w:rsidRPr="002554BF">
        <w:t>ALTERAÇÕES</w:t>
      </w:r>
      <w:r w:rsidRPr="002554BF">
        <w:rPr>
          <w:rStyle w:val="HideTWBExt"/>
          <w:b w:val="0"/>
          <w:color w:val="auto"/>
        </w:rPr>
        <w:t>&lt;/TypeAM&gt;</w:t>
      </w:r>
    </w:p>
    <w:p w:rsidR="00B85286" w:rsidRPr="002554BF" w:rsidRDefault="00811D8D" w:rsidP="001C2054">
      <w:pPr>
        <w:pStyle w:val="CoverDocType24a"/>
      </w:pPr>
      <w:r w:rsidRPr="002554BF">
        <w:rPr>
          <w:rStyle w:val="HideTWBExt"/>
          <w:b w:val="0"/>
          <w:color w:val="auto"/>
        </w:rPr>
        <w:t>&lt;RangeAM&gt;</w:t>
      </w:r>
      <w:r w:rsidRPr="002554BF">
        <w:t>127 - 244</w:t>
      </w:r>
      <w:r w:rsidRPr="002554BF">
        <w:rPr>
          <w:rStyle w:val="HideTWBExt"/>
          <w:b w:val="0"/>
          <w:color w:val="auto"/>
        </w:rPr>
        <w:t>&lt;/RangeAM&gt;</w:t>
      </w:r>
    </w:p>
    <w:p w:rsidR="001C2054" w:rsidRPr="002554BF" w:rsidRDefault="00811D8D" w:rsidP="00A93F8C">
      <w:pPr>
        <w:pStyle w:val="CoverBold"/>
      </w:pPr>
      <w:r w:rsidRPr="002554BF">
        <w:rPr>
          <w:rStyle w:val="HideTWBExt"/>
          <w:b w:val="0"/>
          <w:color w:val="auto"/>
        </w:rPr>
        <w:t>&lt;TitreType&gt;</w:t>
      </w:r>
      <w:r w:rsidRPr="002554BF">
        <w:t>Projeto de relatório</w:t>
      </w:r>
      <w:r w:rsidRPr="002554BF">
        <w:rPr>
          <w:rStyle w:val="HideTWBExt"/>
          <w:b w:val="0"/>
          <w:color w:val="auto"/>
        </w:rPr>
        <w:t>&lt;/TitreType&gt;</w:t>
      </w:r>
    </w:p>
    <w:p w:rsidR="00B85286" w:rsidRPr="002554BF" w:rsidRDefault="00811D8D" w:rsidP="00A93F8C">
      <w:pPr>
        <w:pStyle w:val="CoverBold"/>
      </w:pPr>
      <w:r w:rsidRPr="002554BF">
        <w:rPr>
          <w:rStyle w:val="HideTWBExt"/>
          <w:b w:val="0"/>
          <w:color w:val="auto"/>
        </w:rPr>
        <w:t>&lt;Rapporteur&gt;</w:t>
      </w:r>
      <w:r w:rsidRPr="002554BF">
        <w:t>Željana Zovko</w:t>
      </w:r>
      <w:r w:rsidRPr="002554BF">
        <w:rPr>
          <w:rStyle w:val="HideTWBExt"/>
          <w:b w:val="0"/>
          <w:color w:val="auto"/>
        </w:rPr>
        <w:t>&lt;/Rapporteur&gt;</w:t>
      </w:r>
    </w:p>
    <w:p w:rsidR="00B85286" w:rsidRPr="002554BF" w:rsidRDefault="00811D8D">
      <w:pPr>
        <w:pStyle w:val="CoverNormal24a"/>
      </w:pPr>
      <w:r w:rsidRPr="002554BF">
        <w:rPr>
          <w:rStyle w:val="HideTWBExt"/>
          <w:color w:val="auto"/>
        </w:rPr>
        <w:t>&lt;DocRefPE&gt;</w:t>
      </w:r>
      <w:r w:rsidRPr="002554BF">
        <w:t>(PE765.292v01-00)</w:t>
      </w:r>
      <w:r w:rsidRPr="002554BF">
        <w:rPr>
          <w:rStyle w:val="HideTWBExt"/>
          <w:color w:val="auto"/>
        </w:rPr>
        <w:t>&lt;/DocRefPE&gt;</w:t>
      </w:r>
    </w:p>
    <w:p w:rsidR="00B85286" w:rsidRPr="002554BF" w:rsidRDefault="00811D8D">
      <w:pPr>
        <w:pStyle w:val="CoverNormal24a"/>
      </w:pPr>
      <w:r w:rsidRPr="002554BF">
        <w:rPr>
          <w:rStyle w:val="HideTWBExt"/>
          <w:color w:val="auto"/>
        </w:rPr>
        <w:t>&lt;Titre&gt;</w:t>
      </w:r>
      <w:r w:rsidRPr="002554BF">
        <w:t>Proposta de regulamento do Parlamento Europeu e do Conselho que altera o Regulamento (UE) 2023/2124 do Parlamento Europeu e do Conselho, de 4 de outubro de 2023, relativo a determinadas disposições aplicáveis à pesca na zona do Acordo da Comissão Geral das Pescas do Mediterrâneo (CGPM)</w:t>
      </w:r>
      <w:r w:rsidRPr="002554BF">
        <w:rPr>
          <w:rStyle w:val="HideTWBExt"/>
          <w:color w:val="auto"/>
        </w:rPr>
        <w:t>&lt;/Titre&gt;</w:t>
      </w:r>
    </w:p>
    <w:p w:rsidR="006337D4" w:rsidRPr="002554BF" w:rsidRDefault="00811D8D" w:rsidP="006337D4">
      <w:pPr>
        <w:pStyle w:val="CoverNormal"/>
      </w:pPr>
      <w:r w:rsidRPr="002554BF">
        <w:rPr>
          <w:rStyle w:val="HideTWBExt"/>
          <w:color w:val="auto"/>
        </w:rPr>
        <w:t>&lt;DocAmend&gt;</w:t>
      </w:r>
      <w:r w:rsidRPr="002554BF">
        <w:t>Proposta de regulamento</w:t>
      </w:r>
      <w:r w:rsidRPr="002554BF">
        <w:rPr>
          <w:rStyle w:val="HideTWBExt"/>
          <w:color w:val="auto"/>
        </w:rPr>
        <w:t>&lt;/DocAmend&gt;</w:t>
      </w:r>
    </w:p>
    <w:p w:rsidR="00B85286" w:rsidRPr="002554BF" w:rsidRDefault="00811D8D">
      <w:pPr>
        <w:pStyle w:val="CoverNormal24a"/>
      </w:pPr>
      <w:r w:rsidRPr="002554BF">
        <w:rPr>
          <w:rStyle w:val="HideTWBExt"/>
          <w:color w:val="auto"/>
        </w:rPr>
        <w:t>&lt;DocRef&gt;</w:t>
      </w:r>
      <w:r w:rsidRPr="002554BF">
        <w:t>(COM(2024)0183 – C10</w:t>
      </w:r>
      <w:r w:rsidRPr="002554BF">
        <w:noBreakHyphen/>
        <w:t>0006/2024 – 2024/0098(COD))</w:t>
      </w:r>
      <w:r w:rsidRPr="002554BF">
        <w:rPr>
          <w:rStyle w:val="HideTWBExt"/>
          <w:color w:val="auto"/>
        </w:rPr>
        <w:t>&lt;/DocRef&gt;</w:t>
      </w:r>
    </w:p>
    <w:p w:rsidR="00B85286" w:rsidRPr="002554BF" w:rsidRDefault="00811D8D" w:rsidP="00E660E2">
      <w:pPr>
        <w:widowControl/>
        <w:tabs>
          <w:tab w:val="center" w:pos="4677"/>
        </w:tabs>
      </w:pPr>
      <w:r w:rsidRPr="002554BF">
        <w:br w:type="page"/>
      </w:r>
      <w:r w:rsidRPr="002554BF">
        <w:lastRenderedPageBreak/>
        <w:t>AM_Com_LegReport</w:t>
      </w:r>
    </w:p>
    <w:p w:rsidR="00DD5018" w:rsidRPr="002554BF" w:rsidRDefault="00811D8D" w:rsidP="00DD5018">
      <w:pPr>
        <w:pStyle w:val="AmNumberTabs"/>
      </w:pPr>
      <w:r w:rsidRPr="002554BF">
        <w:br w:type="page"/>
      </w:r>
      <w:r w:rsidRPr="002554BF">
        <w:rPr>
          <w:rStyle w:val="HideTWBExt"/>
          <w:b w:val="0"/>
          <w:color w:val="auto"/>
        </w:rPr>
        <w:lastRenderedPageBreak/>
        <w:t>&lt;RepeatBlock-Amend&gt;</w:t>
      </w: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127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Stephen Nikola Bartulica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 Acordo que institui a Comissão Geral das Pescas do Mediterrâneo (a seguir designado por «Acordo da CGPM») prevê um quadro adequado para a cooperação multilateral a fim de promover o desenvolvimento, a conservação, a gestão racional e uma melhor utilização dos recursos marinhos vivos no Mediterrâneo e no mar Negro, a níveis considerados sustentáveis e com baixo risco de colapso.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 Acordo que institui a Comissão Geral das Pescas do Mediterrâneo (a seguir designado por «Acordo da CGPM») prevê um quadro adequado para a cooperação multilateral a fim de promover o desenvolvimento, a conservação, a gestão racional e uma melhor utilização dos recursos marinhos vivos no Mediterrâneo e no mar Negro, a níveis considerados sustentáveis e com baixo risco de colapso</w:t>
            </w:r>
            <w:r w:rsidRPr="002554BF">
              <w:rPr>
                <w:b/>
                <w:i/>
              </w:rPr>
              <w:t>, que estejam em conformidade com os pareceres científicos e que tenham em conta uma análise socioeconómica</w:t>
            </w:r>
            <w:r w:rsidRPr="002554BF">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{HR}</w:t>
      </w:r>
      <w:r w:rsidRPr="002554BF">
        <w:t>hr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128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 Acordo que institui a Comissão Geral das Pescas do Mediterrâneo (a seguir designado por «Acordo da CGPM») prevê um quadro adequado para a cooperação multilateral a fim de promover o desenvolvimento, a conservação, a gestão racional e uma melhor utilização dos recursos marinhos vivos no Mediterrâneo e no mar Negro</w:t>
            </w:r>
            <w:r w:rsidRPr="002554BF">
              <w:rPr>
                <w:b/>
                <w:i/>
              </w:rPr>
              <w:t>, a níveis considerados sustentáveis e com baixo risco de colapso</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 Acordo que institui a Comissão Geral das Pescas do Mediterrâneo (a seguir designado por «Acordo da CGPM») prevê um quadro adequado para a cooperação multilateral a fim de promover o desenvolvimento, a conservação, a gestão racional e uma melhor utilização dos recursos marinhos vivos no Mediterrâneo e no mar Negro.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lastRenderedPageBreak/>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129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Giuseppe Milazzo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(1-A)</w:t>
            </w:r>
            <w:r w:rsidRPr="002554BF">
              <w:tab/>
            </w:r>
            <w:r w:rsidRPr="002554BF">
              <w:rPr>
                <w:b/>
                <w:i/>
              </w:rPr>
              <w:t>Propor a adoção de medidas de conservação, gestão e controlo das principais unidades populacionais no Mediterrâneo e no mar Negro que estejam em conformidade com os pareceres científicos e tenham em conta os efeitos socioeconómicos;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(1-A)</w:t>
            </w:r>
            <w:r w:rsidRPr="002554BF">
              <w:tab/>
            </w:r>
            <w:r w:rsidRPr="002554BF">
              <w:rPr>
                <w:b/>
                <w:i/>
              </w:rPr>
              <w:t>A frota de pesca europeia no Mediterrâneo tem empreendido esforços consideráveis no âmbito de vários planos de gestão.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Stephen Nikola Bartulica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 xml:space="preserve">As recomendações adotadas pela </w:t>
            </w:r>
            <w:r w:rsidRPr="002554BF">
              <w:lastRenderedPageBreak/>
              <w:t>Comissão Geral das Pescas do Mediterrâneo (CGPM) são vinculativas para as suas partes contratantes.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(3)</w:t>
            </w:r>
            <w:r w:rsidRPr="002554BF">
              <w:tab/>
              <w:t xml:space="preserve">As recomendações adotadas pela </w:t>
            </w:r>
            <w:r w:rsidRPr="002554BF">
              <w:lastRenderedPageBreak/>
              <w:t xml:space="preserve">Comissão Geral das Pescas do Mediterrâneo (CGPM) são vinculativas para as suas partes contratantes.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 </w:t>
            </w:r>
            <w:r w:rsidRPr="002554BF">
              <w:rPr>
                <w:b/>
                <w:i/>
              </w:rPr>
              <w:t>As recomendações da CGPM devem ser rigorosamente transpostas, a fim de estabelecer condições equitativas para todos os operadores sem os sobrecarregar além dos limites legais estabelecidos nas recomendações da CGPM.</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{HR}</w:t>
      </w:r>
      <w:r w:rsidRPr="002554BF">
        <w:t>hr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Giuseppe Milazzo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As recomendações adotadas pela Comissão Geral das Pescas do Mediterrâneo (CGPM) são vinculativas para as suas partes contratantes.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As recomendações adotadas pela Comissão Geral das Pescas do Mediterrâneo (CGPM) são vinculativas para as suas partes contratantes. Essas recomendações são, pois, vinculativas para a União e deverão, portanto, ser transpostas para o direito da União</w:t>
            </w:r>
            <w:r w:rsidRPr="002554BF">
              <w:rPr>
                <w:b/>
                <w:i/>
              </w:rPr>
              <w:t xml:space="preserve"> de forma a assegurar condições equitativas para os operadores da UE em relação aos operadores de outras partes contratantes no Acordo da CGPM</w:t>
            </w:r>
            <w:r w:rsidRPr="002554BF">
              <w:t xml:space="preserve">, a menos que este já contemple o seu teor. A União deve velar por que as suas atividades de pesca fora das águas da União se baseiam nos mesmos princípios e nas mesmas normas </w:t>
            </w:r>
            <w:r w:rsidRPr="002554BF">
              <w:lastRenderedPageBreak/>
              <w:t>que as aplicáveis em virtude da legislação da União, promovendo simultaneamente a concorrência leal entre os operadores da União e os operadores de países terceiros.</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{IT}</w:t>
      </w:r>
      <w:r w:rsidRPr="002554BF">
        <w:t>it</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Giuseppe Milazzo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As recomendações adotadas pela Comissão Geral das Pescas do Mediterrâneo (CGPM) são vinculativas para as suas partes contratantes.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As recomendações adotadas pela Comissão Geral das Pescas do Mediterrâneo (CGPM) são vinculativas para as suas partes contratantes</w:t>
            </w:r>
            <w:r w:rsidRPr="002554BF">
              <w:rPr>
                <w:b/>
                <w:i/>
              </w:rPr>
              <w:t xml:space="preserve"> e garantem o estabelecimento de medidas técnicas em condições equitativas para todas as partes contratantes</w:t>
            </w:r>
            <w:r w:rsidRPr="002554BF">
              <w:t>.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lastRenderedPageBreak/>
              <w:t>(3)</w:t>
            </w:r>
            <w:r w:rsidRPr="002554BF">
              <w:tab/>
              <w:t>As recomendações adotadas pela Comissão Geral das Pescas do Mediterrâneo (CGPM) são vinculativas para as suas partes contratantes. Essas recomendações são, pois, vinculativas para a União e deverão, portanto, ser transpostas para o direito da União, a menos que este já contemple o seu teor.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As recomendações adotadas pela Comissão Geral das Pescas do Mediterrâneo (CGPM) são vinculativas para as suas partes contratantes. Essas recomendações são, pois, vinculativas para a União e deverão, portanto, ser transpostas para o direito da União, a menos que este já contemple o seu teor</w:t>
            </w:r>
            <w:r w:rsidRPr="002554BF">
              <w:rPr>
                <w:b/>
                <w:i/>
              </w:rPr>
              <w:t>, não deixando de se evitar uma transposição excessiva</w:t>
            </w:r>
            <w:r w:rsidRPr="002554BF">
              <w:t>. A União deve velar por que as suas atividades de pesca fora das águas da União se baseiam nos mesmos princípios e nas mesmas normas que as aplicáveis em virtude da legislação da União, promovendo simultaneamente a concorrência leal entre os operadores da União e os operadores de países terceiros.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Emma Wiesner, Oihane Agirregoitia Martínez</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(3-A)</w:t>
            </w:r>
            <w:r w:rsidRPr="002554BF">
              <w:tab/>
            </w:r>
            <w:r w:rsidRPr="002554BF">
              <w:rPr>
                <w:b/>
                <w:i/>
              </w:rPr>
              <w:t>É importante que a União cumpra as suas obrigações internacionais de forma atempada e correta. Desta forma, é possível proporcionar previsibilidade aos operadores, garantir condições equitativas e assegurar que a União é um parceiro internacional fiável. Para o efeito, é primordial que as instituições competentes da UE estabeleçam uma cooperação eficaz que garanta posições de negociação fortes que possam ser rapidamente transpostas para o direito da UE uma vez adotadas na CGPM. É imperioso que os atuais atrasos no cumprimento das nossas obrigações internacionais sejam reduzidos com mais celeridade.</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Stephen Nikola Bartulica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3-A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(3-A)</w:t>
            </w:r>
            <w:r w:rsidRPr="002554BF">
              <w:tab/>
            </w:r>
            <w:r w:rsidRPr="002554BF">
              <w:rPr>
                <w:b/>
                <w:i/>
              </w:rPr>
              <w:t>Os navios de pesca da UE não podem ser sujeitos a medidas diferentes ou mais rigorosas do que as aplicáveis a outras partes contratantes na CGPM.</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{HR}</w:t>
      </w:r>
      <w:r w:rsidRPr="002554BF">
        <w:t>hr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6</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(6)</w:t>
            </w:r>
            <w:r w:rsidRPr="002554BF">
              <w:tab/>
              <w:t>O presente regulamento deverá transpor para o direito da União as medidas estabelecidas nas recomendações a seguir indicadas</w:t>
            </w:r>
            <w:r w:rsidRPr="002554BF">
              <w:rPr>
                <w:b/>
                <w:i/>
              </w:rPr>
              <w:t>, que</w:t>
            </w:r>
            <w:r w:rsidRPr="002554BF">
              <w:t xml:space="preserve"> ainda não </w:t>
            </w:r>
            <w:r w:rsidRPr="002554BF">
              <w:rPr>
                <w:b/>
                <w:i/>
              </w:rPr>
              <w:t>são</w:t>
            </w:r>
            <w:r w:rsidRPr="002554BF">
              <w:t xml:space="preserve"> cobertas pela legislação da União.</w:t>
            </w:r>
          </w:p>
        </w:tc>
        <w:tc>
          <w:tcPr>
            <w:tcW w:w="4876" w:type="dxa"/>
            <w:tcBorders>
              <w:top w:val="nil"/>
              <w:left w:val="nil"/>
              <w:bottom w:val="nil"/>
              <w:right w:val="nil"/>
            </w:tcBorders>
            <w:hideMark/>
          </w:tcPr>
          <w:p w:rsidR="00DD5018" w:rsidRPr="002554BF" w:rsidRDefault="00811D8D" w:rsidP="00F37D8F">
            <w:pPr>
              <w:pStyle w:val="Normal6a"/>
            </w:pPr>
            <w:r w:rsidRPr="002554BF">
              <w:t>(6)</w:t>
            </w:r>
            <w:r w:rsidRPr="002554BF">
              <w:tab/>
              <w:t xml:space="preserve">O presente regulamento deverá transpor para o direito da União </w:t>
            </w:r>
            <w:r w:rsidRPr="002554BF">
              <w:rPr>
                <w:b/>
                <w:i/>
              </w:rPr>
              <w:t xml:space="preserve">— não deixando de se evitar uma transposição excessiva — </w:t>
            </w:r>
            <w:r w:rsidRPr="002554BF">
              <w:t>as medidas estabelecidas nas recomendações a seguir indicadas</w:t>
            </w:r>
            <w:r w:rsidRPr="002554BF">
              <w:rPr>
                <w:b/>
                <w:i/>
              </w:rPr>
              <w:t xml:space="preserve"> caso</w:t>
            </w:r>
            <w:r w:rsidRPr="002554BF">
              <w:t xml:space="preserve"> ainda não </w:t>
            </w:r>
            <w:r w:rsidRPr="002554BF">
              <w:rPr>
                <w:b/>
                <w:i/>
              </w:rPr>
              <w:t>sejam</w:t>
            </w:r>
            <w:r w:rsidRPr="002554BF">
              <w:t xml:space="preserve"> cobertas pela legislação da União.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6-A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lastRenderedPageBreak/>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(6-A)</w:t>
            </w:r>
            <w:r w:rsidRPr="002554BF">
              <w:tab/>
            </w:r>
            <w:r w:rsidRPr="002554BF">
              <w:rPr>
                <w:b/>
                <w:i/>
              </w:rPr>
              <w:t>A correta transposição das disposições do Acordo da CGPM deverá ter em conta os efeitos socioeconómicos.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139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7</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(7)</w:t>
            </w:r>
            <w:r w:rsidRPr="002554BF">
              <w:tab/>
              <w:t>Na sua sessão anual de 2021, a CGPM adotou a Recomendação CGPM/44/2021/2 relativa ao estabelecimento de uma zona de restrição da pesca na fossa de Jabuka/Pomo no mar Adriático, alterando as recomendações CGPM/41/2017/3 e CGPM/44/2021/5 relativas ao estabelecimento de uma zona de restrição da pesca no golfo do Leão, a fim de proteger concentrações de reprodutores e habitats sensíveis de profundidade, e revogando a Recomendação CGPM/33/2009/1.</w:t>
            </w:r>
          </w:p>
        </w:tc>
        <w:tc>
          <w:tcPr>
            <w:tcW w:w="4876" w:type="dxa"/>
            <w:tcBorders>
              <w:top w:val="nil"/>
              <w:left w:val="nil"/>
              <w:bottom w:val="nil"/>
              <w:right w:val="nil"/>
            </w:tcBorders>
            <w:hideMark/>
          </w:tcPr>
          <w:p w:rsidR="00DD5018" w:rsidRPr="002554BF" w:rsidRDefault="00811D8D" w:rsidP="00F37D8F">
            <w:pPr>
              <w:pStyle w:val="Normal6a"/>
            </w:pPr>
            <w:r w:rsidRPr="002554BF">
              <w:t>(7)</w:t>
            </w:r>
            <w:r w:rsidRPr="002554BF">
              <w:tab/>
              <w:t xml:space="preserve">Na sua sessão anual de 2021, a CGPM adotou a Recomendação CGPM/44/2021/2 relativa ao estabelecimento de uma zona de restrição da pesca na fossa de Jabuka/Pomo no mar Adriático, alterando as recomendações CGPM/41/2017/3 e CGPM/44/2021/5 relativas ao estabelecimento de uma zona de restrição da pesca no golfo do Leão, a fim de proteger concentrações de reprodutores e habitats sensíveis de profundidade, e revogando a Recomendação CGPM/33/2009/1. </w:t>
            </w:r>
            <w:r w:rsidRPr="002554BF">
              <w:rPr>
                <w:b/>
                <w:i/>
              </w:rPr>
              <w:t>A União deverá redobrar esforços nos próximos anos para aumentar o nível de proteção da zona de restrição da pesca no golfo do Leão como zona prioritária de conservação no Mediterrâneo e prever um encerramento permanente para as artes de pesca que operem em contacto com o fundo, no intuito de permitir a recuperação de populações de peixes e ecossistemas marinhos.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140</w:t>
      </w:r>
      <w:r w:rsidRPr="002554BF">
        <w:rPr>
          <w:rStyle w:val="HideTWBExt"/>
          <w:color w:val="auto"/>
        </w:rPr>
        <w:t>&lt;/NumAm&gt;</w:t>
      </w:r>
    </w:p>
    <w:p w:rsidR="00DD5018" w:rsidRPr="002554BF" w:rsidRDefault="00811D8D" w:rsidP="00DD5018">
      <w:pPr>
        <w:pStyle w:val="NormalBold"/>
      </w:pPr>
      <w:r w:rsidRPr="002554BF">
        <w:rPr>
          <w:rStyle w:val="HideTWBExt"/>
          <w:color w:val="auto"/>
        </w:rPr>
        <w:lastRenderedPageBreak/>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9</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(9)</w:t>
            </w:r>
            <w:r w:rsidRPr="002554BF">
              <w:tab/>
              <w:t>Na sua sessão anual de 2021, a CGPM adotou também a Recomendação CGPM/44/2021/13 relativa à atenuação dos impactos da pesca para a conservação das aves marinhas no mar Mediterrâneo, a Recomendação CGPM/44/2021/14 relativa à atenuação dos impactos da pesca para a conservação das tartarugas marinhas, a Recomendação CGPM/44/2021/15 relativa à atenuação dos impactos da pesca para a conservação dos cetáceos e a Recomendação CGPM/44/2021/16 relativa a medidas de atenuação adicionais para a conservação dos elasmobrânquios no mar Mediterrâneo.</w:t>
            </w:r>
          </w:p>
        </w:tc>
        <w:tc>
          <w:tcPr>
            <w:tcW w:w="4876" w:type="dxa"/>
            <w:tcBorders>
              <w:top w:val="nil"/>
              <w:left w:val="nil"/>
              <w:bottom w:val="nil"/>
              <w:right w:val="nil"/>
            </w:tcBorders>
            <w:hideMark/>
          </w:tcPr>
          <w:p w:rsidR="00DD5018" w:rsidRPr="002554BF" w:rsidRDefault="00811D8D" w:rsidP="00F37D8F">
            <w:pPr>
              <w:pStyle w:val="Normal6a"/>
            </w:pPr>
            <w:r w:rsidRPr="002554BF">
              <w:t>(9)</w:t>
            </w:r>
            <w:r w:rsidRPr="002554BF">
              <w:tab/>
              <w:t xml:space="preserve">Na sua sessão anual de 2021, a CGPM adotou também a Recomendação CGPM/44/2021/13 relativa à atenuação dos impactos da pesca para a conservação das aves marinhas no mar Mediterrâneo, a Recomendação CGPM/44/2021/14 relativa à atenuação dos impactos da pesca para a conservação das tartarugas marinhas, a Recomendação CGPM/44/2021/15 relativa à atenuação dos impactos da pesca para a conservação dos cetáceos e a Recomendação CGPM/44/2021/16 relativa a medidas de atenuação adicionais para a conservação dos elasmobrânquios no mar Mediterrâneo. </w:t>
            </w:r>
            <w:r w:rsidRPr="002554BF">
              <w:rPr>
                <w:b/>
                <w:i/>
              </w:rPr>
              <w:t>Um dos objetivos do Regulamento Medidas Técnicas (Regulamento (UE) 2019/1241) é reduzir ao mínimo e, se possível, eliminar as capturas acidentais de espécies marinhas sensíveis. Por conseguinte, os Estados-Membros deverão intensificar a sua ação e adotar medidas para reduzir ou, se possível, eliminar as capturas acessórias de espécies sensíveis.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13</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(13)</w:t>
            </w:r>
            <w:r w:rsidRPr="002554BF">
              <w:tab/>
            </w:r>
            <w:r w:rsidRPr="002554BF">
              <w:rPr>
                <w:b/>
                <w:i/>
              </w:rPr>
              <w:t xml:space="preserve">Na sua sessão anual de 2022, a CGPM adotou a Recomendação CGPM/45/2022/1 relativa </w:t>
            </w:r>
            <w:r w:rsidRPr="002554BF">
              <w:rPr>
                <w:b/>
                <w:i/>
              </w:rPr>
              <w:lastRenderedPageBreak/>
              <w:t>a um plano de gestão plurianual para a enguia-europeia no mar Mediterrâneo, que altera a Recomendação CGPM/42/2018/1.</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Revogado pela nova Recomendação CGPM/46/2023/16 incluída no novo considerando 23-A.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14</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(14)</w:t>
            </w:r>
            <w:r w:rsidRPr="002554BF">
              <w:tab/>
            </w:r>
            <w:r w:rsidRPr="002554BF">
              <w:rPr>
                <w:b/>
                <w:i/>
              </w:rPr>
              <w:t>Na sua sessão anual de 2022, a CGPM adotou também a Recomendação CGPM/45/2022/2 relativa a um plano de gestão para a exploração sustentável do coral-vermelho no mar Mediterrâneo, que altera a Recomendação CGPM/43/2019/4.</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Substituído pela Recomendação CGPM/47/2024/2, incluída como novo considerando 23-B.</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21</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(21)</w:t>
            </w:r>
            <w:r w:rsidRPr="002554BF">
              <w:tab/>
              <w:t xml:space="preserve">Na sua sessão anual de 2022, a CGPM adotou ainda a Recomendação CGPM/45/2022/11 relativa à criação de um </w:t>
            </w:r>
            <w:r w:rsidRPr="002554BF">
              <w:lastRenderedPageBreak/>
              <w:t>conjunto de normas mínimas para as zonas de restrição da pesca na zona de aplicação da CGPM.</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(21)</w:t>
            </w:r>
            <w:r w:rsidRPr="002554BF">
              <w:tab/>
              <w:t xml:space="preserve">Na sua sessão anual de 2022, a CGPM adotou ainda a Recomendação CGPM/45/2022/11 relativa à criação de um </w:t>
            </w:r>
            <w:r w:rsidRPr="002554BF">
              <w:lastRenderedPageBreak/>
              <w:t xml:space="preserve">conjunto de normas mínimas para as zonas de restrição da pesca na zona de aplicação da CGPM. </w:t>
            </w:r>
            <w:r w:rsidRPr="002554BF">
              <w:rPr>
                <w:b/>
                <w:i/>
              </w:rPr>
              <w:t>As zonas de restrição da pesca no mar Mediterrâneo com um nível de proteção adequado minimizam as capturas acidentais, protegem as zonas de desova e de alevinagem de peixes e os juvenis e reduzem os efeitos nos habitats sensíveis, em particular nos fundos marinhos. Como tal, a União deverá aumentar a rede de zonas de restrição da pesca e o seu nível de proteção.</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23-A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(23-A)</w:t>
            </w:r>
            <w:r w:rsidRPr="002554BF">
              <w:tab/>
            </w:r>
            <w:r w:rsidRPr="002554BF">
              <w:rPr>
                <w:b/>
                <w:i/>
              </w:rPr>
              <w:t>Na sua sessão anual de 2023, a CGPM adotou ainda a Recomendação CGPM/46/2023/16 relativa a um plano de gestão a longo prazo para a enguia-europeia no mar Mediterrâneo, que revoga as Recomendações CGPM/45/2022/1 e CGPM/42/2018/1.</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23-B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(23-B)</w:t>
            </w:r>
            <w:r w:rsidRPr="002554BF">
              <w:tab/>
            </w:r>
            <w:r w:rsidRPr="002554BF">
              <w:rPr>
                <w:b/>
                <w:i/>
              </w:rPr>
              <w:t xml:space="preserve">Na sua sessão anual de 2024, a CGPM adotou igualmente a Recomendação CGPM/47/2024/2 relativa </w:t>
            </w:r>
            <w:r w:rsidRPr="002554BF">
              <w:rPr>
                <w:b/>
                <w:i/>
              </w:rPr>
              <w:lastRenderedPageBreak/>
              <w:t>a medidas a longo prazo para a exploração sustentável do coral-vermelho, que altera a Recomendação CGPM/43/2019/4 e revoga as Recomendações CGPM/45/2022/2 e CGPM/46/2023/13.</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24-A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(24-A)</w:t>
            </w:r>
            <w:r w:rsidRPr="002554BF">
              <w:tab/>
            </w:r>
            <w:r w:rsidRPr="002554BF">
              <w:rPr>
                <w:b/>
                <w:i/>
              </w:rPr>
              <w:t>Na sua sessão anual de 2024, a CGPM adotou também a Recomendação CGPM/47/2024/5 relativa ao estabelecimento de um regime de gestão do esforço de pesca para as principais unidades populacionais demersais no mar Adriático (subzonas geográficas 17 e 18) em 2025, com base na Recomendação CGPM/43/2019/5.</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Considerando 25-A (novo)</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(25-A)</w:t>
            </w:r>
            <w:r w:rsidRPr="002554BF">
              <w:tab/>
            </w:r>
            <w:r w:rsidRPr="002554BF">
              <w:rPr>
                <w:b/>
                <w:i/>
              </w:rPr>
              <w:t xml:space="preserve">Na sua sessão anual de 2024, a CGPM adotou também a Recomendação CGPM/47/2024/6 relativa ao estabelecimento de uma zona de restrição da pesca no estreito de Otranto (subzona geográfica 18), com base na Recomendação CGPM/43/2019/5 e na </w:t>
            </w:r>
            <w:r w:rsidRPr="002554BF">
              <w:rPr>
                <w:b/>
                <w:i/>
              </w:rPr>
              <w:lastRenderedPageBreak/>
              <w:t>Resolução CGPM/44/2021/3.</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 – ponto 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(9)</w:t>
            </w:r>
            <w:r w:rsidRPr="002554BF">
              <w:tab/>
            </w:r>
            <w:r w:rsidRPr="002554BF">
              <w:rPr>
                <w:b/>
                <w:i/>
              </w:rPr>
              <w:t>“Zona de restrição da pesca”, uma zona geográfica delimitada em que são proibidas ou restringidas temporariamente algumas atividades de pesca específicas, a fim de melhorar a conservação e a utilização sustentável dos recursos marinhos vivos na zona de aplicação da CGPM.</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149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 – ponto 10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(10)</w:t>
            </w:r>
            <w:r w:rsidRPr="002554BF">
              <w:tab/>
              <w:t xml:space="preserve">“Ponto de desembarque designado”, portos ou locais perto do litoral, terminais no mar e outras instalações para o desembarque, o transbordo, o acondicionamento, a transformação, o reabastecimento ou o reaprovisionamento de navios de pesca, em que são permitidas operações de desembarque, transbordo, acondicionamento e/ou transformação de </w:t>
            </w:r>
            <w:r w:rsidRPr="002554BF">
              <w:lastRenderedPageBreak/>
              <w:t xml:space="preserve">produtos da pesca, designados pelas partes contratantes e pelas partes não contratantes cooperantes </w:t>
            </w:r>
            <w:r w:rsidRPr="002554BF">
              <w:rPr>
                <w:b/>
                <w:i/>
              </w:rPr>
              <w:t>em conformidade com a Recomendação CGPM/40/2016/1 relativa a um</w:t>
            </w:r>
            <w:r w:rsidRPr="002554BF">
              <w:t xml:space="preserve"> regime regional de medidas do Estado do porto para combater as atividades de pesca ilegal, não declarada e não regulamentada na zona de aplicação da CGPM;</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(10)</w:t>
            </w:r>
            <w:r w:rsidRPr="002554BF">
              <w:tab/>
              <w:t xml:space="preserve">“Ponto de desembarque designado”, portos ou locais perto do litoral, terminais no mar e outras instalações para o desembarque, o transbordo, o acondicionamento, a transformação, o reabastecimento ou o reaprovisionamento de navios de pesca, em que são permitidas operações de desembarque, transbordo, acondicionamento e/ou transformação de </w:t>
            </w:r>
            <w:r w:rsidRPr="002554BF">
              <w:lastRenderedPageBreak/>
              <w:t xml:space="preserve">produtos da pesca, designados pelas partes contratantes e pelas partes não contratantes cooperantes </w:t>
            </w:r>
            <w:r w:rsidRPr="002554BF">
              <w:rPr>
                <w:b/>
                <w:i/>
              </w:rPr>
              <w:t>ao abrigo do</w:t>
            </w:r>
            <w:r w:rsidRPr="002554BF">
              <w:t xml:space="preserve"> regime regional de medidas do Estado do porto para combater as atividades de pesca ilegal, não declarada e não regulamentada na zona de aplicação da CGPM;</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A supressão da Recomendação da CGPM tem por objetivo evitar remissões cruzadas.</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Anna Maria Cisint,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4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 presente capítulo aplica-se a todas as atividades de pesca em que é capturada enguia-europeia (Anguilla anguilla), a saber, a pesca </w:t>
            </w:r>
            <w:r w:rsidRPr="002554BF">
              <w:rPr>
                <w:b/>
                <w:i/>
              </w:rPr>
              <w:t>dirigida, acidental</w:t>
            </w:r>
            <w:r w:rsidRPr="002554BF">
              <w:t xml:space="preserve"> e recreativa, em todas as águas do mar Mediterrâneo conforme indicadas no anexo I</w:t>
            </w:r>
            <w:r w:rsidRPr="002554BF">
              <w:rPr>
                <w:b/>
                <w:i/>
              </w:rPr>
              <w:t>, incluindo as águas doces e as águas de transição e águas salobras, como lagoas e estuários</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O presente capítulo aplica-se a todas as atividades de pesca em que é capturada enguia-europeia (Anguilla anguilla), a saber, a pesca </w:t>
            </w:r>
            <w:r w:rsidRPr="002554BF">
              <w:rPr>
                <w:b/>
                <w:i/>
              </w:rPr>
              <w:t>profissional</w:t>
            </w:r>
            <w:r w:rsidRPr="002554BF">
              <w:t xml:space="preserve"> e recreativa, em todas as águas do mar Mediterrâneo conforme indicadas no anexo I.</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 xml:space="preserve">As águas interiores não podem ser consideradas parte de uma zona marinha nem uma zona marinha, porquanto não são da competência da CGPM (artigo 3.º do Acordo da CGPM). De resto, uma atividade acidental não pode ser legalmente regulamentada, já que está implicitamente excluída da regulamentação da atividade em si e, por conseguinte, está </w:t>
      </w:r>
      <w:r w:rsidRPr="002554BF">
        <w:lastRenderedPageBreak/>
        <w:t>abrangida pelo âmbito de aplicação das infrações à atividade regulamentada.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 – n.º</w:t>
      </w:r>
      <w:r w:rsidRPr="002554BF">
        <w:rPr>
          <w:vertAlign w:val="superscript"/>
        </w:rPr>
        <w:t>s</w:t>
      </w:r>
      <w:r w:rsidRPr="002554BF">
        <w:t xml:space="preserve"> 4 e 5 (novos)</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2-A)</w:t>
            </w:r>
            <w:r w:rsidRPr="002554BF">
              <w:tab/>
            </w:r>
            <w:r w:rsidRPr="002554BF">
              <w:rPr>
                <w:b/>
                <w:i/>
              </w:rPr>
              <w:t>Ao artigo 12.º são aditados os seguintes números: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estabelecem um sistema de rastreabilidade dos desembarques, das vendas e das exportações que permita rastrear as capturas desde o ponto de desembarque autorizado até ao destino final, independentemente de os espécimes serem vendidos vivos, mortos ou transformados.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Cada Estado-Membro conserva e mantém atualizada uma lista das lotas, dos organismos ou das pessoas por si autorizadas a efetuar a primeira comercialização da enguia-europeia.»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CGPM/46/2023/16, n.</w:t>
      </w:r>
      <w:r w:rsidRPr="002554BF">
        <w:rPr>
          <w:vertAlign w:val="superscript"/>
        </w:rPr>
        <w:t>os</w:t>
      </w:r>
      <w:r w:rsidRPr="002554BF">
        <w:t xml:space="preserve"> 42 e 43.</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Anna Maria Cisint,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 – parte introdutória</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lastRenderedPageBreak/>
              <w:t>(3)</w:t>
            </w:r>
            <w:r w:rsidRPr="002554BF">
              <w:tab/>
            </w:r>
            <w:r w:rsidRPr="002554BF">
              <w:rPr>
                <w:b/>
                <w:i/>
              </w:rPr>
              <w:t>É inserido o seguinte artigo</w:t>
            </w:r>
            <w:r w:rsidRPr="002554BF">
              <w:t xml:space="preserve"> 12.º-A entre os artigos 12.º e 13.º:</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r>
            <w:r w:rsidRPr="002554BF">
              <w:rPr>
                <w:b/>
                <w:i/>
              </w:rPr>
              <w:t>São inseridos os seguintes artigos</w:t>
            </w:r>
            <w:r w:rsidRPr="002554BF">
              <w:t xml:space="preserve"> 12.º-A</w:t>
            </w:r>
            <w:r w:rsidRPr="002554BF">
              <w:rPr>
                <w:b/>
                <w:i/>
              </w:rPr>
              <w:t xml:space="preserve"> e 12.º-B</w:t>
            </w:r>
            <w:r w:rsidRPr="002554BF">
              <w:t xml:space="preserve"> entre os artigos 12.º e 13.º:</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 – parte introdutória</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r>
            <w:r w:rsidRPr="002554BF">
              <w:rPr>
                <w:b/>
                <w:i/>
              </w:rPr>
              <w:t>É inserido o seguinte artigo</w:t>
            </w:r>
            <w:r w:rsidRPr="002554BF">
              <w:t xml:space="preserve"> 12.º-A entre os artigos 12.º e 13.º:</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r>
            <w:r w:rsidRPr="002554BF">
              <w:rPr>
                <w:b/>
                <w:i/>
              </w:rPr>
              <w:t>São inseridos os seguintes artigos</w:t>
            </w:r>
            <w:r w:rsidRPr="002554BF">
              <w:t xml:space="preserve"> 12.º-A</w:t>
            </w:r>
            <w:r w:rsidRPr="002554BF">
              <w:rPr>
                <w:b/>
                <w:i/>
              </w:rPr>
              <w:t xml:space="preserve"> e 12.º-B</w:t>
            </w:r>
            <w:r w:rsidRPr="002554BF">
              <w:t xml:space="preserve"> entre os artigos 12.º e 13.º:</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Anna Maria Cisint,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12-A – título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Pesca </w:t>
            </w:r>
            <w:r w:rsidRPr="002554BF">
              <w:rPr>
                <w:b/>
                <w:i/>
              </w:rPr>
              <w:t>recreativa</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Pesca </w:t>
            </w:r>
            <w:r w:rsidRPr="002554BF">
              <w:rPr>
                <w:b/>
                <w:i/>
              </w:rPr>
              <w:t>profissional</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Anna Maria Cisint,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12-A – parágrafo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asseguram que a pesca </w:t>
            </w:r>
            <w:r w:rsidRPr="002554BF">
              <w:rPr>
                <w:b/>
                <w:i/>
              </w:rPr>
              <w:t>recreativa</w:t>
            </w:r>
            <w:r w:rsidRPr="002554BF">
              <w:t xml:space="preserve"> em todas as fases do ciclo de vida </w:t>
            </w:r>
            <w:r w:rsidRPr="002554BF">
              <w:rPr>
                <w:b/>
                <w:i/>
              </w:rPr>
              <w:t xml:space="preserve">da enguia-europeia </w:t>
            </w:r>
            <w:r w:rsidRPr="002554BF">
              <w:t xml:space="preserve">(meixão, enguia-amarela e enguia-prateada) seja proibida em </w:t>
            </w:r>
            <w:r w:rsidRPr="002554BF">
              <w:rPr>
                <w:b/>
                <w:i/>
              </w:rPr>
              <w:t>todos os habitats</w:t>
            </w:r>
            <w:r w:rsidRPr="002554BF">
              <w:t xml:space="preserve">.»;  </w:t>
            </w:r>
          </w:p>
        </w:tc>
        <w:tc>
          <w:tcPr>
            <w:tcW w:w="4876" w:type="dxa"/>
            <w:tcBorders>
              <w:top w:val="nil"/>
              <w:left w:val="nil"/>
              <w:bottom w:val="nil"/>
              <w:right w:val="nil"/>
            </w:tcBorders>
            <w:hideMark/>
          </w:tcPr>
          <w:p w:rsidR="00DD5018" w:rsidRPr="002554BF" w:rsidRDefault="00811D8D" w:rsidP="001838DC">
            <w:pPr>
              <w:pStyle w:val="Normal6a"/>
            </w:pPr>
            <w:r w:rsidRPr="002554BF">
              <w:t xml:space="preserve">Os Estados-Membros asseguram que a pesca </w:t>
            </w:r>
            <w:r w:rsidRPr="002554BF">
              <w:rPr>
                <w:b/>
                <w:i/>
              </w:rPr>
              <w:t>profissional da enguia</w:t>
            </w:r>
            <w:r w:rsidRPr="002554BF">
              <w:t xml:space="preserve"> em todas as fases do </w:t>
            </w:r>
            <w:r w:rsidRPr="002554BF">
              <w:rPr>
                <w:b/>
                <w:i/>
              </w:rPr>
              <w:t xml:space="preserve">seu </w:t>
            </w:r>
            <w:r w:rsidRPr="002554BF">
              <w:t xml:space="preserve">ciclo de vida (meixão, enguia-amarela e enguia-prateada) seja proibida em </w:t>
            </w:r>
            <w:r w:rsidRPr="002554BF">
              <w:rPr>
                <w:b/>
                <w:i/>
              </w:rPr>
              <w:t>todas as águas do mar Mediterrâneo enumeradas no anexo I</w:t>
            </w:r>
            <w:r w:rsidRPr="002554BF">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3-A)</w:t>
            </w:r>
            <w:r w:rsidRPr="002554BF">
              <w:tab/>
            </w:r>
            <w:r w:rsidRPr="002554BF">
              <w:rPr>
                <w:b/>
                <w:i/>
              </w:rPr>
              <w:t>É inserido o seguinte artigo 12.º-B entre os artigos 12.º e 13.º: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12.º-B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Recolha de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Sempre que se saiba que está a ser exercida pesca INN, os Estados-Membros transmitem à Comissão, ou a um organismo por ela designado, os dados disponíveis, designadamente estimativas. A Comissão, ou um organismo por ela designado, transmite logo que possível as informações sobre pesca INN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comunicam à Comissão, até 15 de dezembro, dados sobre atividades de engorda. A Comissão transmite esses dados ao Secretariado da CGPM até 31 de dezembro.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A título voluntário, os Estados-Membros podem também transmitir eventuais informações complementares à Comissão, que as transmite ulteriormente </w:t>
            </w:r>
            <w:r w:rsidRPr="002554BF">
              <w:rPr>
                <w:b/>
                <w:i/>
              </w:rPr>
              <w:lastRenderedPageBreak/>
              <w:t>ao Secretariado da CGPM.»</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CGPM/46/2023/16, n.</w:t>
      </w:r>
      <w:r w:rsidRPr="002554BF">
        <w:rPr>
          <w:vertAlign w:val="superscript"/>
        </w:rPr>
        <w:t>os</w:t>
      </w:r>
      <w:r w:rsidRPr="002554BF">
        <w:t xml:space="preserve"> 28 a 30, e CGPM/41/2017/1, n.º 2.</w:t>
      </w:r>
    </w:p>
    <w:p w:rsidR="00DD5018" w:rsidRPr="002554BF" w:rsidRDefault="00811D8D" w:rsidP="00DD5018">
      <w:pPr>
        <w:pStyle w:val="AmNumberTabs"/>
        <w:rPr>
          <w:rStyle w:val="HideTWBExt"/>
          <w:color w:val="auto"/>
        </w:rPr>
      </w:pPr>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12.º-B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Recolha de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Sempre que se constate a ocorrência de pesca INN, os dados disponíveis, incluindo estimativas, são igualmente transmitidos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comunicam ao Secretariado da CGPM os dados relativos a atividades de engorda, em consonância com os prazos estabelecidos na Recomendação CGPM/41/2017/1 relativa à comunicação de dados e informações sobre a aquicultura, que revoga a Recomendação CGPM/35/2011/6.</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Os Estados-Membros podem também transmitir ao Secretariado da CGPM eventuais informações adicionais a título voluntário, se possível o mais tardar na quadragésima sétima sessão da CGPM.</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Anna Maria Cisint,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Artigo 12.º-B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Pesca recreativa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Os Estados-Membros asseguram que a pesca recreativa da enguia só possa ser autorizada na fase da enguia-amarela, em condições estritamente controladas e de forma seletiva para pequenas quantidades.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A pesca recreativa da enguia é uma tradição cultural de grande importância em vários países europeus. A pesca recreativa de alguns espécimes poderia ser autorizada por períodos curtos e limitada à categoria de subadultos (fase amarela) para proteger os animais reprodutores (fase prateada). Uma imposição de quota elevada não teria efeitos consideráveis na população da espécie à escala da União, dado que está incluída na percentagem de perdas sofridas pela espécie no seu estado natural.</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159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12-B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lastRenderedPageBreak/>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Artigo 12.º-B </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Recolha de dados</w:t>
            </w:r>
          </w:p>
        </w:tc>
      </w:tr>
      <w:tr w:rsidR="000C2140" w:rsidRPr="002554BF" w:rsidTr="00F37D8F">
        <w:trPr>
          <w:jc w:val="center"/>
        </w:trPr>
        <w:tc>
          <w:tcPr>
            <w:tcW w:w="4876" w:type="dxa"/>
            <w:tcBorders>
              <w:top w:val="nil"/>
              <w:left w:val="nil"/>
              <w:bottom w:val="nil"/>
              <w:right w:val="nil"/>
            </w:tcBorders>
            <w:hideMark/>
          </w:tcPr>
          <w:p w:rsidR="00DD5018" w:rsidRPr="002554BF" w:rsidRDefault="00DD5018" w:rsidP="00F37D8F"/>
        </w:tc>
        <w:tc>
          <w:tcPr>
            <w:tcW w:w="4876" w:type="dxa"/>
            <w:tcBorders>
              <w:top w:val="nil"/>
              <w:left w:val="nil"/>
              <w:bottom w:val="nil"/>
              <w:right w:val="nil"/>
            </w:tcBorders>
            <w:hideMark/>
          </w:tcPr>
          <w:p w:rsidR="00DD5018" w:rsidRPr="002554BF" w:rsidRDefault="00811D8D" w:rsidP="00F37D8F">
            <w:pPr>
              <w:pStyle w:val="Normal6a"/>
            </w:pPr>
            <w:r w:rsidRPr="002554BF">
              <w:rPr>
                <w:i/>
                <w:iCs/>
              </w:rPr>
              <w:t>«</w:t>
            </w:r>
            <w:r w:rsidRPr="002554BF">
              <w:rPr>
                <w:b/>
                <w:i/>
              </w:rPr>
              <w:t>1</w:t>
            </w:r>
            <w:r w:rsidRPr="002554BF">
              <w:t xml:space="preserve">. </w:t>
            </w:r>
            <w:r w:rsidRPr="002554BF">
              <w:rPr>
                <w:b/>
                <w:i/>
              </w:rPr>
              <w:t>Sempre que se constate a ocorrência de pesca INN, os dados disponíveis, incluindo estimativas, são igualmente transmitidos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comunicam ao Secretariado da CGPM os dados relativos a atividades de engorda, em consonância com os prazos estabelecidos na Recomendação CGPM/41/2017/1 relativa à comunicação de dados e informações sobre a aquicultura, que revoga a Recomendação CGPM/35/2011/6.</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w:t>
            </w:r>
            <w:r w:rsidRPr="002554BF">
              <w:rPr>
                <w:b/>
                <w:bCs/>
                <w:i/>
                <w:iCs/>
              </w:rPr>
              <w:t>Os Estados-Membros podem também transmitir ao Secretariado da CGPM eventuais informações adicionais a título voluntário, se possível o mais tardar na sessão seguinte da CGPM.»</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(https://eur-lex.europa.eu/legal-content/PT/TXT/?uri=CELEX:32023R2124)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CGPM/46/2023/16, n.</w:t>
      </w:r>
      <w:r w:rsidRPr="002554BF">
        <w:rPr>
          <w:vertAlign w:val="superscript"/>
        </w:rPr>
        <w:t>os</w:t>
      </w:r>
      <w:r w:rsidRPr="002554BF">
        <w:t xml:space="preserve"> 28, 29 e 30.</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14-A</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(4)</w:t>
            </w:r>
            <w:r w:rsidRPr="002554BF">
              <w:tab/>
            </w:r>
            <w:r w:rsidRPr="002554BF">
              <w:rPr>
                <w:b/>
                <w:i/>
              </w:rPr>
              <w:t>É inserido o seguinte artigo 14.º-A entre os artigos 14.º e 15.º: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«Artigo 14.º-A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Medidas de gestão da frota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Os Estados-Membros asseguram que o total da capacidade da frota ou do esforço de pesca das frotas que operam com redes de arrasto pelo fundo e exercem ativamente a pesca de unidades populacionais fundamentais, em termos de arqueação bruta (GT) e/ou arqueação bruta registada (TAB), de potência do motor (kW) e de número de navios, conforme registada nos ficheiros nacionais e da CGPM, não exceda o número de navios ou o esforço de pesca dos arrastões com portas que pescaram camarões de profundidade no período 2014-2017 ou durante outro período de três anos consecutivos, como 2015-2018, desde que o aumento não exceda 50 % em relação ao período de referência 2014-2017.»;</w:t>
            </w:r>
          </w:p>
        </w:tc>
        <w:tc>
          <w:tcPr>
            <w:tcW w:w="4876" w:type="dxa"/>
            <w:tcBorders>
              <w:top w:val="nil"/>
              <w:left w:val="nil"/>
              <w:bottom w:val="nil"/>
              <w:right w:val="nil"/>
            </w:tcBorders>
          </w:tcPr>
          <w:p w:rsidR="00DD5018" w:rsidRPr="002554BF" w:rsidRDefault="00DD5018" w:rsidP="00F37D8F">
            <w:pPr>
              <w:pStyle w:val="Normal6a"/>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14-A – parágrafo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asseguram que o total da capacidade da frota ou do esforço de pesca das frotas que </w:t>
            </w:r>
            <w:r w:rsidRPr="002554BF">
              <w:rPr>
                <w:b/>
                <w:i/>
              </w:rPr>
              <w:t xml:space="preserve">operam com redes de arrasto pelo fundo e </w:t>
            </w:r>
            <w:r w:rsidRPr="002554BF">
              <w:t xml:space="preserve">exercem ativamente a pesca de unidades populacionais fundamentais, em termos de arqueação bruta (GT) e/ou arqueação bruta registada (TAB), de potência do motor (kW) e de número de navios, conforme registada nos ficheiros nacionais e da CGPM, não exceda o número de navios ou o esforço de pesca dos </w:t>
            </w:r>
            <w:r w:rsidRPr="002554BF">
              <w:rPr>
                <w:b/>
                <w:i/>
              </w:rPr>
              <w:t>arrastões com portas</w:t>
            </w:r>
            <w:r w:rsidRPr="002554BF">
              <w:t xml:space="preserve"> que pescaram camarões de profundidade no período 2014-2017 ou </w:t>
            </w:r>
            <w:r w:rsidRPr="002554BF">
              <w:lastRenderedPageBreak/>
              <w:t>durante outro período de três anos consecutivos, como 2015-2018, desde que o aumento não exceda 50 % em relação ao período de referência 2014-2017.</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 xml:space="preserve">Os Estados-Membros asseguram que o total da capacidade da frota ou do esforço de pesca das frotas que exercem ativamente a pesca de unidades populacionais fundamentais, em termos de arqueação bruta (GT) e/ou arqueação bruta registada (TAB), de potência do motor (kW) e de número de navios, conforme registada nos ficheiros nacionais e da CGPM, não exceda o número de navios ou o esforço de pesca dos </w:t>
            </w:r>
            <w:r w:rsidRPr="002554BF">
              <w:rPr>
                <w:b/>
                <w:i/>
              </w:rPr>
              <w:t>navios</w:t>
            </w:r>
            <w:r w:rsidRPr="002554BF">
              <w:t xml:space="preserve"> que pescaram camarões de profundidade no período 2014-2017 ou durante outro período de três anos consecutivos, como </w:t>
            </w:r>
            <w:r w:rsidRPr="002554BF">
              <w:lastRenderedPageBreak/>
              <w:t>2015-2018, desde que o aumento não exceda 50 % em relação ao período de referência 2014-2017.</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17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w:t>
            </w:r>
            <w:r w:rsidRPr="002554BF">
              <w:rPr>
                <w:b/>
                <w:i/>
              </w:rPr>
              <w:t>arrastões</w:t>
            </w:r>
            <w:r w:rsidRPr="002554BF">
              <w:t xml:space="preserve"> de </w:t>
            </w:r>
            <w:r w:rsidRPr="002554BF">
              <w:rPr>
                <w:b/>
                <w:i/>
              </w:rPr>
              <w:t>fundo</w:t>
            </w:r>
            <w:r w:rsidRPr="002554BF">
              <w:t xml:space="preserve"> que dirigem a pesca a concentrações de camarão-vermelho de profundidade na época da desova devem cessar a pesca durante 30 dias consecutivos entre os meses de março e dezembro.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w:t>
            </w:r>
            <w:r w:rsidRPr="002554BF">
              <w:rPr>
                <w:b/>
                <w:i/>
              </w:rPr>
              <w:t>navios</w:t>
            </w:r>
            <w:r w:rsidRPr="002554BF">
              <w:t xml:space="preserve"> de </w:t>
            </w:r>
            <w:r w:rsidRPr="002554BF">
              <w:rPr>
                <w:b/>
                <w:i/>
              </w:rPr>
              <w:t>pesca</w:t>
            </w:r>
            <w:r w:rsidRPr="002554BF">
              <w:t xml:space="preserve"> que dirigem a pesca a concentrações de camarão-vermelho de profundidade na época da desova devem cessar a pesca durante 30 dias consecutivos entre os meses de março e dezembro.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9</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Não obstante o artigo 9.º do Regulamento (CE) n.º 1224/2009, </w:t>
            </w:r>
            <w:r w:rsidRPr="002554BF">
              <w:t>todos os navios com mais de 12 metros de comprimento de fora a fora que exercem ativamente a pesca no âmbito da presente secção devem estar equipados com um sistema de localização dos navios por satélite (VMS).</w:t>
            </w:r>
          </w:p>
        </w:tc>
        <w:tc>
          <w:tcPr>
            <w:tcW w:w="4876" w:type="dxa"/>
            <w:tcBorders>
              <w:top w:val="nil"/>
              <w:left w:val="nil"/>
              <w:bottom w:val="nil"/>
              <w:right w:val="nil"/>
            </w:tcBorders>
            <w:hideMark/>
          </w:tcPr>
          <w:p w:rsidR="00DD5018" w:rsidRPr="002554BF" w:rsidRDefault="00811D8D" w:rsidP="00F37D8F">
            <w:pPr>
              <w:pStyle w:val="Normal6a"/>
            </w:pPr>
            <w:r w:rsidRPr="002554BF">
              <w:t>Todos os navios com mais de 12 metros de comprimento de fora a fora que exercem ativamente a pesca no âmbito da presente secção devem estar equipados com um sistema de localização dos navios por satélite (VMS).</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9</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Não obstante o artigo 9.º do Regulamento (CE) n.º 1224/2009, </w:t>
            </w:r>
            <w:r w:rsidRPr="002554BF">
              <w:t xml:space="preserve">todos os navios com mais de </w:t>
            </w:r>
            <w:r w:rsidRPr="002554BF">
              <w:rPr>
                <w:b/>
                <w:i/>
              </w:rPr>
              <w:t>12</w:t>
            </w:r>
            <w:r w:rsidRPr="002554BF">
              <w:t xml:space="preserve"> metros de comprimento de fora a fora que exercem ativamente a pesca no âmbito da presente secção devem estar equipados com um sistema de localização dos navios por satélite (VMS).</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Todos os navios com mais de </w:t>
            </w:r>
            <w:r w:rsidRPr="002554BF">
              <w:rPr>
                <w:b/>
                <w:i/>
              </w:rPr>
              <w:t>25</w:t>
            </w:r>
            <w:r w:rsidRPr="002554BF">
              <w:t xml:space="preserve"> metros de comprimento de fora a fora que exercem ativamente a pesca no âmbito da presente secção devem estar equipados com um sistema de localização dos navios por satélite (VMS).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9</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Até 8 de janeiro de 2026, os Estados-Membros podem autorizar os navios com menos de 15 metros de comprimento a derrogar ao disposto no primeiro parágrafo se operarem exclusivamente nas águas territoriais do Estado-Membro ou/e nunca passarem mais de 24 horas no mar, contadas desde a saída até ao regresso ao porto.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lastRenderedPageBreak/>
        <w:t>&lt;Amend&gt;</w:t>
      </w:r>
      <w:r w:rsidRPr="002554BF">
        <w:t>Alteração</w:t>
      </w:r>
      <w:r w:rsidRPr="002554BF">
        <w:tab/>
      </w:r>
      <w:r w:rsidRPr="002554BF">
        <w:tab/>
      </w:r>
      <w:r w:rsidRPr="002554BF">
        <w:rPr>
          <w:rStyle w:val="HideTWBExt"/>
          <w:color w:val="auto"/>
        </w:rPr>
        <w:t>&lt;NumAm&gt;</w:t>
      </w:r>
      <w:r w:rsidRPr="002554BF">
        <w:t>166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23-A</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asseguram que a capacidade total da frota, em termos de arqueação bruta (GT) e/ou arqueação bruta registada (TAB), de potência do motor (kW) e de número de navios, conforme registada nos ficheiros nacionais e da CGPM, não exceda a capacidade da frota dos arrastões com portas que pescaram </w:t>
            </w:r>
            <w:r w:rsidRPr="002554BF">
              <w:rPr>
                <w:b/>
                <w:i/>
              </w:rPr>
              <w:t>camarões</w:t>
            </w:r>
            <w:r w:rsidRPr="002554BF">
              <w:t xml:space="preserve"> de profundidade no ano de 2019.</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asseguram que a capacidade total da frota, em termos de arqueação bruta (GT) e/ou arqueação bruta registada (TAB), de potência do motor (kW) e de número de navios, conforme registada nos ficheiros nacionais e da CGPM, não exceda a capacidade da frota dos arrastões com portas que pescaram </w:t>
            </w:r>
            <w:r w:rsidRPr="002554BF">
              <w:rPr>
                <w:b/>
                <w:i/>
              </w:rPr>
              <w:t>camarão-vermelho</w:t>
            </w:r>
            <w:r w:rsidRPr="002554BF">
              <w:t xml:space="preserve"> de profundidade no ano de 2019.</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CGPM/45/2022/6, n.</w:t>
      </w:r>
      <w:r w:rsidRPr="002554BF">
        <w:rPr>
          <w:vertAlign w:val="superscript"/>
        </w:rPr>
        <w:t>o</w:t>
      </w:r>
      <w:r w:rsidRPr="002554BF">
        <w:t xml:space="preserve"> 23.</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23-A</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asseguram que a capacidade total da frota, em termos de arqueação bruta (GT) e/ou arqueação bruta registada (TAB), de potência do motor (kW) e de número de navios, conforme registada nos ficheiros nacionais e da CGPM, não exceda a capacidade da frota </w:t>
            </w:r>
            <w:r w:rsidRPr="002554BF">
              <w:rPr>
                <w:b/>
                <w:i/>
              </w:rPr>
              <w:t xml:space="preserve">dos arrastões com portas </w:t>
            </w:r>
            <w:r w:rsidRPr="002554BF">
              <w:t xml:space="preserve">que </w:t>
            </w:r>
            <w:r w:rsidRPr="002554BF">
              <w:rPr>
                <w:b/>
                <w:i/>
              </w:rPr>
              <w:t>pescaram</w:t>
            </w:r>
            <w:r w:rsidRPr="002554BF">
              <w:t xml:space="preserve"> </w:t>
            </w:r>
            <w:r w:rsidRPr="002554BF">
              <w:lastRenderedPageBreak/>
              <w:t>camarões de profundidade no ano de 2019.</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 xml:space="preserve">Os Estados-Membros asseguram que a capacidade total da frota, em termos de arqueação bruta (GT) e/ou arqueação bruta registada (TAB), de potência do motor (kW) e de número de navios, conforme registada nos ficheiros nacionais e da CGPM, não exceda a capacidade da frota que </w:t>
            </w:r>
            <w:r w:rsidRPr="002554BF">
              <w:rPr>
                <w:b/>
                <w:i/>
              </w:rPr>
              <w:t>pescou</w:t>
            </w:r>
            <w:r w:rsidRPr="002554BF">
              <w:t xml:space="preserve"> camarões de profundidade no </w:t>
            </w:r>
            <w:r w:rsidRPr="002554BF">
              <w:lastRenderedPageBreak/>
              <w:t>ano de 2019.</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26</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Os arrastões de fundo que dirigem a pesca a concentrações de camarão-vermelho de profundidade na época da desova devem cessar a pesca durante 30 dias consecutivos entre os meses de março e dezembro.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r>
            <w:r w:rsidRPr="002554BF">
              <w:rPr>
                <w:b/>
                <w:i/>
              </w:rPr>
              <w:t>Em função dos resultados comunicados pelos Estados-Membros durante o período transitório mencionado na Recomendação 45/2022/7,</w:t>
            </w:r>
            <w:r w:rsidRPr="002554BF">
              <w:t xml:space="preserve"> os arrastões de fundo que dirigem a pesca a concentrações de camarão-vermelho de profundidade na época da desova devem cessar a pesca durante 30 dias consecutivos entre os meses de março e dezembro.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169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Não obstante o artigo 9.º do Regulamento (CE) n.º 1224/2009, </w:t>
            </w:r>
            <w:r w:rsidRPr="002554BF">
              <w:t xml:space="preserve">todos os navios com mais de </w:t>
            </w:r>
            <w:r w:rsidRPr="002554BF">
              <w:rPr>
                <w:b/>
                <w:i/>
              </w:rPr>
              <w:t>12</w:t>
            </w:r>
            <w:r w:rsidRPr="002554BF">
              <w:t xml:space="preserve"> metros de comprimento de fora a fora que exercem ativamente a pesca no âmbito da presente secção devem estar equipados com um sistema de localização dos navios por satélite (VMS).</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Todos os navios com mais de </w:t>
            </w:r>
            <w:r w:rsidRPr="002554BF">
              <w:rPr>
                <w:b/>
                <w:i/>
              </w:rPr>
              <w:t>25</w:t>
            </w:r>
            <w:r w:rsidRPr="002554BF">
              <w:t xml:space="preserve"> metros de comprimento de fora a fora que exercem ativamente a pesca no âmbito da presente secção devem estar equipados com um sistema de localização dos navios por satélite (VMS).</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Até 8 de janeiro de 2026, os Estados-Membros podem conceder uma derrogação à regra enunciada no primeiro parágrafo relativamente aos navios com menos de 15 metros de comprimento que operem exclusivamente nas águas territoriais do Estado-Membro ou nunca passem mais de 24 horas no mar, contadas desde a saída até ao regresso ao porto. Os Estados-Membros comunicam imediatamente à Comissão as derrogações concedidas em conformidade com o artigo 9.º, n.º 5, do Regulamento (CE) n.º 1224/2009, bem como os outros meios de controlo utilizados para monitorizar esses navios. A Comissão transmite sem demora essas informações ao Secretariado da CGPM.</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29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Até 8 de janeiro de 2026, os Estados-Membros podem conceder uma derrogação </w:t>
            </w:r>
            <w:r w:rsidRPr="002554BF">
              <w:lastRenderedPageBreak/>
              <w:t>à regra enunciada no primeiro parágrafo relativamente aos navios com menos de 15 metros de comprimento que operem exclusivamente nas águas territoriais do Estado-Membro ou nunca passem mais de 24 horas no mar, contadas desde a saída até ao regresso ao porto. Os Estados-Membros comunicam imediatamente à Comissão as derrogações concedidas em conformidade com o artigo 9.º, n.º 5, do Regulamento (CE) n.º 1224/2009, bem como os outros meios de controlo utilizados para monitorizar esses navios. A Comissão transmite sem demora essas informações ao Secretariado da CGPM.</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 xml:space="preserve">Até 8 de janeiro de 2026, os Estados-Membros podem conceder uma derrogação </w:t>
            </w:r>
            <w:r w:rsidRPr="002554BF">
              <w:lastRenderedPageBreak/>
              <w:t xml:space="preserve">à regra enunciada no primeiro parágrafo relativamente aos navios com menos de 15 metros de comprimento que operem exclusivamente nas águas territoriais do Estado-Membro ou nunca passem mais de 24 horas no mar, contadas desde a saída até ao regresso ao porto. Os Estados-Membros comunicam imediatamente à Comissão as derrogações concedidas em conformidade com o artigo 9.º, n.º 5, do Regulamento (CE) n.º 1224/2009, bem como os outros meios de controlo utilizados para monitorizar esses navios. A Comissão transmite sem demora essas informações ao Secretariado da CGPM. </w:t>
            </w:r>
            <w:r w:rsidRPr="002554BF">
              <w:rPr>
                <w:b/>
                <w:i/>
              </w:rPr>
              <w:t>Os operadores podem receber apoio financeiro do Fundo Europeu dos Assuntos Marítimos, das Pescas e da Aquicultura para se dotarem de sistemas de monitorização eletrónica à distância em conformidade com o artigo 22.º, n.º 2, do Regulamento (UE) 2021/1139.</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30.º-B</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Artigo 30.º-B</w:t>
            </w:r>
          </w:p>
        </w:tc>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bCs/>
                <w:i/>
                <w:noProof/>
              </w:rPr>
            </w:pPr>
            <w:r w:rsidRPr="002554BF">
              <w:rPr>
                <w:b/>
                <w:i/>
              </w:rPr>
              <w:t>Programa de Inspeção e de Vigilância Internacional Conjunta</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 xml:space="preserve">1. Os Estados-Membros podem efetuar atividades de inspeção e de vigilância no âmbito da presente secção no quadro de um Programa de Inspeção e de Vigilância Internacional Conjunta (a seguir designado por «Programa») que abranja as águas fora da jurisdição nacional, nas </w:t>
            </w:r>
            <w:r w:rsidRPr="002554BF">
              <w:rPr>
                <w:b/>
                <w:i/>
              </w:rPr>
              <w:lastRenderedPageBreak/>
              <w:t>subzonas geográficas CGPM 19, 20 e 21, na aceção do anexo I (a seguir designada por «zona de inspeção e de vigilância»).</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2. Os Estados-Membros podem designar inspetores e meios de inspeção e efetuar inspeções ao abrigo do Programa. A Comissão, ou um organismo por ela designado, pode igualmente nomear inspetores da União para o Programa.</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3. A Comissão, ou um organismo por ela designado, coordena as atividades de vigilância e de inspeção no respeitante à União e pode elaborar, em concertação com os Estados-Membros em causa, um plano de execução conjunta que permita à União cumprir as obrigações que lhe incumbem por força do Programa. Os Estados-Membros adotam as medidas necessárias para facilitar a execução desses planos, nomeadamente no respeitante aos recursos humanos e materiais necessários, bem como aos períodos e às zonas em que estes devem ser utilizados.</w:t>
            </w:r>
          </w:p>
        </w:tc>
        <w:tc>
          <w:tcPr>
            <w:tcW w:w="4876" w:type="dxa"/>
            <w:tcBorders>
              <w:top w:val="nil"/>
              <w:left w:val="nil"/>
              <w:bottom w:val="nil"/>
              <w:right w:val="nil"/>
            </w:tcBorders>
            <w:hideMark/>
          </w:tcPr>
          <w:p w:rsidR="00DD5018" w:rsidRPr="002554BF" w:rsidRDefault="00DD5018" w:rsidP="00F37D8F">
            <w:pPr>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 xml:space="preserve">4. Os Estados-Membros comunicam, até 15 de novembro de cada ano, à Comissão ou a um organismo por esta designado, a lista dos nomes dos inspetores autorizados a realizar as atividades de inspeção e de vigilância na zona a que se refere o n.º 1, bem como os nomes dos navios e das aeronaves utilizados na inspeção e na vigilância que tencionam afetar ao Programa para o ano seguinte. A Comissão, ou um organismo por ela designado, envia essas informações ao Secretariado da CGPM, até 1 de dezembro de cada ano, ou logo que possível e antes do início das atividades de inspeção. </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5. Os inspetores designados ao abrigo do Programa devem ser portadores de um cartão de inspetor da CGPM emitido pelas autoridades competentes no formato constante do anexo IV.</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 xml:space="preserve">6. Os navios que realizem operações de subida a bordo e inspeção no âmbito do </w:t>
            </w:r>
            <w:r w:rsidRPr="002554BF">
              <w:rPr>
                <w:b/>
                <w:i/>
              </w:rPr>
              <w:lastRenderedPageBreak/>
              <w:t>Programa arvoram um pavilhão ou um galhardete especial, descrito no anexo V.</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7. Os Estados-Membros asseguram que qualquer plataforma de inspeção autorizada a arvorar o seu pavilhão e que opere na zona a que se refere o n.º 1 mantenha um contacto seguro com todas as outras plataformas de inspeção que operem nessa zona, se possível diariamente, a fim de trocarem as informações necessárias à coordenação das atividades.</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8. Os Estados-Membros que realizem atividades de inspeção ou de vigilância na zona a que se refere o n.º 1 devem facultar a cada plataforma de inspeção, no momento da sua entrada na zona, uma lista dos avistamentos, elaborada de acordo com o anexo VII, das subidas a bordo e das inspeções por si efetuadas nos dez dias anteriores, incluindo as datas, as coordenadas e outras informações pertinentes.</w:t>
            </w:r>
          </w:p>
        </w:tc>
        <w:tc>
          <w:tcPr>
            <w:tcW w:w="4876" w:type="dxa"/>
            <w:tcBorders>
              <w:top w:val="nil"/>
              <w:left w:val="nil"/>
              <w:bottom w:val="nil"/>
              <w:right w:val="nil"/>
            </w:tcBorders>
          </w:tcPr>
          <w:p w:rsidR="00DD5018" w:rsidRPr="002554BF" w:rsidRDefault="00DD5018" w:rsidP="00F37D8F">
            <w:pPr>
              <w:pStyle w:val="Normal6"/>
              <w:rPr>
                <w:b/>
                <w:i/>
              </w:rPr>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30-B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podem designar inspetores e meios de inspeção e efetuar inspeções ao abrigo do Programa. </w:t>
            </w:r>
            <w:r w:rsidRPr="002554BF">
              <w:rPr>
                <w:b/>
                <w:i/>
              </w:rPr>
              <w:t xml:space="preserve">A Comissão, ou um organismo por ela designado, pode igualmente nomear </w:t>
            </w:r>
            <w:r w:rsidRPr="002554BF">
              <w:rPr>
                <w:b/>
                <w:i/>
              </w:rPr>
              <w:lastRenderedPageBreak/>
              <w:t>inspetores da União para o Programa.</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2.</w:t>
            </w:r>
            <w:r w:rsidRPr="002554BF">
              <w:tab/>
              <w:t>Os Estados-Membros podem designar inspetores e meios de inspeção e efetuar inspeções ao abrigo do Programa.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30-C</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Artigo 30.º-C</w:t>
            </w:r>
          </w:p>
        </w:tc>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bCs/>
                <w:i/>
                <w:noProof/>
              </w:rPr>
            </w:pPr>
            <w:r w:rsidRPr="002554BF">
              <w:rPr>
                <w:b/>
                <w:i/>
              </w:rPr>
              <w:t>Realização de inspeções</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1. Os inspetores designados ao abrigo do Programa:</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a) Notificam o navio de pesca do nome do navio de inspeção antes do embarque;</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b) Colocam no navio de inspeção e no bote de acostagem o galhardete descrito no anexo V;</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c) Limitam cada equipa de inspeção a, no máximo, três inspetores.</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2. Ao subir a bordo do navio, os inspetores apresentam ao capitão do navio de pesca o cartão de identidade descrito no anexo IV. As inspeções decorrem numa das línguas oficiais da CGPM e, se possível, na língua falada pelo capitão do navio de pesca.</w:t>
            </w:r>
          </w:p>
        </w:tc>
        <w:tc>
          <w:tcPr>
            <w:tcW w:w="4876" w:type="dxa"/>
            <w:tcBorders>
              <w:top w:val="nil"/>
              <w:left w:val="nil"/>
              <w:bottom w:val="nil"/>
              <w:right w:val="nil"/>
            </w:tcBorders>
            <w:hideMark/>
          </w:tcPr>
          <w:p w:rsidR="00DD5018" w:rsidRPr="002554BF" w:rsidRDefault="00DD5018" w:rsidP="00F37D8F">
            <w:pPr>
              <w:rPr>
                <w:b/>
                <w:i/>
                <w:noProof/>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3. Os inspetores elaboram um relatório de inspeção de acordo com o modelo previsto no anexo VI.</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4. Os inspetores assinam o relatório na presença do capitão do navio, que tem o direito de acrescentar ao relatório qualquer observação que considere adequada, assinando também essas observações.</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noProof/>
              </w:rPr>
            </w:pPr>
            <w:r w:rsidRPr="002554BF">
              <w:rPr>
                <w:b/>
                <w:i/>
              </w:rPr>
              <w:t xml:space="preserve">5. Uma cópia do relatório é entregue ao </w:t>
            </w:r>
            <w:r w:rsidRPr="002554BF">
              <w:rPr>
                <w:b/>
                <w:i/>
              </w:rPr>
              <w:lastRenderedPageBreak/>
              <w:t>capitão do navio e às autoridades da equipa de inspeção, os quais, por sua vez, enviam cópias às autoridades do Estado de pavilhão do navio inspecionado e à Comissão e/ou um organismo por ela designado. A Comissão transmite a cópia ao Secretariado da CGPM.</w:t>
            </w:r>
          </w:p>
        </w:tc>
        <w:tc>
          <w:tcPr>
            <w:tcW w:w="4876" w:type="dxa"/>
            <w:tcBorders>
              <w:top w:val="nil"/>
              <w:left w:val="nil"/>
              <w:bottom w:val="nil"/>
              <w:right w:val="nil"/>
            </w:tcBorders>
          </w:tcPr>
          <w:p w:rsidR="00DD5018" w:rsidRPr="002554BF" w:rsidRDefault="00DD5018" w:rsidP="00F37D8F">
            <w:pPr>
              <w:pStyle w:val="Normal6"/>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
              <w:rPr>
                <w:b/>
                <w:i/>
              </w:rPr>
            </w:pPr>
            <w:r w:rsidRPr="002554BF">
              <w:rPr>
                <w:b/>
                <w:i/>
              </w:rPr>
              <w:t>6. A dimensão da equipa de inspeção e a duração da inspeção são determinadas pelo comandante do navio de inspeção, tendo em conta todas as circunstâncias pertinentes.</w:t>
            </w:r>
          </w:p>
        </w:tc>
        <w:tc>
          <w:tcPr>
            <w:tcW w:w="4876" w:type="dxa"/>
            <w:tcBorders>
              <w:top w:val="nil"/>
              <w:left w:val="nil"/>
              <w:bottom w:val="nil"/>
              <w:right w:val="nil"/>
            </w:tcBorders>
          </w:tcPr>
          <w:p w:rsidR="00DD5018" w:rsidRPr="002554BF" w:rsidRDefault="00DD5018" w:rsidP="00F37D8F">
            <w:pPr>
              <w:pStyle w:val="Normal6"/>
              <w:rPr>
                <w:b/>
                <w:i/>
              </w:rPr>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121.º-B.</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17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30-D</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Artigo 30.º-D</w:t>
            </w:r>
          </w:p>
        </w:tc>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Infrações</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1. Para efeitos do presente artigo, consideram-se infrações:</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a)</w:t>
            </w:r>
            <w:r w:rsidRPr="002554BF">
              <w:rPr>
                <w:b/>
                <w:i/>
              </w:rPr>
              <w:tab/>
              <w:t>As atividades a que se refere o artigo 3.º, n.º 1, alíneas a), b), c), e), f), g) e h), do Regulamento (CE) n.º 1005/2008</w:t>
            </w:r>
            <w:r w:rsidRPr="002554BF">
              <w:rPr>
                <w:b/>
                <w:i/>
              </w:rPr>
              <w:footnoteReference w:id="1"/>
            </w:r>
            <w:r w:rsidRPr="002554BF">
              <w:rPr>
                <w:b/>
                <w:i/>
              </w:rPr>
              <w:t>;</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b)</w:t>
            </w:r>
            <w:r w:rsidRPr="002554BF">
              <w:rPr>
                <w:b/>
                <w:i/>
              </w:rPr>
              <w:tab/>
              <w:t>A interferência com o sistema de localização dos navios por satélite; e</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lastRenderedPageBreak/>
              <w:t>c)</w:t>
            </w:r>
            <w:r w:rsidRPr="002554BF">
              <w:rPr>
                <w:b/>
                <w:i/>
              </w:rPr>
              <w:tab/>
              <w:t>A realização de operações sem um VMS.</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2. Se, durante a subida a bordo e inspeção dos navios de pesca, os inspetores detetarem uma infração, as autoridades do Estado-Membro de pavilhão do navio de inspeção informam de imediato a Comissão ou o organismo por esta designado, que, por seu turno, notifica o Estado de pavilhão do navio de pesca inspecionado, tanto diretamente como através do Secretariado da CGPM. As autoridades informam igualmente qualquer navio de inspeção do Estado de pavilhão do navio de pesca cuja presença nas proximidades seja conhecida.</w:t>
            </w:r>
          </w:p>
        </w:tc>
        <w:tc>
          <w:tcPr>
            <w:tcW w:w="4876" w:type="dxa"/>
            <w:tcBorders>
              <w:top w:val="nil"/>
              <w:left w:val="nil"/>
              <w:bottom w:val="nil"/>
              <w:right w:val="nil"/>
            </w:tcBorders>
            <w:hideMark/>
          </w:tcPr>
          <w:p w:rsidR="00DD5018" w:rsidRPr="002554BF" w:rsidRDefault="00DD5018" w:rsidP="00F37D8F">
            <w:pPr>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3. O Estado-Membro de pavilhão do navio de pesca, na sequência de uma inspeção em que tenha sido detetada uma infração, assegura a cessação de todas as atividades de pesca do navio. O Estado-Membro de pavilhão ordena ao navio de pesca que se dirija, no prazo de 72 horas, para um porto por si designado, onde será iniciada uma investigação.</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4. Caso no decurso de uma inspeção seja detetada uma infração, as ações e as medidas de seguimento tomadas pelo Estado-Membro de pavilhão são notificadas à Comissão ou a um organismo por esta designado. A Comissão ou um organismo por ela designado comunica as ações e as medidas de seguimento tomadas ao Secretariado da CGPM.</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5. As autoridades dos Estados-Membros dão seguimento aos relatórios de inspeção a que se refere o artigo 30.º, n.º 3, à ficha de informação sobre avistamentos prevista no anexo VII e às declarações resultantes das inspeções documentais realizadas pelos inspetores como se se tratasse de relatórios e declarações dos inspetores nacionais.»;</w:t>
            </w:r>
          </w:p>
        </w:tc>
        <w:tc>
          <w:tcPr>
            <w:tcW w:w="4876" w:type="dxa"/>
            <w:tcBorders>
              <w:top w:val="nil"/>
              <w:left w:val="nil"/>
              <w:bottom w:val="nil"/>
              <w:right w:val="nil"/>
            </w:tcBorders>
          </w:tcPr>
          <w:p w:rsidR="00DD5018" w:rsidRPr="002554BF" w:rsidRDefault="00DD5018" w:rsidP="00F37D8F">
            <w:pPr>
              <w:pStyle w:val="Normal6a"/>
              <w:rPr>
                <w:b/>
                <w:i/>
              </w:rPr>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121.º-C.</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20</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36</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Os arrastões de fundo que dirigem a pesca a concentrações de camarão-vermelho de profundidade na época da desova devem cessar a pesca durante 30 dias consecutivos entre os meses de março e dezembro.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r>
            <w:r w:rsidRPr="002554BF">
              <w:rPr>
                <w:b/>
                <w:i/>
              </w:rPr>
              <w:t>Em função dos resultados comunicados pelos Estados-Membros durante o período transitório mencionado na Recomendação 45/2022/7,</w:t>
            </w:r>
            <w:r w:rsidRPr="002554BF">
              <w:t xml:space="preserve"> os arrastões de fundo que dirigem a pesca a concentrações de camarão-vermelho de profundidade na época da desova devem cessar a pesca durante 30 dias consecutivos entre os meses de março e dezembro.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22 – parte introdutória</w:t>
      </w:r>
      <w:r w:rsidRPr="002554B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(22)</w:t>
            </w:r>
            <w:r w:rsidRPr="002554BF">
              <w:tab/>
              <w:t xml:space="preserve">Entre o artigo 37.º e o artigo 38.º, </w:t>
            </w:r>
            <w:r w:rsidRPr="002554BF">
              <w:rPr>
                <w:b/>
                <w:i/>
              </w:rPr>
              <w:t>são inseridos os seguintes artigos</w:t>
            </w:r>
            <w:r w:rsidRPr="002554BF">
              <w:t xml:space="preserve"> 37.º-A</w:t>
            </w:r>
            <w:r w:rsidRPr="002554BF">
              <w:rPr>
                <w:b/>
                <w:i/>
              </w:rPr>
              <w:t>, 37.º-B, 37.º-C e 37.º-D</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(22)</w:t>
            </w:r>
            <w:r w:rsidRPr="002554BF">
              <w:tab/>
              <w:t xml:space="preserve">Entre o artigo 37.º e o artigo 38.º, </w:t>
            </w:r>
            <w:r w:rsidRPr="002554BF">
              <w:rPr>
                <w:b/>
                <w:i/>
              </w:rPr>
              <w:t>é inserido o seguinte artigo</w:t>
            </w:r>
            <w:r w:rsidRPr="002554BF">
              <w:t xml:space="preserve"> 37.º-A: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Transferido para as disposições finais aplicáveis a todos os regulamentos – ver os novos artigos 121.º-A, 121.º-B e 121.º-C.</w:t>
      </w:r>
    </w:p>
    <w:p w:rsidR="00DD5018" w:rsidRPr="002554BF" w:rsidRDefault="00811D8D" w:rsidP="00DD5018">
      <w:r w:rsidRPr="002554BF">
        <w:rPr>
          <w:rStyle w:val="HideTWBExt"/>
          <w:color w:val="auto"/>
        </w:rPr>
        <w:lastRenderedPageBreak/>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37-B</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jc w:val="center"/>
              <w:rPr>
                <w:b/>
                <w:i/>
              </w:rPr>
            </w:pP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jc w:val="center"/>
              <w:rPr>
                <w:b/>
                <w:i/>
              </w:rPr>
            </w:pPr>
            <w:r w:rsidRPr="002554BF">
              <w:rPr>
                <w:b/>
                <w:i/>
              </w:rPr>
              <w:t>Artigo 37.º-B</w:t>
            </w:r>
          </w:p>
        </w:tc>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jc w:val="center"/>
              <w:rPr>
                <w:b/>
                <w:i/>
              </w:rPr>
            </w:pPr>
            <w:r w:rsidRPr="002554BF">
              <w:rPr>
                <w:b/>
                <w:i/>
              </w:rPr>
              <w:t>Programa de Inspeção e de Vigilância Internacional Conjunta</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1. Os Estados-Membros podem efetuar atividades de inspeção e de vigilância no âmbito da presente secção no quadro de um Programa de Inspeção e de Vigilância Internacional Conjunta (a seguir designado por «Programa») que abranja as águas fora da jurisdição nacional nas subzonas geográficas CGPM 12, 13, 14, 15 e 16 (estreito da Sicília), na aceção do anexo I (a seguir designada por «zona de inspeção e de vigilância»).</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2. Os Estados-Membros podem designar inspetores e meios de inspeção e efetuar inspeções ao abrigo do Programa. A Comissão, ou um organismo por ela designado, pode igualmente nomear inspetores da União para o Programa.</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 xml:space="preserve">3. A Comissão, ou um organismo por ela designado, coordena as atividades de vigilância e de inspeção no respeitante à União e pode elaborar, em concertação com os Estados-Membros em causa, um plano de execução conjunta que permita à União cumprir as obrigações que lhe incumbem por força do Programa. Os Estados-Membros adotam as medidas necessárias para facilitar a execução desses planos, nomeadamente no respeitante aos recursos humanos e materiais necessários, bem como aos </w:t>
            </w:r>
            <w:r w:rsidRPr="002554BF">
              <w:rPr>
                <w:b/>
                <w:i/>
              </w:rPr>
              <w:lastRenderedPageBreak/>
              <w:t>períodos e às zonas em que estes devem ser utilizados.</w:t>
            </w:r>
          </w:p>
        </w:tc>
        <w:tc>
          <w:tcPr>
            <w:tcW w:w="4876" w:type="dxa"/>
            <w:tcBorders>
              <w:top w:val="nil"/>
              <w:left w:val="nil"/>
              <w:bottom w:val="nil"/>
              <w:right w:val="nil"/>
            </w:tcBorders>
            <w:hideMark/>
          </w:tcPr>
          <w:p w:rsidR="00DD5018" w:rsidRPr="002554BF" w:rsidRDefault="00DD5018" w:rsidP="00F37D8F">
            <w:pPr>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 xml:space="preserve">4. Os Estados-Membros comunicam, até 15 de novembro de cada ano, à Comissão ou a um organismo por esta designado, a lista dos nomes dos inspetores autorizados a realizar as atividades de inspeção e de vigilância na zona a que se refere o n.º 1, bem como os nomes dos navios e das aeronaves utilizados na inspeção e na vigilância que tencionam afetar ao Programa para o ano seguinte. A Comissão, ou um organismo por ela designado, envia essas informações ao Secretariado da CGPM, até 1 de dezembro de cada ano, ou logo que possível e antes do início das atividades de inspeção. </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5. Os inspetores designados ao abrigo do Programa devem ser portadores de um cartão de inspetor da CGPM emitido pelas autoridades competentes no formato constante do anexo IV.</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6. Os navios que realizem operações de subida a bordo e inspeção no âmbito do Programa arvoram um pavilhão ou um galhardete especial, descrito no anexo V.</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7. Os Estados-Membros asseguram que qualquer plataforma de inspeção autorizada a arvorar o seu pavilhão e que opere na zona a que se refere o n.º 1 mantenha um contacto seguro com todas as outras plataformas de inspeção que operem nessa zona, se possível diariamente, a fim de trocarem as informações necessárias à coordenação das atividades.</w:t>
            </w:r>
          </w:p>
        </w:tc>
        <w:tc>
          <w:tcPr>
            <w:tcW w:w="4876" w:type="dxa"/>
            <w:tcBorders>
              <w:top w:val="nil"/>
              <w:left w:val="nil"/>
              <w:bottom w:val="nil"/>
              <w:right w:val="nil"/>
            </w:tcBorders>
          </w:tcPr>
          <w:p w:rsidR="00DD5018" w:rsidRPr="002554BF" w:rsidRDefault="00DD5018" w:rsidP="00F37D8F">
            <w:pPr>
              <w:pStyle w:val="Normal6a"/>
              <w:rPr>
                <w:b/>
                <w:i/>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 xml:space="preserve">8. Os Estados-Membros que realizem atividades de inspeção ou de vigilância na zona a que se refere o n.º 1 devem facultar a cada plataforma de inspeção, no momento da sua entrada na zona, uma lista dos avistamentos, elaborada de acordo com o anexo VII, das subidas a bordo e das inspeções por si efetuadas nos dez dias anteriores, incluindo as datas, as coordenadas e outras informações </w:t>
            </w:r>
            <w:r w:rsidRPr="002554BF">
              <w:rPr>
                <w:b/>
                <w:i/>
              </w:rPr>
              <w:lastRenderedPageBreak/>
              <w:t>pertinentes.</w:t>
            </w:r>
          </w:p>
        </w:tc>
        <w:tc>
          <w:tcPr>
            <w:tcW w:w="4876" w:type="dxa"/>
            <w:tcBorders>
              <w:top w:val="nil"/>
              <w:left w:val="nil"/>
              <w:bottom w:val="nil"/>
              <w:right w:val="nil"/>
            </w:tcBorders>
          </w:tcPr>
          <w:p w:rsidR="00DD5018" w:rsidRPr="002554BF" w:rsidRDefault="00DD5018" w:rsidP="00F37D8F">
            <w:pPr>
              <w:pStyle w:val="Normal6a"/>
              <w:rPr>
                <w:b/>
                <w:i/>
              </w:rPr>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Transferido para as disposições finais aplicáveis a todos os regulamentos – ver os novos artigos 121.º-A, 121.º-B e 121.º-C.</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179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37-B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podem designar inspetores e meios de inspeção e efetuar inspeções ao abrigo do Programa. </w:t>
            </w:r>
            <w:r w:rsidRPr="002554BF">
              <w:rPr>
                <w:b/>
                <w:i/>
              </w:rPr>
              <w:t>A Comissão, ou um organismo por ela designado, pode igualmente nomear inspetores da União para o Programa.</w:t>
            </w:r>
          </w:p>
        </w:tc>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Os Estados-Membros podem designar inspetores e meios de inspeção e efetuar inspeções ao abrigo do Programa.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37.º-C</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jc w:val="center"/>
            </w:pPr>
            <w:r w:rsidRPr="002554BF">
              <w:rPr>
                <w:b/>
                <w:i/>
              </w:rPr>
              <w:t>Artigo 37.º-C</w:t>
            </w:r>
          </w:p>
        </w:tc>
        <w:tc>
          <w:tcPr>
            <w:tcW w:w="4876" w:type="dxa"/>
            <w:tcBorders>
              <w:top w:val="nil"/>
              <w:left w:val="nil"/>
              <w:bottom w:val="nil"/>
              <w:right w:val="nil"/>
            </w:tcBorders>
            <w:hideMark/>
          </w:tcPr>
          <w:p w:rsidR="00DD5018" w:rsidRPr="002554BF" w:rsidRDefault="00811D8D" w:rsidP="00F37D8F">
            <w:pPr>
              <w:pStyle w:val="AmColumnHeading"/>
            </w:pPr>
            <w:r w:rsidRPr="002554BF">
              <w:rPr>
                <w:b/>
              </w:rPr>
              <w:t>Suprimido</w:t>
            </w: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jc w:val="center"/>
              <w:rPr>
                <w:b/>
                <w:i/>
              </w:rPr>
            </w:pPr>
            <w:r w:rsidRPr="002554BF">
              <w:rPr>
                <w:b/>
                <w:i/>
              </w:rPr>
              <w:t>Realização de inspeções</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1. Os inspetores designados ao abrigo do Programa:</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lastRenderedPageBreak/>
              <w:t>a) Notificam o navio de pesca do nome do navio de inspeção antes do embarque;</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b) Colocam no navio de inspeção e no bote de acostagem o galhardete descrito no anexo V;</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c) Limitam cada equipa de inspeção a, no máximo, três inspetores.</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2. Ao subir a bordo do navio, os inspetores apresentam ao capitão do navio de pesca o cartão de identidade descrito no anexo IV. As inspeções decorrem numa das línguas oficiais da CGPM e, se possível, na língua falada pelo capitão do navio de pesca.</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3. Os inspetores elaboram um relatório de inspeção de acordo com o modelo previsto no anexo VI.</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4. Os inspetores assinam o relatório na presença do capitão do navio, que tem o direito de acrescentar ao relatório qualquer observação que considere adequada, assinando também essas observações.</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5. Uma cópia do relatório é entregue ao capitão do navio e às autoridades da equipa de inspeção, os quais, por sua vez, enviam cópias às autoridades do Estado de pavilhão do navio inspecionado e à Comissão e/ou um organismo por ela designado. A Comissão transmite a cópia ao Secretariado da CGPM.</w:t>
            </w:r>
          </w:p>
        </w:tc>
        <w:tc>
          <w:tcPr>
            <w:tcW w:w="4876" w:type="dxa"/>
            <w:tcBorders>
              <w:top w:val="nil"/>
              <w:left w:val="nil"/>
              <w:bottom w:val="nil"/>
              <w:right w:val="nil"/>
            </w:tcBorders>
          </w:tcPr>
          <w:p w:rsidR="00DD5018" w:rsidRPr="002554BF" w:rsidRDefault="00DD5018" w:rsidP="00F37D8F">
            <w:pPr>
              <w:pStyle w:val="AmColumnHeading"/>
              <w:jc w:val="left"/>
              <w:rPr>
                <w:b/>
              </w:rPr>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6. A dimensão da equipa de inspeção e a duração da inspeção são determinadas pelo comandante do navio de inspeção, tendo em conta todas as circunstâncias pertinentes.</w:t>
            </w:r>
          </w:p>
        </w:tc>
        <w:tc>
          <w:tcPr>
            <w:tcW w:w="4876" w:type="dxa"/>
            <w:tcBorders>
              <w:top w:val="nil"/>
              <w:left w:val="nil"/>
              <w:bottom w:val="nil"/>
              <w:right w:val="nil"/>
            </w:tcBorders>
            <w:hideMark/>
          </w:tcPr>
          <w:p w:rsidR="00DD5018" w:rsidRPr="002554BF" w:rsidRDefault="00DD5018" w:rsidP="00F37D8F">
            <w:pPr>
              <w:rPr>
                <w:b/>
                <w:i/>
              </w:rPr>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Transferido para as disposições finais aplicáveis a todos os regulamentos – ver os novos artigos 121.º-A, 121.º-B e 121.º-C.</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lastRenderedPageBreak/>
        <w:t>&lt;Amend&gt;</w:t>
      </w:r>
      <w:r w:rsidRPr="002554BF">
        <w:t>Alteração</w:t>
      </w:r>
      <w:r w:rsidRPr="002554BF">
        <w:tab/>
      </w:r>
      <w:r w:rsidRPr="002554BF">
        <w:tab/>
      </w:r>
      <w:r w:rsidRPr="002554BF">
        <w:rPr>
          <w:rStyle w:val="HideTWBExt"/>
          <w:color w:val="auto"/>
        </w:rPr>
        <w:t>&lt;NumAm&gt;</w:t>
      </w:r>
      <w:r w:rsidRPr="002554BF">
        <w:t>181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37-D</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jc w:val="center"/>
            </w:pPr>
            <w:r w:rsidRPr="002554BF">
              <w:rPr>
                <w:b/>
                <w:i/>
              </w:rPr>
              <w:t>Artigo 37.º-D</w:t>
            </w:r>
          </w:p>
        </w:tc>
        <w:tc>
          <w:tcPr>
            <w:tcW w:w="4876" w:type="dxa"/>
            <w:tcBorders>
              <w:top w:val="nil"/>
              <w:left w:val="nil"/>
              <w:bottom w:val="nil"/>
              <w:right w:val="nil"/>
            </w:tcBorders>
            <w:hideMark/>
          </w:tcPr>
          <w:p w:rsidR="00DD5018" w:rsidRPr="002554BF" w:rsidRDefault="00811D8D" w:rsidP="00F37D8F">
            <w:pPr>
              <w:pStyle w:val="AmColumnHeading"/>
            </w:pPr>
            <w:r w:rsidRPr="002554BF">
              <w:rPr>
                <w:b/>
              </w:rPr>
              <w:t>Suprimido</w:t>
            </w: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rPr>
                <w:b/>
              </w:rPr>
              <w:t>Infrações</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 Para efeitos do presente artigo, consideram-se infrações:</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a)</w:t>
            </w:r>
            <w:r w:rsidRPr="002554BF">
              <w:rPr>
                <w:b/>
                <w:i/>
              </w:rPr>
              <w:tab/>
              <w:t>As atividades a que se refere o artigo 3.º, n.º 1, alíneas a), b), c), e), f), g) e h), do Regulamento (CE) n.º 1005/2008;</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jc w:val="left"/>
            </w:pPr>
            <w:r w:rsidRPr="002554BF">
              <w:rPr>
                <w:b/>
              </w:rPr>
              <w:t>b)</w:t>
            </w:r>
            <w:r w:rsidRPr="002554BF">
              <w:rPr>
                <w:b/>
              </w:rPr>
              <w:tab/>
              <w:t>A interferência com o sistema de localização dos navios por satélite; e</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c)</w:t>
            </w:r>
            <w:r w:rsidRPr="002554BF">
              <w:rPr>
                <w:b/>
                <w:i/>
              </w:rPr>
              <w:tab/>
              <w:t>A realização de operações sem um VMS.</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2. Se, durante a subida a bordo e inspeção dos navios de pesca, os inspetores detetarem uma infração, as autoridades do Estado-Membro de pavilhão do navio de inspeção informam de imediato a Comissão ou o organismo por esta designado, que, por seu turno, notifica o Estado de pavilhão do navio de pesca inspecionado, tanto diretamente como através do Secretariado da CGPM. As autoridades informam igualmente qualquer navio de inspeção do Estado de pavilhão do navio de pesca cuja presença nas proximidades seja conhecida.</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 xml:space="preserve">3. O Estado-Membro de pavilhão do navio de pesca, na sequência de uma inspeção em que tenha sido detetada uma infração, assegura a cessação de todas as atividades de pesca do navio. O Estado-Membro de pavilhão ordena ao navio de pesca que se dirija, no prazo de 72 horas, para um porto por si designado, onde será iniciada </w:t>
            </w:r>
            <w:r w:rsidRPr="002554BF">
              <w:rPr>
                <w:b/>
                <w:i/>
              </w:rPr>
              <w:lastRenderedPageBreak/>
              <w:t>uma investigação.</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rPr>
                <w:b/>
                <w:i/>
              </w:rPr>
              <w:t>4. Caso no decurso de uma inspeção seja detetada uma infração, as ações e as medidas de seguimento tomadas pelo Estado-Membro de pavilhão são notificadas à Comissão ou a um organismo por esta designado. A Comissão ou um organismo por ela designado comunica as ações e as medidas de seguimento tomadas ao Secretariado da CGPM.</w:t>
            </w:r>
          </w:p>
        </w:tc>
        <w:tc>
          <w:tcPr>
            <w:tcW w:w="4876" w:type="dxa"/>
            <w:tcBorders>
              <w:top w:val="nil"/>
              <w:left w:val="nil"/>
              <w:bottom w:val="nil"/>
              <w:right w:val="nil"/>
            </w:tcBorders>
          </w:tcPr>
          <w:p w:rsidR="00DD5018" w:rsidRPr="002554BF" w:rsidRDefault="00DD5018" w:rsidP="00F37D8F">
            <w:pPr>
              <w:pStyle w:val="AmColumnHeading"/>
              <w:jc w:val="left"/>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5. As autoridades dos Estados-Membros dão seguimento aos relatórios de inspeção a que se refere o artigo 37.º-C, à ficha de informação sobre avistamentos prevista no anexo VII e às declarações resultantes das inspeções documentais realizadas pelos inspetores como se se tratasse de relatórios e declarações dos inspetores nacionais.»;</w:t>
            </w:r>
          </w:p>
        </w:tc>
        <w:tc>
          <w:tcPr>
            <w:tcW w:w="4876" w:type="dxa"/>
            <w:tcBorders>
              <w:top w:val="nil"/>
              <w:left w:val="nil"/>
              <w:bottom w:val="nil"/>
              <w:right w:val="nil"/>
            </w:tcBorders>
            <w:hideMark/>
          </w:tcPr>
          <w:p w:rsidR="00DD5018" w:rsidRPr="002554BF" w:rsidRDefault="00DD5018" w:rsidP="00F37D8F"/>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Transferido para as disposições finais aplicáveis a todos os regulamentos – ver os novos artigos 121.º-A, 121.º-B e 121.º-C.</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23-A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46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23-A)</w:t>
            </w:r>
            <w:r w:rsidRPr="002554BF">
              <w:tab/>
            </w:r>
            <w:r w:rsidRPr="002554BF">
              <w:rPr>
                <w:b/>
                <w:i/>
              </w:rPr>
              <w:t>O artigo 46.º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46.º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Artigo 46.º</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Veículos subaquáticos telecomandados (VST)</w:t>
            </w:r>
          </w:p>
        </w:tc>
        <w:tc>
          <w:tcPr>
            <w:tcW w:w="4876" w:type="dxa"/>
            <w:tcBorders>
              <w:top w:val="nil"/>
              <w:left w:val="nil"/>
              <w:bottom w:val="nil"/>
              <w:right w:val="nil"/>
            </w:tcBorders>
            <w:hideMark/>
          </w:tcPr>
          <w:p w:rsidR="00DD5018" w:rsidRPr="002554BF" w:rsidRDefault="00811D8D" w:rsidP="00F37D8F">
            <w:pPr>
              <w:pStyle w:val="Normal6a"/>
            </w:pPr>
            <w:r w:rsidRPr="002554BF">
              <w:t>Veículos subaquáticos telecomandados (VST)</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1.</w:t>
            </w:r>
            <w:r w:rsidRPr="002554BF">
              <w:t xml:space="preserve"> </w:t>
            </w:r>
            <w:r w:rsidRPr="002554BF">
              <w:rPr>
                <w:b/>
                <w:i/>
              </w:rPr>
              <w:t xml:space="preserve">É proibida </w:t>
            </w:r>
            <w:r w:rsidRPr="002554BF">
              <w:t xml:space="preserve">a utilização de veículos </w:t>
            </w:r>
            <w:r w:rsidRPr="002554BF">
              <w:rPr>
                <w:b/>
                <w:i/>
              </w:rPr>
              <w:t xml:space="preserve">subaquáticos </w:t>
            </w:r>
            <w:r w:rsidRPr="002554BF">
              <w:t xml:space="preserve">telecomandados (VST) </w:t>
            </w:r>
            <w:r w:rsidRPr="002554BF">
              <w:rPr>
                <w:b/>
                <w:i/>
              </w:rPr>
              <w:t>na zona referida</w:t>
            </w:r>
            <w:r w:rsidRPr="002554BF">
              <w:t xml:space="preserve"> </w:t>
            </w:r>
            <w:r w:rsidRPr="002554BF">
              <w:rPr>
                <w:b/>
                <w:bCs/>
                <w:i/>
                <w:iCs/>
              </w:rPr>
              <w:t>no</w:t>
            </w:r>
            <w:r w:rsidRPr="002554BF">
              <w:t xml:space="preserve"> </w:t>
            </w:r>
            <w:r w:rsidRPr="002554BF">
              <w:rPr>
                <w:b/>
                <w:i/>
              </w:rPr>
              <w:t>artigo 38</w:t>
            </w:r>
            <w:r w:rsidRPr="002554BF">
              <w:t>.</w:t>
            </w:r>
            <w:r w:rsidRPr="002554BF">
              <w:rPr>
                <w:b/>
                <w:i/>
              </w:rPr>
              <w:t>º</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A utilização de veículos telecomandados (VST) </w:t>
            </w:r>
            <w:r w:rsidRPr="002554BF">
              <w:rPr>
                <w:b/>
                <w:i/>
              </w:rPr>
              <w:t>é permitida até ao final do programa de investigação da CGPM apenas para fins científicos e</w:t>
            </w:r>
            <w:r w:rsidRPr="002554BF">
              <w:t xml:space="preserve"> </w:t>
            </w:r>
            <w:r w:rsidRPr="002554BF">
              <w:rPr>
                <w:b/>
                <w:bCs/>
                <w:i/>
                <w:iCs/>
              </w:rPr>
              <w:t>no</w:t>
            </w:r>
            <w:r w:rsidRPr="002554BF">
              <w:t xml:space="preserve"> </w:t>
            </w:r>
            <w:r w:rsidRPr="002554BF">
              <w:rPr>
                <w:b/>
                <w:i/>
              </w:rPr>
              <w:t>âmbito de programas de investigação conduzidos por instituições científicas autorizados pelos Estados-Membros</w:t>
            </w:r>
            <w:r w:rsidRPr="002554BF">
              <w:t xml:space="preserve">. </w:t>
            </w:r>
            <w:r w:rsidRPr="002554BF">
              <w:rPr>
                <w:b/>
                <w:i/>
              </w:rPr>
              <w:t>Essas autorizações não prejudicam medidas mais rigorosas adotadas pelos Estados-Membros</w:t>
            </w:r>
            <w:r w:rsidRPr="002554BF">
              <w:t>.</w:t>
            </w:r>
            <w:r w:rsidRPr="002554BF">
              <w:rPr>
                <w:b/>
                <w:i/>
              </w:rPr>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(https://eur-lex.europa.eu/eli/reg/2023/2124)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CGPM/46/2023/13.</w:t>
      </w:r>
    </w:p>
    <w:p w:rsidR="00DD5018" w:rsidRPr="002554BF" w:rsidRDefault="00811D8D" w:rsidP="00DD5018">
      <w:pPr>
        <w:pStyle w:val="AmNumberTabs"/>
      </w:pPr>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23-A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46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23-A)</w:t>
            </w:r>
            <w:r w:rsidRPr="002554BF">
              <w:tab/>
            </w:r>
            <w:r w:rsidRPr="002554BF">
              <w:rPr>
                <w:b/>
                <w:i/>
              </w:rPr>
              <w:t>No artigo 46.º, o n.º 2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 Em derrogação do n.º 1, a utilização de VST é permitida exclusivamente para fins científicos no âmbito do programa de investigação da CGPM até ao final desse programa.</w:t>
            </w:r>
          </w:p>
        </w:tc>
        <w:tc>
          <w:tcPr>
            <w:tcW w:w="4876" w:type="dxa"/>
            <w:tcBorders>
              <w:top w:val="nil"/>
              <w:left w:val="nil"/>
              <w:bottom w:val="nil"/>
              <w:right w:val="nil"/>
            </w:tcBorders>
            <w:hideMark/>
          </w:tcPr>
          <w:p w:rsidR="00DD5018" w:rsidRPr="002554BF" w:rsidRDefault="00811D8D" w:rsidP="00F37D8F">
            <w:pPr>
              <w:pStyle w:val="Normal6a"/>
            </w:pPr>
            <w:r w:rsidRPr="002554BF">
              <w:rPr>
                <w:b/>
                <w:bCs/>
                <w:i/>
                <w:iCs/>
              </w:rPr>
              <w:t>«</w:t>
            </w:r>
            <w:r w:rsidRPr="002554BF">
              <w:t>2. Em derrogação do n.º 1, a utilização de VST é permitida exclusivamente para fins científicos no âmbito do programa de investigação da CGPM até ao final desse programa</w:t>
            </w:r>
            <w:r w:rsidRPr="002554BF">
              <w:rPr>
                <w:b/>
                <w:i/>
              </w:rPr>
              <w:t xml:space="preserve"> e no âmbito de programas de investigação conduzidos por instituições científicas autorizados pelos Estados-Membros</w:t>
            </w:r>
            <w:r w:rsidRPr="002554BF">
              <w:t xml:space="preserve">. </w:t>
            </w:r>
            <w:r w:rsidRPr="002554BF">
              <w:rPr>
                <w:b/>
                <w:i/>
              </w:rPr>
              <w:t>Essas autorizações não prejudicam medidas mais rigorosas adotadas pelos Estados-Membros.»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CGPM/44/2024/2.</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24-A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55</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24-A)</w:t>
            </w:r>
            <w:r w:rsidRPr="002554BF">
              <w:tab/>
            </w:r>
            <w:r w:rsidRPr="002554BF">
              <w:rPr>
                <w:b/>
                <w:i/>
              </w:rPr>
              <w:t>O artigo 55.º passa a ter a seguinte redação: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55</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Rastreabilidade dos produtos à base de coral-vermelho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Estados-Membros aplicam integralmente o programa de documentação das capturas (PDC) de coral-vermelho ao longo de toda a cadeia de abastecimento, a fim de assegurar a rastreabilidade do coral-vermelho (Corallium rubrum) apanhado no mar Mediterrâneo e contribuir para a luta contra as atividades de pesca ilegal, não declarada e não regulamentada (INN).</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 programa de documentação das capturas de coral-vermelho em papel estabelecido no n.º 1 não prejudica outros sistemas nacionais de rastreabilidade em vigor que garantam o mesmo nível de controlo da rastreabilidade de produtos de coral-vermelho por parte dos Estados-Membros.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 programa de documentação das capturas de coral-vermelho em papel aplica-se aos primeiros desembarques, exportações e reexportações. O comércio interno não está incluído na cadeia de validação.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4. Em derrogação do n.º 1, é estabelecido </w:t>
            </w:r>
            <w:r w:rsidRPr="002554BF">
              <w:rPr>
                <w:b/>
                <w:i/>
              </w:rPr>
              <w:lastRenderedPageBreak/>
              <w:t>um período transitório de um ano, durante o qual o coral-vermelho armazenado antes de 1 de janeiro de 2025 pode ser exportado ou reexportado sem uma secção "capturas" validada no certificado de apanha.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Com vista a assegurar uma ligação entre os documentos validados do programa de documentação das capturas e as remessas de coral-vermelho a que se referem, os Estados-Membros poderão estabelecer um sistema de rotulagem.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Cada remessa de coral-vermelho importada, exportada ou reexportada do seu local de origem é acompanhada de um certificado validado tal como referido no anexo XX ou de um documento equivalente, como o certificado de apanha em vigor nos Estados-Membros exportadores.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7. Cada certificado de apanha tem um número único de identificação. Este número é específico dos Estados-Membros de pavilhão e é atribuído a cada pescador ou navio destinado à apanha. Os certificados não podem ser transferidos para outro pescador ou navio destinado à apanha.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8. Os Estados-Membros validam os certificados de apanha unicamente quando a exatidão de todas as informações contidas no programa de documentação das capturas de coral-vermelho tiver sido estabelecida, após verificação dos documentos comprovativos e da remessa correspondente.</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9. Os Estados-Membros comunicam à Comissão ou a um organismo por esta designado o respetivo programa de documentação das capturas, eventuais requisitos de marcação e identificação e requisitos de rastreabilidade e localização para a apanha de coral-vermelho que estão em conformidade com as disposições do presente artigo, de sorte </w:t>
            </w:r>
            <w:r w:rsidRPr="002554BF">
              <w:rPr>
                <w:b/>
                <w:i/>
              </w:rPr>
              <w:lastRenderedPageBreak/>
              <w:t>que assegurem eficazmente o cumprimento do objetivo de rastreabilidade. A Comissão ou um organismo por esta designado comunicam ao Secretariado da CGPM o programa de documentação das capturas de cada Estado-Membro.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10. A reexportação de produtos importados ao abrigo de um certificado de apanha nos termos do presente artigo é autorizada através da validação, pelas autoridades competentes dos Estados-Membros de onde a reexportação deve ocorrer, da secção "reexportação" do certificado de apanha referido no anexo XX ou de uma cópia do mesmo, em que figurem os produtos da pesca a reexportar enquanto parte dos produtos importados.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11. Sempre que um Estado-Membro identifique um incumprimento das obrigações previstas nesta recomendação, comunica-o aos Estados-Membros de pavilhão e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12. Os Estados-Membros comunicam à Comissão ou a um organismo por esta designado as respetivas autoridades competentes responsáveis pela validação, pelo controlo e pela verificação dos certificados de apanha, bem como os pontos de contacto do programa de documentação das capturas, o selo de validação e outras informações pertinentes para a aplicação do programa de documentação das capturas. A Comissão ou um organismo por esta designado comunicam ao Secretariado da CGPM as autoridades competentes e os pontos de contacto, além de outras informações pertinentes para a aplicação do programa de documentação das capturas.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13. Os Estados-Membros conservam os certificados de apanha de coral-vermelho em papel validados durante um período de 10 anos.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14. Os Estados-Membros apresentam relatórios anuais sobre a aplicação do programa de documentação das capturas de coral-vermelho em papel de que constam informações pormenorizadas e dados estatísticos sobre, entre outros, as quantidades anuais validadas, as quantidades anuais comercializadas, o número de certificados de apanha validados e todos os elementos pertinentes que entendam prestar informações sobre o ponto da situação. Os Estados-Membros apresentam o relatório à Comissão ou a um organismo por esta designado o mais tardar 45 dias antes de cada sessão anual do comité para a conformidade. A Comissão ou o organismo por esta designado apresentam os relatórios ao Secretariado da CGPM o mais tardar 30 dias antes de cada sessão anual do comité para a conformidade.»</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CGPM/46/2023/19.</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28</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59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ab/>
            </w:r>
            <w:r w:rsidRPr="002554BF">
              <w:rPr>
                <w:b/>
                <w:i/>
              </w:rPr>
              <w:t xml:space="preserve">As atividades de pesca dirigidas a concentrações de reprodutores de pescada-branca exercidas com palangres de fundo, redes de emalhar e tresmalhos são interrompidas durante 30 dias consecutivos entre os meses de março e abril. Os Estados-Membros comunicam à Comissão, até 31 de maio de cada ano, </w:t>
            </w:r>
            <w:r w:rsidRPr="002554BF">
              <w:rPr>
                <w:b/>
                <w:i/>
              </w:rPr>
              <w:lastRenderedPageBreak/>
              <w:t>dados sobre essas restrições temporais. A Comissão transmite essa informação ao Secretariado da CGPM até 30 de junho de cada ano.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28</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59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2.</w:t>
            </w:r>
            <w:r w:rsidRPr="002554BF">
              <w:tab/>
            </w:r>
            <w:r w:rsidRPr="002554BF">
              <w:rPr>
                <w:b/>
                <w:i/>
              </w:rPr>
              <w:t>De 1 de julho a 30 de setembro de cada ano, é proibido exercer atividades de pesca com arrastões de fundo, independentemente do seu comprimento de fora a fora, entre a costa e a isóbata de 200 metros de profundidade na SZG 14 (golfo de Gabès).</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31-A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63</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Artigo 63</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Programa de Inspeção e de Vigilância Internacional Conjunta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 xml:space="preserve">. </w:t>
            </w:r>
            <w:r w:rsidRPr="002554BF">
              <w:rPr>
                <w:b/>
                <w:i/>
              </w:rPr>
              <w:t xml:space="preserve">Os Estados-Membros podem efetuar atividades de inspeção e de vigilância no âmbito de um Programa de Inspeção e de Vigilância Internacional Conjunta (o </w:t>
            </w:r>
            <w:r w:rsidRPr="002554BF">
              <w:rPr>
                <w:b/>
                <w:i/>
              </w:rPr>
              <w:lastRenderedPageBreak/>
              <w:t>«Programa») que abranja as águas fora da jurisdição nacional, nas SZG CGPM 12, 13, 14, 15 e 16, na aceção do anexo I (a «zona de inspeção e de vigilância»).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podem designar inspetores e meios de inspeção e efetuar inspeções ao abrigo do Programa. A Comissão, ou um organismo por ela designado, pode igualmente nomear inspetores da União para o Programa.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3. A Comissão, ou um organismo por ela designado, coordena as atividades de vigilância e de inspeção no respeitante à União e pode elaborar, em concertação com os Estados-Membros em causa, um plano de execução conjunta que permita à União cumprir as obrigações que lhe incumbem por força do Programa. Os Estados-Membros adotam as medidas necessárias para facilitar a execução desses planos, nomeadamente no respeitante aos recursos humanos e materiais necessários, bem como aos períodos e às zonas em que estes devem ser utilizados.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comunicam, até 31 de outubro de cada ano, à Comissão ou a um organismo por esta designado, a lista dos nomes dos inspetores autorizados a realizar as atividades de inspeção e de vigilância na zona a que se refere o n.º 1, bem como os nomes das aeronaves e dos navios utilizados na inspeção e na vigilância que tencionam afetar ao Programa para o ano seguinte.  A Comissão, ou um organismo por ela designado, envia essas informações ao Secretariado da CGPM, até 1 de dezembro de cada ano, ou logo que possível e antes do início das atividades de inspeção.</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5. Os inspetores designados ao abrigo do Programa devem ser portadores de um cartão de identidade da CGPM emitido pelas autoridades competentes no formato constante do anexo IV.</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6. Os navios que realizem operações de subida a bordo e inspeção no âmbito do Programa arvoram um pavilhão ou um galhardete especial, descrito no anexo V.</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7. Os Estados-Membros asseguram que qualquer plataforma de inspeção autorizada a arvorar o seu pavilhão e que opere na zona a que se refere o n.º 1 mantenha um contacto seguro com todas as outras plataformas de inspeção que operem nessa zona, se possível diariamente, a fim de trocarem as informações necessárias à coordenação das atividades.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8. Os Estados-Membros que realizem atividades de inspeção ou de vigilância na zona a que se refere o n.º 1 devem facultar a cada plataforma de inspeção, no momento da sua entrada na zona, uma lista dos avistamentos, elaborada de acordo com o anexo VII, das subidas a bordo e das inspeções por si efetuadas nos dez dias anteriores, incluindo as datas, as coordenadas e outras informações pertinentes.</w:t>
            </w:r>
          </w:p>
        </w:tc>
        <w:tc>
          <w:tcPr>
            <w:tcW w:w="4876" w:type="dxa"/>
            <w:tcBorders>
              <w:top w:val="nil"/>
              <w:left w:val="nil"/>
              <w:bottom w:val="nil"/>
              <w:right w:val="nil"/>
            </w:tcBorders>
          </w:tcPr>
          <w:p w:rsidR="00DD5018" w:rsidRPr="002554BF" w:rsidRDefault="00DD5018" w:rsidP="00F37D8F">
            <w:pPr>
              <w:pStyle w:val="Normal6a"/>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121.º-B.</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31-B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64.º</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Artigo 64.º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lastRenderedPageBreak/>
              <w:t>Realização de inspeções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 xml:space="preserve">. </w:t>
            </w:r>
            <w:r w:rsidRPr="002554BF">
              <w:rPr>
                <w:b/>
                <w:i/>
              </w:rPr>
              <w:t>Os inspetores designados ao abrigo do Programa: a) Notificam o navio de pesca do nome do navio de inspeção antes do embarque; b) Colocam no navio de inspeção e no bote de acostagem o galhardete descrito no anexo V; c) Limitam cada equipa de inspeção a, no máximo, três inspetores.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2. Ao subir a bordo do navio, os inspetores apresentam ao capitão do navio de pesca o cartão de identidade descrito no anexo IV. As inspeções decorrem numa das línguas oficiais da CGPM e, se possível, na língua falada pelo capitão do navio de pesca.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3. Os inspetores elaboram um relatório de inspeção de acordo com o modelo previsto no anexo VI.</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4. Os inspetores assinam o relatório na presença do capitão do navio, que tem o direito de acrescentar ao relatório qualquer observação que considere adequada, assinando também essas observações.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5. Uma cópia do relatório é entregue ao capitão do navio e às autoridades da equipa de inspeção, os quais, por sua vez, enviam cópias às autoridades do Estado de pavilhão do navio inspecionado e à Comissão e/ou um organismo por ela designado. A Comissão transmite a cópia ao Secretariado da CGPM.</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6. A dimensão da equipa de inspeção e a duração da inspeção são determinadas pelo comandante do navio de inspeção, tendo em conta todas as circunstâncias pertinentes.</w:t>
            </w:r>
          </w:p>
        </w:tc>
        <w:tc>
          <w:tcPr>
            <w:tcW w:w="4876" w:type="dxa"/>
            <w:tcBorders>
              <w:top w:val="nil"/>
              <w:left w:val="nil"/>
              <w:bottom w:val="nil"/>
              <w:right w:val="nil"/>
            </w:tcBorders>
          </w:tcPr>
          <w:p w:rsidR="00DD5018" w:rsidRPr="002554BF" w:rsidRDefault="00DD5018" w:rsidP="00F37D8F">
            <w:pPr>
              <w:pStyle w:val="Normal6a"/>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189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65 – n.º 5</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(32)</w:t>
            </w:r>
            <w:r w:rsidRPr="002554BF">
              <w:tab/>
            </w:r>
            <w:r w:rsidRPr="002554BF">
              <w:rPr>
                <w:b/>
                <w:i/>
              </w:rPr>
              <w:t>No artigo 65.º, o n.º 5 passa a ter a seguinte redação: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«5. As autoridades dos Estados-Membros dão seguimento aos relatórios de inspeção a que se refere o artigo 64.º, n.º 3, às fichas de informação sobre avistamentos previstas no anexo VII e às declarações resultantes das inspeções documentais realizadas pelos inspetores como se se tratasse de relatórios e declarações dos inspetores nacionais estabelecidos em conformidade com a sua legislação nacional.»;</w:t>
            </w:r>
          </w:p>
        </w:tc>
        <w:tc>
          <w:tcPr>
            <w:tcW w:w="4876" w:type="dxa"/>
            <w:tcBorders>
              <w:top w:val="nil"/>
              <w:left w:val="nil"/>
              <w:bottom w:val="nil"/>
              <w:right w:val="nil"/>
            </w:tcBorders>
          </w:tcPr>
          <w:p w:rsidR="00DD5018" w:rsidRPr="002554BF" w:rsidRDefault="00DD5018" w:rsidP="00F37D8F">
            <w:pPr>
              <w:pStyle w:val="Normal6a"/>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32-A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65.º</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Artigo 65.º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Infrações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 xml:space="preserve">. </w:t>
            </w:r>
            <w:r w:rsidRPr="002554BF">
              <w:rPr>
                <w:b/>
                <w:i/>
              </w:rPr>
              <w:t xml:space="preserve">Para efeitos do presente artigo, consideram-se infrações: a) As atividades </w:t>
            </w:r>
            <w:r w:rsidRPr="002554BF">
              <w:rPr>
                <w:b/>
                <w:i/>
              </w:rPr>
              <w:lastRenderedPageBreak/>
              <w:t>a que se refere o artigo 3.º, n.º 1, alíneas a), b), c), e), f), g) e h), do Regulamento (CE) n.º 1005/2008; b) A interferência com o sistema de localização dos navios por satélite;  e c) A realização de operações sem um VMS.</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2. Se, durante a subida a bordo e inspeção dos navios de pesca, os inspetores detetarem uma infração, as autoridades do Estado-Membro de pavilhão do navio de inspeção informam de imediato a Comissão ou o organismo por esta designado, que, por seu turno, notifica o Estado de pavilhão do navio de pesca inspecionado, tanto diretamente como através do Secretariado da CGPM. As autoridades informam igualmente qualquer navio de inspeção do Estado de pavilhão do navio de pesca cuja presença nas proximidades seja conhecida.</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3. O Estado-Membro de pavilhão do navio de pesca, na sequência de uma inspeção em que tenha sido detetada uma infração, assegura a cessação de todas as atividades de pesca do navio.  O Estado-Membro de pavilhão ordena ao navio de pesca que se dirija, no prazo de 72 horas, para um ponto de desembarque por si designado, onde seja iniciada uma investigação.</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4. Caso no decurso de uma inspeção seja detetada uma infração, as ações e as medidas de seguimento tomadas pelo Estado-Membro de pavilhão são notificadas à Comissão ou a um organismo por esta designado. A Comissão ou um organismo por ela designado comunica as ações e as medidas de seguimento tomadas ao Secretariado da CGPM.</w:t>
            </w:r>
          </w:p>
        </w:tc>
        <w:tc>
          <w:tcPr>
            <w:tcW w:w="4876" w:type="dxa"/>
            <w:tcBorders>
              <w:top w:val="nil"/>
              <w:left w:val="nil"/>
              <w:bottom w:val="nil"/>
              <w:right w:val="nil"/>
            </w:tcBorders>
          </w:tcPr>
          <w:p w:rsidR="00DD5018" w:rsidRPr="002554BF" w:rsidRDefault="00DD5018" w:rsidP="00F37D8F">
            <w:pPr>
              <w:pStyle w:val="Normal6a"/>
            </w:pP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5. As autoridades dos Estados-Membros dão seguimento aos relatórios de inspeção, a que se refere o artigo 64.º, n.º 3, e às declarações resultantes das inspeções documentais realizadas pelos inspetores como se se tratasse de relatórios e declarações dos inspetores </w:t>
            </w:r>
            <w:r w:rsidRPr="002554BF">
              <w:rPr>
                <w:b/>
                <w:i/>
              </w:rPr>
              <w:lastRenderedPageBreak/>
              <w:t>nacionais.</w:t>
            </w:r>
          </w:p>
        </w:tc>
        <w:tc>
          <w:tcPr>
            <w:tcW w:w="4876" w:type="dxa"/>
            <w:tcBorders>
              <w:top w:val="nil"/>
              <w:left w:val="nil"/>
              <w:bottom w:val="nil"/>
              <w:right w:val="nil"/>
            </w:tcBorders>
          </w:tcPr>
          <w:p w:rsidR="00DD5018" w:rsidRPr="002554BF" w:rsidRDefault="00DD5018" w:rsidP="00F37D8F">
            <w:pPr>
              <w:pStyle w:val="Normal6a"/>
            </w:pP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é inserido como novo artigo 121.º-C.</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72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r>
            <w:r w:rsidRPr="002554BF">
              <w:rPr>
                <w:b/>
                <w:i/>
              </w:rPr>
              <w:t>Não obstante o artigo 9.º do Regulamento (CE) n.º 1224/2009 do Conselho,</w:t>
            </w:r>
            <w:r w:rsidRPr="002554BF">
              <w:t xml:space="preserve"> os arrastões com mais de </w:t>
            </w:r>
            <w:r w:rsidRPr="002554BF">
              <w:rPr>
                <w:b/>
                <w:i/>
              </w:rPr>
              <w:t>12</w:t>
            </w:r>
            <w:r w:rsidRPr="002554BF">
              <w:t xml:space="preserve"> metros de comprimento de fora a fora autorizados a pescar no âmbito da presente secção devem estar equipados com um sistema VMS por satélite. </w:t>
            </w:r>
            <w:r w:rsidRPr="002554BF">
              <w:rPr>
                <w:b/>
                <w:i/>
              </w:rPr>
              <w:t xml:space="preserve">Não obstante o disposto no artigo 9.º, n.º 3, do Regulamento (CE) n.º 1224/2009 do Conselho, </w:t>
            </w:r>
            <w:r w:rsidRPr="002554BF">
              <w:t xml:space="preserve">os arrastões com menos de </w:t>
            </w:r>
            <w:r w:rsidRPr="002554BF">
              <w:rPr>
                <w:b/>
                <w:i/>
              </w:rPr>
              <w:t>9</w:t>
            </w:r>
            <w:r w:rsidRPr="002554BF">
              <w:t xml:space="preserve"> metros de comprimento de fora a fora autorizados devem estar equipados com um sistema adequado de geolocalização.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arrastões com mais de </w:t>
            </w:r>
            <w:r w:rsidRPr="002554BF">
              <w:rPr>
                <w:b/>
                <w:i/>
              </w:rPr>
              <w:t>25</w:t>
            </w:r>
            <w:r w:rsidRPr="002554BF">
              <w:t xml:space="preserve"> metros de comprimento de fora a fora autorizados a pescar no âmbito da presente secção devem estar equipados com um sistema VMS por satélite. Os arrastões com menos de </w:t>
            </w:r>
            <w:r w:rsidRPr="002554BF">
              <w:rPr>
                <w:b/>
                <w:i/>
              </w:rPr>
              <w:t>18</w:t>
            </w:r>
            <w:r w:rsidRPr="002554BF">
              <w:t xml:space="preserve"> metros de comprimento de fora a fora autorizados devem estar equipados com um sistema adequado de geolocalização.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35</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73</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lastRenderedPageBreak/>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 presente secção aplica-se a todas as atividades de pesca dirigida a unidades populacionais fundamentais de pequenos pelágicos (biqueirão e sardinha) nas SZG 17 e 18, conforme indicadas no anexo I.»;</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A presente secção aplica-se a todas as atividades de pesca dirigida a unidades populacionais fundamentais de pequenos pelágicos (biqueirão </w:t>
            </w:r>
            <w:r w:rsidRPr="002554BF">
              <w:rPr>
                <w:b/>
                <w:i/>
              </w:rPr>
              <w:t xml:space="preserve">– Engraulis encrasicolus – </w:t>
            </w:r>
            <w:r w:rsidRPr="002554BF">
              <w:t>e sardinha</w:t>
            </w:r>
            <w:r w:rsidRPr="002554BF">
              <w:rPr>
                <w:b/>
                <w:i/>
              </w:rPr>
              <w:t xml:space="preserve"> – Sardina pilchardus</w:t>
            </w:r>
            <w:r w:rsidRPr="002554BF">
              <w:t>) nas SZG 17 e 18, conforme indicadas no anexo I.»;</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Alteração do n.º 39 relativo ao artigo 77.º-A (número de dias e período do ano) a partir da recomendação CGPM/2024/3, n.º 3.</w:t>
      </w:r>
    </w:p>
    <w:p w:rsidR="00DD5018" w:rsidRPr="002554BF" w:rsidRDefault="00811D8D" w:rsidP="00DD5018">
      <w:pPr>
        <w:pStyle w:val="AmJustText"/>
      </w:pPr>
      <w:r w:rsidRPr="002554BF">
        <w:t>Alteração do aditamento do n.º 4 ao artigo 78.º – a partir da recomendação CGPM/2024/3, n.º 5.</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Stephen Nikola Bartulica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35-A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74 – n.º 5</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35-A)</w:t>
            </w:r>
            <w:r w:rsidRPr="002554BF">
              <w:rPr>
                <w:b/>
                <w:i/>
              </w:rPr>
              <w:tab/>
              <w:t>No artigo 74.º, é suprimido o n.º 5.</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74.º, n.º 5, do Regulamento (UE) 2023/2124 excederia o âmbito de aplicação da Recomendação CGPM/44/2021/20 e imporia medidas e restrições adicionais aos Estados-Membros.</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António Tânger Corrêa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36</w:t>
      </w:r>
      <w:r w:rsidRPr="002554BF">
        <w:rPr>
          <w:rStyle w:val="HideTWBExt"/>
          <w:color w:val="auto"/>
        </w:rPr>
        <w:t>&lt;/Article&gt;</w:t>
      </w:r>
    </w:p>
    <w:p w:rsidR="00DD5018" w:rsidRPr="002554BF" w:rsidRDefault="00811D8D" w:rsidP="00DD5018">
      <w:r w:rsidRPr="002554BF">
        <w:rPr>
          <w:rStyle w:val="HideTWBExt"/>
          <w:color w:val="auto"/>
        </w:rPr>
        <w:lastRenderedPageBreak/>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74-B</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As capturas de espécies-alvo, bem como as capturas de espécies não alvo cujo peso exceda os 50 kg, devem ser declaradas por via eletrónica pelos navios com mais de </w:t>
            </w:r>
            <w:r w:rsidRPr="002554BF">
              <w:rPr>
                <w:b/>
                <w:i/>
              </w:rPr>
              <w:t>12</w:t>
            </w:r>
            <w:r w:rsidRPr="002554BF">
              <w:t xml:space="preserve"> metros de comprimento e pelos navios que capturam mais de 10 000 kg por ano, independentemente do seu comprimento.</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As capturas de espécies-alvo, bem como as capturas de espécies não alvo cujo peso exceda os 50 kg, devem ser declaradas por via eletrónica pelos navios com mais de </w:t>
            </w:r>
            <w:r w:rsidRPr="002554BF">
              <w:rPr>
                <w:b/>
                <w:i/>
              </w:rPr>
              <w:t>18</w:t>
            </w:r>
            <w:r w:rsidRPr="002554BF">
              <w:t xml:space="preserve"> metros de comprimento e pelos navios que capturam mais de 10 000 kg por ano, independentemente do seu comprimento.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France Jamet, Ton Diepeveen</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40</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79 – n.º 10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10.</w:t>
            </w:r>
            <w:r w:rsidRPr="002554BF">
              <w:tab/>
            </w:r>
            <w:r w:rsidRPr="002554BF">
              <w:rPr>
                <w:b/>
                <w:i/>
              </w:rPr>
              <w:t>Não obstante o disposto no artigo 9.º do Regulamento (CE) n.º 1224/2009, até 1 de janeiro de 2024, todos os navios autorizados ao abrigo do presente capítulo com mais de 10 metros de comprimento de fora a fora devem estar equipados com um sistema de monitorização dos navios (VMS) ou qualquer outro sistema de geolocalização que permita às autoridades de controlo acompanhar as suas atividades permanentemente durante as viagens de pesca.</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lastRenderedPageBreak/>
        <w:t>&lt;Article&gt;</w:t>
      </w:r>
      <w:r w:rsidRPr="002554BF">
        <w:t>Artigo 1 – parágrafo 1 – ponto 42-A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81.º</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81.º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42-A)</w:t>
            </w:r>
            <w:r w:rsidRPr="002554BF">
              <w:tab/>
            </w:r>
            <w:r w:rsidRPr="002554BF">
              <w:rPr>
                <w:b/>
                <w:i/>
              </w:rPr>
              <w:t xml:space="preserve">O </w:t>
            </w:r>
            <w:r w:rsidRPr="002554BF">
              <w:t>artigo 81.º</w:t>
            </w:r>
            <w:r w:rsidRPr="002554BF">
              <w:rPr>
                <w:b/>
                <w:i/>
              </w:rPr>
              <w:t xml:space="preserve">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Âmbito de aplicação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Âmbito de aplicação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 presente capítulo aplica-se </w:t>
            </w:r>
            <w:r w:rsidRPr="002554BF">
              <w:rPr>
                <w:b/>
                <w:i/>
              </w:rPr>
              <w:t>a todas as</w:t>
            </w:r>
            <w:r w:rsidRPr="002554BF">
              <w:t xml:space="preserve"> atividades de pesca </w:t>
            </w:r>
            <w:r w:rsidRPr="002554BF">
              <w:rPr>
                <w:b/>
                <w:i/>
              </w:rPr>
              <w:t>comerciais</w:t>
            </w:r>
            <w:r w:rsidRPr="002554BF">
              <w:t xml:space="preserve"> dirigidas ao doirado (Coryphaena hippurus) em que são utilizados dispositivos de concentração de peixes (DCP)</w:t>
            </w:r>
            <w:r w:rsidRPr="002554BF">
              <w:rPr>
                <w:b/>
                <w:i/>
              </w:rPr>
              <w:t xml:space="preserve"> em todo o mar Mediterrâneo (SZG 1 a 27)</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O presente capítulo aplica-se </w:t>
            </w:r>
            <w:r w:rsidRPr="002554BF">
              <w:rPr>
                <w:b/>
                <w:i/>
              </w:rPr>
              <w:t>às</w:t>
            </w:r>
            <w:r w:rsidRPr="002554BF">
              <w:t xml:space="preserve"> atividades de pesca </w:t>
            </w:r>
            <w:r w:rsidRPr="002554BF">
              <w:rPr>
                <w:b/>
                <w:i/>
              </w:rPr>
              <w:t>de pelágicos no mar Mediterrâneo (subzonas geográficas 1 a 27)</w:t>
            </w:r>
            <w:r w:rsidRPr="002554BF">
              <w:t xml:space="preserve"> dirigidas ao doirado (Coryphaena hippurus) em que são utilizados dispositivos de concentração de peixes (DCP) </w:t>
            </w:r>
            <w:r w:rsidRPr="002554BF">
              <w:rPr>
                <w:b/>
                <w:i/>
              </w:rPr>
              <w:t>e à pesca recreativa</w:t>
            </w:r>
            <w:r w:rsidRPr="002554BF">
              <w:t>.</w:t>
            </w:r>
            <w:r w:rsidRPr="002554BF">
              <w:rPr>
                <w:b/>
                <w:i/>
              </w:rPr>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w:t>
      </w:r>
      <w:r w:rsidRPr="002554BF">
        <w:rPr>
          <w:vertAlign w:val="superscript"/>
        </w:rPr>
        <w:t>o</w:t>
      </w:r>
      <w:r w:rsidRPr="002554BF">
        <w:t xml:space="preserve"> 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42-B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83</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83.º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42-B)</w:t>
            </w:r>
            <w:r w:rsidRPr="002554BF">
              <w:tab/>
            </w:r>
            <w:r w:rsidRPr="002554BF">
              <w:rPr>
                <w:b/>
                <w:i/>
              </w:rPr>
              <w:t xml:space="preserve">O </w:t>
            </w:r>
            <w:r w:rsidRPr="002554BF">
              <w:t>artigo 83.º</w:t>
            </w:r>
            <w:r w:rsidRPr="002554BF">
              <w:rPr>
                <w:b/>
                <w:i/>
              </w:rPr>
              <w:t xml:space="preserve">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Medidas de gestão transitórias</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Medidas de gestão transitórias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Os Estados-Membros </w:t>
            </w:r>
            <w:r w:rsidRPr="002554BF">
              <w:rPr>
                <w:b/>
                <w:bCs/>
                <w:i/>
                <w:iCs/>
              </w:rPr>
              <w:t>que</w:t>
            </w:r>
            <w:r w:rsidRPr="002554BF">
              <w:t xml:space="preserve"> </w:t>
            </w:r>
            <w:r w:rsidRPr="002554BF">
              <w:rPr>
                <w:b/>
                <w:i/>
              </w:rPr>
              <w:t>ponderem começar a dirigir a pesca ao doirado</w:t>
            </w:r>
            <w:r w:rsidRPr="002554BF">
              <w:t xml:space="preserve"> </w:t>
            </w:r>
            <w:r w:rsidRPr="002554BF">
              <w:rPr>
                <w:b/>
                <w:bCs/>
                <w:i/>
                <w:iCs/>
              </w:rPr>
              <w:t>com</w:t>
            </w:r>
            <w:r w:rsidRPr="002554BF">
              <w:t xml:space="preserve"> </w:t>
            </w:r>
            <w:r w:rsidRPr="002554BF">
              <w:rPr>
                <w:b/>
                <w:i/>
              </w:rPr>
              <w:t>DCP apresentam à Comissão as suas medidas nacionais uma vez adotadas</w:t>
            </w:r>
            <w:r w:rsidRPr="002554BF">
              <w:t xml:space="preserve">, </w:t>
            </w:r>
            <w:r w:rsidRPr="002554BF">
              <w:rPr>
                <w:b/>
                <w:i/>
              </w:rPr>
              <w:t xml:space="preserve">e a Comissão transmite-as sem demora ao Secretariado da </w:t>
            </w:r>
            <w:r w:rsidRPr="002554BF">
              <w:t>CGPM.</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É estabelecido um regime transitório para a pesca com DCP até 31 de dezembro de 2026. Durante o período transitório, </w:t>
            </w:r>
            <w:r w:rsidRPr="002554BF">
              <w:t xml:space="preserve">os Estados-Membros </w:t>
            </w:r>
            <w:r w:rsidRPr="002554BF">
              <w:rPr>
                <w:b/>
                <w:i/>
              </w:rPr>
              <w:t xml:space="preserve">asseguram </w:t>
            </w:r>
            <w:r w:rsidRPr="002554BF">
              <w:rPr>
                <w:b/>
                <w:bCs/>
                <w:i/>
                <w:iCs/>
              </w:rPr>
              <w:t>que</w:t>
            </w:r>
            <w:r w:rsidRPr="002554BF">
              <w:t xml:space="preserve"> </w:t>
            </w:r>
            <w:r w:rsidRPr="002554BF">
              <w:rPr>
                <w:b/>
                <w:i/>
              </w:rPr>
              <w:t xml:space="preserve">seja estabelecido um limite de capturas com base nos desembarques comunicados à </w:t>
            </w:r>
            <w:r w:rsidRPr="002554BF">
              <w:t xml:space="preserve">CGPM </w:t>
            </w:r>
            <w:r w:rsidRPr="002554BF">
              <w:rPr>
                <w:b/>
                <w:i/>
              </w:rPr>
              <w:t xml:space="preserve">do seguinte modo: ou i) </w:t>
            </w:r>
            <w:r w:rsidRPr="002554BF">
              <w:rPr>
                <w:b/>
                <w:bCs/>
                <w:i/>
                <w:iCs/>
              </w:rPr>
              <w:t>com</w:t>
            </w:r>
            <w:r w:rsidRPr="002554BF">
              <w:t xml:space="preserve"> </w:t>
            </w:r>
            <w:r w:rsidRPr="002554BF">
              <w:rPr>
                <w:b/>
                <w:i/>
              </w:rPr>
              <w:t xml:space="preserve">base </w:t>
            </w:r>
            <w:r w:rsidRPr="002554BF">
              <w:rPr>
                <w:b/>
                <w:i/>
              </w:rPr>
              <w:lastRenderedPageBreak/>
              <w:t>na média dos desembarques de dois anos durante o período 2018-2022</w:t>
            </w:r>
            <w:r w:rsidRPr="002554BF">
              <w:t xml:space="preserve">, </w:t>
            </w:r>
            <w:r w:rsidRPr="002554BF">
              <w:rPr>
                <w:b/>
                <w:i/>
              </w:rPr>
              <w:t>ou ii) com base nos desembarques efetuados em 2022</w:t>
            </w:r>
            <w:r w:rsidRPr="002554BF">
              <w:t>.</w:t>
            </w:r>
            <w:r w:rsidRPr="002554BF">
              <w:rPr>
                <w:b/>
                <w:i/>
              </w:rPr>
              <w:t>»</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n.º 11.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42-C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84</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84.º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42-C)</w:t>
            </w:r>
            <w:r w:rsidRPr="002554BF">
              <w:tab/>
            </w:r>
            <w:r w:rsidRPr="002554BF">
              <w:rPr>
                <w:b/>
                <w:i/>
              </w:rPr>
              <w:t xml:space="preserve">No </w:t>
            </w:r>
            <w:r w:rsidRPr="002554BF">
              <w:t>artigo 84.º</w:t>
            </w:r>
            <w:r w:rsidRPr="002554BF">
              <w:rPr>
                <w:b/>
                <w:i/>
              </w:rPr>
              <w:t>, é inserido um novo n.º 3.</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Monitorização científica, adaptação e revisão das medidas de gestão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Monitorização científica, adaptação e revisão das medidas de gestão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 Os Estados-Membros monitorizam os impactos biológicos e ambientais dos DCP utilizados pelos navios que arvoram o seu pavilhão e exploram o doirado.</w:t>
            </w:r>
          </w:p>
        </w:tc>
        <w:tc>
          <w:tcPr>
            <w:tcW w:w="4876" w:type="dxa"/>
            <w:tcBorders>
              <w:top w:val="nil"/>
              <w:left w:val="nil"/>
              <w:bottom w:val="nil"/>
              <w:right w:val="nil"/>
            </w:tcBorders>
            <w:hideMark/>
          </w:tcPr>
          <w:p w:rsidR="00DD5018" w:rsidRPr="002554BF" w:rsidRDefault="00811D8D" w:rsidP="00F37D8F">
            <w:pPr>
              <w:pStyle w:val="Normal6a"/>
            </w:pPr>
            <w:r w:rsidRPr="002554BF">
              <w:t>1. Os Estados-Membros monitorizam os impactos biológicos e ambientais dos DCP utilizados pelos navios que arvoram o seu pavilhão e exploram o doirado.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 A fim de facilitar a emissão de um parecer pelo CCC para a revisão das medidas previstas no presente capítulo, os Estados-Membros recolhem os dados pertinentes existentes, incluindo os provenientes dos inquéritos de investigação, a fim de contribuir para a recolha de dados do CCC.</w:t>
            </w:r>
          </w:p>
        </w:tc>
        <w:tc>
          <w:tcPr>
            <w:tcW w:w="4876" w:type="dxa"/>
            <w:tcBorders>
              <w:top w:val="nil"/>
              <w:left w:val="nil"/>
              <w:bottom w:val="nil"/>
              <w:right w:val="nil"/>
            </w:tcBorders>
            <w:hideMark/>
          </w:tcPr>
          <w:p w:rsidR="00DD5018" w:rsidRPr="002554BF" w:rsidRDefault="00811D8D" w:rsidP="00F37D8F">
            <w:pPr>
              <w:pStyle w:val="Normal6a"/>
            </w:pPr>
            <w:r w:rsidRPr="002554BF">
              <w:t>2. A fim de facilitar a emissão de um parecer pelo CCC para a revisão das medidas previstas no presente capítulo, os Estados-Membros recolhem os dados pertinentes existentes, incluindo os provenientes dos inquéritos de investigação, a fim de contribuir para a recolha de dados do CCC.</w:t>
            </w:r>
          </w:p>
        </w:tc>
      </w:tr>
      <w:tr w:rsidR="000C2140" w:rsidRPr="002554BF" w:rsidTr="00F37D8F">
        <w:trPr>
          <w:jc w:val="center"/>
        </w:trPr>
        <w:tc>
          <w:tcPr>
            <w:tcW w:w="4876" w:type="dxa"/>
            <w:tcBorders>
              <w:top w:val="nil"/>
              <w:left w:val="nil"/>
              <w:bottom w:val="nil"/>
              <w:right w:val="nil"/>
            </w:tcBorders>
            <w:hideMark/>
          </w:tcPr>
          <w:p w:rsidR="00DD5018" w:rsidRPr="002554BF" w:rsidRDefault="00DD5018" w:rsidP="00F37D8F"/>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Os Estados-Membros apresentam os respetivos dados nacionais (conforme especificado no anexo XXV) à Comissão até 15 de julho de cada ano. A Comissão apresenta os dados nacionais ao Secretariado do CGPM até 31 de julho de </w:t>
            </w:r>
            <w:r w:rsidRPr="002554BF">
              <w:rPr>
                <w:b/>
                <w:i/>
              </w:rPr>
              <w:lastRenderedPageBreak/>
              <w:t>cada ano civil.»</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n.º 41.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199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42-G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42-G)</w:t>
            </w:r>
            <w:r w:rsidRPr="002554BF">
              <w:tab/>
            </w:r>
            <w:r w:rsidRPr="002554BF">
              <w:rPr>
                <w:b/>
                <w:i/>
              </w:rPr>
              <w:t>No artigo 86.º, é inserido um novo número antes do n.º 1:</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Estados-Membros asseguram que a capacidade total das frotas que operam com DCP e pescam ativamente unidades populacionais fundamentais não exceda, em termos de arqueação bruta (GT), de potência do motor (kW) e de número de navios, conforme registada nos registos nacionais e da CGPM, até oito anos a contar da data da adoção inicial das medidas de gestão ou dos planos de gestão adotados à escala nacional estabelecidos de acordo com o artigo anterior, a capacidade da frota de pesca de doirado com DCP no ano de 2019.»</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42-I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lastRenderedPageBreak/>
        <w:t>&lt;Article2&gt;</w:t>
      </w:r>
      <w:r w:rsidRPr="002554BF">
        <w:t>Capítulo VII</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(Não se aplica à versão portuguesa.)</w:t>
            </w:r>
            <w:r w:rsidRPr="002554BF">
              <w:tab/>
            </w:r>
            <w:r w:rsidRPr="002554BF">
              <w:rPr>
                <w:b/>
                <w:i/>
              </w:rPr>
              <w:t xml:space="preserve"> </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CAPÍTULO VII</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 </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Doirado</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 </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43-A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85</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85.º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43-A)</w:t>
            </w:r>
            <w:r w:rsidRPr="002554BF">
              <w:tab/>
            </w:r>
            <w:r w:rsidRPr="002554BF">
              <w:rPr>
                <w:b/>
                <w:i/>
              </w:rPr>
              <w:t xml:space="preserve">O </w:t>
            </w:r>
            <w:r w:rsidRPr="002554BF">
              <w:t>artigo 85.º</w:t>
            </w:r>
            <w:r w:rsidRPr="002554BF">
              <w:rPr>
                <w:b/>
                <w:i/>
              </w:rPr>
              <w:t xml:space="preserve">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Medidas de gestão nacionais</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Medidas de gestão nacionais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Os Estados-Membros que dirigem</w:t>
            </w:r>
            <w:r w:rsidRPr="002554BF">
              <w:t xml:space="preserve"> </w:t>
            </w:r>
            <w:r w:rsidRPr="002554BF">
              <w:rPr>
                <w:b/>
                <w:bCs/>
                <w:i/>
                <w:iCs/>
              </w:rPr>
              <w:t>a</w:t>
            </w:r>
            <w:r w:rsidRPr="002554BF">
              <w:t xml:space="preserve"> </w:t>
            </w:r>
            <w:r w:rsidRPr="002554BF">
              <w:rPr>
                <w:b/>
                <w:i/>
              </w:rPr>
              <w:t xml:space="preserve">pesca ao </w:t>
            </w:r>
            <w:r w:rsidRPr="002554BF">
              <w:t xml:space="preserve">doirado </w:t>
            </w:r>
            <w:r w:rsidRPr="002554BF">
              <w:rPr>
                <w:b/>
                <w:i/>
              </w:rPr>
              <w:t>com DCP e que não disponham de medidas de gestão nacionais</w:t>
            </w:r>
            <w:r w:rsidRPr="002554BF">
              <w:t xml:space="preserve"> adotam medidas de gestão </w:t>
            </w:r>
            <w:r w:rsidRPr="002554BF">
              <w:rPr>
                <w:b/>
                <w:i/>
              </w:rPr>
              <w:t>nacionais que incluam, pelo menos, o conjunto</w:t>
            </w:r>
            <w:r w:rsidRPr="002554BF">
              <w:t xml:space="preserve"> </w:t>
            </w:r>
            <w:r w:rsidRPr="002554BF">
              <w:rPr>
                <w:b/>
                <w:bCs/>
                <w:i/>
                <w:iCs/>
              </w:rPr>
              <w:t>de</w:t>
            </w:r>
            <w:r w:rsidRPr="002554BF">
              <w:t xml:space="preserve"> medidas </w:t>
            </w:r>
            <w:r w:rsidRPr="002554BF">
              <w:rPr>
                <w:b/>
                <w:i/>
              </w:rPr>
              <w:t>com os elementos enumerados no anexo IX</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1. </w:t>
            </w:r>
            <w:r w:rsidRPr="002554BF">
              <w:rPr>
                <w:b/>
                <w:bCs/>
                <w:i/>
                <w:iCs/>
              </w:rPr>
              <w:t>A</w:t>
            </w:r>
            <w:r w:rsidRPr="002554BF">
              <w:t xml:space="preserve"> </w:t>
            </w:r>
            <w:r w:rsidRPr="002554BF">
              <w:rPr>
                <w:b/>
                <w:i/>
              </w:rPr>
              <w:t xml:space="preserve">fim de assegurar uma conservação adequada do </w:t>
            </w:r>
            <w:r w:rsidRPr="002554BF">
              <w:t>doirado</w:t>
            </w:r>
            <w:r w:rsidRPr="002554BF">
              <w:rPr>
                <w:b/>
                <w:i/>
              </w:rPr>
              <w:t>, os Estados-Membros</w:t>
            </w:r>
            <w:r w:rsidRPr="002554BF">
              <w:t xml:space="preserve"> adotam medidas de gestão </w:t>
            </w:r>
            <w:r w:rsidRPr="002554BF">
              <w:rPr>
                <w:b/>
                <w:i/>
              </w:rPr>
              <w:t>das pescas ou planos nacionais</w:t>
            </w:r>
            <w:r w:rsidRPr="002554BF">
              <w:t xml:space="preserve"> </w:t>
            </w:r>
            <w:r w:rsidRPr="002554BF">
              <w:rPr>
                <w:b/>
                <w:bCs/>
                <w:i/>
                <w:iCs/>
              </w:rPr>
              <w:t>de</w:t>
            </w:r>
            <w:r w:rsidRPr="002554BF">
              <w:t xml:space="preserve"> </w:t>
            </w:r>
            <w:r w:rsidRPr="002554BF">
              <w:rPr>
                <w:b/>
                <w:i/>
              </w:rPr>
              <w:t>gestão nas SZG 1-27</w:t>
            </w:r>
            <w:r w:rsidRPr="002554BF">
              <w:t>.</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2. Os Estados-Membros comunicam à Comissão, de 30 de setembro de 2024 em diante, as </w:t>
            </w:r>
            <w:r w:rsidRPr="002554BF">
              <w:t xml:space="preserve">medidas </w:t>
            </w:r>
            <w:r w:rsidRPr="002554BF">
              <w:rPr>
                <w:b/>
                <w:i/>
              </w:rPr>
              <w:t>de gestão ou os planos de gestão adotados à escala nacional. A Comissão comunica ao Secretariado da CGPM as medidas de gestão ou os planos de gestão adotados à escala nacional.</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Sempre que pertinente, em caso de alteração dessas medidas, os Estados-Membros comunicam essas alterações à Comissão até 15 de abril do ano seguinte. A Comissão comunica ao Secretariado da </w:t>
            </w:r>
            <w:r w:rsidRPr="002554BF">
              <w:rPr>
                <w:b/>
                <w:i/>
              </w:rPr>
              <w:lastRenderedPageBreak/>
              <w:t>CGPM as alterações das medidas de gestão ou dos planos de gestão adotados à escala nacional até 30 de abril do ano seguinte.»</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w:t>
      </w:r>
      <w:r w:rsidRPr="002554BF">
        <w:rPr>
          <w:vertAlign w:val="superscript"/>
        </w:rPr>
        <w:t>os</w:t>
      </w:r>
      <w:r w:rsidRPr="002554BF">
        <w:t xml:space="preserve"> 66 e 67.</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44-A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87.º</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Artigo 87.º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44-A)</w:t>
            </w:r>
            <w:r w:rsidRPr="002554BF">
              <w:tab/>
            </w:r>
            <w:r w:rsidRPr="002554BF">
              <w:rPr>
                <w:b/>
                <w:i/>
              </w:rPr>
              <w:t>O n.º 5 é alterado do seguinte modo: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Comunicação das atividades de pesca com DCP</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Comunicação das atividades de pesca com DCP</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 Sem prejuízo do disposto no Regulamento (UE) 2017/1004 do Parlamento Europeu e do Conselho (18), os Estados-Membros instituem um sistema adequado de recolha e tratamento de dados relativos às capturas e ao esforço de pesca.</w:t>
            </w:r>
          </w:p>
        </w:tc>
        <w:tc>
          <w:tcPr>
            <w:tcW w:w="4876" w:type="dxa"/>
            <w:tcBorders>
              <w:top w:val="nil"/>
              <w:left w:val="nil"/>
              <w:bottom w:val="nil"/>
              <w:right w:val="nil"/>
            </w:tcBorders>
            <w:hideMark/>
          </w:tcPr>
          <w:p w:rsidR="00DD5018" w:rsidRPr="002554BF" w:rsidRDefault="00811D8D" w:rsidP="00F37D8F">
            <w:pPr>
              <w:pStyle w:val="Normal6a"/>
            </w:pPr>
            <w:r w:rsidRPr="002554BF">
              <w:t>1. Sem prejuízo do disposto no Regulamento (UE) 2017/1004 do Parlamento Europeu e do Conselho (18), os Estados-Membros instituem um sistema adequado de recolha e tratamento de dados relativos às capturas e ao esforço de pesca.</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 Os Estados-Membros comunicam à Comissão, até 15 de janeiro de cada ano, o número de navios envolvidos na pesca, bem como o total de desembarques e transbordos de doirado realizados no ano anterior pelos navios que arvorem o seu pavilhão em cada uma das SZG da zona do Acordo da CGPM especificadas no anexo I.</w:t>
            </w:r>
          </w:p>
        </w:tc>
        <w:tc>
          <w:tcPr>
            <w:tcW w:w="4876" w:type="dxa"/>
            <w:tcBorders>
              <w:top w:val="nil"/>
              <w:left w:val="nil"/>
              <w:bottom w:val="nil"/>
              <w:right w:val="nil"/>
            </w:tcBorders>
            <w:hideMark/>
          </w:tcPr>
          <w:p w:rsidR="00DD5018" w:rsidRPr="002554BF" w:rsidRDefault="00811D8D" w:rsidP="00F37D8F">
            <w:pPr>
              <w:pStyle w:val="Normal6a"/>
            </w:pPr>
            <w:r w:rsidRPr="002554BF">
              <w:t>2. Os Estados-Membros comunicam à Comissão, até 15 de janeiro de cada ano, o número de navios envolvidos na pesca, bem como o total de desembarques e transbordos de doirado realizados no ano anterior pelos navios que arvorem o seu pavilhão em cada uma das SZG da zona do Acordo da CGPM especificadas no anexo I.</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3. A Comissão pode adotar atos de execução no que se refere às regras de execução aplicáveis ao formato e à </w:t>
            </w:r>
            <w:r w:rsidRPr="002554BF">
              <w:lastRenderedPageBreak/>
              <w:t>transmissão desses relatórios.  Os referidos atos de execução são adotados pelo procedimento de exame a que se refere o artigo 138.º, n.º 2.</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 xml:space="preserve">3. A Comissão pode adotar atos de execução no que se refere às regras de execução aplicáveis ao formato e à </w:t>
            </w:r>
            <w:r w:rsidRPr="002554BF">
              <w:lastRenderedPageBreak/>
              <w:t>transmissão desses relatórios. Os referidos atos de execução são adotados pelo procedimento de exame a que se refere o artigo 138.º, n.º 2.</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lastRenderedPageBreak/>
              <w:t>4. A Comissão transmite ao Secretariado da CGPM as informações comunicadas pelos Estados-Membros.</w:t>
            </w:r>
          </w:p>
        </w:tc>
        <w:tc>
          <w:tcPr>
            <w:tcW w:w="4876" w:type="dxa"/>
            <w:tcBorders>
              <w:top w:val="nil"/>
              <w:left w:val="nil"/>
              <w:bottom w:val="nil"/>
              <w:right w:val="nil"/>
            </w:tcBorders>
            <w:hideMark/>
          </w:tcPr>
          <w:p w:rsidR="00DD5018" w:rsidRPr="002554BF" w:rsidRDefault="00811D8D" w:rsidP="00F37D8F">
            <w:pPr>
              <w:pStyle w:val="Normal6a"/>
            </w:pPr>
            <w:r w:rsidRPr="002554BF">
              <w:t>4. A Comissão transmite ao Secretariado da CGPM as informações comunicadas pelos Estados-Membros.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5. Os pescadores ou capitães de navios de pesca autorizados que exploram o doirado no âmbito da presente secção registam as suas atividades de pesca com DCP.</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5. </w:t>
            </w:r>
            <w:r w:rsidRPr="002554BF">
              <w:rPr>
                <w:b/>
                <w:i/>
              </w:rPr>
              <w:t>Os Estados-Membros asseguram que todos os navios de pesca que arvoram o seu pavilhão e</w:t>
            </w:r>
            <w:r w:rsidRPr="002554BF">
              <w:t xml:space="preserve"> os pescadores ou capitães de navios de pesca autorizados que exploram o doirado no âmbito da presente secção registam as suas atividades de pesca com DCP.</w:t>
            </w:r>
            <w:r w:rsidRPr="002554BF">
              <w:rPr>
                <w:b/>
                <w:i/>
              </w:rPr>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n.º 52.</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44-C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88</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88.º</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44-C)</w:t>
            </w:r>
            <w:r w:rsidRPr="002554BF">
              <w:tab/>
            </w:r>
            <w:r w:rsidRPr="002554BF">
              <w:rPr>
                <w:b/>
                <w:i/>
              </w:rPr>
              <w:t xml:space="preserve">No </w:t>
            </w:r>
            <w:r w:rsidRPr="002554BF">
              <w:t>artigo 88.º</w:t>
            </w:r>
            <w:r w:rsidRPr="002554BF">
              <w:rPr>
                <w:b/>
                <w:i/>
              </w:rPr>
              <w:t>, é inserido um novo n.º 3-A:</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Composição, localização, manutenção e substituição dos DCP</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w:t>
            </w:r>
            <w:r w:rsidRPr="002554BF">
              <w:t>Composição, localização, manutenção e substituição dos DCP</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1. Nos casos em que a estrutura emersa do DCP esteja coberta com materiais, os Estados-Membros asseguram que estes sejam removidos ou que a estrutura seja coberta unicamente por materiais que impliquem um risco mínimo de enredamento de espécies não alvo (especialmente espécies vulneráveis) ou de </w:t>
            </w:r>
            <w:r w:rsidRPr="002554BF">
              <w:lastRenderedPageBreak/>
              <w:t>afetar outros navios.</w:t>
            </w:r>
          </w:p>
        </w:tc>
        <w:tc>
          <w:tcPr>
            <w:tcW w:w="4876" w:type="dxa"/>
            <w:tcBorders>
              <w:top w:val="nil"/>
              <w:left w:val="nil"/>
              <w:bottom w:val="nil"/>
              <w:right w:val="nil"/>
            </w:tcBorders>
            <w:hideMark/>
          </w:tcPr>
          <w:p w:rsidR="00DD5018" w:rsidRPr="002554BF" w:rsidRDefault="00811D8D" w:rsidP="00F37D8F">
            <w:pPr>
              <w:pStyle w:val="Normal6a"/>
            </w:pPr>
            <w:r w:rsidRPr="002554BF">
              <w:lastRenderedPageBreak/>
              <w:t xml:space="preserve">1. Nos casos em que a estrutura emersa do DCP esteja coberta com materiais, os Estados-Membros asseguram que estes sejam removidos ou que a estrutura seja coberta unicamente por materiais que impliquem um risco mínimo de enredamento de espécies não alvo (especialmente espécies vulneráveis) ou de </w:t>
            </w:r>
            <w:r w:rsidRPr="002554BF">
              <w:lastRenderedPageBreak/>
              <w:t>afetar outros navios.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lastRenderedPageBreak/>
              <w:t>2. Os componentes imersos dos DCP devem ser constituídos exclusivamente por materiais que não causem o enredamento de espécies não alvo.</w:t>
            </w:r>
          </w:p>
        </w:tc>
        <w:tc>
          <w:tcPr>
            <w:tcW w:w="4876" w:type="dxa"/>
            <w:tcBorders>
              <w:top w:val="nil"/>
              <w:left w:val="nil"/>
              <w:bottom w:val="nil"/>
              <w:right w:val="nil"/>
            </w:tcBorders>
            <w:hideMark/>
          </w:tcPr>
          <w:p w:rsidR="00DD5018" w:rsidRPr="002554BF" w:rsidRDefault="00811D8D" w:rsidP="00F37D8F">
            <w:pPr>
              <w:pStyle w:val="Normal6a"/>
            </w:pPr>
            <w:r w:rsidRPr="002554BF">
              <w:t>2. Os componentes imersos dos DCP devem ser constituídos exclusivamente por materiais que não causem o enredamento de espécies não alvo.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 Na conceção dos DCP, é dada prioridade aos materiais biodegradáveis.</w:t>
            </w:r>
          </w:p>
        </w:tc>
        <w:tc>
          <w:tcPr>
            <w:tcW w:w="4876" w:type="dxa"/>
            <w:tcBorders>
              <w:top w:val="nil"/>
              <w:left w:val="nil"/>
              <w:bottom w:val="nil"/>
              <w:right w:val="nil"/>
            </w:tcBorders>
            <w:hideMark/>
          </w:tcPr>
          <w:p w:rsidR="00DD5018" w:rsidRPr="002554BF" w:rsidRDefault="00811D8D" w:rsidP="00F37D8F">
            <w:pPr>
              <w:pStyle w:val="Normal6a"/>
            </w:pPr>
            <w:r w:rsidRPr="002554BF">
              <w:t>3. Na conceção dos DCP, é dada prioridade aos materiais biodegradáveis.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3-A. A contar do primeiro dia da abertura da temporada de pesca com DCP em 2027, os DCP devem ser construídos exclusivamente com materiais biodegradáveis.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4. Os DCP devem estar solidamente colocados no local onde foram instalados.  A conceção dos DCP deverá incluir, ao longo do cabo, contrapesos em número adequado para garantir que este caia até ao fundo do mar se a secção que forma a jangada se soltar e afastar.</w:t>
            </w:r>
          </w:p>
        </w:tc>
        <w:tc>
          <w:tcPr>
            <w:tcW w:w="4876" w:type="dxa"/>
            <w:tcBorders>
              <w:top w:val="nil"/>
              <w:left w:val="nil"/>
              <w:bottom w:val="nil"/>
              <w:right w:val="nil"/>
            </w:tcBorders>
            <w:hideMark/>
          </w:tcPr>
          <w:p w:rsidR="00DD5018" w:rsidRPr="002554BF" w:rsidRDefault="00811D8D" w:rsidP="00F37D8F">
            <w:pPr>
              <w:pStyle w:val="Normal6a"/>
            </w:pPr>
            <w:r w:rsidRPr="002554BF">
              <w:t>4. Os DCP devem estar solidamente colocados no local onde foram instalados. A conceção dos DCP deverá incluir, ao longo do cabo, contrapesos em número adequado para garantir que este caia até ao fundo do mar se a secção que forma a jangada se soltar e afastar.</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5. Os pescadores ou capitães de navios de pesca que exploram o doirado asseguram a manutenção regular dos DCP, a sua substituição sempre que necessário e a sua remoção quando não estiverem a ser utilizados.  O tipo, a conceção, a construção, os materiais e a identificação dos DCP de substituição devem ser idênticos aos dos DCP substituídos.</w:t>
            </w:r>
            <w:r w:rsidRPr="002554BF">
              <w:rPr>
                <w:b/>
                <w:i/>
              </w:rPr>
              <w:t xml:space="preserve"> </w:t>
            </w:r>
            <w:r w:rsidRPr="002554BF">
              <w:t xml:space="preserve"> Os DCP de substituição fundeados devem ser colocados na mesma posição que os DCP substituídos.</w:t>
            </w:r>
          </w:p>
        </w:tc>
        <w:tc>
          <w:tcPr>
            <w:tcW w:w="4876" w:type="dxa"/>
            <w:tcBorders>
              <w:top w:val="nil"/>
              <w:left w:val="nil"/>
              <w:bottom w:val="nil"/>
              <w:right w:val="nil"/>
            </w:tcBorders>
            <w:hideMark/>
          </w:tcPr>
          <w:p w:rsidR="00DD5018" w:rsidRPr="002554BF" w:rsidRDefault="00811D8D" w:rsidP="00F37D8F">
            <w:pPr>
              <w:pStyle w:val="Normal6a"/>
            </w:pPr>
            <w:r w:rsidRPr="002554BF">
              <w:t>5. Os pescadores ou capitães de navios de pesca que exploram o doirado asseguram a manutenção regular dos DCP, a sua substituição sempre que necessário e a sua remoção quando não estiverem a ser utilizados. O tipo, a conceção, a construção, os materiais e a identificação dos DCP de substituição devem ser idênticos aos dos DCP substituídos. Os DCP de substituição fundeados devem ser colocados na mesma posição que os DCP substituídos.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6. Em caso de perda ou de impossibilidade de alar um DCP, os pescadores ou capitães de navios de pesca registam a sua última posição conhecida, juntamente com a data.  Os navios de pesca que exploram o doirado tomam nota e comunicam a última posição registada do DCP perdido, bem como a data em que foi registada, o número de identificação do dispositivo e quaisquer informações que permitam identificar o seu proprietário.</w:t>
            </w:r>
          </w:p>
        </w:tc>
        <w:tc>
          <w:tcPr>
            <w:tcW w:w="4876" w:type="dxa"/>
            <w:tcBorders>
              <w:top w:val="nil"/>
              <w:left w:val="nil"/>
              <w:bottom w:val="nil"/>
              <w:right w:val="nil"/>
            </w:tcBorders>
            <w:hideMark/>
          </w:tcPr>
          <w:p w:rsidR="00DD5018" w:rsidRPr="002554BF" w:rsidRDefault="00811D8D" w:rsidP="00F37D8F">
            <w:pPr>
              <w:pStyle w:val="Normal6a"/>
            </w:pPr>
            <w:r w:rsidRPr="002554BF">
              <w:t>6. Em caso de perda ou de impossibilidade de alar um DCP, os pescadores ou capitães de navios de pesca registam a sua última posição conhecida, juntamente com a data. Os navios de pesca que exploram o doirado tomam nota e comunicam a última posição registada do DCP perdido, bem como a data em que foi registada, o número de identificação do dispositivo e quaisquer informações que permitam identificar o seu proprietário.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7. Os Estados-Membros adotam todas as medidas necessárias para assegurar que os DCP obsoletos e não utilizados são </w:t>
            </w:r>
            <w:r w:rsidRPr="002554BF">
              <w:lastRenderedPageBreak/>
              <w:t>recuperados.</w:t>
            </w:r>
          </w:p>
        </w:tc>
        <w:tc>
          <w:tcPr>
            <w:tcW w:w="4876" w:type="dxa"/>
            <w:tcBorders>
              <w:top w:val="nil"/>
              <w:left w:val="nil"/>
              <w:bottom w:val="nil"/>
              <w:right w:val="nil"/>
            </w:tcBorders>
            <w:hideMark/>
          </w:tcPr>
          <w:p w:rsidR="00DD5018" w:rsidRPr="002554BF" w:rsidRDefault="00811D8D" w:rsidP="00F37D8F">
            <w:pPr>
              <w:pStyle w:val="Normal6a"/>
              <w:rPr>
                <w:b/>
                <w:i/>
              </w:rPr>
            </w:pPr>
            <w:r w:rsidRPr="002554BF">
              <w:lastRenderedPageBreak/>
              <w:t xml:space="preserve">7. Os Estados-Membros adotam todas as medidas necessárias para assegurar que os DCP obsoletos e não utilizados são </w:t>
            </w:r>
            <w:r w:rsidRPr="002554BF">
              <w:lastRenderedPageBreak/>
              <w:t>recuperados.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lastRenderedPageBreak/>
              <w:t>8. É proibido aos navios que arvorem o pavilhão de um Estado-Membro capturar pescado atraído por um DCP que não tenha sido colocado por esses navios.</w:t>
            </w:r>
          </w:p>
        </w:tc>
        <w:tc>
          <w:tcPr>
            <w:tcW w:w="4876" w:type="dxa"/>
            <w:tcBorders>
              <w:top w:val="nil"/>
              <w:left w:val="nil"/>
              <w:bottom w:val="nil"/>
              <w:right w:val="nil"/>
            </w:tcBorders>
            <w:hideMark/>
          </w:tcPr>
          <w:p w:rsidR="00DD5018" w:rsidRPr="002554BF" w:rsidRDefault="00811D8D" w:rsidP="00F37D8F">
            <w:pPr>
              <w:pStyle w:val="Normal6a"/>
            </w:pPr>
            <w:r w:rsidRPr="002554BF">
              <w:t>8. É proibido aos navios que arvorem o pavilhão de um Estado-Membro capturar pescado atraído por um DCP que não tenha sido colocado por esses navios.»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n.º 44.</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Eric Sargiacomo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45</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88</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6.</w:t>
            </w:r>
            <w:r w:rsidRPr="002554BF">
              <w:tab/>
              <w:t>Sem prejuízo de disposições mais estritas estabelecidas no artigo 14.º, n.º 7, e no artigo 48.º do Regulamento (CE) n.º 1224/2009, em caso de perda ou de impossibilidade de alar um DCP, os pescadores ou capitães dos navios de pesca registam a sua última posição conhecida, juntamente com a data</w:t>
            </w:r>
            <w:r w:rsidRPr="002554BF">
              <w:rPr>
                <w:b/>
                <w:i/>
              </w:rPr>
              <w:t xml:space="preserve">. </w:t>
            </w:r>
            <w:r w:rsidRPr="002554BF">
              <w:t xml:space="preserve"> Os navios de pesca que exploram o doirado tomam nota e comunicam a última posição registada do DCP perdido, bem como a data em que foi registada, o número de identificação do dispositivo e quaisquer informações que permitam identificar o seu proprietário.</w:t>
            </w:r>
          </w:p>
        </w:tc>
        <w:tc>
          <w:tcPr>
            <w:tcW w:w="4876" w:type="dxa"/>
            <w:tcBorders>
              <w:top w:val="nil"/>
              <w:left w:val="nil"/>
              <w:bottom w:val="nil"/>
              <w:right w:val="nil"/>
            </w:tcBorders>
            <w:hideMark/>
          </w:tcPr>
          <w:p w:rsidR="00DD5018" w:rsidRPr="002554BF" w:rsidRDefault="00811D8D" w:rsidP="00F37D8F">
            <w:pPr>
              <w:pStyle w:val="Normal6a"/>
            </w:pPr>
            <w:r w:rsidRPr="002554BF">
              <w:t>6.</w:t>
            </w:r>
            <w:r w:rsidRPr="002554BF">
              <w:tab/>
              <w:t>Sem prejuízo de disposições mais estritas estabelecidas no artigo 14.º, n.º 7, e no artigo 48.º do Regulamento (CE) n.º 1224/2009, em caso de perda ou de impossibilidade de alar um DCP, os pescadores ou capitães dos navios de pesca registam a sua última posição conhecida, juntamente com a data</w:t>
            </w:r>
            <w:r w:rsidRPr="002554BF">
              <w:rPr>
                <w:b/>
                <w:i/>
              </w:rPr>
              <w:t xml:space="preserve"> no diário de pesca.</w:t>
            </w:r>
            <w:r w:rsidRPr="002554BF">
              <w:t xml:space="preserve"> Os navios de pesca que exploram o doirado tomam nota e comunicam a última posição registada do DCP perdido, bem como a data em que foi registada, o número de identificação do dispositivo e quaisquer informações que permitam identificar o seu proprietário.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{FR}</w:t>
      </w:r>
      <w:r w:rsidRPr="002554BF">
        <w:t>fr</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lastRenderedPageBreak/>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45-A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45-A)</w:t>
            </w:r>
            <w:r w:rsidRPr="002554BF">
              <w:tab/>
            </w:r>
            <w:r w:rsidRPr="002554BF">
              <w:rPr>
                <w:b/>
                <w:i/>
              </w:rPr>
              <w:t>No artigo 89.º, é inserido um novo n.º 3 com a seguinte redação: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«Em caso de perda de DCP, os Estados-Membros asseguram que os navios que arvoram o seu pavilhão tomem nota e comuniquem a última posição registada do DCP perdido, bem como a data em que foi registada, o número de identificação do dispositivo e quaisquer informações que permitam identificar o seu proprietário.»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A futura identificação dos DCP deve basear-se no Regulamento (CE) n.º 1224/2009.</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45-C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89</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45-C)</w:t>
            </w:r>
            <w:r w:rsidRPr="002554BF">
              <w:tab/>
            </w:r>
            <w:r w:rsidRPr="002554BF">
              <w:rPr>
                <w:b/>
                <w:i/>
              </w:rPr>
              <w:t>É inserido um novo artigo 89.º-A entre os artigos 89.º e 90.º: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89.º-A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Medidas específicas para lutar contra as atividades de pesca INN</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1. Cada Estado-Membro assegura a aplicação dos mecanismos adequados para a inscrição de todos os navios de pesca num registo da frota nacional, para </w:t>
            </w:r>
            <w:r w:rsidRPr="002554BF">
              <w:rPr>
                <w:b/>
                <w:i/>
              </w:rPr>
              <w:lastRenderedPageBreak/>
              <w:t>a anotação das capturas e do esforço de pesca do navio no diário de bordo e para a monitorização das atividades de pesca e dos desembarques do navio por via de inquéritos e amostragem das capturas e do esforço de pesca, efetuados em conformidade com as regras estabelecidas por cada Estado-Membro.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designam os pontos em que os navios que exercem ativamente a pesca de doirado no mar Mediterrâneo devem efetuar os desembarques. Relativamente a cada porto designado, os Estados-Membros em causa especificam o horário e os locais em que o desembarque e o transbordo são permitidos. Os Estados-Membros asseguram igualmente a cobertura inspetiva dessas atividades durante o horário de desembarque e transbordo em todos os pontos designados com base numa análise de riscos.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É proibido desembarcar ou transbordar de navios de pesca qualquer quantidade de doirado capturado no mar Mediterrâneo em qualquer outro local que não os pontos de desembarque designados pelos Estados-Membros de acordo com o n.º 2.</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comunicam à Comissão, até 15 de novembro de cada ano, qualquer alteração da lista de pontos de desembarque designados em que podem acontecer os desembarques de doirado a que se refere o n.º 2. A Comissão transmite essas alterações ao Secretariado da CGPM até 30 de novembro de cada ano.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partes comprometem-se a cooperar na luta contra as atividades de pesca INN, nomeadamente pela partilha de informações e a recolha de informações para combater as atividades ilegais.»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CGPM/46/2023/14, n.</w:t>
      </w:r>
      <w:r w:rsidRPr="002554BF">
        <w:rPr>
          <w:vertAlign w:val="superscript"/>
        </w:rPr>
        <w:t>os</w:t>
      </w:r>
      <w:r w:rsidRPr="002554BF">
        <w:t xml:space="preserve"> 55 a 62.</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47</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94-A</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ab/>
            </w:r>
            <w:r w:rsidRPr="002554BF">
              <w:rPr>
                <w:b/>
                <w:i/>
              </w:rPr>
              <w:t>Os Estados-Membros emitem um certificado de captura da CGPM a fim de identificar a origem das capturas de pregado na SZG 29 em todas as etapas da cadeia de abastecimento. Esse certificado deve ser utilizado para certificar que as referidas capturas foram efetuadas em conformidade com as medidas de conservação e de gestão estabelecidas no título II, capítulo VIII.</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47-A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94-A</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47-A)</w:t>
            </w:r>
            <w:r w:rsidRPr="002554BF">
              <w:tab/>
            </w:r>
            <w:r w:rsidRPr="002554BF">
              <w:rPr>
                <w:b/>
                <w:i/>
              </w:rPr>
              <w:t>O artigo 94.º-A (Proposta COM – alteração da CGPM de 2021/2022) passa a ter a seguinte redação: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94.º-A Programa de documentação das capturas de pregado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1. Os Estados-Membros aplicam integralmente o programa de </w:t>
            </w:r>
            <w:r w:rsidRPr="002554BF">
              <w:rPr>
                <w:b/>
                <w:i/>
              </w:rPr>
              <w:lastRenderedPageBreak/>
              <w:t>documentação das capturas (PDC) de pregado ao longo de toda a cadeia de abastecimento, a fim de assegurar a rastreabilidade do pregado capturado no mar Negro e contribuir para a luta contra as atividades de pesca ilegal, não declarada e não regulamentada (INN).</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 programa de documentação das capturas de pregado em papel estabelecido no n.º 1 não prejudica outros sistemas nacionais de rastreabilidade em vigor que garantam o mesmo nível de controlo da rastreabilidade do pregado por parte dos Estados-Membros e inclui as informações especificadas no anexo XXIV.</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 programa de documentação das capturas de pregado em papel aplica-se aos primeiros desembarques, exportações e reexportações. O comércio interno não está incluído na cadeia de validação.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Cada certificado de captura tem um número único de identificação. Este número é específico dos Estados-Membros de pavilhão e é atribuído a cada navio de pesca. Os certificados não podem ser transferidos para outro navio de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só validam os certificados de pesca uma vez estabelecida a exatidão de todas as informações contidas no programa de documentação das capturas de pregado, após verificação dos documentos comprovativos e da remessa correspondente.</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6. Os Estados-Membros comunicam à Comissão o respetivo programa de documentação das capturas, eventuais requisitos de marcação e identificação e requisitos de rastreabilidade e localização para a apanha de pregado que estão em conformidade com as disposições do presente artigo, de sorte que assegurem eficazmente o cumprimento do objetivo de rastreabilidade. A Comissão transmite estes relatórios ao Secretariado do CGPM </w:t>
            </w:r>
            <w:r w:rsidRPr="002554BF">
              <w:rPr>
                <w:b/>
                <w:i/>
              </w:rPr>
              <w:lastRenderedPageBreak/>
              <w:t>até 1 de julho de 2025.</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7. Os Estados-Membros comunicam à Comissão as respetivas autoridades competentes responsáveis pela validação, pelo controlo e pela verificação dos certificados de captura, bem como os pontos de contacto do programa de documentação das capturas, o selo de validação e outras informações pertinentes para a aplicação do programa de documentação das capturas. A Comissão comunica essas informações ao Secretariado da CGPM até 1 de julho de 2025.</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8. Os Estados-Membros conservam os certificados de captura de pregado em papel validados durante um período de cinco anos.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9. Os Estados-Membros apresentam relatórios anuais à Comissão sobre a aplicação do programa de documentação das capturas de pregado em papel, visando notificar o comité para a conformidade, fornecer informações pormenorizadas e dados estatísticos sobre, entre outros, as quantidades anuais validadas, as quantidades anuais comercializadas, o número de certificados de apanha validados e quaisquer elementos pertinentes que entendam prestar informações sobre o ponto da situação. A Comissão apresenta os relatórios ao Secretariado da CGPM o mais tardar 30 dias antes da sessão do comité para a conformidade.»</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CGPM/46/2023/20.</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209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Željana Zovko</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lastRenderedPageBreak/>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a)</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asseguram uma proteção elevada contra as atividades de pesca das espécies de elasmobrânquios enumeradas </w:t>
            </w:r>
            <w:r w:rsidRPr="002554BF">
              <w:rPr>
                <w:b/>
                <w:i/>
              </w:rPr>
              <w:t xml:space="preserve">nos anexos </w:t>
            </w:r>
            <w:r w:rsidRPr="002554BF">
              <w:t>II</w:t>
            </w:r>
            <w:r w:rsidRPr="002554BF">
              <w:rPr>
                <w:b/>
                <w:i/>
              </w:rPr>
              <w:t xml:space="preserve"> e III</w:t>
            </w:r>
            <w:r w:rsidRPr="002554BF">
              <w:t xml:space="preserve"> do Protocolo relativo às Áreas especialmente Protegidas e à Diversidade Biológica no Mediterrâneo.»;</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asseguram uma proteção elevada contra as atividades de pesca das espécies de elasmobrânquios enumeradas </w:t>
            </w:r>
            <w:r w:rsidRPr="002554BF">
              <w:rPr>
                <w:b/>
                <w:i/>
              </w:rPr>
              <w:t>no anexo </w:t>
            </w:r>
            <w:r w:rsidRPr="002554BF">
              <w:t>II do Protocolo relativo às Áreas especialmente Protegidas e à Diversidade Biológica no Mediterrâneo.»;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O artigo 1.º, n.º 49, da proposta que altera o artigo 98.º do Regulamento (UE) 2023/2124 deve estar em consonância com o n.º 6 da Recomendação 42/2018/2 da CGPM. Para tal, suprime-se da disposição a referência ao anexo III do Protocolo da Convenção de Barcelona, tendo em conta que este anexo enumera as espécies cartilaginosas cuja exploração comercial é autorizada, mas que requerem uma gestão regulamentada.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a)</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parágrafo 1-A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1-A.</w:t>
            </w:r>
            <w:r w:rsidRPr="002554BF">
              <w:tab/>
            </w:r>
            <w:r w:rsidRPr="002554BF">
              <w:rPr>
                <w:b/>
                <w:i/>
              </w:rPr>
              <w:t xml:space="preserve">Os Estados-Membros incentivam novas ações destinadas a melhorar o estado de conservação das espécies de elasmobrânquios enumeradas nos anexos II e III do Protocolo AEP/Biodiversidade e a atenuar ou eliminar, sempre que possível, o risco de capturas acidentais nas operações de pesca e/ou a mortalidade associada no que se refere às áreas especialmente protegidas e à diversidade biológica no mar </w:t>
            </w:r>
            <w:r w:rsidRPr="002554BF">
              <w:rPr>
                <w:b/>
                <w:i/>
              </w:rPr>
              <w:lastRenderedPageBreak/>
              <w:t>Mediterrâneo.</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CGPM/44/2021/16, n.</w:t>
      </w:r>
      <w:r w:rsidRPr="002554BF">
        <w:rPr>
          <w:vertAlign w:val="superscript"/>
        </w:rPr>
        <w:t>o</w:t>
      </w:r>
      <w:r w:rsidRPr="002554BF">
        <w:t xml:space="preserve"> 2 (âmbito de aplicação).</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-4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w:t>
            </w:r>
            <w:r w:rsidRPr="002554BF">
              <w:tab/>
            </w:r>
            <w:r w:rsidRPr="002554BF">
              <w:rPr>
                <w:b/>
                <w:i/>
              </w:rPr>
              <w:t>Os Estados-Membros tomam as medidas necessárias para reduzir a mortalidade de todas as espécies de elasmobrânquios capturadas acidentalmente durante as operações de pesca através da adoção de medidas de atenuação pertinentes, designadamente o estabelecimento de um sistema de incentivos para que os capitães dos navios reduzam a mortalidade acidental de elasmobrânquios, bem como de regimes de certificação e formação técnica para os capitães dos navios, e através da realização de investigação para melhorar as artes de pesca, o equipamento e as técnicas de pesca, com vista a reduzir a mortalidade dos elasmobrânquios associada a capturas acessórias e aumentar as taxas de sobrevivência após a libertação.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Esta redação resulta da Recomendação CGPM/44/2021/16 e não consta da proposta da Comissão.</w:t>
      </w:r>
    </w:p>
    <w:p w:rsidR="00DD5018" w:rsidRPr="002554BF" w:rsidRDefault="00811D8D" w:rsidP="00DD5018">
      <w:r w:rsidRPr="002554BF">
        <w:rPr>
          <w:rStyle w:val="HideTWBExt"/>
          <w:color w:val="auto"/>
        </w:rPr>
        <w:lastRenderedPageBreak/>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-4-A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-4-A.</w:t>
            </w:r>
            <w:r w:rsidRPr="002554BF">
              <w:tab/>
            </w:r>
            <w:r w:rsidRPr="002554BF">
              <w:rPr>
                <w:b/>
                <w:i/>
              </w:rPr>
              <w:t>Os Estados-Membros adotam medidas de atenuação para reduzir ao mínimo e, sempre que possível, eliminar as capturas acidentais de elasmobrânquios durante as operações de pesca que apresentam um risco elevado de capturas acessórias identificadas pelo CCC e, sempre que possível, durante as operações de pesca que apresentam um baixo risco de capturas acessórias. Essas medidas são acompanhadas de uma monitorização adequada para determinar a eficácia das ações e podem incluir, entre outros, a alteração das artes de pesca e a utilização de tipos alternativos de artes de pesca, melhoria da marcação e da deteção das artes de pesca, restrições e encerramentos temporais e espaciais da pesca, se for caso disso, limiares máximos de capturas acessórias potenciais, e utilização de dispositivos magnéticos de dissuasão, quando baseados em estudos científicos e após uma avaliação custo-benefício.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Esta redação resulta da Recomendação CGPM/44/2021/16 e não consta da proposta da Comissão.</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lastRenderedPageBreak/>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-4-B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-4-B.</w:t>
            </w:r>
            <w:r w:rsidRPr="002554BF">
              <w:tab/>
            </w:r>
            <w:r w:rsidRPr="002554BF">
              <w:rPr>
                <w:b/>
                <w:i/>
              </w:rPr>
              <w:t>A Comissão e os Estados-Membros podem igualmente considerar, a título voluntário, outros tipos de gestão, como uma gestão baseada em incentivos que recompense os operadores com baixo impacto e, simultaneamente, incite os operadores com fraco desempenho a adotar melhores práticas ou a abandonar o setor, ou uma gestão baseada em incentivos orientada para o mercado que preveja, por exemplo, a utilização de rótulos que indiquem a prevenção dos riscos ou a garantia de proteção dos elasmobrânquios nas pescarias com um risco médio a elevado.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Esta redação resulta da Recomendação CGPM/44/2021/16 e não consta da proposta da Comissão.</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parágrafo 5-A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5-A.</w:t>
            </w:r>
            <w:r w:rsidRPr="002554BF">
              <w:tab/>
            </w:r>
            <w:r w:rsidRPr="002554BF">
              <w:rPr>
                <w:b/>
                <w:i/>
              </w:rPr>
              <w:t xml:space="preserve">Os Estados-Membros são incentivados a estabelecer um sistema de incentivos para que os capitães dos navios reduzam a mortalidade acidental de </w:t>
            </w:r>
            <w:r w:rsidRPr="002554BF">
              <w:rPr>
                <w:b/>
                <w:i/>
              </w:rPr>
              <w:lastRenderedPageBreak/>
              <w:t>elasmobrânquios, bem como regimes de certificação e formação técnica para os capitães dos navios, e a levar a cabo investigação para melhorar as artes de pesca, o equipamento e as técnicas de pesca, reduzir a mortalidade dos elasmobrânquios associada às capturas acessórias e aumentar as taxas de sobrevivência após a libertação.</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 xml:space="preserve"> Artigo 98 – n.º 5-B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5-B.</w:t>
            </w:r>
            <w:r w:rsidRPr="002554BF">
              <w:tab/>
            </w:r>
            <w:r w:rsidRPr="002554BF">
              <w:rPr>
                <w:b/>
                <w:i/>
              </w:rPr>
              <w:t xml:space="preserve">Os Estados-Membros são incentivados a adotar medidas de atenuação para reduzir ao mínimo e, sempre que possível, eliminar as capturas acidentais de elasmobrânquios durante as operações de pesca que apresentam um risco elevado de capturas acessórias e, sempre que possível, durante as operações de pesca que apresentam um baixo risco de capturas acessórias. Essas medidas são acompanhadas de uma monitorização adequada para determinar a eficácia das ações e podem incluir, entre outros, a alteração das artes de pesca e a utilização de tipos alternativos de artes de pesca, melhoria da marcação e da deteção das artes de pesca, restrições e encerramentos temporais e espaciais da pesca, se for caso disso, limiares máximos de capturas </w:t>
            </w:r>
            <w:r w:rsidRPr="002554BF">
              <w:rPr>
                <w:b/>
                <w:i/>
              </w:rPr>
              <w:lastRenderedPageBreak/>
              <w:t>acessórias potenciais e utilização de dispositivos magnéticos de dissuasão, quando baseados em estudos científicos e após uma avaliação custo-benefício.</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5-C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5-C.</w:t>
            </w:r>
            <w:r w:rsidRPr="002554BF">
              <w:tab/>
            </w:r>
            <w:r w:rsidRPr="002554BF">
              <w:rPr>
                <w:b/>
                <w:i/>
              </w:rPr>
              <w:t>Os Estados-Membros são incentivados a estabelecer outros tipos de gestão, como uma gestão baseada em incentivos para recompensar os operadores com baixo impacto e, simultaneamente, incitar os operadores com fraco desempenho a adotar melhores práticas ou a abandonar o setor, ou uma gestão baseada em incentivos orientada para o mercado que preveja, por exemplo, a utilização de rótulos que indiquem a prevenção dos riscos ou a garantia de proteção dos elasmobrânquios nas pescarias com um risco médio a elevado.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lastRenderedPageBreak/>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49 – alínea b)</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98 – n.º 5-D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5-D.</w:t>
            </w:r>
            <w:r w:rsidRPr="002554BF">
              <w:tab/>
            </w:r>
            <w:r w:rsidRPr="002554BF">
              <w:rPr>
                <w:b/>
                <w:i/>
              </w:rPr>
              <w:t>Os Estados-Membros são incentivados a identificar habitats críticos de elasmobrânquios e a estudar o efeito da utilização das artes de pesca e eventuais artes de pesca alternativas.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50</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102 – n.º 3 – alínea b)</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b)</w:t>
            </w:r>
            <w:r w:rsidRPr="002554BF">
              <w:tab/>
              <w:t>Os Estados-Membros avaliam</w:t>
            </w:r>
            <w:r w:rsidRPr="002554BF">
              <w:rPr>
                <w:b/>
                <w:i/>
              </w:rPr>
              <w:t>, até 2024,</w:t>
            </w:r>
            <w:r w:rsidRPr="002554BF">
              <w:t xml:space="preserve"> a eficácia de pelo menos duas medidas transitórias de atenuação enumeradas no anexo XVIII a fim de melhorar o estado de conservação das espécies de aves marinhas, reduzir e, sempre que possível, eliminar o risco de capturas acidentais de aves marinhas durante as operações de pesca e a mortalidade associada.»;</w:t>
            </w:r>
          </w:p>
        </w:tc>
        <w:tc>
          <w:tcPr>
            <w:tcW w:w="4876" w:type="dxa"/>
            <w:tcBorders>
              <w:top w:val="nil"/>
              <w:left w:val="nil"/>
              <w:bottom w:val="nil"/>
              <w:right w:val="nil"/>
            </w:tcBorders>
            <w:hideMark/>
          </w:tcPr>
          <w:p w:rsidR="00DD5018" w:rsidRPr="002554BF" w:rsidRDefault="00811D8D" w:rsidP="00F37D8F">
            <w:pPr>
              <w:pStyle w:val="Normal6a"/>
            </w:pPr>
            <w:r w:rsidRPr="002554BF">
              <w:t>b)</w:t>
            </w:r>
            <w:r w:rsidRPr="002554BF">
              <w:tab/>
              <w:t>Os Estados-Membros avaliam a eficácia de pelo menos duas medidas transitórias de atenuação enumeradas no anexo XVIII a fim de melhorar o estado de conservação das espécies de aves marinhas, reduzir e, sempre que possível, eliminar o risco de capturas acidentais de aves marinhas durante as operações de pesca e a mortalidade associada.»;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219</w:t>
      </w:r>
      <w:r w:rsidRPr="002554BF">
        <w:rPr>
          <w:rStyle w:val="HideTWBExt"/>
          <w:color w:val="auto"/>
        </w:rPr>
        <w:t>&lt;/NumAm&gt;</w:t>
      </w:r>
    </w:p>
    <w:p w:rsidR="00DD5018" w:rsidRPr="002554BF" w:rsidRDefault="00811D8D" w:rsidP="00DD5018">
      <w:pPr>
        <w:pStyle w:val="NormalBold"/>
      </w:pPr>
      <w:r w:rsidRPr="002554BF">
        <w:rPr>
          <w:rStyle w:val="HideTWBExt"/>
          <w:color w:val="auto"/>
        </w:rPr>
        <w:lastRenderedPageBreak/>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103-A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w:t>
            </w:r>
            <w:r w:rsidRPr="002554BF">
              <w:rPr>
                <w:b/>
                <w:i/>
              </w:rPr>
              <w:t>são incentivados a tomar</w:t>
            </w:r>
            <w:r w:rsidRPr="002554BF">
              <w:t xml:space="preserve"> as medidas necessárias para aplicar a legislação em vigor e as medidas de atenuação destinadas a reduzir e, sempre que possível, eliminar as capturas acidentais de tartarugas marinhas durante as operações de pesca, entre as quais:</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w:t>
            </w:r>
            <w:r w:rsidRPr="002554BF">
              <w:rPr>
                <w:b/>
                <w:i/>
              </w:rPr>
              <w:t>tomam</w:t>
            </w:r>
            <w:r w:rsidRPr="002554BF">
              <w:t xml:space="preserve"> as medidas necessárias para aplicar a legislação em vigor e as medidas de atenuação destinadas a reduzir e, sempre que possível, eliminar as capturas acidentais de tartarugas marinhas durante as operações de pesca, entre as quais: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103-A – n.º 1 – alínea e)</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e)</w:t>
            </w:r>
            <w:r w:rsidRPr="002554BF">
              <w:tab/>
              <w:t>Regras sobre o comportamento e estratégias de pesca,</w:t>
            </w:r>
          </w:p>
        </w:tc>
        <w:tc>
          <w:tcPr>
            <w:tcW w:w="4876" w:type="dxa"/>
            <w:tcBorders>
              <w:top w:val="nil"/>
              <w:left w:val="nil"/>
              <w:bottom w:val="nil"/>
              <w:right w:val="nil"/>
            </w:tcBorders>
            <w:hideMark/>
          </w:tcPr>
          <w:p w:rsidR="00DD5018" w:rsidRPr="002554BF" w:rsidRDefault="00811D8D" w:rsidP="00F37D8F">
            <w:pPr>
              <w:pStyle w:val="Normal6a"/>
            </w:pPr>
            <w:r w:rsidRPr="002554BF">
              <w:t>e)</w:t>
            </w:r>
            <w:r w:rsidRPr="002554BF">
              <w:tab/>
              <w:t xml:space="preserve">Regras sobre o comportamento e estratégias de pesca, </w:t>
            </w:r>
            <w:r w:rsidRPr="002554BF">
              <w:rPr>
                <w:b/>
                <w:i/>
              </w:rPr>
              <w:t>como a redução do tempo de imersão, a recuperação das artes durante o dia e a fixação de anzóis a uma profundidade superior ao intervalo de profundidade mais comum das tartarugas (40</w:t>
            </w:r>
            <w:r w:rsidRPr="002554BF">
              <w:rPr>
                <w:b/>
                <w:i/>
              </w:rPr>
              <w:noBreakHyphen/>
              <w:t>100 metros).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CGPM/44/2021/14: parte do n.º 3 em falta.</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lastRenderedPageBreak/>
        <w:t>&lt;Amend&gt;</w:t>
      </w:r>
      <w:r w:rsidRPr="002554BF">
        <w:t>Alteração</w:t>
      </w:r>
      <w:r w:rsidRPr="002554BF">
        <w:tab/>
      </w:r>
      <w:r w:rsidRPr="002554BF">
        <w:tab/>
      </w:r>
      <w:r w:rsidRPr="002554BF">
        <w:rPr>
          <w:rStyle w:val="HideTWBExt"/>
          <w:color w:val="auto"/>
        </w:rPr>
        <w:t>&lt;NumAm&gt;</w:t>
      </w:r>
      <w:r w:rsidRPr="002554BF">
        <w:t>221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103-A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w:t>
            </w:r>
            <w:r w:rsidRPr="002554BF">
              <w:rPr>
                <w:b/>
                <w:i/>
              </w:rPr>
              <w:t>são incentivados a</w:t>
            </w:r>
            <w:r w:rsidRPr="002554BF">
              <w:t>, graças a orientações e formações adequadas,</w:t>
            </w:r>
            <w:r w:rsidRPr="002554BF">
              <w:rPr>
                <w:b/>
                <w:i/>
              </w:rPr>
              <w:t xml:space="preserve"> facilitar</w:t>
            </w:r>
            <w:r w:rsidRPr="002554BF">
              <w:t xml:space="preserve"> a aplicação de medidas destinadas a evitar o enredamento durante a atividade de predação e a reduzir a mortalidade após a libertação.</w:t>
            </w:r>
          </w:p>
        </w:tc>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w:t>
            </w:r>
            <w:r w:rsidRPr="002554BF">
              <w:rPr>
                <w:b/>
                <w:i/>
              </w:rPr>
              <w:t>facilitam</w:t>
            </w:r>
            <w:r w:rsidRPr="002554BF">
              <w:t>, graças a orientações e formações adequadas, a aplicação de medidas destinadas a evitar o enredamento durante a atividade de predação e a reduzir a mortalidade após a libertação.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51</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103-A – n.º 4</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4.</w:t>
            </w:r>
            <w:r w:rsidRPr="002554BF">
              <w:tab/>
              <w:t>A Comissão notifica sem demora o Secretariado da CGPM dessas medidas.»;</w:t>
            </w:r>
          </w:p>
        </w:tc>
        <w:tc>
          <w:tcPr>
            <w:tcW w:w="4876" w:type="dxa"/>
            <w:tcBorders>
              <w:top w:val="nil"/>
              <w:left w:val="nil"/>
              <w:bottom w:val="nil"/>
              <w:right w:val="nil"/>
            </w:tcBorders>
            <w:hideMark/>
          </w:tcPr>
          <w:p w:rsidR="00DD5018" w:rsidRPr="002554BF" w:rsidRDefault="00811D8D" w:rsidP="00F37D8F">
            <w:pPr>
              <w:pStyle w:val="Normal6a"/>
            </w:pPr>
            <w:r w:rsidRPr="002554BF">
              <w:rPr>
                <w:i/>
              </w:rPr>
              <w:t>(Não se aplica à versão portuguesa.)</w:t>
            </w:r>
            <w:r w:rsidRPr="002554BF">
              <w:tab/>
              <w:t xml:space="preserve"> </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105-A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w:t>
            </w:r>
            <w:r w:rsidRPr="002554BF">
              <w:rPr>
                <w:b/>
                <w:i/>
              </w:rPr>
              <w:t>são incentivados a ampliar</w:t>
            </w:r>
            <w:r w:rsidRPr="002554BF">
              <w:t xml:space="preserve"> as medidas de atenuação das capturas acessórias, a fim de reduzir ao mínimo e, sempre que possível, eliminar as capturas acidentais de cetáceos durante as operações de pesca que apresentam um risco elevado de capturas acessórias identificadas pelo CCC. Essas medidas de atenuação são acompanhadas de uma monitorização adequada para determinar a eficácia das ações e podem incluir, entre outros:</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Os Estados-Membros </w:t>
            </w:r>
            <w:r w:rsidRPr="002554BF">
              <w:rPr>
                <w:b/>
                <w:i/>
              </w:rPr>
              <w:t>ampliam</w:t>
            </w:r>
            <w:r w:rsidRPr="002554BF">
              <w:t xml:space="preserve"> as medidas de atenuação das capturas acessórias, a fim de reduzir ao mínimo e, sempre que possível, eliminar as capturas acidentais de cetáceos durante as operações de pesca que apresentam um risco elevado de capturas acessórias identificadas pelo CCC. Essas medidas de atenuação são acompanhadas de uma monitorização adequada para determinar a eficácia das ações e podem incluir, entre outros: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105-A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w:t>
            </w:r>
            <w:r w:rsidRPr="002554BF">
              <w:rPr>
                <w:b/>
                <w:i/>
              </w:rPr>
              <w:t>são incentivados a</w:t>
            </w:r>
            <w:r w:rsidRPr="002554BF">
              <w:t>, graças a orientações e formações adequadas,</w:t>
            </w:r>
            <w:r w:rsidRPr="002554BF">
              <w:rPr>
                <w:b/>
                <w:i/>
              </w:rPr>
              <w:t xml:space="preserve"> facilitar</w:t>
            </w:r>
            <w:r w:rsidRPr="002554BF">
              <w:t xml:space="preserve"> a aplicação de medidas destinadas a evitar o enredamento durante a atividade de predação e a reduzir a mortalidade após a libertação.</w:t>
            </w:r>
          </w:p>
        </w:tc>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Os Estados-Membros </w:t>
            </w:r>
            <w:r w:rsidRPr="002554BF">
              <w:rPr>
                <w:b/>
                <w:i/>
              </w:rPr>
              <w:t>facilitam</w:t>
            </w:r>
            <w:r w:rsidRPr="002554BF">
              <w:t>, graças a orientações e formações adequadas, a aplicação de medidas destinadas a evitar o enredamento durante a atividade de predação e a reduzir a mortalidade após a libertação.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52</w:t>
      </w:r>
      <w:r w:rsidRPr="002554BF">
        <w:rPr>
          <w:rStyle w:val="HideTWBExt"/>
          <w:color w:val="auto"/>
        </w:rPr>
        <w:t>&lt;/Article&gt;</w:t>
      </w:r>
    </w:p>
    <w:p w:rsidR="00DD5018" w:rsidRPr="002554BF" w:rsidRDefault="00811D8D" w:rsidP="00DD5018">
      <w:r w:rsidRPr="002554BF">
        <w:rPr>
          <w:rStyle w:val="HideTWBExt"/>
          <w:color w:val="auto"/>
        </w:rPr>
        <w:lastRenderedPageBreak/>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105-A – n.º 3</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 xml:space="preserve">Os Estados-Membros </w:t>
            </w:r>
            <w:r w:rsidRPr="002554BF">
              <w:rPr>
                <w:b/>
                <w:i/>
              </w:rPr>
              <w:t>são incentivados a identificar</w:t>
            </w:r>
            <w:r w:rsidRPr="002554BF">
              <w:t xml:space="preserve"> as zonas que apresentam um risco elevado de interações entre as atividades de pesca e os cetáceos e, com base nas pressões existentes, podem considerar a possibilidade de alterar a legislação nacional em vigor.</w:t>
            </w:r>
          </w:p>
        </w:tc>
        <w:tc>
          <w:tcPr>
            <w:tcW w:w="4876" w:type="dxa"/>
            <w:tcBorders>
              <w:top w:val="nil"/>
              <w:left w:val="nil"/>
              <w:bottom w:val="nil"/>
              <w:right w:val="nil"/>
            </w:tcBorders>
            <w:hideMark/>
          </w:tcPr>
          <w:p w:rsidR="00DD5018" w:rsidRPr="002554BF" w:rsidRDefault="00811D8D" w:rsidP="00F37D8F">
            <w:pPr>
              <w:pStyle w:val="Normal6a"/>
            </w:pPr>
            <w:r w:rsidRPr="002554BF">
              <w:t>3.</w:t>
            </w:r>
            <w:r w:rsidRPr="002554BF">
              <w:tab/>
              <w:t xml:space="preserve">Os Estados-Membros </w:t>
            </w:r>
            <w:r w:rsidRPr="002554BF">
              <w:rPr>
                <w:b/>
                <w:i/>
              </w:rPr>
              <w:t>identificam</w:t>
            </w:r>
            <w:r w:rsidRPr="002554BF">
              <w:t xml:space="preserve"> as zonas que apresentam um risco elevado de interações entre as atividades de pesca e os cetáceos e, com base nas pressões existentes, podem considerar a possibilidade de alterar a legislação nacional em vigor.</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52</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105-A – n.º 4</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4.</w:t>
            </w:r>
            <w:r w:rsidRPr="002554BF">
              <w:tab/>
            </w:r>
            <w:r w:rsidRPr="002554BF">
              <w:rPr>
                <w:b/>
                <w:i/>
              </w:rPr>
              <w:t>As PCC</w:t>
            </w:r>
            <w:r w:rsidRPr="002554BF">
              <w:t xml:space="preserve"> podem igualmente considerar, a título voluntário, outros tipos de gestão, como uma gestão baseada em incentivos que recompense os operadores com baixo impacto e, simultaneamente, incite os operadores com fraco desempenho a adotarem melhores práticas ou abandonarem o setor, ou uma gestão baseada em incentivos orientada para o mercado que preveja, por exemplo, a utilização de rótulos que indiquem a prevenção dos riscos ou a garantia de proteção dos golfinhos nas pescarias com um risco médio a elevado de interações com cetáceos.</w:t>
            </w:r>
          </w:p>
        </w:tc>
        <w:tc>
          <w:tcPr>
            <w:tcW w:w="4876" w:type="dxa"/>
            <w:tcBorders>
              <w:top w:val="nil"/>
              <w:left w:val="nil"/>
              <w:bottom w:val="nil"/>
              <w:right w:val="nil"/>
            </w:tcBorders>
            <w:hideMark/>
          </w:tcPr>
          <w:p w:rsidR="00DD5018" w:rsidRPr="002554BF" w:rsidRDefault="00811D8D" w:rsidP="00F37D8F">
            <w:pPr>
              <w:pStyle w:val="Normal6a"/>
            </w:pPr>
            <w:r w:rsidRPr="002554BF">
              <w:t>4.</w:t>
            </w:r>
            <w:r w:rsidRPr="002554BF">
              <w:tab/>
            </w:r>
            <w:r w:rsidRPr="002554BF">
              <w:rPr>
                <w:b/>
                <w:i/>
              </w:rPr>
              <w:t>A Comissão e os Estados-Membros</w:t>
            </w:r>
            <w:r w:rsidRPr="002554BF">
              <w:t xml:space="preserve"> podem igualmente considerar, a título voluntário, outros tipos de gestão, como uma gestão baseada em incentivos que recompense os operadores com baixo impacto e, simultaneamente, incite os operadores com fraco desempenho a adotarem melhores práticas ou abandonarem o setor, ou uma gestão baseada em incentivos orientada para o mercado que preveja, por exemplo, a utilização de rótulos que indiquem a prevenção dos riscos ou a garantia de proteção dos golfinhos nas pescarias com um risco médio a elevado de interações com cetáceos.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lastRenderedPageBreak/>
        <w:t>&lt;Amend&gt;</w:t>
      </w:r>
      <w:r w:rsidRPr="002554BF">
        <w:t>Alteração</w:t>
      </w:r>
      <w:r w:rsidRPr="002554BF">
        <w:tab/>
      </w:r>
      <w:r w:rsidRPr="002554BF">
        <w:tab/>
      </w:r>
      <w:r w:rsidRPr="002554BF">
        <w:rPr>
          <w:rStyle w:val="HideTWBExt"/>
          <w:color w:val="auto"/>
        </w:rPr>
        <w:t>&lt;NumAm&gt;</w:t>
      </w:r>
      <w:r w:rsidRPr="002554BF">
        <w:t>227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106-A – parágrafo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 presente subsecção estabelece normas mínimas para todas as zonas de restrição da pesca estabelecidas ao nível da CGPM</w:t>
            </w:r>
            <w:r w:rsidRPr="002554BF">
              <w:rPr>
                <w:b/>
                <w:i/>
              </w:rPr>
              <w:t xml:space="preserve"> e é aplicável a todas as zonas de restrição da pesca estabelecidas ao nível da CGPM depois de 2022</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A presente subsecção estabelece normas mínimas para todas as zonas de restrição da pesca estabelecidas ao nível da CGPM.</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106-C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Os Estados-Membros elaboram, para cada zona de restrição da pesca, um plano de monitorização científica que inclua um conjunto de ferramentas e orientações integradas, a fim de facultar as informações necessárias para avaliar a eficácia dessa zona no que se refere à reconstituição das unidades populacionais</w:t>
            </w:r>
            <w:r w:rsidRPr="002554BF">
              <w:rPr>
                <w:b/>
                <w:i/>
              </w:rPr>
              <w:t xml:space="preserve"> e</w:t>
            </w:r>
            <w:r w:rsidRPr="002554BF">
              <w:t xml:space="preserve"> à proteção dos habitats e ecossistemas marinhos vulneráveis.</w:t>
            </w:r>
          </w:p>
        </w:tc>
        <w:tc>
          <w:tcPr>
            <w:tcW w:w="4876" w:type="dxa"/>
            <w:tcBorders>
              <w:top w:val="nil"/>
              <w:left w:val="nil"/>
              <w:bottom w:val="nil"/>
              <w:right w:val="nil"/>
            </w:tcBorders>
            <w:hideMark/>
          </w:tcPr>
          <w:p w:rsidR="00DD5018" w:rsidRPr="002554BF" w:rsidRDefault="00811D8D" w:rsidP="00F37D8F">
            <w:pPr>
              <w:pStyle w:val="Normal6a"/>
            </w:pPr>
            <w:r w:rsidRPr="002554BF">
              <w:t>Os Estados-Membros elaboram, para cada zona de restrição da pesca, um plano de monitorização científica que inclua um conjunto de ferramentas e orientações integradas, a fim de facultar as informações necessárias para avaliar a eficácia dessa zona no que se refere à reconstituição das unidades populacionais</w:t>
            </w:r>
            <w:r w:rsidRPr="002554BF">
              <w:rPr>
                <w:b/>
                <w:i/>
              </w:rPr>
              <w:t>,</w:t>
            </w:r>
            <w:r w:rsidRPr="002554BF">
              <w:t xml:space="preserve"> à proteção dos habitats e ecossistemas marinhos vulneráveis</w:t>
            </w:r>
            <w:r w:rsidRPr="002554BF">
              <w:rPr>
                <w:b/>
                <w:i/>
              </w:rPr>
              <w:t xml:space="preserve"> e à melhoria das densidades dos organismos no que diz respeito à biomassa e à abundância na zona de restrição da pesca</w:t>
            </w:r>
            <w:r w:rsidRPr="002554BF">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CGPM/45/2022/11.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229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54</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106-D – n.º 5</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5.</w:t>
            </w:r>
            <w:r w:rsidRPr="002554BF">
              <w:tab/>
              <w:t xml:space="preserve">O relatório a que se refere o n.º </w:t>
            </w:r>
            <w:r w:rsidRPr="002554BF">
              <w:rPr>
                <w:b/>
                <w:i/>
              </w:rPr>
              <w:t>2</w:t>
            </w:r>
            <w:r w:rsidRPr="002554BF">
              <w:t xml:space="preserve"> deve conter os seguintes elementos:</w:t>
            </w:r>
          </w:p>
        </w:tc>
        <w:tc>
          <w:tcPr>
            <w:tcW w:w="4876" w:type="dxa"/>
            <w:tcBorders>
              <w:top w:val="nil"/>
              <w:left w:val="nil"/>
              <w:bottom w:val="nil"/>
              <w:right w:val="nil"/>
            </w:tcBorders>
            <w:hideMark/>
          </w:tcPr>
          <w:p w:rsidR="00DD5018" w:rsidRPr="002554BF" w:rsidRDefault="00811D8D" w:rsidP="00F37D8F">
            <w:pPr>
              <w:pStyle w:val="Normal6a"/>
            </w:pPr>
            <w:r w:rsidRPr="002554BF">
              <w:t>5.</w:t>
            </w:r>
            <w:r w:rsidRPr="002554BF">
              <w:tab/>
              <w:t xml:space="preserve">O relatório a que se refere o n.º </w:t>
            </w:r>
            <w:r w:rsidRPr="002554BF">
              <w:rPr>
                <w:b/>
                <w:i/>
              </w:rPr>
              <w:t>4</w:t>
            </w:r>
            <w:r w:rsidRPr="002554BF">
              <w:t xml:space="preserve"> deve conter os seguintes elementos: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55</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107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 xml:space="preserve">É estabelecida uma zona de restrição da pesca na parte oriental do golfo do Leão, </w:t>
            </w:r>
            <w:r w:rsidRPr="002554BF">
              <w:rPr>
                <w:b/>
                <w:i/>
              </w:rPr>
              <w:t>delimitada pelas linhas que unem as coordenadas geográficas indicadas no anexo XI, parte A</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1.</w:t>
            </w:r>
            <w:r w:rsidRPr="002554BF">
              <w:tab/>
              <w:t>É estabelecida uma zona de restrição da pesca na parte oriental do golfo do Leão</w:t>
            </w:r>
            <w:r w:rsidRPr="002554BF">
              <w:rPr>
                <w:b/>
                <w:i/>
              </w:rPr>
              <w:t xml:space="preserve"> (subzona geográfica 7)</w:t>
            </w:r>
            <w:r w:rsidRPr="002554BF">
              <w:t xml:space="preserve">, </w:t>
            </w:r>
            <w:r w:rsidRPr="002554BF">
              <w:rPr>
                <w:b/>
                <w:i/>
              </w:rPr>
              <w:t>a fim de reforçar a proteção das concentrações de reprodutores e habitats sensíveis de profundidade</w:t>
            </w:r>
            <w:r w:rsidRPr="002554BF">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 n.º 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lastRenderedPageBreak/>
        <w:t>&lt;Amend&gt;</w:t>
      </w:r>
      <w:r w:rsidRPr="002554BF">
        <w:t>Alteração</w:t>
      </w:r>
      <w:r w:rsidRPr="002554BF">
        <w:tab/>
      </w:r>
      <w:r w:rsidRPr="002554BF">
        <w:tab/>
      </w:r>
      <w:r w:rsidRPr="002554BF">
        <w:rPr>
          <w:rStyle w:val="HideTWBExt"/>
          <w:color w:val="auto"/>
        </w:rPr>
        <w:t>&lt;NumAm&gt;</w:t>
      </w:r>
      <w:r w:rsidRPr="002554BF">
        <w:t>231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55</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107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r>
            <w:r w:rsidRPr="002554BF">
              <w:rPr>
                <w:b/>
                <w:i/>
              </w:rPr>
              <w:t>Na parte</w:t>
            </w:r>
            <w:r w:rsidRPr="002554BF">
              <w:t xml:space="preserve"> A</w:t>
            </w:r>
            <w:r w:rsidRPr="002554BF">
              <w:rPr>
                <w:b/>
                <w:i/>
              </w:rPr>
              <w:t>,</w:t>
            </w:r>
            <w:r w:rsidRPr="002554BF">
              <w:t xml:space="preserve"> zona </w:t>
            </w:r>
            <w:r w:rsidRPr="002554BF">
              <w:rPr>
                <w:b/>
                <w:i/>
              </w:rPr>
              <w:t>(1), é proibida a</w:t>
            </w:r>
            <w:r w:rsidRPr="002554BF">
              <w:t xml:space="preserve"> pesca </w:t>
            </w:r>
            <w:r w:rsidRPr="002554BF">
              <w:rPr>
                <w:b/>
                <w:i/>
              </w:rPr>
              <w:t>dirigida a unidades populacionais demersais exercida por navios de pesca profissionais que utilizem redes rebocadas, palangres de fundo e pelágicos e redes fundeadas</w:t>
            </w:r>
            <w:r w:rsidRPr="002554BF">
              <w:t xml:space="preserve">, </w:t>
            </w:r>
            <w:r w:rsidRPr="002554BF">
              <w:rPr>
                <w:b/>
                <w:i/>
              </w:rPr>
              <w:t>bem como atividades de pesca recreativa</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t>2.</w:t>
            </w:r>
            <w:r w:rsidRPr="002554BF">
              <w:tab/>
              <w:t xml:space="preserve">A zona </w:t>
            </w:r>
            <w:r w:rsidRPr="002554BF">
              <w:rPr>
                <w:b/>
                <w:i/>
              </w:rPr>
              <w:t>de restrição da</w:t>
            </w:r>
            <w:r w:rsidRPr="002554BF">
              <w:t xml:space="preserve"> pesca </w:t>
            </w:r>
            <w:r w:rsidRPr="002554BF">
              <w:rPr>
                <w:b/>
                <w:i/>
              </w:rPr>
              <w:t>referida no n.º 1 é dividida em zona A e zona B e delimitada pelas linhas que unem as coordenadas geográficas definidas no anexo XI</w:t>
            </w:r>
            <w:r w:rsidRPr="002554BF">
              <w:t xml:space="preserve">, </w:t>
            </w:r>
            <w:r w:rsidRPr="002554BF">
              <w:rPr>
                <w:b/>
                <w:i/>
              </w:rPr>
              <w:t>parte A</w:t>
            </w:r>
            <w:r w:rsidRPr="002554BF">
              <w:t>.</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 n.º 2.</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55</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107 – n.º 3</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3.</w:t>
            </w:r>
            <w:r w:rsidRPr="002554BF">
              <w:tab/>
            </w:r>
            <w:r w:rsidRPr="002554BF">
              <w:rPr>
                <w:b/>
                <w:i/>
              </w:rPr>
              <w:t>As atividades de pesca dirigida a unidades populacionais demersais com redes rebocadas, palangres de fundo e pelágicos e redes fundeadas são proibidas na parte A, zona (2), de 1 de novembro a 30 de abril de cada ano.»;</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lastRenderedPageBreak/>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55-A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107-A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55-A)</w:t>
            </w:r>
            <w:r w:rsidRPr="002554BF">
              <w:tab/>
            </w:r>
            <w:r w:rsidRPr="002554BF">
              <w:rPr>
                <w:b/>
                <w:i/>
              </w:rPr>
              <w:t>É inserido o seguinte artigo 107.º</w:t>
            </w:r>
            <w:r w:rsidRPr="002554BF">
              <w:rPr>
                <w:b/>
                <w:i/>
              </w:rPr>
              <w:noBreakHyphen/>
              <w:t>A entre os artigos 107.º e 108.º: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107.º-A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Gestão e monitorização da capacidade de pesca e do esforço de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A fim de contribuir para a proteção dos ecossistemas marinhos vulneráveis (EMV) e dos habitats essenciais para peixes para unidades populacionais demersais, como a pescada-branca (Merluccius merluccius), na zona A, é proibida a pesca dirigida a unidades populacionais demersais exercida por navios de pesca profissionais que utilizem redes rebocadas, palangres de fundo ou pelágicos ou redes fundeadas.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As atividades de pesca dirigida a unidades populacionais demersais que utilizem redes rebocadas, palangres de fundo ou pelágicos ou redes fundeadas são proibidas na zona B de 1 de novembro a 30 de abril.</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Todas as atividades de pesca recreativa são proibidas nas zonas A e B.»</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108 – n.º 1</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lastRenderedPageBreak/>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ab/>
            </w:r>
            <w:r w:rsidRPr="002554BF">
              <w:rPr>
                <w:b/>
                <w:i/>
              </w:rPr>
              <w:t>No caso dos navios que, na zona de restrição da pesca referida no artigo 107.º, utilizam redes rebocadas, palangres de fundo e pelágicos e redes fundeadas, o esforço de pesca (dias no mar) relativo às unidades populacionais de espécies demersais não pode exceder o nível do esforço de pesca aplicado em 2008 por cada Estado-Membro nessa zona.</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235</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108 – n.º 1-A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1-A.</w:t>
            </w:r>
            <w:r w:rsidRPr="002554BF">
              <w:tab/>
            </w:r>
            <w:r w:rsidRPr="002554BF">
              <w:rPr>
                <w:b/>
                <w:i/>
              </w:rPr>
              <w:t>O esforço de pesca anual (dias no mar) exercido sobre unidades populacionais demersais por navios autorizados a pescar na zona de restrição da pesca que utilizam redes rebocadas, palangres de fundo ou pelágicos ou redes fundeadas não deve exceder o nível do esforço de pesca exercido durante o período de referência (fixado para os anos de 2015 a 2017).</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236</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108 – n.º 2</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2.</w:t>
            </w:r>
            <w:r w:rsidRPr="002554BF">
              <w:tab/>
            </w:r>
            <w:r w:rsidRPr="002554BF">
              <w:rPr>
                <w:b/>
                <w:i/>
              </w:rPr>
              <w:t>Os Estados-Membros não transferem esforço de pesca entre navios autorizados a pescar na zona de restrição da pesca que utilizam artes de pesca diferentes.»;</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Suprimido</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237</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110</w:t>
      </w:r>
      <w:r w:rsidRPr="002554BF">
        <w:rPr>
          <w:rStyle w:val="HideTWBExt"/>
          <w:color w:val="auto"/>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em vigor</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trHeight w:val="240"/>
          <w:jc w:val="center"/>
        </w:trPr>
        <w:tc>
          <w:tcPr>
            <w:tcW w:w="4876" w:type="dxa"/>
            <w:tcBorders>
              <w:top w:val="nil"/>
              <w:left w:val="nil"/>
              <w:bottom w:val="nil"/>
              <w:right w:val="nil"/>
            </w:tcBorders>
          </w:tcPr>
          <w:p w:rsidR="00DD5018" w:rsidRPr="002554BF" w:rsidRDefault="00DD5018" w:rsidP="00F37D8F">
            <w:pPr>
              <w:pStyle w:val="AmColumnHeading"/>
            </w:pPr>
          </w:p>
        </w:tc>
        <w:tc>
          <w:tcPr>
            <w:tcW w:w="4876" w:type="dxa"/>
            <w:tcBorders>
              <w:top w:val="nil"/>
              <w:left w:val="nil"/>
              <w:bottom w:val="nil"/>
              <w:right w:val="nil"/>
            </w:tcBorders>
            <w:hideMark/>
          </w:tcPr>
          <w:p w:rsidR="00DD5018" w:rsidRPr="002554BF" w:rsidRDefault="00811D8D" w:rsidP="00F37D8F">
            <w:pPr>
              <w:pStyle w:val="AmColumnHeading"/>
              <w:jc w:val="left"/>
              <w:rPr>
                <w:b/>
              </w:rPr>
            </w:pPr>
            <w:r w:rsidRPr="002554BF">
              <w:rPr>
                <w:b/>
              </w:rPr>
              <w:t>56-A)</w:t>
            </w:r>
            <w:r w:rsidRPr="002554BF">
              <w:rPr>
                <w:b/>
              </w:rPr>
              <w:tab/>
              <w:t>O artigo 110.º passa a ter a seguinte redação:</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Artigo 110.º</w:t>
            </w:r>
          </w:p>
        </w:tc>
        <w:tc>
          <w:tcPr>
            <w:tcW w:w="4876" w:type="dxa"/>
            <w:tcBorders>
              <w:top w:val="nil"/>
              <w:left w:val="nil"/>
              <w:bottom w:val="nil"/>
              <w:right w:val="nil"/>
            </w:tcBorders>
            <w:hideMark/>
          </w:tcPr>
          <w:p w:rsidR="00DD5018" w:rsidRPr="002554BF" w:rsidRDefault="00811D8D" w:rsidP="00F37D8F">
            <w:pPr>
              <w:pStyle w:val="Normal6a"/>
            </w:pPr>
            <w:r w:rsidRPr="002554BF">
              <w:rPr>
                <w:b/>
                <w:bCs/>
                <w:i/>
                <w:iCs/>
              </w:rPr>
              <w:t>«</w:t>
            </w:r>
            <w:r w:rsidRPr="002554BF">
              <w:t>Artigo 110.º</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Navios autorizados</w:t>
            </w:r>
          </w:p>
        </w:tc>
        <w:tc>
          <w:tcPr>
            <w:tcW w:w="4876" w:type="dxa"/>
            <w:tcBorders>
              <w:top w:val="nil"/>
              <w:left w:val="nil"/>
              <w:bottom w:val="nil"/>
              <w:right w:val="nil"/>
            </w:tcBorders>
            <w:hideMark/>
          </w:tcPr>
          <w:p w:rsidR="00DD5018" w:rsidRPr="002554BF" w:rsidRDefault="00811D8D" w:rsidP="00F37D8F">
            <w:pPr>
              <w:pStyle w:val="Normal6a"/>
            </w:pPr>
            <w:r w:rsidRPr="002554BF">
              <w:t>Navios autorizados</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1. Os navios autorizados a pescar na zona referida no artigo 107.º do presente regulamento recebem uma autorização de pesca emitida pelo seu Estado-Membro nos termos do artigo 7.º do Regulamento (CE) n.º 1224/2009.</w:t>
            </w:r>
          </w:p>
        </w:tc>
        <w:tc>
          <w:tcPr>
            <w:tcW w:w="4876" w:type="dxa"/>
            <w:tcBorders>
              <w:top w:val="nil"/>
              <w:left w:val="nil"/>
              <w:bottom w:val="nil"/>
              <w:right w:val="nil"/>
            </w:tcBorders>
            <w:hideMark/>
          </w:tcPr>
          <w:p w:rsidR="00DD5018" w:rsidRPr="002554BF" w:rsidRDefault="00811D8D" w:rsidP="00F37D8F">
            <w:pPr>
              <w:pStyle w:val="Normal6a"/>
            </w:pPr>
            <w:r w:rsidRPr="002554BF">
              <w:t>1. Os navios autorizados a pescar na zona referida no artigo 107.º do presente regulamento recebem uma autorização de pesca emitida pelo seu Estado-Membro nos termos do artigo 7.º do Regulamento (CE) n.º 1224/2009.</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2. Os navios que não tenham exercido atividades de pesca na zona referida no artigo 107.º até 31 de dezembro de 2008 não são autorizados a iniciar tais atividades nessa zona.</w:t>
            </w:r>
          </w:p>
        </w:tc>
        <w:tc>
          <w:tcPr>
            <w:tcW w:w="4876" w:type="dxa"/>
            <w:tcBorders>
              <w:top w:val="nil"/>
              <w:left w:val="nil"/>
              <w:bottom w:val="nil"/>
              <w:right w:val="nil"/>
            </w:tcBorders>
            <w:hideMark/>
          </w:tcPr>
          <w:p w:rsidR="00DD5018" w:rsidRPr="002554BF" w:rsidRDefault="00811D8D" w:rsidP="00F37D8F">
            <w:pPr>
              <w:pStyle w:val="Normal6a"/>
            </w:pPr>
            <w:r w:rsidRPr="002554BF">
              <w:t>2. Os navios que não tenham exercido atividades de pesca na zona referida no artigo 107.º até 31 de dezembro de 2008 não são autorizados a iniciar tais atividades nessa zona.</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i/>
              </w:rPr>
            </w:pPr>
            <w:r w:rsidRPr="002554BF">
              <w:t xml:space="preserve">3. </w:t>
            </w:r>
            <w:r w:rsidRPr="002554BF">
              <w:rPr>
                <w:b/>
                <w:i/>
              </w:rPr>
              <w:t>Até 16 de fevereiro de 2012,</w:t>
            </w:r>
            <w:r w:rsidRPr="002554BF">
              <w:t xml:space="preserve"> os Estados-Membros comunicam à Comissão a legislação nacional que, em 31 de dezembro de 2008, regia: </w:t>
            </w:r>
          </w:p>
        </w:tc>
        <w:tc>
          <w:tcPr>
            <w:tcW w:w="4876" w:type="dxa"/>
            <w:tcBorders>
              <w:top w:val="nil"/>
              <w:left w:val="nil"/>
              <w:bottom w:val="nil"/>
              <w:right w:val="nil"/>
            </w:tcBorders>
            <w:hideMark/>
          </w:tcPr>
          <w:p w:rsidR="00DD5018" w:rsidRPr="002554BF" w:rsidRDefault="00811D8D" w:rsidP="00F37D8F">
            <w:pPr>
              <w:pStyle w:val="Normal6a"/>
            </w:pPr>
            <w:r w:rsidRPr="002554BF">
              <w:t>3. Os Estados-Membros comunicam à Comissão a legislação nacional que, em 31 de dezembro de 2008, regia:</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rPr>
                <w:b/>
                <w:i/>
              </w:rPr>
              <w:t>a)</w:t>
            </w:r>
            <w:r w:rsidRPr="002554BF">
              <w:rPr>
                <w:b/>
                <w:i/>
              </w:rPr>
              <w:tab/>
              <w:t>O número máximo de horas por dia de</w:t>
            </w:r>
            <w:r w:rsidRPr="002554BF">
              <w:t xml:space="preserve"> atividade de pesca </w:t>
            </w:r>
            <w:r w:rsidRPr="002554BF">
              <w:rPr>
                <w:b/>
                <w:i/>
              </w:rPr>
              <w:t>que um navio é autorizado a exercer</w:t>
            </w:r>
            <w:r w:rsidRPr="002554BF">
              <w:t>;</w:t>
            </w:r>
          </w:p>
        </w:tc>
        <w:tc>
          <w:tcPr>
            <w:tcW w:w="4876" w:type="dxa"/>
            <w:tcBorders>
              <w:top w:val="nil"/>
              <w:left w:val="nil"/>
              <w:bottom w:val="nil"/>
              <w:right w:val="nil"/>
            </w:tcBorders>
            <w:hideMark/>
          </w:tcPr>
          <w:p w:rsidR="00DD5018" w:rsidRPr="002554BF" w:rsidRDefault="00811D8D" w:rsidP="00F37D8F">
            <w:pPr>
              <w:pStyle w:val="Normal6a"/>
            </w:pPr>
            <w:r w:rsidRPr="002554BF">
              <w:rPr>
                <w:b/>
                <w:i/>
              </w:rPr>
              <w:t>a)</w:t>
            </w:r>
            <w:r w:rsidRPr="002554BF">
              <w:tab/>
            </w:r>
            <w:r w:rsidRPr="002554BF">
              <w:rPr>
                <w:b/>
                <w:i/>
              </w:rPr>
              <w:t>A duração máxima da</w:t>
            </w:r>
            <w:r w:rsidRPr="002554BF">
              <w:t xml:space="preserve"> atividade de pesca </w:t>
            </w:r>
            <w:r w:rsidRPr="002554BF">
              <w:rPr>
                <w:b/>
                <w:i/>
              </w:rPr>
              <w:t>diária</w:t>
            </w:r>
            <w:r w:rsidRPr="002554BF">
              <w:t>;</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rPr>
                <w:b/>
              </w:rPr>
            </w:pPr>
            <w:r w:rsidRPr="002554BF">
              <w:rPr>
                <w:b/>
                <w:i/>
              </w:rPr>
              <w:lastRenderedPageBreak/>
              <w:t>b)</w:t>
            </w:r>
            <w:r w:rsidRPr="002554BF">
              <w:rPr>
                <w:b/>
                <w:i/>
              </w:rPr>
              <w:tab/>
            </w:r>
            <w:r w:rsidRPr="002554BF">
              <w:t xml:space="preserve">O número máximo de dias </w:t>
            </w:r>
            <w:r w:rsidRPr="002554BF">
              <w:rPr>
                <w:b/>
                <w:i/>
              </w:rPr>
              <w:t xml:space="preserve">por semana durante os quais um navio é autorizado a permanecer </w:t>
            </w:r>
            <w:r w:rsidRPr="002554BF">
              <w:t>no mar</w:t>
            </w:r>
            <w:r w:rsidRPr="002554BF">
              <w:rPr>
                <w:b/>
                <w:i/>
              </w:rPr>
              <w:t xml:space="preserve"> e a estar ausente do porto;</w:t>
            </w:r>
          </w:p>
        </w:tc>
        <w:tc>
          <w:tcPr>
            <w:tcW w:w="4876" w:type="dxa"/>
            <w:tcBorders>
              <w:top w:val="nil"/>
              <w:left w:val="nil"/>
              <w:bottom w:val="nil"/>
              <w:right w:val="nil"/>
            </w:tcBorders>
            <w:hideMark/>
          </w:tcPr>
          <w:p w:rsidR="00DD5018" w:rsidRPr="002554BF" w:rsidRDefault="00811D8D" w:rsidP="00F37D8F">
            <w:pPr>
              <w:pStyle w:val="Normal6a"/>
            </w:pPr>
            <w:r w:rsidRPr="002554BF">
              <w:t>b) O número máximo de dias no mar</w:t>
            </w:r>
            <w:r w:rsidRPr="002554BF">
              <w:rPr>
                <w:b/>
                <w:i/>
              </w:rPr>
              <w:t xml:space="preserve">; </w:t>
            </w:r>
            <w:r w:rsidRPr="002554BF">
              <w:t xml:space="preserve">e </w:t>
            </w:r>
          </w:p>
        </w:tc>
      </w:tr>
      <w:tr w:rsidR="000C2140" w:rsidRPr="002554BF" w:rsidTr="00F37D8F">
        <w:trPr>
          <w:jc w:val="center"/>
        </w:trPr>
        <w:tc>
          <w:tcPr>
            <w:tcW w:w="4876" w:type="dxa"/>
            <w:tcBorders>
              <w:top w:val="nil"/>
              <w:left w:val="nil"/>
              <w:bottom w:val="nil"/>
              <w:right w:val="nil"/>
            </w:tcBorders>
            <w:hideMark/>
          </w:tcPr>
          <w:p w:rsidR="00DD5018" w:rsidRPr="002554BF" w:rsidRDefault="00811D8D" w:rsidP="00F37D8F">
            <w:pPr>
              <w:pStyle w:val="Normal6a"/>
            </w:pPr>
            <w:r w:rsidRPr="002554BF">
              <w:t xml:space="preserve">e c) O calendário obrigatório para </w:t>
            </w:r>
            <w:r w:rsidRPr="002554BF">
              <w:rPr>
                <w:b/>
                <w:i/>
              </w:rPr>
              <w:t xml:space="preserve">os navios de pesca saírem </w:t>
            </w:r>
            <w:r w:rsidRPr="002554BF">
              <w:t xml:space="preserve">da zona e </w:t>
            </w:r>
            <w:r w:rsidRPr="002554BF">
              <w:rPr>
                <w:b/>
                <w:i/>
              </w:rPr>
              <w:t>regressarem</w:t>
            </w:r>
            <w:r w:rsidRPr="002554BF">
              <w:t xml:space="preserve"> ao</w:t>
            </w:r>
            <w:r w:rsidRPr="002554BF">
              <w:rPr>
                <w:b/>
                <w:i/>
              </w:rPr>
              <w:t xml:space="preserve"> seu</w:t>
            </w:r>
            <w:r w:rsidRPr="002554BF">
              <w:t xml:space="preserve"> porto de registo.</w:t>
            </w:r>
          </w:p>
        </w:tc>
        <w:tc>
          <w:tcPr>
            <w:tcW w:w="4876" w:type="dxa"/>
            <w:tcBorders>
              <w:top w:val="nil"/>
              <w:left w:val="nil"/>
              <w:bottom w:val="nil"/>
              <w:right w:val="nil"/>
            </w:tcBorders>
            <w:hideMark/>
          </w:tcPr>
          <w:p w:rsidR="00DD5018" w:rsidRPr="002554BF" w:rsidRDefault="00811D8D" w:rsidP="00F37D8F">
            <w:pPr>
              <w:pStyle w:val="Normal6a"/>
            </w:pPr>
            <w:r w:rsidRPr="002554BF">
              <w:t xml:space="preserve">c) O calendário </w:t>
            </w:r>
            <w:r w:rsidRPr="002554BF">
              <w:rPr>
                <w:b/>
                <w:i/>
              </w:rPr>
              <w:t xml:space="preserve">legalmente </w:t>
            </w:r>
            <w:r w:rsidRPr="002554BF">
              <w:t xml:space="preserve">obrigatório para </w:t>
            </w:r>
            <w:r w:rsidRPr="002554BF">
              <w:rPr>
                <w:b/>
                <w:i/>
              </w:rPr>
              <w:t xml:space="preserve">sair </w:t>
            </w:r>
            <w:r w:rsidRPr="002554BF">
              <w:t xml:space="preserve">da zona e </w:t>
            </w:r>
            <w:r w:rsidRPr="002554BF">
              <w:rPr>
                <w:b/>
                <w:i/>
              </w:rPr>
              <w:t>regressar</w:t>
            </w:r>
            <w:r w:rsidRPr="002554BF">
              <w:t xml:space="preserve"> ao porto de registo.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3-A.</w:t>
            </w:r>
            <w:r w:rsidRPr="002554BF">
              <w:rPr>
                <w:b/>
                <w:i/>
              </w:rPr>
              <w:tab/>
              <w:t>Os Estados-Membros não transferem esforço de pesca entre navios autorizados a pescar na zona de restrição da pesca que utilizam artes de pesca diferentes.»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(32023R2124)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 n.</w:t>
      </w:r>
      <w:r w:rsidRPr="002554BF">
        <w:rPr>
          <w:vertAlign w:val="superscript"/>
        </w:rPr>
        <w:t>os</w:t>
      </w:r>
      <w:r w:rsidRPr="002554BF">
        <w:t xml:space="preserve"> 9 e 10.</w:t>
      </w:r>
    </w:p>
    <w:p w:rsidR="00DD5018" w:rsidRPr="002554BF" w:rsidRDefault="00811D8D" w:rsidP="00DD5018">
      <w:pPr>
        <w:pStyle w:val="AmNumberTabs"/>
      </w:pPr>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238</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Sebastian Everding</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{The Left}</w:t>
      </w:r>
      <w:r w:rsidRPr="002554BF">
        <w:t>em nome do Grupo The Left</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110-A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56-A)</w:t>
            </w:r>
            <w:r w:rsidRPr="002554BF">
              <w:tab/>
            </w:r>
            <w:r w:rsidRPr="002554BF">
              <w:rPr>
                <w:b/>
                <w:i/>
              </w:rPr>
              <w:t>É inserido o seguinte artigo 110.º</w:t>
            </w:r>
            <w:r w:rsidRPr="002554BF">
              <w:rPr>
                <w:b/>
                <w:i/>
              </w:rPr>
              <w:noBreakHyphen/>
              <w:t>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110.º-A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Medidas de controlo e execução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Estados-Membros mantêm um registo dos navios autorizados a pescar na zona de restrição da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2. Até 30 de maio de 2024, os Estados-Membros comunicam ao Secretariado da CGPM, através da plataforma em linha do Quadro de Referência de Recolha de Dados da CGPM, a lista dos navios que </w:t>
            </w:r>
            <w:r w:rsidRPr="002554BF">
              <w:rPr>
                <w:b/>
                <w:i/>
              </w:rPr>
              <w:lastRenderedPageBreak/>
              <w:t>arvoram o seu pavilhão autorizados a pescar na zona de restrição da pesca. Para cada navio, essa lista inclui as informações indicadas no anexo VIII.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Os Estados-Membros enviam ao Secretariado da CGPM, até 31 de maio de cada ano, um relatório sobre as medidas de gestão adotadas nas zonas de restrição da pesca. A fim de facilitar uma abordagem comum em toda a zona de aplicação da CGPM, esse relatório é elaborado em conformidade com as orientações comuns formuladas pelo Secretariado da CGPM. O relatório é publicado no sítio Web da CGPM no prazo de dois meses a contar da sua receção em consonância com a política e os procedimentos da CGPM em matéria de confidencialidade dos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comunicam ao Secretariado da CGPM, até 30 de maio de 2024, as condições jurídicas, vigentes em 31 de dezembro de 2023, relativas à duração máxima de um dia de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devem assegurar que os navios de pesca que operam na zona de restrição da pesca cumpram as obrigações previstas nos n.</w:t>
            </w:r>
            <w:r w:rsidRPr="002554BF">
              <w:rPr>
                <w:b/>
                <w:i/>
                <w:vertAlign w:val="superscript"/>
              </w:rPr>
              <w:t>os</w:t>
            </w:r>
            <w:r w:rsidRPr="002554BF">
              <w:rPr>
                <w:b/>
                <w:i/>
              </w:rPr>
              <w:t xml:space="preserve"> 1 e 2.</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6. Os navios de pesca profissionais de comprimento superior a 12 m em trânsito na zona de restrição da pesca devem dispor de um transmissor operacional a bordo para sistemas de monitorização de navios (VMS) e/ou sistemas de identificação automática com uma frequência de transmissão de dados mais elevada, e devem ter todas as artes de pesca amarradas e arrumadas durante todo o período de trânsito. Os navios de pesca profissionais, em conformidade com a recomendação da CGPM, seguem um rumo direto a uma velocidade constante não inferior a 6 nós, salvo em caso de força maior ou de condições adversas. Nesse caso, o capitão do navio informa imediatamente o centro de monitorização </w:t>
            </w:r>
            <w:r w:rsidRPr="002554BF">
              <w:rPr>
                <w:b/>
                <w:i/>
              </w:rPr>
              <w:lastRenderedPageBreak/>
              <w:t>da pesca do Estado de pavilhão do navio, para que possa notificar o caso de força maior às autoridades competentes dos Estados-Membros.»</w:t>
            </w:r>
          </w:p>
        </w:tc>
      </w:tr>
    </w:tbl>
    <w:p w:rsidR="00DD5018" w:rsidRPr="002554BF" w:rsidRDefault="00811D8D" w:rsidP="00DD5018">
      <w:pPr>
        <w:pStyle w:val="AmOrLang"/>
        <w:rPr>
          <w:lang w:eastAsia="en-US"/>
        </w:rPr>
      </w:pPr>
      <w:r w:rsidRPr="002554BF">
        <w:lastRenderedPageBreak/>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239</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Isabella Lövin</w:t>
      </w:r>
      <w:r w:rsidRPr="002554BF">
        <w:rPr>
          <w:rStyle w:val="HideTWBExt"/>
          <w:color w:val="auto"/>
        </w:rPr>
        <w:t>&lt;/Members&gt;</w:t>
      </w:r>
    </w:p>
    <w:p w:rsidR="00DD5018" w:rsidRPr="002554BF" w:rsidRDefault="00811D8D" w:rsidP="00DD5018">
      <w:r w:rsidRPr="002554BF">
        <w:rPr>
          <w:rStyle w:val="HideTWBExt"/>
          <w:color w:val="auto"/>
        </w:rPr>
        <w:t>&lt;AuNomDe&gt;</w:t>
      </w:r>
      <w:r w:rsidRPr="002554BF">
        <w:rPr>
          <w:rStyle w:val="HideTWBInt"/>
          <w:color w:val="auto"/>
        </w:rPr>
        <w:t>{Greens/EFA}</w:t>
      </w:r>
      <w:r w:rsidRPr="002554BF">
        <w:t>em nome do Grupo Verts/ALE</w:t>
      </w:r>
      <w:r w:rsidRPr="002554BF">
        <w:rPr>
          <w:rStyle w:val="HideTWBExt"/>
          <w:color w:val="auto"/>
        </w:rPr>
        <w:t>&lt;/AuNomDe&gt;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56-A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110-B (novo)</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hideMark/>
          </w:tcPr>
          <w:p w:rsidR="00DD5018" w:rsidRPr="002554BF" w:rsidRDefault="00DD5018" w:rsidP="00F37D8F"/>
        </w:tc>
        <w:tc>
          <w:tcPr>
            <w:tcW w:w="4876" w:type="dxa"/>
            <w:tcBorders>
              <w:top w:val="nil"/>
              <w:left w:val="nil"/>
              <w:bottom w:val="nil"/>
              <w:right w:val="nil"/>
            </w:tcBorders>
            <w:hideMark/>
          </w:tcPr>
          <w:p w:rsidR="00DD5018" w:rsidRPr="002554BF" w:rsidRDefault="00811D8D" w:rsidP="00F37D8F">
            <w:pPr>
              <w:pStyle w:val="Normal6a"/>
            </w:pPr>
            <w:r w:rsidRPr="002554BF">
              <w:rPr>
                <w:b/>
                <w:i/>
              </w:rPr>
              <w:t>56-A)</w:t>
            </w:r>
            <w:r w:rsidRPr="002554BF">
              <w:tab/>
            </w:r>
            <w:r w:rsidRPr="002554BF">
              <w:rPr>
                <w:b/>
                <w:i/>
              </w:rPr>
              <w:t>É inserido o seguinte artigo: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110.º-B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Medidas de controlo e execução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w:t>
            </w:r>
            <w:r w:rsidRPr="002554BF">
              <w:t xml:space="preserve">. </w:t>
            </w:r>
            <w:r w:rsidRPr="002554BF">
              <w:rPr>
                <w:b/>
                <w:i/>
              </w:rPr>
              <w:t>Os Estados-Membros mantêm um registo dos navios autorizados a pescar na zona de restrição da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comunicam ao Secretariado da CGPM, através da plataforma em linha do Quadro de Referência de Recolha de Dados da CGPM, a lista dos navios que arvoram o seu pavilhão autorizados a pescar na zona de restrição da pesca. Para cada navio, essa lista inclui as informações indicadas no anexo VIII.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Os Estados-Membros enviam ao Secretariado da CGPM, até 31 de maio de cada ano, um relatório sobre as medidas de gestão adotadas nas zonas de restrição da pesca. A fim de facilitar uma abordagem comum em toda a zona de aplicação da CGPM, esse relatório é </w:t>
            </w:r>
            <w:r w:rsidRPr="002554BF">
              <w:rPr>
                <w:b/>
                <w:i/>
              </w:rPr>
              <w:lastRenderedPageBreak/>
              <w:t>elaborado em conformidade com as orientações comuns formuladas pelo Secretariado da CGPM. O relatório é publicado no sítio Web da CGPM no prazo de dois meses a contar da sua receção em consonância com a política e os procedimentos da CGPM em matéria de confidencialidade dos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comunicam ao Secretariado da CGPM as condições jurídicas, vigentes em 31 de dezembro de 2023, relativas à duração máxima de um dia de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devem assegurar que os navios de pesca que operam na zona de restrição da pesca cumpram as obrigações previstas nos n.</w:t>
            </w:r>
            <w:r w:rsidRPr="002554BF">
              <w:rPr>
                <w:b/>
                <w:i/>
                <w:vertAlign w:val="superscript"/>
              </w:rPr>
              <w:t>os</w:t>
            </w:r>
            <w:r w:rsidRPr="002554BF">
              <w:rPr>
                <w:b/>
                <w:i/>
              </w:rPr>
              <w:t xml:space="preserve"> 1 e 2.</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Os navios de pesca profissionais de comprimento superior a 12 m em trânsito na zona de restrição da pesca devem dispor de um transmissor operacional a bordo para sistemas de monitorização de navios (VMS) e/ou sistemas de identificação automática com uma frequência de transmissão de dados mais elevada, e devem ter todas as artes de pesca amarradas e arrumadas durante todo o período de trânsito. Os navios de pesca profissionais, em conformidade com a recomendação da CGPM, seguem um rumo direto a uma velocidade constante não inferior a 6 nós, salvo em caso de força maior ou de condições adversas. Nesse caso, o capitão do navio informa imediatamente o centro de monitorização da pesca do Estado de pavilhão do navio, para que possa notificar o caso de força maior às autoridades competentes dos Estados-Membros.»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CrossRef"/>
      </w:pPr>
      <w:r w:rsidRPr="002554BF">
        <w:t>(Regulamento (UE) 2023/2124)</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w:t>
      </w:r>
    </w:p>
    <w:p w:rsidR="00DD5018" w:rsidRPr="002554BF" w:rsidRDefault="00811D8D" w:rsidP="00DD5018">
      <w:r w:rsidRPr="002554BF">
        <w:rPr>
          <w:rStyle w:val="HideTWBExt"/>
          <w:color w:val="auto"/>
        </w:rPr>
        <w:lastRenderedPageBreak/>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240</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n.º 1 – ponto 56-C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110</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56-C)</w:t>
            </w:r>
            <w:r w:rsidRPr="002554BF">
              <w:tab/>
            </w:r>
            <w:r w:rsidRPr="002554BF">
              <w:rPr>
                <w:b/>
                <w:i/>
              </w:rPr>
              <w:t>São inseridos os seguintes artigos 110.º-A e 110.º-B entre os artigos 110.º e 111.º: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110.º-A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Monitorização científica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Os Estados-Membros garantem que:</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Um plano de monitorização científica seja elaborado para a zona de restrição da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resultados do plano de monitorização da zona de restrição da pesca sejam regularmente comunicados e debatidos pelos órgãos subsidiários competentes do Comité Científico Consultivo da Pesca. O plano de monitorização e a sua eficácia são avaliados regularmente pelo Comité Científico Consultivo da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As informações sobre todos os navios autorizados a pescar na zona B da zona de restrição da pesca sejam registadas pelos Estados-Membros (tal como enumeradas no anexo VIII) e disponibilizadas ao público no sítio Web da CGPM em consonância com a política e os procedimentos da CGPM em matéria de confidencialidade dos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4. As informações sobre as atividades de pesca, as capturas de espécies fundamentais, as capturas acidentais, a libertação e/ou devolução de espécies sensíveis enumeradas no anexo II ou no anexo III do Protocolo relativo às Áreas </w:t>
            </w:r>
            <w:r w:rsidRPr="002554BF">
              <w:rPr>
                <w:b/>
                <w:i/>
              </w:rPr>
              <w:lastRenderedPageBreak/>
              <w:t>especialmente Protegidas e à Diversidade Biológica no Mediterrâneo (Protocolo AEP/Biodiversidade) da Convenção sobre a Proteção do Meio Marinho e do Litoral do Mediterrâneo sejam registadas pelo proprietário do navio no diário de bordo eletrónico ou num documento equivalente, em conformidade com as normas internacionais e com os requisitos de comunicação de dados previstos nas recomendações pertinentes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Essas informações sejam comunicadas às autoridades nacionais para notificação ao Secretariado da CGPM, em conformidade com o manual do Quadro de Referência de Recolha de Dados (DCRF).</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Seja adotada qualquer outra medida adicional, por exemplo uma cobertura de 5 % dos observadores a bordo ou uma monitorização eletrónica à distância, para garantir condições equitativas entre todos os navios, com vista a melhorar a recolha de dados tendo em vista a monitorização científica das espécies fundamentais.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110.º-B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Medidas de controlo e execução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Estados-Membros mantêm um registo dos navios autorizados a pescar na zona de restrição da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comunicam ao Secretariado da CGPM, através da plataforma em linha do Quadro de Referência de Recolha de Dados da CGPM, a lista dos navios que arvoram o seu pavilhão autorizados a pescar na zona de restrição da pesca. Para cada navio, essa lista inclui as informações indicadas no anexo VIII.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3. Os Estados-Membros enviam à Comissão, até 15 de maio de cada ano, um relatório sobre as medidas de gestão adotadas nas zonas de restrição da pesca. A Comissão envia o relatório ao Secretariado da CGPM até 31 de maio de </w:t>
            </w:r>
            <w:r w:rsidRPr="002554BF">
              <w:rPr>
                <w:b/>
                <w:i/>
              </w:rPr>
              <w:lastRenderedPageBreak/>
              <w:t>cada ano. A fim de facilitar uma abordagem comum em toda a zona de aplicação da CGPM, esse relatório é elaborado em conformidade com as orientações comuns formuladas pelo Secretariado da CGPM. O relatório é publicado no sítio Web da CGPM no prazo de dois meses a contar da sua receção em consonância com a política e os procedimentos da CGPM em matéria de confidencialidade dos dados.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Estados-Membros comunicam à Comissão as condições jurídicas, vigentes em 31 de dezembro de 2023, relativas à duração máxima de um dia de pesca. A Comissão comunica essas informações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devem assegurar que os navios de pesca que operam na zona de restrição da pesca cumpram as obrigações previstas nos n.</w:t>
            </w:r>
            <w:r w:rsidRPr="002554BF">
              <w:rPr>
                <w:b/>
                <w:i/>
                <w:vertAlign w:val="superscript"/>
              </w:rPr>
              <w:t>os</w:t>
            </w:r>
            <w:r w:rsidRPr="002554BF">
              <w:rPr>
                <w:b/>
                <w:i/>
              </w:rPr>
              <w:t xml:space="preserve"> 1 e 2.</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Os navios de pesca profissionais de comprimento superior a 12 m em trânsito na zona de restrição da pesca devem dispor de um transmissor operacional a bordo para sistemas de monitorização de navios (VMS) e/ou sistemas de identificação automática com uma frequência de transmissão de dados mais elevada, e devem ter todas as artes de pesca amarradas e arrumadas durante todo o período de trânsito. Os navios de pesca profissionais seguem um rumo direto a uma velocidade constante não inferior a 6 nós, salvo em caso de força maior ou de condições adversas. Nesse caso, o capitão do navio informa imediatamente o centro de monitorização da pesca do Estado de pavilhão do navio, para que possa notificar o caso de força maior às autoridades competentes dos Estados-Membros.»</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lastRenderedPageBreak/>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CGPM/46/2023/1, n.º 11 e n.</w:t>
      </w:r>
      <w:r w:rsidRPr="002554BF">
        <w:rPr>
          <w:vertAlign w:val="superscript"/>
        </w:rPr>
        <w:t>os</w:t>
      </w:r>
      <w:r w:rsidRPr="002554BF">
        <w:t xml:space="preserve"> 12 a 17.</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241</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59-A (novo)</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Artigo 116</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59-A)</w:t>
            </w:r>
            <w:r w:rsidRPr="002554BF">
              <w:tab/>
            </w:r>
            <w:r w:rsidRPr="002554BF">
              <w:rPr>
                <w:b/>
                <w:i/>
              </w:rPr>
              <w:t>São aditados os novos artigos 116.º-A e 116.º-B após o artigo 116.º.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116.º-A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Restrições de pesca no canal de Otranto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As atividades de pesca demersal e as atividades de pesca demersal recreativa são proibidas na zona A delimitada pelas linhas que unem as coordenadas geográficas indicadas na parte D-A do anexo XI.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Durante um período de dois meses entre setembro e novembro de cada ano, a pesca com redes de fundo, redes de arrasto pelo fundo, palangres de fundo e armadilhas é proibida na zona B delimitada pelas linhas que unem as coordenadas geográficas indicadas na parte D-A do anexo XI. 3. A pesca dirigida ao biqueirão ou à sardinha com redes de cerco com retenida e redes de arrasto pelágico é proibida numa zona delimitada pelas linhas que unem as coordenadas geográficas indicadas na parte D do anexo XI.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116.º-B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Navios autorizados na zona do canal de Otranto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1. Sem prejuízo do disposto no artigo 116.º-A, n.º 2, as atividades comerciais de </w:t>
            </w:r>
            <w:r w:rsidRPr="002554BF">
              <w:rPr>
                <w:b/>
                <w:i/>
              </w:rPr>
              <w:lastRenderedPageBreak/>
              <w:t>pesca exercidas com redes de fundo, redes de arrasto pelo fundo, palangres de fundo e armadilhas são autorizadas nas zonas referidas nesse número unicamente se o navio for titular de uma autorização específica e se puder demonstrar que, historicamente, exerceu atividades de pesca nas zonas em causa.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Na zona referida no artigo 116.º-A, n.º 2, os navios de pesca autorizados não têm direito a pescar mais de 70 dias de pesca por ano ou dois dias de pesca por semana.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Os navios autorizados a pescar na zona referida no artigo 116.º-A, n.º 2, com as artes de pesca referidas no n.º 1 do presente artigo recebem uma autorização de pesca emitida pelos respetivos Estados-Membros, nos termos do artigo 7.º do Regulamento (CE) n.º 1224/2009.</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Estados-Membros enviam à Comissão, até 31 de março de cada ano, a lista dos navios relativamente aos quais emitiram a autorização a que se refere o n.º 1. A Comissão comunica anualmente ao Secretariado da CGPM, até 30 de abril de cada ano, a lista dos navios autorizados estabelecida para o ano seguinte. Para cada navio, essa lista inclui as informações referidas no anexo VIII.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Os navios de pesca autorizados só podem desembarcar as capturas de unidades populacionais demersais nos pontos de desembarque designados. Para esse efeito, cada Estado-Membro designa os pontos de desembarque designados em que são autorizados os desembarques de capturas provenientes da zona de restrição da pesca do canal de Otranto. A lista desses pontos de desembarque designados é transmitida à Comissão até 10 de abril de cada ano. A Comissão comunica essa lista ao Secretariado da CGPM até 30 de abril de cada ano.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7. Os navios de pesca autorizados a pescar nas zonas referidas no artigo 116.º-A, n.º 2, com as artes de pesca referidas no n.º 1 do presente artigo dispõem de VMS e/ou de sistema de identificação automática (AIS, do inglês «Automated Identification System») em bom estado de funcionamento e as artes de pesca a bordo ou em utilização são devidamente identificadas, numeradas e marcadas, antes do início das operações de pesca ou da navegação nessas zonas. 8. Os navios de pesca equipados com redes de fundo, redes de arrasto pelo fundo, palangres de fundo e armadilhas que não disponham de autorização só podem transitar na zona de restrição da pesca se seguirem um rumo direto a uma velocidade constante de, pelo menos, 7 nós e ativarem o seu sistema VMS e/ou AIS a bordo e se não exercerem qualquer tipo de atividade de pesca.»</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Recomendação CGPM/47/2024/6.</w:t>
      </w:r>
    </w:p>
    <w:p w:rsidR="00DD5018" w:rsidRPr="002554BF" w:rsidRDefault="00811D8D" w:rsidP="00DD5018">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242</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Artigo 1 – parágrafo 1 – ponto 60</w:t>
      </w:r>
      <w:r w:rsidRPr="002554BF">
        <w:rPr>
          <w:rStyle w:val="HideTWBExt"/>
          <w:color w:val="auto"/>
        </w:rPr>
        <w:t>&lt;/Article&gt;</w:t>
      </w:r>
    </w:p>
    <w:p w:rsidR="00DD5018" w:rsidRPr="002554BF" w:rsidRDefault="00811D8D" w:rsidP="00DD5018">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r w:rsidRPr="002554BF">
        <w:rPr>
          <w:rStyle w:val="HideTWBExt"/>
          <w:color w:val="auto"/>
        </w:rPr>
        <w:t>&lt;Article2&gt;</w:t>
      </w:r>
      <w:r w:rsidRPr="002554BF">
        <w:t>Capítulo III</w:t>
      </w:r>
      <w:r w:rsidRPr="002554BF">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2140" w:rsidRPr="002554BF" w:rsidTr="00F37D8F">
        <w:trPr>
          <w:trHeight w:val="240"/>
          <w:jc w:val="center"/>
        </w:trPr>
        <w:tc>
          <w:tcPr>
            <w:tcW w:w="9752" w:type="dxa"/>
            <w:gridSpan w:val="2"/>
            <w:tcBorders>
              <w:top w:val="nil"/>
              <w:left w:val="nil"/>
              <w:bottom w:val="nil"/>
              <w:right w:val="nil"/>
            </w:tcBorders>
          </w:tcPr>
          <w:p w:rsidR="00DD5018" w:rsidRPr="002554BF" w:rsidRDefault="00DD5018" w:rsidP="00F37D8F"/>
        </w:tc>
      </w:tr>
      <w:tr w:rsidR="000C2140" w:rsidRPr="002554BF" w:rsidTr="00F37D8F">
        <w:trPr>
          <w:trHeight w:val="240"/>
          <w:jc w:val="center"/>
        </w:trPr>
        <w:tc>
          <w:tcPr>
            <w:tcW w:w="4876" w:type="dxa"/>
            <w:tcBorders>
              <w:top w:val="nil"/>
              <w:left w:val="nil"/>
              <w:bottom w:val="nil"/>
              <w:right w:val="nil"/>
            </w:tcBorders>
            <w:hideMark/>
          </w:tcPr>
          <w:p w:rsidR="00DD5018" w:rsidRPr="002554BF" w:rsidRDefault="00811D8D" w:rsidP="00F37D8F">
            <w:pPr>
              <w:pStyle w:val="AmColumnHeading"/>
            </w:pPr>
            <w:r w:rsidRPr="002554BF">
              <w:t>Texto da Comissão</w:t>
            </w:r>
          </w:p>
        </w:tc>
        <w:tc>
          <w:tcPr>
            <w:tcW w:w="4876" w:type="dxa"/>
            <w:tcBorders>
              <w:top w:val="nil"/>
              <w:left w:val="nil"/>
              <w:bottom w:val="nil"/>
              <w:right w:val="nil"/>
            </w:tcBorders>
            <w:hideMark/>
          </w:tcPr>
          <w:p w:rsidR="00DD5018" w:rsidRPr="002554BF" w:rsidRDefault="00811D8D" w:rsidP="00F37D8F">
            <w:pPr>
              <w:pStyle w:val="AmColumnHeading"/>
            </w:pPr>
            <w:r w:rsidRPr="002554BF">
              <w:t>Alteração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2-A.</w:t>
            </w:r>
            <w:r w:rsidRPr="002554BF">
              <w:tab/>
            </w:r>
            <w:r w:rsidRPr="002554BF">
              <w:rPr>
                <w:b/>
                <w:i/>
              </w:rPr>
              <w:t>É incluída uma nova secção antes da secção I do capítulo III, com os seguintes novos artigos 121.º-A, 121.º-B e 121.º-C entre o artigo 121.º e o artigo 122.º: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«Secção 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Inspeções e infrações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121.º-A Programa de Inspeção e de Vigilância Internacional Conjunta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Estados-Membros podem efetuar atividades de inspeção e de vigilância no âmbito de um Programa de Inspeção e de Vigilância Internacional Conjunta (a seguir designado por "Programa") que abranja as águas fora da jurisdição nacional nas subzonas geográficas CGPM, na aceção do anexo I (a "zona de inspeção e de vigilância"), aplicável a cada uma das espécies a que se referem os artigos 22.º, 31.º, 57.º, 73.º e 81.º.</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Os Estados-Membros podem designar inspetores e meios de inspeção e efetuar inspeções ao abrigo do Programa. A Comissão, ou um organismo por ela designado, pode igualmente nomear inspetores da União para o Programa.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A Comissão, ou um organismo por ela designado, coordena as atividades de vigilância e de inspeção no respeitante à União e pode elaborar, em concertação com os Estados-Membros em causa, um plano de execução conjunta que permita à União cumprir as obrigações que lhe incumbem por força do Programa. Os Estados-Membros adotam as medidas necessárias para facilitar a execução desses planos, nomeadamente no respeitante aos recursos humanos e materiais necessários, bem como aos períodos e às zonas em que estes devem ser utilizados.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4. Os Estados-Membros comunicam, até 15 de novembro de cada ano, à Comissão ou a um organismo por esta designado, a lista dos nomes dos inspetores autorizados a realizar as atividades de inspeção e de vigilância na zona a que se refere o n.º 1, bem como os nomes dos navios e das aeronaves utilizados na inspeção e na vigilância que tencionam afetar ao Programa para o ano seguinte. A Comissão, ou um organismo por ela </w:t>
            </w:r>
            <w:r w:rsidRPr="002554BF">
              <w:rPr>
                <w:b/>
                <w:i/>
              </w:rPr>
              <w:lastRenderedPageBreak/>
              <w:t>designado, envia essas informações ao Secretariado da CGPM até 1 de dezembro de cada ano, ou logo que possível e antes do início das atividades de inspeção.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Os inspetores designados ao abrigo do Programa devem ser portadores de um cartão de inspetor da CGPM emitido pelas autoridades competentes no formato constante do anexo IV.</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Os navios que realizem operações de subida a bordo e inspeção no âmbito do Programa arvoram um pavilhão ou um galhardete especial, descrito no anexo V.</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7. Os Estados-Membros asseguram que qualquer plataforma de inspeção autorizada a arvorar o seu pavilhão e que opere na zona a que se refere o n.º 1 mantenha um contacto seguro com todas as outras plataformas de inspeção que operem nessa zona, se possível diariamente, a fim de trocarem as informações necessárias à coordenação das atividades.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8. Os Estados-Membros que realizem atividades de inspeção ou de vigilância na zona a que se refere o n.º 1 devem facultar a cada plataforma de inspeção, no momento da sua entrada na zona, uma lista dos avistamentos, elaborada de acordo com o anexo VII, das subidas a bordo e das inspeções por si efetuadas nos dez dias anteriores, incluindo as datas, as coordenadas e outras informações pertinentes.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121.º-B</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Realização de inspeções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Os inspetores designados ao abrigo do Programa: a) Notificam o navio de pesca do nome do navio de inspeção antes do embarque; b) Colocam no navio de inspeção e no bote de acostagem o galhardete descrito no anexo V; c) Limitam cada equipa de inspeção a, no máximo, três inspetores.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2. Ao subir a bordo do navio, os inspetores apresentam ao capitão do navio de pesca o cartão de identidade descrito no anexo IV. As inspeções decorrem numa das línguas oficiais da CGPM e, se possível, na língua falada pelo capitão do navio de pesca.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Os inspetores elaboram um relatório de inspeção de acordo com o modelo previsto no anexo VI.</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Os inspetores assinam o relatório na presença do capitão do navio, que tem o direito de acrescentar ao relatório qualquer observação que considere adequada, assinando também essas observações.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Uma cópia do relatório é entregue ao capitão do navio e às autoridades da equipa de inspeção, os quais, por sua vez, enviam cópias às autoridades do Estado de pavilhão do navio inspecionado e à Comissão e/ou um organismo por ela designado. A Comissão transmite a cópia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6. A dimensão da equipa de inspeção e a duração da inspeção são determinadas pelo comandante do navio de inspeção, tendo em conta todas as circunstâncias pertinentes.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Artigo 121.º-C</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Infrações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1. Para efeitos do presente artigo, consideram-se infrações: a) As atividades a que se refere o artigo 3.º, n.º 1, alíneas a), b), c), e), f), g) e h), do Regulamento (CE) n.º 1005/2008; b) A interferência com o sistema de localização dos navios por satélite; e c) A realização de operações sem um VMS.</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 xml:space="preserve">2. Se, durante a subida a bordo e inspeção dos navios de pesca, os inspetores detetarem uma infração, as autoridades do Estado-Membro de pavilhão do navio de inspeção informam de imediato a </w:t>
            </w:r>
            <w:r w:rsidRPr="002554BF">
              <w:rPr>
                <w:b/>
                <w:i/>
              </w:rPr>
              <w:lastRenderedPageBreak/>
              <w:t>Comissão ou o organismo por esta designado, que, por seu turno, notifica o Estado de pavilhão do navio de pesca inspecionado, tanto diretamente como através do Secretariado da CGPM. As autoridades informam igualmente qualquer navio de inspeção do Estado de pavilhão do navio de pesca cuja presença nas proximidades seja conhecida.</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3. O Estado-Membro de pavilhão do navio de pesca, na sequência de uma inspeção em que tenha sido detetada uma infração, assegura a cessação de todas as atividades de pesca do navio. O Estado-Membro de pavilhão ordena ao navio de pesca que se dirija, no prazo de 72 horas, para um porto por si designado, onde será iniciada uma investigação.</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4. Caso no decurso de uma inspeção seja detetada uma infração, as ações e as medidas de seguimento tomadas pelo Estado-Membro de pavilhão são notificadas à Comissão ou a um organismo por esta designado. A Comissão ou um organismo por ela designado comunica as ações e as medidas de seguimento tomadas ao Secretariado da CGPM.</w:t>
            </w:r>
          </w:p>
        </w:tc>
      </w:tr>
      <w:tr w:rsidR="000C2140" w:rsidRPr="002554BF" w:rsidTr="00F37D8F">
        <w:trPr>
          <w:jc w:val="center"/>
        </w:trPr>
        <w:tc>
          <w:tcPr>
            <w:tcW w:w="4876" w:type="dxa"/>
            <w:tcBorders>
              <w:top w:val="nil"/>
              <w:left w:val="nil"/>
              <w:bottom w:val="nil"/>
              <w:right w:val="nil"/>
            </w:tcBorders>
          </w:tcPr>
          <w:p w:rsidR="00DD5018" w:rsidRPr="002554BF" w:rsidRDefault="00DD5018" w:rsidP="00F37D8F">
            <w:pPr>
              <w:pStyle w:val="Normal6a"/>
            </w:pPr>
          </w:p>
        </w:tc>
        <w:tc>
          <w:tcPr>
            <w:tcW w:w="4876" w:type="dxa"/>
            <w:tcBorders>
              <w:top w:val="nil"/>
              <w:left w:val="nil"/>
              <w:bottom w:val="nil"/>
              <w:right w:val="nil"/>
            </w:tcBorders>
            <w:hideMark/>
          </w:tcPr>
          <w:p w:rsidR="00DD5018" w:rsidRPr="002554BF" w:rsidRDefault="00811D8D" w:rsidP="00F37D8F">
            <w:pPr>
              <w:pStyle w:val="Normal6a"/>
            </w:pPr>
            <w:r w:rsidRPr="002554BF">
              <w:rPr>
                <w:b/>
                <w:i/>
              </w:rPr>
              <w:t>5. As autoridades dos Estados-Membros dão seguimento aos relatórios de inspeção a que se refere o artigo 121.º-B, n.º 3, às fichas de informação sobre avistamentos previstas no anexo VII e às declarações resultantes das inspeções documentais realizadas pelos inspetores como se se tratasse de relatórios e declarações dos inspetores nacionais estabelecidos em conformidade com a sua legislação nacional.»</w:t>
            </w:r>
          </w:p>
        </w:tc>
      </w:tr>
    </w:tbl>
    <w:p w:rsidR="00DD5018" w:rsidRPr="002554BF" w:rsidRDefault="00811D8D" w:rsidP="00DD5018">
      <w:pPr>
        <w:pStyle w:val="AmOrLang"/>
        <w:rPr>
          <w:lang w:eastAsia="en-US"/>
        </w:rPr>
      </w:pPr>
      <w:r w:rsidRPr="002554BF">
        <w:t xml:space="preserve">Or. </w:t>
      </w:r>
      <w:r w:rsidRPr="002554BF">
        <w:rPr>
          <w:rStyle w:val="HideTWBExt"/>
          <w:color w:val="auto"/>
        </w:rPr>
        <w:t>&lt;Original&gt;</w:t>
      </w:r>
      <w:r w:rsidRPr="002554BF">
        <w:rPr>
          <w:rStyle w:val="HideTWBInt"/>
          <w:color w:val="auto"/>
        </w:rPr>
        <w:t>{EN}</w:t>
      </w:r>
      <w:r w:rsidRPr="002554BF">
        <w:t>en</w:t>
      </w:r>
      <w:r w:rsidRPr="002554BF">
        <w:rPr>
          <w:rStyle w:val="HideTWBExt"/>
          <w:color w:val="auto"/>
        </w:rPr>
        <w:t>&lt;/Original&gt;</w:t>
      </w:r>
    </w:p>
    <w:p w:rsidR="00DD5018" w:rsidRPr="002554BF" w:rsidRDefault="00811D8D" w:rsidP="00DD5018">
      <w:pPr>
        <w:pStyle w:val="AmJustTitle"/>
      </w:pPr>
      <w:r w:rsidRPr="002554BF">
        <w:rPr>
          <w:rStyle w:val="HideTWBExt"/>
          <w:color w:val="auto"/>
        </w:rPr>
        <w:t>&lt;TitreJust&gt;</w:t>
      </w:r>
      <w:r w:rsidRPr="002554BF">
        <w:t>Justificação</w:t>
      </w:r>
      <w:r w:rsidRPr="002554BF">
        <w:rPr>
          <w:rStyle w:val="HideTWBExt"/>
          <w:color w:val="auto"/>
        </w:rPr>
        <w:t>&lt;/TitreJust&gt;</w:t>
      </w:r>
    </w:p>
    <w:p w:rsidR="00DD5018" w:rsidRPr="002554BF" w:rsidRDefault="00811D8D" w:rsidP="00DD5018">
      <w:pPr>
        <w:pStyle w:val="AmJustText"/>
      </w:pPr>
      <w:r w:rsidRPr="002554BF">
        <w:t xml:space="preserve">Em substituição de todas as disposições relativas: 1. ao Programa de Inspeção e de Vigilância Internacional Conjunta; 2. à realização das inspeções; 3. às infrações. Propostas </w:t>
      </w:r>
      <w:r w:rsidRPr="002554BF">
        <w:lastRenderedPageBreak/>
        <w:t>da Comissão em substituição do seguinte: novos artigos 30.º-B, 30.º-C e 30.º-D, novos artigos 37.º-B, 37.º-C e 37.º-D e artigos 63.º, 64.º e 65.º, novo artigo 75.º, n.</w:t>
      </w:r>
      <w:r w:rsidRPr="002554BF">
        <w:rPr>
          <w:vertAlign w:val="superscript"/>
        </w:rPr>
        <w:t>os</w:t>
      </w:r>
      <w:r w:rsidRPr="002554BF">
        <w:t xml:space="preserve"> 1, 2 e 3, e novos artigos 89.º-B, 89.º-C e 89.º-D da Comissão.</w:t>
      </w:r>
    </w:p>
    <w:p w:rsidR="00DD5018" w:rsidRPr="002554BF" w:rsidRDefault="00811D8D" w:rsidP="00DD5018">
      <w:pPr>
        <w:rPr>
          <w:szCs w:val="24"/>
        </w:rPr>
      </w:pPr>
      <w:r w:rsidRPr="002554BF">
        <w:rPr>
          <w:rStyle w:val="HideTWBExt"/>
          <w:color w:val="auto"/>
        </w:rPr>
        <w:t>&lt;/Amend&gt;</w:t>
      </w:r>
    </w:p>
    <w:p w:rsidR="00DD5018" w:rsidRPr="002554BF" w:rsidRDefault="00811D8D" w:rsidP="00DD5018">
      <w:pPr>
        <w:pStyle w:val="AmNumberTabs"/>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243</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Anexo I – ponto 1</w:t>
      </w:r>
      <w:r w:rsidRPr="002554BF">
        <w:rPr>
          <w:rStyle w:val="HideTWBExt"/>
          <w:color w:val="auto"/>
        </w:rPr>
        <w:t>&lt;/Article&gt;</w:t>
      </w:r>
    </w:p>
    <w:p w:rsidR="00DD5018" w:rsidRPr="002554BF" w:rsidRDefault="00811D8D" w:rsidP="00DD5018">
      <w:pPr>
        <w:keepNext/>
      </w:pPr>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pPr>
        <w:rPr>
          <w:rStyle w:val="HideTWBExt"/>
          <w:color w:val="auto"/>
        </w:rPr>
      </w:pPr>
      <w:r w:rsidRPr="002554BF">
        <w:rPr>
          <w:rStyle w:val="HideTWBExt"/>
          <w:color w:val="auto"/>
        </w:rPr>
        <w:t>&lt;Article2&gt;</w:t>
      </w:r>
      <w:r w:rsidRPr="002554BF">
        <w:t>Anexo I</w:t>
      </w:r>
      <w:r w:rsidRPr="002554BF">
        <w:rPr>
          <w:rStyle w:val="HideTWBExt"/>
          <w:color w:val="auto"/>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959E7" w:rsidRPr="002554BF" w:rsidTr="00F37D8F">
        <w:trPr>
          <w:jc w:val="center"/>
        </w:trPr>
        <w:tc>
          <w:tcPr>
            <w:tcW w:w="5387" w:type="dxa"/>
            <w:hideMark/>
          </w:tcPr>
          <w:p w:rsidR="00DD5018" w:rsidRPr="002554BF" w:rsidRDefault="00811D8D" w:rsidP="00F37D8F">
            <w:pPr>
              <w:pStyle w:val="ColumnHeading"/>
              <w:keepNext/>
            </w:pPr>
            <w:r w:rsidRPr="002554BF">
              <w:t>Texto da Comissão</w:t>
            </w:r>
          </w:p>
        </w:tc>
        <w:tc>
          <w:tcPr>
            <w:tcW w:w="4365" w:type="dxa"/>
            <w:hideMark/>
          </w:tcPr>
          <w:p w:rsidR="00DD5018" w:rsidRPr="002554BF" w:rsidRDefault="00DD5018" w:rsidP="00F37D8F"/>
        </w:tc>
      </w:tr>
    </w:tbl>
    <w:p w:rsidR="00DD5018" w:rsidRPr="002554BF" w:rsidRDefault="00DD5018" w:rsidP="00DD5018">
      <w:pPr>
        <w:pStyle w:val="Normal12Italic"/>
        <w:rPr>
          <w:noProof w:val="0"/>
        </w:rPr>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0C2140" w:rsidRPr="002554BF" w:rsidTr="00F37D8F">
        <w:trPr>
          <w:jc w:val="center"/>
        </w:trPr>
        <w:tc>
          <w:tcPr>
            <w:tcW w:w="5387" w:type="dxa"/>
            <w:hideMark/>
          </w:tcPr>
          <w:p w:rsidR="00DD5018" w:rsidRPr="002554BF" w:rsidRDefault="00811D8D" w:rsidP="00F37D8F">
            <w:pPr>
              <w:pStyle w:val="Normal6"/>
              <w:jc w:val="center"/>
              <w:rPr>
                <w:i/>
                <w:szCs w:val="24"/>
              </w:rPr>
            </w:pPr>
            <w:r w:rsidRPr="002554BF">
              <w:rPr>
                <w:i/>
              </w:rPr>
              <w:t>Alteração</w:t>
            </w:r>
          </w:p>
        </w:tc>
        <w:tc>
          <w:tcPr>
            <w:tcW w:w="4365" w:type="dxa"/>
          </w:tcPr>
          <w:p w:rsidR="00DD5018" w:rsidRPr="002554BF" w:rsidRDefault="00DD5018" w:rsidP="00F37D8F">
            <w:pPr>
              <w:pStyle w:val="TableParagraph"/>
              <w:spacing w:before="154" w:line="252" w:lineRule="exact"/>
              <w:ind w:left="110"/>
              <w:rPr>
                <w:noProof/>
                <w:sz w:val="24"/>
                <w:szCs w:val="24"/>
              </w:rPr>
            </w:pPr>
          </w:p>
        </w:tc>
      </w:tr>
      <w:tr w:rsidR="000C2140" w:rsidRPr="002554BF" w:rsidTr="00F37D8F">
        <w:trPr>
          <w:jc w:val="center"/>
        </w:trPr>
        <w:tc>
          <w:tcPr>
            <w:tcW w:w="9752" w:type="dxa"/>
            <w:gridSpan w:val="2"/>
            <w:hideMark/>
          </w:tcPr>
          <w:p w:rsidR="00DD5018" w:rsidRPr="002554BF" w:rsidRDefault="00811D8D" w:rsidP="00F37D8F">
            <w:pPr>
              <w:pStyle w:val="TableParagraph"/>
              <w:spacing w:before="154" w:line="252" w:lineRule="exact"/>
              <w:ind w:left="110"/>
              <w:rPr>
                <w:noProof/>
                <w:sz w:val="24"/>
                <w:szCs w:val="24"/>
              </w:rPr>
            </w:pPr>
            <w:r w:rsidRPr="002554BF">
              <w:t>No anexo I, é aditada uma nova parte D-A.</w:t>
            </w:r>
          </w:p>
        </w:tc>
      </w:tr>
    </w:tbl>
    <w:p w:rsidR="00DD5018" w:rsidRPr="002554BF" w:rsidRDefault="00811D8D" w:rsidP="00DD5018">
      <w:pPr>
        <w:pStyle w:val="Normal6"/>
        <w:rPr>
          <w:b/>
        </w:rPr>
      </w:pPr>
      <w:r w:rsidRPr="002554BF">
        <w:rPr>
          <w:b/>
        </w:rPr>
        <w:t>D-A) Encerramentos espaciais e temporais aplicáveis ao lagostim no mar Adriático (SZG 17 e 18)</w:t>
      </w:r>
    </w:p>
    <w:tbl>
      <w:tblPr>
        <w:tblW w:w="0" w:type="dxa"/>
        <w:jc w:val="center"/>
        <w:tblLayout w:type="fixed"/>
        <w:tblLook w:val="04A0" w:firstRow="1" w:lastRow="0" w:firstColumn="1" w:lastColumn="0" w:noHBand="0" w:noVBand="1"/>
      </w:tblPr>
      <w:tblGrid>
        <w:gridCol w:w="1568"/>
        <w:gridCol w:w="1701"/>
        <w:gridCol w:w="2126"/>
      </w:tblGrid>
      <w:tr w:rsidR="000C2140" w:rsidRPr="002554BF" w:rsidTr="00F37D8F">
        <w:trPr>
          <w:jc w:val="center"/>
        </w:trPr>
        <w:tc>
          <w:tcPr>
            <w:tcW w:w="5395" w:type="dxa"/>
            <w:gridSpan w:val="3"/>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Zona A</w:t>
            </w:r>
          </w:p>
        </w:tc>
      </w:tr>
      <w:tr w:rsidR="000C2140"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Latitude</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 xml:space="preserve">Longitude </w:t>
            </w:r>
          </w:p>
        </w:tc>
        <w:tc>
          <w:tcPr>
            <w:tcW w:w="212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Período de encerramento</w:t>
            </w:r>
          </w:p>
        </w:tc>
      </w:tr>
      <w:tr w:rsidR="000C2140"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43.45498395</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14.31352476</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DD5018" w:rsidRPr="002554BF" w:rsidRDefault="00811D8D" w:rsidP="00F37D8F">
            <w:pPr>
              <w:spacing w:before="120" w:after="120"/>
            </w:pPr>
            <w:r w:rsidRPr="002554BF">
              <w:t>15 de outubro – 15 de dezembro</w:t>
            </w:r>
          </w:p>
        </w:tc>
      </w:tr>
      <w:tr w:rsidR="000C2140"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43.45498395</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0C2140"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43.73796819</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0C2140"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43.73796819</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A959E7" w:rsidRPr="002554BF" w:rsidTr="00F37D8F">
        <w:trPr>
          <w:jc w:val="center"/>
        </w:trPr>
        <w:tc>
          <w:tcPr>
            <w:tcW w:w="1568"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43.45498395</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bl>
    <w:p w:rsidR="00DD5018" w:rsidRPr="002554BF" w:rsidRDefault="00DD5018" w:rsidP="00DD5018">
      <w:pPr>
        <w:tabs>
          <w:tab w:val="left" w:pos="1681"/>
          <w:tab w:val="left" w:pos="3382"/>
        </w:tabs>
        <w:spacing w:before="120" w:after="120"/>
        <w:ind w:left="113"/>
        <w:rPr>
          <w:szCs w:val="24"/>
        </w:rPr>
      </w:pPr>
    </w:p>
    <w:tbl>
      <w:tblPr>
        <w:tblW w:w="0" w:type="dxa"/>
        <w:jc w:val="center"/>
        <w:tblLayout w:type="fixed"/>
        <w:tblLook w:val="04A0" w:firstRow="1" w:lastRow="0" w:firstColumn="1" w:lastColumn="0" w:noHBand="0" w:noVBand="1"/>
      </w:tblPr>
      <w:tblGrid>
        <w:gridCol w:w="1830"/>
        <w:gridCol w:w="1842"/>
        <w:gridCol w:w="1701"/>
      </w:tblGrid>
      <w:tr w:rsidR="000C2140" w:rsidRPr="002554BF" w:rsidTr="00F37D8F">
        <w:trPr>
          <w:jc w:val="center"/>
        </w:trPr>
        <w:tc>
          <w:tcPr>
            <w:tcW w:w="5373" w:type="dxa"/>
            <w:gridSpan w:val="3"/>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Zona B</w:t>
            </w:r>
          </w:p>
        </w:tc>
      </w:tr>
      <w:tr w:rsidR="000C2140"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Latitude</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rPr>
                <w:b/>
              </w:rPr>
            </w:pPr>
            <w:r w:rsidRPr="002554BF">
              <w:rPr>
                <w:b/>
              </w:rPr>
              <w:t xml:space="preserve">Longitude </w:t>
            </w:r>
          </w:p>
        </w:tc>
        <w:tc>
          <w:tcPr>
            <w:tcW w:w="170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Período de encerramento</w:t>
            </w:r>
          </w:p>
        </w:tc>
      </w:tr>
      <w:tr w:rsidR="000C2140"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41.75575813</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16.94671418</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D5018" w:rsidRPr="002554BF" w:rsidRDefault="00811D8D" w:rsidP="00F37D8F">
            <w:pPr>
              <w:spacing w:before="120" w:after="120"/>
            </w:pPr>
            <w:r w:rsidRPr="002554BF">
              <w:t xml:space="preserve">15 de outubro – 15 de </w:t>
            </w:r>
            <w:r w:rsidRPr="002554BF">
              <w:lastRenderedPageBreak/>
              <w:t>dezembro</w:t>
            </w:r>
          </w:p>
        </w:tc>
      </w:tr>
      <w:tr w:rsidR="000C2140"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41.75575813</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0C2140"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lastRenderedPageBreak/>
              <w:t>42.07296819</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0C2140"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42.07296819</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r w:rsidR="00A959E7" w:rsidRPr="002554BF" w:rsidTr="00F37D8F">
        <w:trPr>
          <w:jc w:val="center"/>
        </w:trPr>
        <w:tc>
          <w:tcPr>
            <w:tcW w:w="1830"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41.75575813</w:t>
            </w:r>
          </w:p>
        </w:tc>
        <w:tc>
          <w:tcPr>
            <w:tcW w:w="184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spacing w:before="120" w:after="120"/>
            </w:pPr>
            <w:r w:rsidRPr="002554B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D5018" w:rsidRPr="002554BF" w:rsidRDefault="00DD5018" w:rsidP="00F37D8F"/>
        </w:tc>
      </w:tr>
    </w:tbl>
    <w:p w:rsidR="00DD5018" w:rsidRPr="002554BF" w:rsidRDefault="00DD5018" w:rsidP="00DD5018">
      <w:pPr>
        <w:rPr>
          <w:rFonts w:cstheme="minorHAnsi"/>
          <w:b/>
          <w:i/>
          <w:noProof/>
          <w:lang w:eastAsia="en-US"/>
        </w:rPr>
      </w:pPr>
    </w:p>
    <w:p w:rsidR="00DD5018" w:rsidRPr="002554BF" w:rsidRDefault="00811D8D" w:rsidP="00DD5018">
      <w:pPr>
        <w:pStyle w:val="Olang"/>
      </w:pPr>
      <w:r w:rsidRPr="002554BF">
        <w:rPr>
          <w:noProof w:val="0"/>
        </w:rPr>
        <w:t xml:space="preserve">Or. </w:t>
      </w:r>
      <w:r w:rsidRPr="002554BF">
        <w:rPr>
          <w:rStyle w:val="HideTWBExt"/>
          <w:noProof w:val="0"/>
          <w:color w:val="auto"/>
        </w:rPr>
        <w:t>&lt;Original&gt;</w:t>
      </w:r>
      <w:r w:rsidRPr="002554BF">
        <w:rPr>
          <w:rStyle w:val="HideTWBInt"/>
          <w:noProof w:val="0"/>
          <w:color w:val="auto"/>
        </w:rPr>
        <w:t>{EN}</w:t>
      </w:r>
      <w:r w:rsidRPr="002554BF">
        <w:rPr>
          <w:noProof w:val="0"/>
        </w:rPr>
        <w:t>en</w:t>
      </w:r>
      <w:r w:rsidRPr="002554BF">
        <w:rPr>
          <w:rStyle w:val="HideTWBExt"/>
          <w:noProof w:val="0"/>
          <w:color w:val="auto"/>
        </w:rPr>
        <w:t>&lt;/Original&gt;</w:t>
      </w:r>
    </w:p>
    <w:p w:rsidR="00DD5018" w:rsidRPr="002554BF" w:rsidRDefault="00811D8D" w:rsidP="00DD5018">
      <w:pPr>
        <w:pStyle w:val="Normal12Italic"/>
        <w:jc w:val="center"/>
      </w:pPr>
      <w:r w:rsidRPr="002554BF">
        <w:t>(32023R2124)</w:t>
      </w:r>
    </w:p>
    <w:p w:rsidR="00DD5018" w:rsidRPr="002554BF" w:rsidRDefault="00811D8D" w:rsidP="00DD5018">
      <w:pPr>
        <w:pStyle w:val="Normal12Italic"/>
        <w:jc w:val="center"/>
        <w:rPr>
          <w:noProof w:val="0"/>
        </w:rPr>
      </w:pPr>
      <w:r w:rsidRPr="002554BF">
        <w:t>Recomendação CGPM/47/2024/5.</w:t>
      </w:r>
    </w:p>
    <w:p w:rsidR="00DD5018" w:rsidRPr="002554BF" w:rsidRDefault="00811D8D" w:rsidP="00DD5018">
      <w:r w:rsidRPr="002554BF">
        <w:rPr>
          <w:rStyle w:val="HideTWBExt"/>
          <w:color w:val="auto"/>
        </w:rPr>
        <w:t>&lt;/Amend&gt;</w:t>
      </w:r>
    </w:p>
    <w:p w:rsidR="00DD5018" w:rsidRPr="002554BF" w:rsidRDefault="00811D8D" w:rsidP="00DD5018">
      <w:pPr>
        <w:pStyle w:val="AmNumberTabs"/>
        <w:keepNext/>
      </w:pPr>
      <w:r w:rsidRPr="002554BF">
        <w:rPr>
          <w:rStyle w:val="HideTWBExt"/>
          <w:color w:val="auto"/>
        </w:rPr>
        <w:t>&lt;Amend&gt;</w:t>
      </w:r>
      <w:r w:rsidRPr="002554BF">
        <w:t>Alteração</w:t>
      </w:r>
      <w:r w:rsidRPr="002554BF">
        <w:tab/>
      </w:r>
      <w:r w:rsidRPr="002554BF">
        <w:tab/>
      </w:r>
      <w:r w:rsidRPr="002554BF">
        <w:rPr>
          <w:rStyle w:val="HideTWBExt"/>
          <w:color w:val="auto"/>
        </w:rPr>
        <w:t>&lt;NumAm&gt;</w:t>
      </w:r>
      <w:r w:rsidRPr="002554BF">
        <w:t>244</w:t>
      </w:r>
      <w:r w:rsidRPr="002554BF">
        <w:rPr>
          <w:rStyle w:val="HideTWBExt"/>
          <w:color w:val="auto"/>
        </w:rPr>
        <w:t>&lt;/NumAm&gt;</w:t>
      </w:r>
    </w:p>
    <w:p w:rsidR="00DD5018" w:rsidRPr="002554BF" w:rsidRDefault="00811D8D" w:rsidP="00DD5018">
      <w:pPr>
        <w:pStyle w:val="NormalBold"/>
      </w:pPr>
      <w:r w:rsidRPr="002554BF">
        <w:rPr>
          <w:rStyle w:val="HideTWBExt"/>
          <w:color w:val="auto"/>
        </w:rPr>
        <w:t>&lt;RepeatBlock-By&gt;&lt;Members&gt;</w:t>
      </w:r>
      <w:r w:rsidRPr="002554BF">
        <w:t>Thomas Bajada</w:t>
      </w:r>
      <w:r w:rsidRPr="002554BF">
        <w:rPr>
          <w:rStyle w:val="HideTWBExt"/>
          <w:color w:val="auto"/>
        </w:rPr>
        <w:t>&lt;/Members&gt;</w:t>
      </w:r>
    </w:p>
    <w:p w:rsidR="00DD5018" w:rsidRPr="002554BF" w:rsidRDefault="00811D8D" w:rsidP="00DD5018">
      <w:pPr>
        <w:pStyle w:val="NormalBold"/>
      </w:pPr>
      <w:r w:rsidRPr="002554BF">
        <w:rPr>
          <w:rStyle w:val="HideTWBExt"/>
          <w:color w:val="auto"/>
        </w:rPr>
        <w:t>&lt;/RepeatBlock-By&gt;</w:t>
      </w:r>
    </w:p>
    <w:p w:rsidR="00DD5018" w:rsidRPr="002554BF" w:rsidRDefault="00811D8D" w:rsidP="00DD5018">
      <w:pPr>
        <w:pStyle w:val="NormalBold"/>
      </w:pPr>
      <w:r w:rsidRPr="002554BF">
        <w:rPr>
          <w:rStyle w:val="HideTWBExt"/>
          <w:color w:val="auto"/>
        </w:rPr>
        <w:t>&lt;DocAmend&gt;</w:t>
      </w:r>
      <w:r w:rsidRPr="002554BF">
        <w:t>Proposta de regulamento</w:t>
      </w:r>
      <w:r w:rsidRPr="002554BF">
        <w:rPr>
          <w:rStyle w:val="HideTWBExt"/>
          <w:color w:val="auto"/>
        </w:rPr>
        <w:t>&lt;/DocAmend&gt;</w:t>
      </w:r>
    </w:p>
    <w:p w:rsidR="00DD5018" w:rsidRPr="002554BF" w:rsidRDefault="00811D8D" w:rsidP="00DD5018">
      <w:pPr>
        <w:pStyle w:val="NormalBold"/>
      </w:pPr>
      <w:r w:rsidRPr="002554BF">
        <w:rPr>
          <w:rStyle w:val="HideTWBExt"/>
          <w:color w:val="auto"/>
        </w:rPr>
        <w:t>&lt;Article&gt;</w:t>
      </w:r>
      <w:r w:rsidRPr="002554BF">
        <w:t>Anexo XI – ponto 1</w:t>
      </w:r>
      <w:r w:rsidRPr="002554BF">
        <w:rPr>
          <w:rStyle w:val="HideTWBExt"/>
          <w:color w:val="auto"/>
        </w:rPr>
        <w:t>&lt;/Article&gt;</w:t>
      </w:r>
    </w:p>
    <w:p w:rsidR="00DD5018" w:rsidRPr="002554BF" w:rsidRDefault="00811D8D" w:rsidP="00DD5018">
      <w:pPr>
        <w:keepNext/>
      </w:pPr>
      <w:r w:rsidRPr="002554BF">
        <w:rPr>
          <w:rStyle w:val="HideTWBExt"/>
          <w:color w:val="auto"/>
        </w:rPr>
        <w:t>&lt;DocAmend2&gt;</w:t>
      </w:r>
      <w:r w:rsidRPr="002554BF">
        <w:t>Regulamento (UE) 2023/2124</w:t>
      </w:r>
      <w:r w:rsidRPr="002554BF">
        <w:rPr>
          <w:rStyle w:val="HideTWBExt"/>
          <w:color w:val="auto"/>
        </w:rPr>
        <w:t>&lt;/DocAmend2&gt;</w:t>
      </w:r>
    </w:p>
    <w:p w:rsidR="00DD5018" w:rsidRPr="002554BF" w:rsidRDefault="00811D8D" w:rsidP="00DD5018">
      <w:pPr>
        <w:rPr>
          <w:rStyle w:val="HideTWBExt"/>
          <w:color w:val="auto"/>
        </w:rPr>
      </w:pPr>
      <w:r w:rsidRPr="002554BF">
        <w:rPr>
          <w:rStyle w:val="HideTWBExt"/>
          <w:color w:val="auto"/>
        </w:rPr>
        <w:t>&lt;Article2&gt;</w:t>
      </w:r>
      <w:r w:rsidRPr="002554BF">
        <w:t>Anexo XI</w:t>
      </w:r>
      <w:r w:rsidRPr="002554BF">
        <w:rPr>
          <w:rStyle w:val="HideTWBExt"/>
          <w:color w:val="auto"/>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959E7" w:rsidRPr="002554BF" w:rsidTr="00F37D8F">
        <w:trPr>
          <w:jc w:val="center"/>
        </w:trPr>
        <w:tc>
          <w:tcPr>
            <w:tcW w:w="5387" w:type="dxa"/>
            <w:hideMark/>
          </w:tcPr>
          <w:p w:rsidR="00DD5018" w:rsidRPr="002554BF" w:rsidRDefault="00811D8D" w:rsidP="00F37D8F">
            <w:pPr>
              <w:pStyle w:val="ColumnHeading"/>
              <w:keepNext/>
            </w:pPr>
            <w:r w:rsidRPr="002554BF">
              <w:t>Texto da Comissão</w:t>
            </w:r>
          </w:p>
        </w:tc>
        <w:tc>
          <w:tcPr>
            <w:tcW w:w="4365" w:type="dxa"/>
            <w:hideMark/>
          </w:tcPr>
          <w:p w:rsidR="00DD5018" w:rsidRPr="002554BF" w:rsidRDefault="00DD5018" w:rsidP="00F37D8F"/>
        </w:tc>
      </w:tr>
    </w:tbl>
    <w:p w:rsidR="00DD5018" w:rsidRPr="002554BF" w:rsidRDefault="00DD5018" w:rsidP="00DD5018">
      <w:pPr>
        <w:pStyle w:val="AmOrLang"/>
        <w:jc w:val="left"/>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0C2140" w:rsidRPr="002554BF" w:rsidTr="00F37D8F">
        <w:trPr>
          <w:jc w:val="center"/>
        </w:trPr>
        <w:tc>
          <w:tcPr>
            <w:tcW w:w="5387" w:type="dxa"/>
            <w:hideMark/>
          </w:tcPr>
          <w:p w:rsidR="00DD5018" w:rsidRPr="002554BF" w:rsidRDefault="00811D8D" w:rsidP="00F37D8F">
            <w:pPr>
              <w:pStyle w:val="Normal6"/>
              <w:jc w:val="center"/>
              <w:rPr>
                <w:i/>
                <w:szCs w:val="24"/>
              </w:rPr>
            </w:pPr>
            <w:r w:rsidRPr="002554BF">
              <w:rPr>
                <w:i/>
              </w:rPr>
              <w:t>Alteração</w:t>
            </w:r>
          </w:p>
        </w:tc>
        <w:tc>
          <w:tcPr>
            <w:tcW w:w="4365" w:type="dxa"/>
          </w:tcPr>
          <w:p w:rsidR="00DD5018" w:rsidRPr="002554BF" w:rsidRDefault="00DD5018" w:rsidP="00F37D8F">
            <w:pPr>
              <w:pStyle w:val="TableParagraph"/>
              <w:spacing w:before="154" w:line="252" w:lineRule="exact"/>
              <w:ind w:left="110"/>
              <w:rPr>
                <w:noProof/>
                <w:sz w:val="24"/>
                <w:szCs w:val="24"/>
              </w:rPr>
            </w:pPr>
          </w:p>
        </w:tc>
      </w:tr>
      <w:tr w:rsidR="000C2140" w:rsidRPr="002554BF" w:rsidTr="00F37D8F">
        <w:trPr>
          <w:jc w:val="center"/>
        </w:trPr>
        <w:tc>
          <w:tcPr>
            <w:tcW w:w="9752" w:type="dxa"/>
            <w:gridSpan w:val="2"/>
            <w:hideMark/>
          </w:tcPr>
          <w:p w:rsidR="00DD5018" w:rsidRPr="002554BF" w:rsidRDefault="00811D8D" w:rsidP="00F37D8F">
            <w:pPr>
              <w:pStyle w:val="TableParagraph"/>
              <w:spacing w:before="154" w:line="252" w:lineRule="exact"/>
              <w:ind w:left="110"/>
              <w:rPr>
                <w:noProof/>
                <w:sz w:val="24"/>
                <w:szCs w:val="24"/>
              </w:rPr>
            </w:pPr>
            <w:r w:rsidRPr="002554BF">
              <w:t>É aditada uma nova parte D-A.</w:t>
            </w:r>
          </w:p>
        </w:tc>
      </w:tr>
    </w:tbl>
    <w:p w:rsidR="00DD5018" w:rsidRPr="002554BF" w:rsidRDefault="00811D8D" w:rsidP="00DD5018">
      <w:pPr>
        <w:pStyle w:val="AmOrLang"/>
        <w:jc w:val="left"/>
      </w:pPr>
      <w:r w:rsidRPr="002554BF">
        <w:t>D</w:t>
      </w:r>
      <w:r w:rsidR="001A5F80" w:rsidRPr="002554BF">
        <w:t>-A</w:t>
      </w:r>
      <w:r w:rsidRPr="002554BF">
        <w:t>.</w:t>
      </w:r>
      <w:r w:rsidRPr="002554BF">
        <w:tab/>
      </w:r>
      <w:r w:rsidR="001A5F80" w:rsidRPr="002554BF">
        <w:t>Restrições de pesca no canal de Otranto (subzona geográfica 18), no mar Adriático.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992"/>
        <w:gridCol w:w="2835"/>
        <w:gridCol w:w="2693"/>
      </w:tblGrid>
      <w:tr w:rsidR="000C2140" w:rsidRPr="002554BF" w:rsidTr="00F37D8F">
        <w:trPr>
          <w:trHeight w:val="110"/>
          <w:jc w:val="center"/>
        </w:trPr>
        <w:tc>
          <w:tcPr>
            <w:tcW w:w="7616" w:type="dxa"/>
            <w:gridSpan w:val="4"/>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ZONA A (ÁREA CENTRAL)</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ORDEM</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ID</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Latitude</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Longitude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57' 43.84800000"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33' 17.85600000"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2</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B</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58' 28.03368000"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42' 45.85824000"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3</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C</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55' 15.45024000"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46' 23.21868000"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4</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D</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52' 28.76988000"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48' 11.33568000"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5</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D2</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50' 10.64724000"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50' 36.78360000"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6</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E</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46' 36.26328000"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52' 23.60856000"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7</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F</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39' 36.98856000"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57' 26.91756000"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8</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G</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30' 42.01848000"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59' 22.69464000"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9</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H</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21' 40.96800000"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019° 04' 21.28800000"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10</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I</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18' 30.42000000"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54' 06.12000000"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11</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P</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18' 09.88610400"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44' 56.45333400"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12</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O</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21' 35.41141080"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42' 55.44978840"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lastRenderedPageBreak/>
              <w:t>13</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33' 48.79144800"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41' 47.41117440"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14</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M</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42' 56.59378560"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37' 57.75797640"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15</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L</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48' 08.42628600"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30' 02.37403440" E</w:t>
            </w:r>
          </w:p>
        </w:tc>
      </w:tr>
      <w:tr w:rsidR="000C2140"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16</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K</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50' 53.47825080"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21' 48.06343080" E</w:t>
            </w:r>
          </w:p>
        </w:tc>
      </w:tr>
      <w:tr w:rsidR="00A959E7" w:rsidRPr="002554BF" w:rsidTr="00F37D8F">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17</w:t>
            </w:r>
          </w:p>
        </w:tc>
        <w:tc>
          <w:tcPr>
            <w:tcW w:w="992"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J</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52' 12.60584760" N</w:t>
            </w:r>
          </w:p>
        </w:tc>
        <w:tc>
          <w:tcPr>
            <w:tcW w:w="2693"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19' 11.93260080" E</w:t>
            </w:r>
          </w:p>
        </w:tc>
      </w:tr>
    </w:tbl>
    <w:p w:rsidR="00DD5018" w:rsidRPr="002554BF" w:rsidRDefault="00DD5018" w:rsidP="00DD5018">
      <w:pPr>
        <w:pStyle w:val="AmOrLang"/>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2835"/>
        <w:gridCol w:w="2835"/>
      </w:tblGrid>
      <w:tr w:rsidR="000C2140" w:rsidRPr="002554BF" w:rsidTr="00F37D8F">
        <w:trPr>
          <w:trHeight w:val="110"/>
          <w:jc w:val="center"/>
        </w:trPr>
        <w:tc>
          <w:tcPr>
            <w:tcW w:w="7650" w:type="dxa"/>
            <w:gridSpan w:val="4"/>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ZONA B (ZONA TAMPÃO)</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ORDEM</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ID</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Latitude</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Longitude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Q</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59' 23.96400000"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32' 23.78400000"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2</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R</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52' 28.12800000"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13' 56.20800000"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3</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S</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49' 07.64400000"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20' 31.88400000"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4</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T</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46' 24.38400000"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28' 43.32000000"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5</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U</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41' 39.37200000"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35' 56.79600000"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6</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V</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33' 24.44400000"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39' 13.14000000"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7</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W</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21' 05.61600000"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40' 20.71200000"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8</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X</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16' 05.62800000"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43' 17.50800000"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9</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Y</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16' 31.94400000"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54' 19.65600000"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10</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Z</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20' 34.40400000"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019° 06' 31.70916000"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11</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AA</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30' 59.31612000"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019° 00' 54.54936000"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12</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AB</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40' 45.02136000"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58' 40.49868000"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13</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AC</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45' 45.86436000"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54' 12.23640000"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14</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AD</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47' 56.52672000"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53' 17.58480000"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15</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AD2</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49' 19.90344000"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51' 20.36196000"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16</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AF</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40° 53' 15.18144000"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48' 36.66528000" E</w:t>
            </w:r>
          </w:p>
        </w:tc>
      </w:tr>
      <w:tr w:rsidR="000C2140" w:rsidRPr="002554BF" w:rsidTr="00F37D8F">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b/>
                <w:color w:val="auto"/>
              </w:rPr>
              <w:t>17</w:t>
            </w:r>
          </w:p>
        </w:tc>
        <w:tc>
          <w:tcPr>
            <w:tcW w:w="851"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AE</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41° 00' 17.90856000" N</w:t>
            </w:r>
          </w:p>
        </w:tc>
        <w:tc>
          <w:tcPr>
            <w:tcW w:w="2835" w:type="dxa"/>
            <w:tcBorders>
              <w:top w:val="single" w:sz="4" w:space="0" w:color="auto"/>
              <w:left w:val="single" w:sz="4" w:space="0" w:color="auto"/>
              <w:bottom w:val="single" w:sz="4" w:space="0" w:color="auto"/>
              <w:right w:val="single" w:sz="4" w:space="0" w:color="auto"/>
            </w:tcBorders>
            <w:hideMark/>
          </w:tcPr>
          <w:p w:rsidR="00DD5018" w:rsidRPr="002554BF" w:rsidRDefault="00811D8D" w:rsidP="00F37D8F">
            <w:pPr>
              <w:pStyle w:val="Default"/>
              <w:jc w:val="center"/>
              <w:rPr>
                <w:rFonts w:ascii="Times New Roman" w:hAnsi="Times New Roman" w:cs="Times New Roman"/>
                <w:color w:val="auto"/>
              </w:rPr>
            </w:pPr>
            <w:r w:rsidRPr="002554BF">
              <w:rPr>
                <w:rFonts w:ascii="Times New Roman" w:hAnsi="Times New Roman"/>
                <w:color w:val="auto"/>
              </w:rPr>
              <w:t>018° 44' 47.24772000" E</w:t>
            </w:r>
          </w:p>
        </w:tc>
      </w:tr>
    </w:tbl>
    <w:p w:rsidR="00DD5018" w:rsidRPr="002554BF" w:rsidRDefault="00811D8D" w:rsidP="00DD5018">
      <w:pPr>
        <w:pStyle w:val="AmOrLang"/>
      </w:pPr>
      <w:r w:rsidRPr="002554BF">
        <w:t xml:space="preserve">Or. </w:t>
      </w:r>
      <w:r w:rsidRPr="002554BF">
        <w:rPr>
          <w:rStyle w:val="HideTWBExt"/>
          <w:rFonts w:eastAsiaTheme="majorEastAsia"/>
          <w:color w:val="auto"/>
        </w:rPr>
        <w:t>&lt;Original&gt;</w:t>
      </w:r>
      <w:r w:rsidRPr="002554BF">
        <w:rPr>
          <w:rStyle w:val="HideTWBInt"/>
          <w:color w:val="auto"/>
        </w:rPr>
        <w:t>{EN}</w:t>
      </w:r>
      <w:r w:rsidRPr="002554BF">
        <w:t>en</w:t>
      </w:r>
      <w:r w:rsidRPr="002554BF">
        <w:rPr>
          <w:rStyle w:val="HideTWBExt"/>
          <w:rFonts w:eastAsiaTheme="majorEastAsia"/>
          <w:color w:val="auto"/>
        </w:rPr>
        <w:t>&lt;/Original&gt;</w:t>
      </w:r>
    </w:p>
    <w:p w:rsidR="00DD5018" w:rsidRPr="002554BF" w:rsidRDefault="00811D8D" w:rsidP="00DD5018">
      <w:pPr>
        <w:pStyle w:val="Normal12Italic"/>
        <w:jc w:val="center"/>
      </w:pPr>
      <w:r w:rsidRPr="002554BF">
        <w:t>(32023R2124)</w:t>
      </w:r>
    </w:p>
    <w:p w:rsidR="00DD5018" w:rsidRPr="002554BF" w:rsidRDefault="00811D8D" w:rsidP="00DD5018">
      <w:pPr>
        <w:pStyle w:val="Normal12Italic"/>
        <w:jc w:val="center"/>
        <w:rPr>
          <w:noProof w:val="0"/>
        </w:rPr>
      </w:pPr>
      <w:r w:rsidRPr="002554BF">
        <w:t>Recomendação CGPM/47/2024/5.</w:t>
      </w:r>
    </w:p>
    <w:p w:rsidR="00DD5018" w:rsidRPr="002554BF" w:rsidRDefault="00DD5018" w:rsidP="00DD5018">
      <w:pPr>
        <w:pStyle w:val="AmCrossRef"/>
      </w:pPr>
    </w:p>
    <w:p w:rsidR="00DD5018" w:rsidRPr="002554BF" w:rsidRDefault="00811D8D" w:rsidP="00DD5018">
      <w:r w:rsidRPr="002554BF">
        <w:rPr>
          <w:rStyle w:val="HideTWBExt"/>
          <w:color w:val="auto"/>
        </w:rPr>
        <w:t>&lt;/Amend&gt;&lt;/RepeatBlock-Amend&gt;</w:t>
      </w:r>
    </w:p>
    <w:p w:rsidR="00FA192C" w:rsidRPr="002554BF" w:rsidRDefault="00FA192C" w:rsidP="00DD5018"/>
    <w:sectPr w:rsidR="00FA192C" w:rsidRPr="002554BF" w:rsidSect="001A5F80">
      <w:footerReference w:type="even" r:id="rId8"/>
      <w:footerReference w:type="default" r:id="rId9"/>
      <w:footerReference w:type="first" r:id="rId10"/>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B4D" w:rsidRPr="002554BF" w:rsidRDefault="00811D8D">
      <w:r w:rsidRPr="002554BF">
        <w:separator/>
      </w:r>
    </w:p>
  </w:endnote>
  <w:endnote w:type="continuationSeparator" w:id="0">
    <w:p w:rsidR="00652B4D" w:rsidRPr="002554BF" w:rsidRDefault="00811D8D">
      <w:r w:rsidRPr="002554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80" w:rsidRPr="002554BF" w:rsidRDefault="001A5F80" w:rsidP="001A5F80">
    <w:pPr>
      <w:pStyle w:val="EPFooter"/>
    </w:pPr>
    <w:r w:rsidRPr="002554BF">
      <w:t>PE</w:t>
    </w:r>
    <w:r w:rsidRPr="002554BF">
      <w:rPr>
        <w:rStyle w:val="HideTWBExt"/>
      </w:rPr>
      <w:t>&lt;NoPE&gt;</w:t>
    </w:r>
    <w:r w:rsidRPr="002554BF">
      <w:t>771.930</w:t>
    </w:r>
    <w:r w:rsidRPr="002554BF">
      <w:rPr>
        <w:rStyle w:val="HideTWBExt"/>
      </w:rPr>
      <w:t>&lt;/NoPE&gt;&lt;Version&gt;</w:t>
    </w:r>
    <w:r w:rsidRPr="002554BF">
      <w:t>v03-00</w:t>
    </w:r>
    <w:r w:rsidRPr="002554BF">
      <w:rPr>
        <w:rStyle w:val="HideTWBExt"/>
      </w:rPr>
      <w:t>&lt;/Version&gt;</w:t>
    </w:r>
    <w:r w:rsidRPr="002554BF">
      <w:tab/>
    </w:r>
    <w:r w:rsidRPr="002554BF">
      <w:fldChar w:fldCharType="begin"/>
    </w:r>
    <w:r w:rsidRPr="002554BF">
      <w:instrText xml:space="preserve"> PAGE  \* MERGEFORMAT </w:instrText>
    </w:r>
    <w:r w:rsidRPr="002554BF">
      <w:fldChar w:fldCharType="separate"/>
    </w:r>
    <w:r w:rsidR="002554BF" w:rsidRPr="002554BF">
      <w:rPr>
        <w:noProof/>
      </w:rPr>
      <w:t>96</w:t>
    </w:r>
    <w:r w:rsidRPr="002554BF">
      <w:fldChar w:fldCharType="end"/>
    </w:r>
    <w:r w:rsidRPr="002554BF">
      <w:t>/</w:t>
    </w:r>
    <w:fldSimple w:instr=" NUMPAGES  \* MERGEFORMAT ">
      <w:r w:rsidR="002554BF" w:rsidRPr="002554BF">
        <w:rPr>
          <w:noProof/>
        </w:rPr>
        <w:t>100</w:t>
      </w:r>
    </w:fldSimple>
    <w:r w:rsidRPr="002554BF">
      <w:tab/>
    </w:r>
    <w:r w:rsidRPr="002554BF">
      <w:rPr>
        <w:rStyle w:val="HideTWBExt"/>
      </w:rPr>
      <w:t>&lt;PathFdR&gt;</w:t>
    </w:r>
    <w:r w:rsidR="002554BF" w:rsidRPr="002554BF">
      <w:t>AM\1319572PT.docx</w:t>
    </w:r>
    <w:r w:rsidRPr="002554BF">
      <w:rPr>
        <w:rStyle w:val="HideTWBExt"/>
      </w:rPr>
      <w:t>&lt;/PathFdR&gt;</w:t>
    </w:r>
  </w:p>
  <w:p w:rsidR="00203D96" w:rsidRPr="002554BF" w:rsidRDefault="001A5F80" w:rsidP="001A5F80">
    <w:pPr>
      <w:pStyle w:val="EPFooter2"/>
    </w:pPr>
    <w:r w:rsidRPr="002554BF">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80" w:rsidRPr="002554BF" w:rsidRDefault="001A5F80" w:rsidP="001A5F80">
    <w:pPr>
      <w:pStyle w:val="EPFooter"/>
    </w:pPr>
    <w:r w:rsidRPr="002554BF">
      <w:rPr>
        <w:rStyle w:val="HideTWBExt"/>
      </w:rPr>
      <w:t>&lt;PathFdR&gt;</w:t>
    </w:r>
    <w:r w:rsidR="002554BF" w:rsidRPr="002554BF">
      <w:t>AM\1319572PT.docx</w:t>
    </w:r>
    <w:r w:rsidRPr="002554BF">
      <w:rPr>
        <w:rStyle w:val="HideTWBExt"/>
      </w:rPr>
      <w:t>&lt;/PathFdR&gt;</w:t>
    </w:r>
    <w:r w:rsidRPr="002554BF">
      <w:tab/>
    </w:r>
    <w:r w:rsidRPr="002554BF">
      <w:fldChar w:fldCharType="begin"/>
    </w:r>
    <w:r w:rsidRPr="002554BF">
      <w:instrText xml:space="preserve"> PAGE  \* MERGEFORMAT </w:instrText>
    </w:r>
    <w:r w:rsidRPr="002554BF">
      <w:fldChar w:fldCharType="separate"/>
    </w:r>
    <w:r w:rsidR="002554BF" w:rsidRPr="002554BF">
      <w:rPr>
        <w:noProof/>
      </w:rPr>
      <w:t>97</w:t>
    </w:r>
    <w:r w:rsidRPr="002554BF">
      <w:fldChar w:fldCharType="end"/>
    </w:r>
    <w:r w:rsidRPr="002554BF">
      <w:t>/</w:t>
    </w:r>
    <w:fldSimple w:instr=" NUMPAGES  \* MERGEFORMAT ">
      <w:r w:rsidR="002554BF" w:rsidRPr="002554BF">
        <w:rPr>
          <w:noProof/>
        </w:rPr>
        <w:t>100</w:t>
      </w:r>
    </w:fldSimple>
    <w:r w:rsidRPr="002554BF">
      <w:tab/>
      <w:t>PE</w:t>
    </w:r>
    <w:r w:rsidRPr="002554BF">
      <w:rPr>
        <w:rStyle w:val="HideTWBExt"/>
      </w:rPr>
      <w:t>&lt;NoPE&gt;</w:t>
    </w:r>
    <w:r w:rsidRPr="002554BF">
      <w:t>771.930</w:t>
    </w:r>
    <w:r w:rsidRPr="002554BF">
      <w:rPr>
        <w:rStyle w:val="HideTWBExt"/>
      </w:rPr>
      <w:t>&lt;/NoPE&gt;&lt;Version&gt;</w:t>
    </w:r>
    <w:r w:rsidRPr="002554BF">
      <w:t>v03-00</w:t>
    </w:r>
    <w:r w:rsidRPr="002554BF">
      <w:rPr>
        <w:rStyle w:val="HideTWBExt"/>
      </w:rPr>
      <w:t>&lt;/Version&gt;</w:t>
    </w:r>
  </w:p>
  <w:p w:rsidR="00203D96" w:rsidRPr="002554BF" w:rsidRDefault="001A5F80" w:rsidP="001A5F80">
    <w:pPr>
      <w:pStyle w:val="EPFooter2"/>
    </w:pPr>
    <w:r w:rsidRPr="002554BF">
      <w:tab/>
    </w:r>
    <w:r w:rsidRPr="002554BF">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80" w:rsidRPr="002554BF" w:rsidRDefault="001A5F80" w:rsidP="001A5F80">
    <w:pPr>
      <w:pStyle w:val="EPFooter"/>
    </w:pPr>
    <w:r w:rsidRPr="002554BF">
      <w:rPr>
        <w:rStyle w:val="HideTWBExt"/>
      </w:rPr>
      <w:t>&lt;PathFdR&gt;</w:t>
    </w:r>
    <w:r w:rsidR="002554BF" w:rsidRPr="002554BF">
      <w:t>AM\1319572PT.docx</w:t>
    </w:r>
    <w:r w:rsidRPr="002554BF">
      <w:rPr>
        <w:rStyle w:val="HideTWBExt"/>
      </w:rPr>
      <w:t>&lt;/PathFdR&gt;</w:t>
    </w:r>
    <w:r w:rsidRPr="002554BF">
      <w:tab/>
    </w:r>
    <w:r w:rsidRPr="002554BF">
      <w:tab/>
      <w:t>PE</w:t>
    </w:r>
    <w:r w:rsidRPr="002554BF">
      <w:rPr>
        <w:rStyle w:val="HideTWBExt"/>
      </w:rPr>
      <w:t>&lt;NoPE&gt;</w:t>
    </w:r>
    <w:r w:rsidRPr="002554BF">
      <w:t>771.930</w:t>
    </w:r>
    <w:r w:rsidRPr="002554BF">
      <w:rPr>
        <w:rStyle w:val="HideTWBExt"/>
      </w:rPr>
      <w:t>&lt;/NoPE&gt;&lt;Version&gt;</w:t>
    </w:r>
    <w:r w:rsidRPr="002554BF">
      <w:t>v03-00</w:t>
    </w:r>
    <w:r w:rsidRPr="002554BF">
      <w:rPr>
        <w:rStyle w:val="HideTWBExt"/>
      </w:rPr>
      <w:t>&lt;/Version&gt;</w:t>
    </w:r>
  </w:p>
  <w:p w:rsidR="00203D96" w:rsidRPr="002554BF" w:rsidRDefault="001A5F80" w:rsidP="001A5F80">
    <w:pPr>
      <w:pStyle w:val="EPFooter2"/>
    </w:pPr>
    <w:r w:rsidRPr="002554BF">
      <w:t>PT</w:t>
    </w:r>
    <w:r w:rsidRPr="002554BF">
      <w:tab/>
    </w:r>
    <w:r w:rsidRPr="002554BF">
      <w:rPr>
        <w:b w:val="0"/>
        <w:i/>
        <w:color w:val="C0C0C0"/>
        <w:sz w:val="22"/>
      </w:rPr>
      <w:t>Unida na diversidade</w:t>
    </w:r>
    <w:r w:rsidRPr="002554BF">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D96" w:rsidRPr="002554BF" w:rsidRDefault="00811D8D">
      <w:r w:rsidRPr="002554BF">
        <w:separator/>
      </w:r>
    </w:p>
  </w:footnote>
  <w:footnote w:type="continuationSeparator" w:id="0">
    <w:p w:rsidR="00203D96" w:rsidRPr="002554BF" w:rsidRDefault="00811D8D">
      <w:r w:rsidRPr="002554BF">
        <w:continuationSeparator/>
      </w:r>
    </w:p>
  </w:footnote>
  <w:footnote w:id="1">
    <w:p w:rsidR="00DD5018" w:rsidRPr="002554BF" w:rsidRDefault="00811D8D" w:rsidP="00DD5018">
      <w:pPr>
        <w:pStyle w:val="FootnoteText"/>
      </w:pPr>
      <w:r w:rsidRPr="002554BF">
        <w:rPr>
          <w:rStyle w:val="FootnoteReference"/>
        </w:rPr>
        <w:footnoteRef/>
      </w:r>
      <w:r w:rsidRPr="002554BF">
        <w:rPr>
          <w:color w:val="0000FA"/>
        </w:rPr>
        <w:tab/>
        <w:t xml:space="preserve">Regulamento (CE) n.º 1005/2008 do Conselho, de 29 de setembro de 2008, que estabelece um regime comunitário para prevenir, impedir e eliminar a pesca ilegal, não declarada e não regulamentada, que altera os Regulamentos (CEE) n.º 2847/93, (CE) n.º 1936/2001 e (CE) n.º 601/2004, e que revoga os Regulamentos (CE) n.º 1093/94 e (CE) n.º 1447/1999 (JO L 286 de 29.10.2008, p. 1, ELI: http://data.europa.eu/eli/reg/2008/1005/oj).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PECH"/>
    <w:docVar w:name="CVA" w:val="244"/>
    <w:docVar w:name="DOCCODMNU" w:val=" 1"/>
    <w:docVar w:name="DOCDT" w:val="09/04/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4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663731 HideTWBInt;}}{\*\rsidtbl \rsid24658\rsid223860\rsid735077\rsid1718133\rsid2892074\rsid3554127_x000d__x000a_\rsid3565327\rsid4666813\rsid6641733\rsid7823322\rsid9636012\rsid9663731\rsid10377208\rsid11215221\rsid11549030\rsid12154954\rsid14382809\rsid14424199\rsid15204470\rsid15285974\rsid15950462\rsid16324206\rsid16662270}{\mmathPr\mmathFont34\mbrkBin0_x000d__x000a_\mbrkBinSub0\msmallFrac0\mdispDef1\mlMargin0\mrMargin0\mdefJc1\mwrapIndent1440\mintLim0\mnaryLim1}{\info{\author NENICKOVA Sylvia}{\operator NENICKOVA Sylvia}{\creatim\yr2025\mo4\dy8\hr19}{\revtim\yr2025\mo4\dy8\hr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663731\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3554127 \chftnsep _x000d__x000a_\par }}{\*\ftnsepc \ltrpar \pard\plain \ltrpar\ql \li0\ri0\widctlpar\wrapdefault\aspalpha\aspnum\faauto\adjustright\rin0\lin0\itap0 \rtlch\fcs1 \af0\afs20\alang1025 \ltrch\fcs0 \fs24\lang2057\langfe2057\cgrid\langnp2057\langfenp2057 {\rtlch\fcs1 \af0 _x000d__x000a_\ltrch\fcs0 \insrsid3554127 \chftnsepc _x000d__x000a_\par }}{\*\aftnsep \ltrpar \pard\plain \ltrpar\ql \li0\ri0\widctlpar\wrapdefault\aspalpha\aspnum\faauto\adjustright\rin0\lin0\itap0 \rtlch\fcs1 \af0\afs20\alang1025 \ltrch\fcs0 \fs24\lang2057\langfe2057\cgrid\langnp2057\langfenp2057 {\rtlch\fcs1 \af0 _x000d__x000a_\ltrch\fcs0 \insrsid3554127 \chftnsep _x000d__x000a_\par }}{\*\aftnsepc \ltrpar \pard\plain \ltrpar\ql \li0\ri0\widctlpar\wrapdefault\aspalpha\aspnum\faauto\adjustright\rin0\lin0\itap0 \rtlch\fcs1 \af0\afs20\alang1025 \ltrch\fcs0 \fs24\lang2057\langfe2057\cgrid\langnp2057\langfenp2057 {\rtlch\fcs1 \af0 _x000d__x000a_\ltrch\fcs0 \insrsid35541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9663731\charrsid11683480 {\*\bkmkstart ReplaceBookmark}#}{\rtlch\fcs1 \af1 \ltrch\fcs0 _x000d__x000a_\cs17\v\f1\fs20\cf15\insrsid9663731\charrsid11683480 &gt;&gt;&gt;CVAR@@AmendA}{\rtlch\fcs1 \af0 \ltrch\fcs0 \insrsid9663731\charrsid1168348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0b_x000d__x000a_6d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435556 HideTWBExt;}{\*\cs18 \additive \v\f1\fs20\cf15 _x000d__x000a_\spriority0 \styrsid13435556 HideTWBInt;}{\s19\ql \li0\ri0\sa120\nowidctlpar\wrapdefault\aspalpha\aspnum\faauto\adjustright\rin0\lin0\itap0 \rtlch\fcs1 \af0\afs20\alang1025 \ltrch\fcs0 \fs24\lang2057\langfe2057\cgrid\langnp2057\langfenp2057 _x000d__x000a_\sbasedon0 \snext19 \spriority0 \styrsid13435556 Normal6a;}{\s20\ql \li0\ri0\nowidctlpar\wrapdefault\aspalpha\aspnum\faauto\adjustright\rin0\lin0\itap0 \rtlch\fcs1 \af0\afs20\alang1025 \ltrch\fcs0 \b\fs24\lang2057\langfe2057\cgrid\langnp2057\langfenp2057 _x000d__x000a_\sbasedon0 \snext20 \spriority0 \styrsid13435556 NormalBold;}{\s21\qr \li0\ri0\sb240\sa240\nowidctlpar\wrapdefault\aspalpha\aspnum\faauto\adjustright\rin0\lin0\itap0 \rtlch\fcs1 \af0\afs20\alang1025 \ltrch\fcs0 _x000d__x000a_\fs24\lang2057\langfe2057\cgrid\langnp2057\langfenp2057 \sbasedon0 \snext21 \spriority0 \styrsid13435556 AmOrLang;}{\s22\qc \li0\ri0\sa240\nowidctlpar\wrapdefault\aspalpha\aspnum\faauto\adjustright\rin0\lin0\itap0 \rtlch\fcs1 \af0\afs20\alang1025 _x000d__x000a_\ltrch\fcs0 \i\fs24\lang2057\langfe2057\cgrid\langnp2057\langfenp2057 \sbasedon0 \snext22 \spriority0 \styrsid134355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435556 AmNumberTabs;}}{\*\rsidtbl \rsid24658\rsid223860\rsid735077\rsid1718133\rsid2892074\rsid3565327\rsid4666813\rsid6641733\rsid7823322_x000d__x000a_\rsid9469515\rsid9636012\rsid10377208\rsid11215221\rsid11549030\rsid12154954\rsid13435556\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435556\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9469515 \chftnsep _x000d__x000a_\par }}{\*\ftnsepc \ltrpar \pard\plain \ltrpar\ql \li0\ri0\widctlpar\wrapdefault\aspalpha\aspnum\faauto\adjustright\rin0\lin0\itap0 \rtlch\fcs1 \af0\afs20\alang1025 \ltrch\fcs0 \fs24\lang2057\langfe2057\cgrid\langnp2057\langfenp2057 {\rtlch\fcs1 \af0 _x000d__x000a_\ltrch\fcs0 \insrsid9469515 \chftnsepc _x000d__x000a_\par }}{\*\aftnsep \ltrpar \pard\plain \ltrpar\ql \li0\ri0\widctlpar\wrapdefault\aspalpha\aspnum\faauto\adjustright\rin0\lin0\itap0 \rtlch\fcs1 \af0\afs20\alang1025 \ltrch\fcs0 \fs24\lang2057\langfe2057\cgrid\langnp2057\langfenp2057 {\rtlch\fcs1 \af0 _x000d__x000a_\ltrch\fcs0 \insrsid9469515 \chftnsep _x000d__x000a_\par }}{\*\aftnsepc \ltrpar \pard\plain \ltrpar\ql \li0\ri0\widctlpar\wrapdefault\aspalpha\aspnum\faauto\adjustright\rin0\lin0\itap0 \rtlch\fcs1 \af0\afs20\alang1025 \ltrch\fcs0 \fs24\lang2057\langfe2057\cgrid\langnp2057\langfenp2057 {\rtlch\fcs1 \af0 _x000d__x000a_\ltrch\fcs0 \insrsid94695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435556 \rtlch\fcs1 _x000d__x000a_\af0\afs20\alang1025 \ltrch\fcs0 \b\fs24\lang2057\langfe2057\cgrid\langnp2057\langfenp2057 {\rtlch\fcs1 \af0 \ltrch\fcs0 \cs17\b0\v\fs20\cf9\lang1024\langfe1024\loch\af1\hich\af1\dbch\af31501\noproof\insrsid13435556\charrsid11683480 {\*\bkmkstart restartA_x000d__x000a_}\hich\af1\dbch\af31501\loch\f1 &lt;AmendA&gt;}{\rtlch\fcs1 \af0 \ltrch\fcs0 \insrsid13435556\charrsid11683480 Amendment\tab \tab }{\rtlch\fcs1 \af0 \ltrch\fcs0 _x000d__x000a_\cs17\b0\v\fs20\cf9\lang1024\langfe1024\loch\af1\hich\af1\dbch\af31501\noproof\insrsid13435556\charrsid11683480 \hich\af1\dbch\af31501\loch\f1 &lt;NumAmA&gt;}{\rtlch\fcs1 \af0 \ltrch\fcs0 \insrsid13435556\charrsid11683480 #}{\rtlch\fcs1 \af1 \ltrch\fcs0 _x000d__x000a_\cs18\v\f1\fs20\cf15\insrsid13435556\charrsid11683480 ENMIENDA@NRAM@}{\rtlch\fcs1 \af0 \ltrch\fcs0 \insrsid13435556\charrsid11683480 #}{\rtlch\fcs1 \af0 \ltrch\fcs0 _x000d__x000a_\cs17\b0\v\fs20\cf9\lang1024\langfe1024\loch\af1\hich\af1\dbch\af31501\noproof\insrsid13435556\charrsid11683480 \hich\af1\dbch\af31501\loch\f1 &lt;/NumAmA&gt;}{\rtlch\fcs1 \af0 \ltrch\fcs0 \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RepeatBlock-By&gt;}{\rtlch\fcs1 \af0 \ltrch\fcs0 \insrsid13435556\charrsid11683480 #}{\rtlch\fcs1 _x000d__x000a_\af1 \ltrch\fcs0 \cs18\v\f1\fs20\cf15\insrsid13435556\charrsid11683480 (MOD@InsideLoop()}{\rtlch\fcs1 \af0 \ltrch\fcs0 \insrsid13435556\charrsid11683480 ##}{\rtlch\fcs1 \af1 \ltrch\fcs0 \cs18\v\f1\fs20\cf15\insrsid13435556\charrsid11683480 _x000d__x000a_&gt;&gt;&gt;@[ZMEMBERSMSG]@}{\rtlch\fcs1 \af0 \ltrch\fcs0 \insrsid13435556\charrsid11683480 #}{\rtlch\fcs1 \af0 \ltrch\fcs0 \cs17\b0\v\fs20\cf9\lang1024\langfe1024\loch\af1\hich\af1\dbch\af31501\noproof\insrsid13435556\charrsid11683480 _x000d__x000a_\hich\af1\dbch\af31501\loch\f1 &lt;Members&gt;}{\rtlch\fcs1 \af0 \ltrch\fcs0 \insrsid13435556\charrsid11683480 #}{\rtlch\fcs1 \af1 \ltrch\fcs0 \cs18\v\f1\fs20\cf15\insrsid13435556\charrsid11683480 (MOD@InsideLoop(\'a7)}{\rtlch\fcs1 \af0 \ltrch\fcs0 _x000d__x000a_\insrsid13435556\charrsid11683480 #}{\rtlch\fcs1 \af0 \ltrch\fcs0 \cf10\insrsid13435556\charrsid11683480 \u9668\'3f}{\rtlch\fcs1 \af0 \ltrch\fcs0 \insrsid13435556\charrsid11683480 #}{\rtlch\fcs1 \af1 \ltrch\fcs0 _x000d__x000a_\cs18\v\f1\fs20\cf15\insrsid13435556\charrsid11683480 TVTMEMBERS\'a7@MEMBERS@}{\rtlch\fcs1 \af0 \ltrch\fcs0 \insrsid13435556\charrsid11683480 #}{\rtlch\fcs1 \af0 \ltrch\fcs0 \cf10\insrsid13435556\charrsid11683480 \u9658\'3f}{\rtlch\fcs1 \af0 \ltrch\fcs0 _x000d__x000a_\cs17\b0\v\fs20\cf9\lang1024\langfe1024\loch\af1\hich\af1\dbch\af31501\noproof\insrsid13435556\charrsid11683480 \hich\af1\dbch\af31501\loch\f1 &lt;/Members&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uNomDe&gt;&lt;OptDel&gt;}{\rtlch\fcs1 \af0 \ltrch\fcs0 \insrsid13435556\charrsid11683480 #}{\rtlch\fcs1 \af1 \ltrch\fcs0 _x000d__x000a_\cs18\v\f1\fs20\cf15\insrsid13435556\charrsid11683480 MNU[ONBEHALFYES][NOTAPP]@CHOICE@}{\rtlch\fcs1 \af0 \ltrch\fcs0 \insrsid13435556\charrsid11683480 #}{\rtlch\fcs1 \af0 \ltrch\fcs0 _x000d__x000a_\cs17\v\fs20\cf9\lang1024\langfe1024\loch\af1\hich\af1\dbch\af31501\noproof\insrsid13435556\charrsid11683480 \hich\af1\dbch\af31501\loch\f1 &lt;/OptDel&gt;&lt;/AuNomDe&gt;}{\rtlch\fcs1 \af0 \ltrch\fcs0 \insrsid13435556\charrsid11683480 _x000d__x000a_\par &lt;&lt;&lt;}{\rtlch\fcs1 \af0 \ltrch\fcs0 \cs17\v\fs20\cf9\lang1024\langfe1024\loch\af1\hich\af1\dbch\af31501\noproof\insrsid13435556\charrsid11683480 \hich\af1\dbch\af31501\loch\f1 &lt;/RepeatBlock-By&gt;}{\rtlch\fcs1 \af0 \ltrch\fcs0 _x000d__x000a_\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DocAmend&gt;}{\rtlch\fcs1 \af0 \ltrch\fcs0 \insrsid13435556\charrsid11683480 _x000d__x000a_Draft legislative resolution}{\rtlch\fcs1 \af0 \ltrch\fcs0 \cs17\b0\v\fs20\cf9\lang1024\langfe1024\loch\af1\hich\af1\dbch\af31501\noproof\insrsid13435556\charrsid11683480 \hich\af1\dbch\af31501\loch\f1 &lt;/DocAmend&gt;}{\rtlch\fcs1 \af0 \ltrch\fcs0 _x000d__x000a_\insrsid13435556\charrsid11683480 _x000d__x000a_\par }{\rtlch\fcs1 \af0 \ltrch\fcs0 \cs17\b0\v\fs20\cf9\lang1024\langfe1024\loch\af1\hich\af1\dbch\af31501\noproof\insrsid13435556\charrsid11683480 \hich\af1\dbch\af31501\loch\f1 &lt;Article&gt;}{\rtlch\fcs1 \af0 \ltrch\fcs0 \cf10\insrsid13435556\charrsid11683480 _x000d__x000a_\u9668\'3f}{\rtlch\fcs1 \af0 \ltrch\fcs0 \insrsid13435556\charrsid11683480 #}{\rtlch\fcs1 \af1 \ltrch\fcs0 \cs18\v\f1\fs20\cf15\insrsid13435556\charrsid11683480 TVTRESPART@RESPART@}{\rtlch\fcs1 \af0 \ltrch\fcs0 \insrsid13435556\charrsid11683480 #}{_x000d__x000a_\rtlch\fcs1 \af0 \ltrch\fcs0 \cf10\insrsid13435556\charrsid11683480 \u9658\'3f}{\rtlch\fcs1 \af0 \ltrch\fcs0 \cs17\b0\v\fs20\cf9\lang1024\langfe1024\loch\af1\hich\af1\dbch\af31501\noproof\insrsid13435556\charrsid11683480 \hich\af1\dbch\af31501\loch\f1 _x000d__x000a_&lt;/Article&gt;}{\rtlch\fcs1 \af0 \ltrch\fcs0 \insrsid13435556\charrsid11683480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435556\charrsid11683480 Draft legislative resolution\cell Amendment\cell }\pard\plain \ltrpar\ql \li0\ri0\widctlpar\intbl\wrapdefault\aspalpha\aspnum\faauto\adjustright\rin0\lin0 \rtlch\fcs1 \af0\afs20\alang1025 _x000d__x000a_\ltrch\fcs0 \fs24\lang2057\langfe2057\cgrid\langnp2057\langfenp2057 {\rtlch\fcs1 \af0 \ltrch\fcs0 \insrsid13435556\charrsid11683480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435556\charrsid11683480 ##\cell ##}{\rtlch\fcs1 \af0\afs24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435556 \rtlch\fcs1 \af0\afs20\alang1025 \ltrch\fcs0 \fs24\lang2057\langfe2057\cgrid\langnp2057\langfenp2057 {\rtlch\fcs1 \af0 \ltrch\fcs0 _x000d__x000a_\insrsid13435556\charrsid11683480 Or. }{\rtlch\fcs1 \af0 \ltrch\fcs0 \cs17\v\fs20\cf9\lang1024\langfe1024\loch\af1\hich\af1\dbch\af31501\noproof\insrsid13435556\charrsid11683480 \hich\af1\dbch\af31501\loch\f1 &lt;Original&gt;}{\rtlch\fcs1 \af0 \ltrch\fcs0 _x000d__x000a_\insrsid13435556\charrsid11683480 #}{\rtlch\fcs1 \af1 \ltrch\fcs0 \cs18\v\f1\fs20\cf15\insrsid13435556\charrsid11683480 KEY(MAIN/LANGMIN)sh@ORLANGMSG@}{\rtlch\fcs1 \af0 \ltrch\fcs0 \insrsid13435556\charrsid11683480 #}{\rtlch\fcs1 \af0 \ltrch\fcs0 _x000d__x000a_\cs17\v\fs20\cf9\lang1024\langfe1024\loch\af1\hich\af1\dbch\af31501\noproof\insrsid13435556\charrsid11683480 \hich\af1\dbch\af31501\loch\f1 &lt;/Original&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b_x000d__x000a_7044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523705 HideTWBExt;}{\*\cs18 \additive \v\f1\fs20\cf15 _x000d__x000a_\spriority0 \styrsid4523705 HideTWBInt;}{\s19\ql \li0\ri0\sa120\nowidctlpar\wrapdefault\aspalpha\aspnum\faauto\adjustright\rin0\lin0\itap0 \rtlch\fcs1 \af0\afs20\alang1025 \ltrch\fcs0 \fs24\lang2057\langfe2057\cgrid\langnp2057\langfenp2057 _x000d__x000a_\sbasedon0 \snext19 \spriority0 \styrsid4523705 Normal6a;}{\s20\ql \li0\ri0\nowidctlpar\wrapdefault\aspalpha\aspnum\faauto\adjustright\rin0\lin0\itap0 \rtlch\fcs1 \af0\afs20\alang1025 \ltrch\fcs0 \b\fs24\lang2057\langfe2057\cgrid\langnp2057\langfenp2057 _x000d__x000a_\sbasedon0 \snext20 \spriority0 \styrsid4523705 NormalBold;}{\s21\ql \li0\ri0\sa240\nowidctlpar\wrapdefault\aspalpha\aspnum\faauto\adjustright\rin0\lin0\itap0 \rtlch\fcs1 \af0\afs20\alang1025 \ltrch\fcs0 _x000d__x000a_\i\fs24\lang2057\langfe2057\cgrid\langnp2057\langfenp2057 \sbasedon0 \snext21 \spriority0 \styrsid4523705 AmJustText;}{\s22\qc \li0\ri0\sb240\sa240\nowidctlpar\wrapdefault\aspalpha\aspnum\faauto\adjustright\rin0\lin0\itap0 \rtlch\fcs1 _x000d__x000a_\af0\afs20\alang1025 \ltrch\fcs0 \i\fs24\lang2057\langfe2057\cgrid\langnp2057\langfenp2057 \sbasedon0 \snext22 \spriority0 \styrsid4523705 AmCrossRef;}{_x000d__x000a_\s23\qc \li0\ri0\sb240\sa240\keepn\nowidctlpar\wrapdefault\aspalpha\aspnum\faauto\adjustright\rin0\lin0\itap0 \rtlch\fcs1 \af0\afs20\alang1025 \ltrch\fcs0 \i\fs24\lang2057\langfe2057\cgrid\langnp2057\langfenp2057 _x000d__x000a_\sbasedon0 \snext21 \spriority0 \styrsid4523705 AmJustTitle;}{\s24\qr \li0\ri0\sb240\sa240\nowidctlpar\wrapdefault\aspalpha\aspnum\faauto\adjustright\rin0\lin0\itap0 \rtlch\fcs1 \af0\afs20\alang1025 \ltrch\fcs0 _x000d__x000a_\fs24\lang2057\langfe2057\cgrid\langnp2057\langfenp2057 \sbasedon0 \snext24 \spriority0 \styrsid4523705 AmOrLang;}{\s25\qc \li0\ri0\sa240\nowidctlpar\wrapdefault\aspalpha\aspnum\faauto\adjustright\rin0\lin0\itap0 \rtlch\fcs1 \af0\afs20\alang1025 _x000d__x000a_\ltrch\fcs0 \i\fs24\lang2057\langfe2057\cgrid\langnp2057\langfenp2057 \sbasedon0 \snext25 \spriority0 \styrsid452370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523705 AmNumberTabs;}}{\*\rsidtbl \rsid24658\rsid223860\rsid735077\rsid1718133\rsid2892074\rsid3565327\rsid4523705\rsid4666813\rsid6044855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523705\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6044855 \chftnsep _x000d__x000a_\par }}{\*\ftnsepc \ltrpar \pard\plain \ltrpar\ql \li0\ri0\widctlpar\wrapdefault\aspalpha\aspnum\faauto\adjustright\rin0\lin0\itap0 \rtlch\fcs1 \af0\afs20\alang1025 \ltrch\fcs0 \fs24\lang2057\langfe2057\cgrid\langnp2057\langfenp2057 {\rtlch\fcs1 \af0 _x000d__x000a_\ltrch\fcs0 \insrsid6044855 \chftnsepc _x000d__x000a_\par }}{\*\aftnsep \ltrpar \pard\plain \ltrpar\ql \li0\ri0\widctlpar\wrapdefault\aspalpha\aspnum\faauto\adjustright\rin0\lin0\itap0 \rtlch\fcs1 \af0\afs20\alang1025 \ltrch\fcs0 \fs24\lang2057\langfe2057\cgrid\langnp2057\langfenp2057 {\rtlch\fcs1 \af0 _x000d__x000a_\ltrch\fcs0 \insrsid6044855 \chftnsep _x000d__x000a_\par }}{\*\aftnsepc \ltrpar \pard\plain \ltrpar\ql \li0\ri0\widctlpar\wrapdefault\aspalpha\aspnum\faauto\adjustright\rin0\lin0\itap0 \rtlch\fcs1 \af0\afs20\alang1025 \ltrch\fcs0 \fs24\lang2057\langfe2057\cgrid\langnp2057\langfenp2057 {\rtlch\fcs1 \af0 _x000d__x000a_\ltrch\fcs0 \insrsid60448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523705 \rtlch\fcs1 _x000d__x000a_\af0\afs20\alang1025 \ltrch\fcs0 \b\fs24\lang2057\langfe2057\cgrid\langnp2057\langfenp2057 {\rtlch\fcs1 \af0 \ltrch\fcs0 \cs17\b0\v\fs20\cf9\lang1024\langfe1024\loch\af1\hich\af1\dbch\af31501\noproof\insrsid4523705\charrsid11683480 {\*\bkmkstart restartB}_x000d__x000a_\hich\af1\dbch\af31501\loch\f1 &lt;AmendB&gt;}{\rtlch\fcs1 \af0 \ltrch\fcs0 \insrsid4523705\charrsid11683480 Amendment\tab \tab }{\rtlch\fcs1 \af0 \ltrch\fcs0 _x000d__x000a_\cs17\b0\v\fs20\cf9\lang1024\langfe1024\loch\af1\hich\af1\dbch\af31501\noproof\insrsid4523705\charrsid11683480 \hich\af1\dbch\af31501\loch\f1 &lt;NumAmB&gt;}{\rtlch\fcs1 \af0 \ltrch\fcs0 \insrsid4523705\charrsid11683480 #}{\rtlch\fcs1 \af1 \ltrch\fcs0 _x000d__x000a_\cs18\v\f1\fs20\cf15\insrsid4523705\charrsid11683480 ENMIENDA@NRAM@}{\rtlch\fcs1 \af0 \ltrch\fcs0 \insrsid4523705\charrsid11683480 #}{\rtlch\fcs1 \af0 \ltrch\fcs0 _x000d__x000a_\cs17\b0\v\fs20\cf9\lang1024\langfe1024\loch\af1\hich\af1\dbch\af31501\noproof\insrsid4523705\charrsid11683480 \hich\af1\dbch\af31501\loch\f1 &lt;/NumAmB&gt;}{\rtlch\fcs1 \af0 \ltrch\fcs0 \insrsid4523705\charrsid11683480 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RepeatBlock-By&gt;}{\rtlch\fcs1 \af0 \ltrch\fcs0 \insrsid4523705\charrsid11683480 #}{\rtlch\fcs1 \af1 _x000d__x000a_\ltrch\fcs0 \cs18\v\f1\fs20\cf15\insrsid4523705\charrsid11683480 (MOD@InsideLoop()}{\rtlch\fcs1 \af0 \ltrch\fcs0 \insrsid4523705\charrsid11683480 ##}{\rtlch\fcs1 \af1 \ltrch\fcs0 \cs18\v\f1\fs20\cf15\insrsid4523705\charrsid11683480 &gt;&gt;&gt;@[ZMEMBERSMSG]@}{_x000d__x000a_\rtlch\fcs1 \af0 \ltrch\fcs0 \insrsid4523705\charrsid11683480 #}{\rtlch\fcs1 \af0 \ltrch\fcs0 \cs17\b0\v\fs20\cf9\lang1024\langfe1024\loch\af1\hich\af1\dbch\af31501\noproof\insrsid4523705\charrsid11683480 \hich\af1\dbch\af31501\loch\f1 &lt;Members&gt;}{_x000d__x000a_\rtlch\fcs1 \af0 \ltrch\fcs0 \insrsid4523705\charrsid11683480 #}{\rtlch\fcs1 \af1 \ltrch\fcs0 \cs18\v\f1\fs20\cf15\insrsid4523705\charrsid11683480 (MOD@InsideLoop(\'a7)}{\rtlch\fcs1 \af0 \ltrch\fcs0 \insrsid4523705\charrsid11683480 #}{\rtlch\fcs1 \af0 _x000d__x000a_\ltrch\fcs0 \cf10\insrsid4523705\charrsid11683480 \u9668\'3f}{\rtlch\fcs1 \af0 \ltrch\fcs0 \insrsid4523705\charrsid11683480 #}{\rtlch\fcs1 \af1 \ltrch\fcs0 \cs18\v\f1\fs20\cf15\insrsid4523705\charrsid11683480 TVTMEMBERS\'a7@MEMBERS@}{\rtlch\fcs1 \af0 _x000d__x000a_\ltrch\fcs0 \insrsid4523705\charrsid11683480 #}{\rtlch\fcs1 \af0 \ltrch\fcs0 \cf10\insrsid4523705\charrsid11683480 \u9658\'3f}{\rtlch\fcs1 \af0 \ltrch\fcs0 _x000d__x000a_\cs17\b0\v\fs20\cf9\lang1024\langfe1024\loch\af1\hich\af1\dbch\af31501\noproof\insrsid4523705\charrsid11683480 \hich\af1\dbch\af31501\loch\f1 &lt;/Members&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uNomDe&gt;&lt;OptDel&gt;}{\rtlch\fcs1 \af0 \ltrch\fcs0 \insrsid4523705\charrsid11683480 #}{\rtlch\fcs1 \af1 \ltrch\fcs0 _x000d__x000a_\cs18\v\f1\fs20\cf15\insrsid4523705\charrsid11683480 MNU[ONBEHALFYES][NOTAPP]@CHOICE@}{\rtlch\fcs1 \af0 \ltrch\fcs0 \insrsid4523705\charrsid11683480 #}{\rtlch\fcs1 \af0 \ltrch\fcs0 _x000d__x000a_\cs17\v\fs20\cf9\lang1024\langfe1024\loch\af1\hich\af1\dbch\af31501\noproof\insrsid4523705\charrsid11683480 \hich\af1\dbch\af31501\loch\f1 &lt;/OptDel&gt;&lt;/AuNomDe&gt;}{\rtlch\fcs1 \af0 \ltrch\fcs0 \insrsid4523705\charrsid11683480 _x000d__x000a_\par &lt;&lt;&lt;}{\rtlch\fcs1 \af0 \ltrch\fcs0 \cs17\v\fs20\cf9\lang1024\langfe1024\loch\af1\hich\af1\dbch\af31501\noproof\insrsid4523705\charrsid11683480 \hich\af1\dbch\af31501\loch\f1 &lt;/RepeatBlock-By&gt;}{\rtlch\fcs1 \af0 \ltrch\fcs0 \insrsid4523705\charrsid11683480 _x000d__x000a_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DocAmend&gt;}{\rtlch\fcs1 \af0 \ltrch\fcs0 \insrsid4523705\charrsid11683480 #}{\rtlch\fcs1 \af1 _x000d__x000a_\ltrch\fcs0 \cs18\v\f1\fs20\cf15\insrsid4523705\charrsid11683480 MNU[OPTPROPOSALCOD][OPTPROPOSALCNS][OPTPROPOSALNLE]@CHOICE@CODEMNU}{\rtlch\fcs1 \af0 \ltrch\fcs0 \insrsid4523705\charrsid11683480 #}{\rtlch\fcs1 \af0 \ltrch\fcs0 _x000d__x000a_\cs17\b0\v\fs20\cf9\lang1024\langfe1024\loch\af1\hich\af1\dbch\af31501\noproof\insrsid4523705\charrsid11683480 \hich\af1\dbch\af31501\loch\f1 &lt;/DocAmend&gt;}{\rtlch\fcs1 \af0 \ltrch\fcs0 \insrsid4523705\charrsid11683480 _x000d__x000a_\par }\pard \ltrpar\s20\ql \li0\ri0\keepn\nowidctlpar\wrapdefault\aspalpha\aspnum\faauto\adjustright\rin0\lin0\itap0\pararsid4523705 {\rtlch\fcs1 \af0 \ltrch\fcs0 _x000d__x000a_\cs17\b0\v\fs20\cf9\lang1024\langfe1024\loch\af1\hich\af1\dbch\af31501\noproof\insrsid4523705\charrsid11683480 \hich\af1\dbch\af31501\loch\f1 &lt;Article&gt;}{\rtlch\fcs1 \af0 \ltrch\fcs0 \insrsid4523705\charrsid11683480 #}{\rtlch\fcs1 \af1 \ltrch\fcs0 _x000d__x000a_\cs18\v\f1\fs20\cf15\insrsid4523705\charrsid11683480 MNU[AMACTPARTYES][AMACTPARTNO]@CHOICE@AMACTMNU}{\rtlch\fcs1 \af0 \ltrch\fcs0 \insrsid4523705\charrsid11683480 #}{\rtlch\fcs1 \af0 \ltrch\fcs0 _x000d__x000a_\cs17\b0\v\fs20\cf9\lang1024\langfe1024\loch\af1\hich\af1\dbch\af31501\noproof\insrsid4523705\charrsid11683480 \hich\af1\dbch\af31501\loch\f1 &lt;/Article&gt;}{\rtlch\fcs1 \af0 \ltrch\fcs0 \insrsid4523705\charrsid11683480 _x000d__x000a_\par }\pard\plain \ltrpar\ql \li0\ri0\keepn\widctlpar\wrapdefault\aspalpha\aspnum\faauto\adjustright\rin0\lin0\itap0\pararsid4523705 \rtlch\fcs1 \af0\afs20\alang1025 \ltrch\fcs0 \fs24\lang2057\langfe2057\cgrid\langnp2057\langfenp2057 {\rtlch\fcs1 \af0 _x000d__x000a_\ltrch\fcs0 \cs17\v\fs20\cf9\lang1024\langfe1024\loch\af1\hich\af1\dbch\af31501\noproof\insrsid4523705\charrsid11683480 \hich\af1\dbch\af31501\loch\f1 &lt;DocAmend2&gt;&lt;OptDel&gt;}{\rtlch\fcs1 \af0 \ltrch\fcs0 \insrsid4523705\charrsid11683480 #}{\rtlch\fcs1 \af1 _x000d__x000a_\ltrch\fcs0 \cs18\v\f1\fs20\cf15\insrsid4523705\charrsid11683480 MNU[OPTNRACTYES][NOTAPP]@CHOICE@AMACTMNU}{\rtlch\fcs1 \af0 \ltrch\fcs0 \insrsid4523705\charrsid11683480 #}{\rtlch\fcs1 \af0 \ltrch\fcs0 _x000d__x000a_\cs17\v\fs20\cf9\lang1024\langfe1024\loch\af1\hich\af1\dbch\af31501\noproof\insrsid4523705\charrsid11683480 \hich\af1\dbch\af31501\loch\f1 &lt;/OptDel&gt;&lt;/DocAmend2&gt;}{\rtlch\fcs1 \af0 \ltrch\fcs0 \insrsid4523705\charrsid11683480 _x000d__x000a_\par }\pard \ltrpar\ql \li0\ri0\widctlpar\wrapdefault\aspalpha\aspnum\faauto\adjustright\rin0\lin0\itap0\pararsid4523705 {\rtlch\fcs1 \af0 \ltrch\fcs0 \cs17\v\fs20\cf9\lang1024\langfe1024\loch\af1\hich\af1\dbch\af31501\noproof\insrsid4523705\charrsid11683480 _x000d__x000a_\hich\af1\dbch\af31501\loch\f1 &lt;Article2&gt;&lt;OptDel&gt;}{\rtlch\fcs1 \af0 \ltrch\fcs0 \insrsid4523705\charrsid11683480 #}{\rtlch\fcs1 \af1 \ltrch\fcs0 \cs18\v\f1\fs20\cf15\insrsid4523705\charrsid11683480 MNU[OPTACTPARTYES][NOTAPP]@CHOICE@AMACTMNU}{\rtlch\fcs1 _x000d__x000a_\af0 \ltrch\fcs0 \insrsid4523705\charrsid11683480 #}{\rtlch\fcs1 \af0 \ltrch\fcs0 \cs17\v\fs20\cf9\lang1024\langfe1024\loch\af1\hich\af1\dbch\af31501\noproof\insrsid4523705\charrsid11683480 \hich\af1\dbch\af31501\loch\f1 &lt;/OptDel&gt;&lt;/Article2&gt;}{\rtlch\fcs1 _x000d__x000a_\af0 \ltrch\fcs0 \insrsid4523705\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523705\charrsid11683480 #}{\rtlch\fcs1 \af1 \ltrch\fcs0 \cs18\v\f1\fs20\cf15\insrsid4523705\charrsid11683480 MNU[OPTLEFTAMACT][LEFTPROP]@CHOICE@AMACTMNU}{_x000d__x000a_\rtlch\fcs1 \af0 \ltrch\fcs0 \insrsid4523705\charrsid11683480 #\cell Amendment\cell }\pard\plain \ltrpar\ql \li0\ri0\widctlpar\intbl\wrapdefault\aspalpha\aspnum\faauto\adjustright\rin0\lin0 \rtlch\fcs1 \af0\afs20\alang1025 \ltrch\fcs0 _x000d__x000a_\fs24\lang2057\langfe2057\cgrid\langnp2057\langfenp2057 {\rtlch\fcs1 \af0 \ltrch\fcs0 \insrsid4523705\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523705\charrsid11683480 ##\cell ##}{\rtlch\fcs1 \af0\afs24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523705 \rtlch\fcs1 \af0\afs20\alang1025 \ltrch\fcs0 \fs24\lang2057\langfe2057\cgrid\langnp2057\langfenp2057 {\rtlch\fcs1 \af0 \ltrch\fcs0 _x000d__x000a_\insrsid4523705\charrsid11683480 Or. }{\rtlch\fcs1 \af0 \ltrch\fcs0 \cs17\v\fs20\cf9\lang1024\langfe1024\loch\af1\hich\af1\dbch\af31501\noproof\insrsid4523705\charrsid11683480 \hich\af1\dbch\af31501\loch\f1 &lt;Original&gt;}{\rtlch\fcs1 \af0 \ltrch\fcs0 _x000d__x000a_\insrsid4523705\charrsid11683480 #}{\rtlch\fcs1 \af1 \ltrch\fcs0 \cs18\v\f1\fs20\cf15\insrsid4523705\charrsid11683480 KEY(MAIN/LANGMIN)sh@ORLANGMSG@}{\rtlch\fcs1 \af0 \ltrch\fcs0 \insrsid4523705\charrsid11683480 #}{\rtlch\fcs1 \af0 \ltrch\fcs0 _x000d__x000a_\cs17\v\fs20\cf9\lang1024\langfe1024\loch\af1\hich\af1\dbch\af31501\noproof\insrsid4523705\charrsid11683480 \hich\af1\dbch\af31501\loch\f1 &lt;/Original&gt;}{\rtlch\fcs1 \af0 \ltrch\fcs0 \insrsid4523705\charrsid11683480 _x000d__x000a_\par }\pard\plain \ltrpar\s22\qc \li0\ri0\sb240\sa240\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OptDel&gt;}{\rtlch\fcs1 \af0 \ltrch\fcs0 \insrsid4523705\charrsid11683480 #}{_x000d__x000a_\rtlch\fcs1 \af1 \ltrch\fcs0 \cs18\v\f1\fs20\cf15\insrsid4523705\charrsid11683480 MNU[CROSSREFNO][CROSSREFYES]@CHOICE@}{\rtlch\fcs1 \af0 \ltrch\fcs0 \insrsid4523705\charrsid11683480 #}{\rtlch\fcs1 \af0 \ltrch\fcs0 _x000d__x000a_\cs17\i0\v\fs20\cf9\lang1024\langfe1024\loch\af1\hich\af1\dbch\af31501\noproof\insrsid4523705\charrsid11683480 \hich\af1\dbch\af31501\loch\f1 &lt;/OptDel&gt;}{\rtlch\fcs1 \af0 \ltrch\fcs0 \insrsid4523705\charrsid11683480 _x000d__x000a_\par }\pard\plain \ltrpar\s23\qc \li0\ri0\sb240\sa240\keepn\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TitreJust&gt;}{\rtlch\fcs1 \af0 \ltrch\fcs0 \insrsid4523705\charrsid11683480 _x000d__x000a_Justification}{\rtlch\fcs1 \af0 \ltrch\fcs0 \cs17\i0\v\fs20\cf9\lang1024\langfe1024\loch\af1\hich\af1\dbch\af31501\noproof\insrsid4523705\charrsid11683480 \hich\af1\dbch\af31501\loch\f1 &lt;/TitreJust&gt;}{\rtlch\fcs1 \af0 \ltrch\fcs0 _x000d__x000a_\insrsid4523705\charrsid11683480 _x000d__x000a_\par }\pard\plain \ltrpar\s21\ql \li0\ri0\sa240\nowidctlpar\wrapdefault\aspalpha\aspnum\faauto\adjustright\rin0\lin0\itap0\pararsid4523705 \rtlch\fcs1 \af0\afs20\alang1025 \ltrch\fcs0 \i\fs24\lang2057\langfe2057\cgrid\langnp2057\langfenp2057 {\rtlch\fcs1 \af0 _x000d__x000a_\ltrch\fcs0 \cs17\i0\v\fs20\cf9\lang1024\langfe1024\loch\af1\hich\af1\dbch\af31501\noproof\insrsid4523705\charrsid11683480 \hich\af1\dbch\af31501\loch\f1 &lt;OptDelPrev&gt;}{\rtlch\fcs1 \af0 \ltrch\fcs0 \insrsid4523705\charrsid11683480 #}{\rtlch\fcs1 \af1 _x000d__x000a_\ltrch\fcs0 \cs18\v\f1\fs20\cf15\insrsid4523705\charrsid11683480 MNU[TEXTJUSTYES][TEXTJUSTNO]@CHOICE@}{\rtlch\fcs1 \af0 \ltrch\fcs0 \insrsid4523705\charrsid11683480 #}{\rtlch\fcs1 \af0 \ltrch\fcs0 _x000d__x000a_\cs17\i0\v\fs20\cf9\lang1024\langfe1024\loch\af1\hich\af1\dbch\af31501\noproof\insrsid4523705\charrsid11683480 \hich\af1\dbch\af31501\loch\f1 &lt;/OptDelPrev&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9c_x000d__x000a_7145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96262 HideTWBExt;}{\*\cs18 \additive \v\f1\fs20\cf15 _x000d__x000a_\spriority0 \styrsid1196262 HideTWBInt;}{\s19\ql \li0\ri0\sa120\nowidctlpar\wrapdefault\aspalpha\aspnum\faauto\adjustright\rin0\lin0\itap0 \rtlch\fcs1 \af0\afs20\alang1025 \ltrch\fcs0 \fs24\lang2057\langfe2057\cgrid\langnp2057\langfenp2057 _x000d__x000a_\sbasedon0 \snext19 \spriority0 \styrsid1196262 Normal6a;}{\s20\ql \li0\ri0\nowidctlpar\wrapdefault\aspalpha\aspnum\faauto\adjustright\rin0\lin0\itap0 \rtlch\fcs1 \af0\afs20\alang1025 \ltrch\fcs0 \b\fs24\lang2057\langfe2057\cgrid\langnp2057\langfenp2057 _x000d__x000a_\sbasedon0 \snext20 \spriority0 \styrsid1196262 NormalBold;}{\s21\ql \li0\ri0\sa240\nowidctlpar\wrapdefault\aspalpha\aspnum\faauto\adjustright\rin0\lin0\itap0 \rtlch\fcs1 \af0\afs20\alang1025 \ltrch\fcs0 _x000d__x000a_\i\fs24\lang2057\langfe2057\cgrid\langnp2057\langfenp2057 \sbasedon0 \snext21 \spriority0 \styrsid1196262 AmJustText;}{\s22\qc \li0\ri0\sb240\sa240\nowidctlpar\wrapdefault\aspalpha\aspnum\faauto\adjustright\rin0\lin0\itap0 \rtlch\fcs1 _x000d__x000a_\af0\afs20\alang1025 \ltrch\fcs0 \i\fs24\lang2057\langfe2057\cgrid\langnp2057\langfenp2057 \sbasedon0 \snext22 \spriority0 \styrsid1196262 AmCrossRef;}{_x000d__x000a_\s23\qc \li0\ri0\sb240\sa240\keepn\nowidctlpar\wrapdefault\aspalpha\aspnum\faauto\adjustright\rin0\lin0\itap0 \rtlch\fcs1 \af0\afs20\alang1025 \ltrch\fcs0 \i\fs24\lang2057\langfe2057\cgrid\langnp2057\langfenp2057 _x000d__x000a_\sbasedon0 \snext21 \spriority0 \styrsid1196262 AmJustTitle;}{\s24\qr \li0\ri0\sb240\sa240\nowidctlpar\wrapdefault\aspalpha\aspnum\faauto\adjustright\rin0\lin0\itap0 \rtlch\fcs1 \af0\afs20\alang1025 \ltrch\fcs0 _x000d__x000a_\fs24\lang2057\langfe2057\cgrid\langnp2057\langfenp2057 \sbasedon0 \snext24 \spriority0 \styrsid1196262 AmOrLang;}{\s25\qc \li0\ri0\sa240\nowidctlpar\wrapdefault\aspalpha\aspnum\faauto\adjustright\rin0\lin0\itap0 \rtlch\fcs1 \af0\afs20\alang1025 _x000d__x000a_\ltrch\fcs0 \i\fs24\lang2057\langfe2057\cgrid\langnp2057\langfenp2057 \sbasedon0 \snext25 \spriority0 \styrsid11962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96262 AmNumberTabs;}}{\*\rsidtbl \rsid24658\rsid223860\rsid735077\rsid863474\rsid1196262\rsid1718133\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9}{\revtim\yr2025\mo4\dy8\hr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96262\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863474 \chftnsep _x000d__x000a_\par }}{\*\ftnsepc \ltrpar \pard\plain \ltrpar\ql \li0\ri0\widctlpar\wrapdefault\aspalpha\aspnum\faauto\adjustright\rin0\lin0\itap0 \rtlch\fcs1 \af0\afs20\alang1025 \ltrch\fcs0 \fs24\lang2057\langfe2057\cgrid\langnp2057\langfenp2057 {\rtlch\fcs1 \af0 _x000d__x000a_\ltrch\fcs0 \insrsid863474 \chftnsepc _x000d__x000a_\par }}{\*\aftnsep \ltrpar \pard\plain \ltrpar\ql \li0\ri0\widctlpar\wrapdefault\aspalpha\aspnum\faauto\adjustright\rin0\lin0\itap0 \rtlch\fcs1 \af0\afs20\alang1025 \ltrch\fcs0 \fs24\lang2057\langfe2057\cgrid\langnp2057\langfenp2057 {\rtlch\fcs1 \af0 _x000d__x000a_\ltrch\fcs0 \insrsid863474 \chftnsep _x000d__x000a_\par }}{\*\aftnsepc \ltrpar \pard\plain \ltrpar\ql \li0\ri0\widctlpar\wrapdefault\aspalpha\aspnum\faauto\adjustright\rin0\lin0\itap0 \rtlch\fcs1 \af0\afs20\alang1025 \ltrch\fcs0 \fs24\lang2057\langfe2057\cgrid\langnp2057\langfenp2057 {\rtlch\fcs1 \af0 _x000d__x000a_\ltrch\fcs0 \insrsid8634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96262 \rtlch\fcs1 _x000d__x000a_\af0\afs20\alang1025 \ltrch\fcs0 \b\fs24\lang2057\langfe2057\cgrid\langnp2057\langfenp2057 {\rtlch\fcs1 \af0 \ltrch\fcs0 \cs17\b0\v\fs20\cf9\lang1024\langfe1024\loch\af1\hich\af1\dbch\af31501\noproof\insrsid1196262\charrsid11683480 {\*\bkmkstart restart}_x000d__x000a_\hich\af1\dbch\af31501\loch\f1 &lt;}{\rtlch\fcs1 \af0 \ltrch\fcs0 \cs17\b0\v\fs20\cf9\lang1024\langfe1024\loch\af1\hich\af1\dbch\af31501\noproof\insrsid1196262 \hich\af1\dbch\af31501\loch\f1 Amend}{\rtlch\fcs1 \af0 \ltrch\fcs0 _x000d__x000a_\cs17\b0\v\fs20\cf9\lang1024\langfe1024\loch\af1\hich\af1\dbch\af31501\noproof\insrsid1196262\charrsid11683480 \hich\af1\dbch\af31501\loch\f1 &gt;}{\rtlch\fcs1 \af0 \ltrch\fcs0 \insrsid1196262\charrsid11683480 Amendment\tab \tab }{\rtlch\fcs1 \af0 _x000d__x000a_\ltrch\fcs0 \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rtlch\fcs1 \af1 \ltrch\fcs0 _x000d__x000a_\cs18\v\f1\fs20\cf15\insrsid1196262\charrsid11683480 ENMIENDA@NRAM@}{\rtlch\fcs1 \af0 \ltrch\fcs0 \insrsid1196262\charrsid11683480 #}{\rtlch\fcs1 \af0 \ltrch\fcs0 _x000d__x000a_\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hich\af1\dbch\af31501\loch\f1 RepeatBlock-By&gt;}{\rtlch\fcs1 \af0 \ltrch\fcs0 _x000d__x000a_\insrsid1196262\charrsid11683480 #}{\rtlch\fcs1 \af1 \ltrch\fcs0 \cs18\v\f1\fs20\cf15\insrsid1196262\charrsid11683480 (MOD@InsideLoop()}{\rtlch\fcs1 \af0 \ltrch\fcs0 \insrsid1196262\charrsid11683480 ##}{\rtlch\fcs1 \af1 \ltrch\fcs0 _x000d__x000a_\cs18\v\f1\fs20\cf15\insrsid1196262\charrsid11683480 &gt;&gt;&gt;@[ZMEMBERSMSG]@}{\rtlch\fcs1 \af0 \ltrch\fcs0 \insrsid1196262\charrsid11683480 #}{\rtlch\fcs1 \af0 \ltrch\fcs0 _x000d__x000a_\cs17\b0\v\fs20\cf9\lang1024\langfe1024\loch\af1\hich\af1\dbch\af31501\noproof\insrsid1196262\charrsid11683480 \hich\af1\dbch\af31501\loch\f1 &lt;Members&gt;}{\rtlch\fcs1 \af0 \ltrch\fcs0 \insrsid1196262\charrsid11683480 #}{\rtlch\fcs1 \af1 \ltrch\fcs0 _x000d__x000a_\cs18\v\f1\fs20\cf15\insrsid1196262\charrsid11683480 (MOD@InsideLoop(\'a7)}{\rtlch\fcs1 \af0 \ltrch\fcs0 \insrsid1196262\charrsid11683480 #}{\rtlch\fcs1 \af0 \ltrch\fcs0 \cf10\insrsid1196262\charrsid2112918 \u9668\'3f}{\rtlch\fcs1 \af0 \ltrch\fcs0 _x000d__x000a_\insrsid1196262\charrsid11683480 #}{\rtlch\fcs1 \af1 \ltrch\fcs0 \cs18\v\f1\fs20\cf15\insrsid1196262\charrsid11683480 TVTMEMBERS\'a7@MEMBERS@}{\rtlch\fcs1 \af0 \ltrch\fcs0 \insrsid1196262\charrsid11683480 #}{\rtlch\fcs1 \af0 \ltrch\fcs0 _x000d__x000a_\cf10\insrsid1196262\charrsid2112918 \u9658\'3f}{\rtlch\fcs1 \af0 \ltrch\fcs0 \cs17\b0\v\fs20\cf9\lang1024\langfe1024\loch\af1\hich\af1\dbch\af31501\noproof\insrsid1196262\charrsid11683480 \hich\af1\dbch\af31501\loch\f1 &lt;/Members&gt;}{\rtlch\fcs1 \af0 _x000d__x000a_\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AuNomDe&gt;&lt;OptDel&gt;}{\rtlch\fcs1 \af0 \ltrch\fcs0 \insrsid1196262\charrsid11683480 #}{\rtlch\fcs1 \af1 \ltrch\fcs0 _x000d__x000a_\cs18\v\f1\fs20\cf15\insrsid1196262\charrsid11683480 MNU[ONBEHALFYES][NOTAPP]@CHOICE@}{\rtlch\fcs1 \af0 \ltrch\fcs0 \insrsid1196262\charrsid11683480 #}{\rtlch\fcs1 \af0 \ltrch\fcs0 _x000d__x000a_\cs17\v\fs20\cf9\lang1024\langfe1024\loch\af1\hich\af1\dbch\af31501\noproof\insrsid1196262\charrsid11683480 \hich\af1\dbch\af31501\loch\f1 &lt;/OptDel&gt;&lt;/AuNomDe&gt;}{\rtlch\fcs1 \af0 \ltrch\fcs0 \insrsid1196262\charrsid11683480 _x000d__x000a_\par &lt;&lt;&lt;}{\rtlch\fcs1 \af0 \ltrch\fcs0 \cs17\v\fs20\cf9\lang1024\langfe1024\loch\af1\hich\af1\dbch\af31501\noproof\insrsid1196262\charrsid11683480 \hich\af1\dbch\af31501\loch\f1 &lt;/RepeatBlock-By&gt;}{\rtlch\fcs1 \af0 \ltrch\fcs0 \insrsid1196262\charrsid11683480 _x000d__x000a_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DocAmend&gt;}{\rtlch\fcs1 \af0 \ltrch\fcs0 \insrsid1196262\charrsid11683480 #}{\rtlch\fcs1 \af1 _x000d__x000a_\ltrch\fcs0 \cs18\v\f1\fs20\cf15\insrsid1196262\charrsid11683480 MNU[OPTPROPOSALCOD][OPTPROPOSALCNS][OPTPROPOSALNLE]@CHOICE@CODEMNU}{\rtlch\fcs1 \af0 \ltrch\fcs0 \insrsid1196262\charrsid11683480 #}{\rtlch\fcs1 \af0 \ltrch\fcs0 _x000d__x000a_\cs17\b0\v\fs20\cf9\lang1024\langfe1024\loch\af1\hich\af1\dbch\af31501\noproof\insrsid1196262\charrsid11683480 \hich\af1\dbch\af31501\loch\f1 &lt;/DocAmend&gt;}{\rtlch\fcs1 \af0 \ltrch\fcs0 \insrsid1196262\charrsid11683480 _x000d__x000a_\par }\pard \ltrpar\s20\ql \li0\ri0\keepn\nowidctlpar\wrapdefault\aspalpha\aspnum\faauto\adjustright\rin0\lin0\itap0\pararsid1196262 {\rtlch\fcs1 \af0 \ltrch\fcs0 _x000d__x000a_\cs17\b0\v\fs20\cf9\lang1024\langfe1024\loch\af1\hich\af1\dbch\af31501\noproof\insrsid1196262\charrsid11683480 \hich\af1\dbch\af31501\loch\f1 &lt;Article&gt;}{\rtlch\fcs1 \af0 \ltrch\fcs0 \insrsid1196262\charrsid11683480 #}{\rtlch\fcs1 \af1 \ltrch\fcs0 _x000d__x000a_\cs18\v\f1\fs20\cf15\insrsid1196262\charrsid11683480 MNU[AMACTPARTYES][AMACTPARTNO]@CHOICE@AMACTMNU}{\rtlch\fcs1 \af0 \ltrch\fcs0 \insrsid1196262\charrsid11683480 #}{\rtlch\fcs1 \af0 \ltrch\fcs0 _x000d__x000a_\cs17\b0\v\fs20\cf9\lang1024\langfe1024\loch\af1\hich\af1\dbch\af31501\noproof\insrsid1196262\charrsid11683480 \hich\af1\dbch\af31501\loch\f1 &lt;/Article&gt;}{\rtlch\fcs1 \af0 \ltrch\fcs0 \insrsid1196262\charrsid11683480 _x000d__x000a_\par }\pard\plain \ltrpar\ql \li0\ri0\keepn\widctlpar\wrapdefault\aspalpha\aspnum\faauto\adjustright\rin0\lin0\itap0\pararsid1196262 \rtlch\fcs1 \af0\afs20\alang1025 \ltrch\fcs0 \fs24\lang2057\langfe2057\cgrid\langnp2057\langfenp2057 {\rtlch\fcs1 \af0 _x000d__x000a_\ltrch\fcs0 \cs17\v\fs20\cf9\lang1024\langfe1024\loch\af1\hich\af1\dbch\af31501\noproof\insrsid1196262\charrsid11683480 \hich\af1\dbch\af31501\loch\f1 &lt;DocAmend2&gt;&lt;OptDel&gt;}{\rtlch\fcs1 \af0 \ltrch\fcs0 \insrsid1196262\charrsid11683480 #}{\rtlch\fcs1 \af1 _x000d__x000a_\ltrch\fcs0 \cs18\v\f1\fs20\cf15\insrsid1196262\charrsid11683480 MNU[OPTNRACTYES][NOTAPP]@CHOICE@AMACTMNU}{\rtlch\fcs1 \af0 \ltrch\fcs0 \insrsid1196262\charrsid11683480 #}{\rtlch\fcs1 \af0 \ltrch\fcs0 _x000d__x000a_\cs17\v\fs20\cf9\lang1024\langfe1024\loch\af1\hich\af1\dbch\af31501\noproof\insrsid1196262\charrsid11683480 \hich\af1\dbch\af31501\loch\f1 &lt;/OptDel&gt;&lt;/DocAmend2&gt;}{\rtlch\fcs1 \af0 \ltrch\fcs0 \insrsid1196262\charrsid11683480 _x000d__x000a_\par }\pard \ltrpar\ql \li0\ri0\widctlpar\wrapdefault\aspalpha\aspnum\faauto\adjustright\rin0\lin0\itap0\pararsid1196262 {\rtlch\fcs1 \af0 \ltrch\fcs0 \cs17\v\fs20\cf9\lang1024\langfe1024\loch\af1\hich\af1\dbch\af31501\noproof\insrsid1196262\charrsid11683480 _x000d__x000a_\hich\af1\dbch\af31501\loch\f1 &lt;Article2&gt;&lt;OptDel&gt;}{\rtlch\fcs1 \af0 \ltrch\fcs0 \insrsid1196262\charrsid11683480 #}{\rtlch\fcs1 \af1 \ltrch\fcs0 \cs18\v\f1\fs20\cf15\insrsid1196262\charrsid11683480 MNU[OPTACTPARTYES][NOTAPP]@CHOICE@AMACTMNU}{\rtlch\fcs1 _x000d__x000a_\af0 \ltrch\fcs0 \insrsid1196262\charrsid11683480 #}{\rtlch\fcs1 \af0 \ltrch\fcs0 \cs17\v\fs20\cf9\lang1024\langfe1024\loch\af1\hich\af1\dbch\af31501\noproof\insrsid1196262\charrsid11683480 \hich\af1\dbch\af31501\loch\f1 &lt;/OptDel&gt;&lt;/Article2&gt;}{\rtlch\fcs1 _x000d__x000a_\af0 \ltrch\fcs0 \insrsid1196262\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96262\charrsid11683480 #}{\rtlch\fcs1 \af1 \ltrch\fcs0 \cs18\v\f1\fs20\cf15\insrsid1196262\charrsid11683480 MNU[OPTLEFTAMACT][LEFTPROP]@CHOICE@AMACTMNU}{_x000d__x000a_\rtlch\fcs1 \af0 \ltrch\fcs0 \insrsid1196262\charrsid11683480 #\cell Amendment\cell }\pard\plain \ltrpar\ql \li0\ri0\widctlpar\intbl\wrapdefault\aspalpha\aspnum\faauto\adjustright\rin0\lin0 \rtlch\fcs1 \af0\afs20\alang1025 \ltrch\fcs0 _x000d__x000a_\fs24\lang2057\langfe2057\cgrid\langnp2057\langfenp2057 {\rtlch\fcs1 \af0 \ltrch\fcs0 \insrsid1196262\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96262\charrsid11683480 ##\cell ##}{\rtlch\fcs1 \af0\afs24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96262 \rtlch\fcs1 \af0\afs20\alang1025 \ltrch\fcs0 \fs24\lang2057\langfe2057\cgrid\langnp2057\langfenp2057 {\rtlch\fcs1 \af0 \ltrch\fcs0 _x000d__x000a_\insrsid1196262\charrsid11683480 Or. }{\rtlch\fcs1 \af0 \ltrch\fcs0 \cs17\v\fs20\cf9\lang1024\langfe1024\loch\af1\hich\af1\dbch\af31501\noproof\insrsid1196262\charrsid11683480 \hich\af1\dbch\af31501\loch\f1 &lt;Original&gt;}{\rtlch\fcs1 \af0 \ltrch\fcs0 _x000d__x000a_\insrsid1196262\charrsid11683480 #}{\rtlch\fcs1 \af1 \ltrch\fcs0 \cs18\v\f1\fs20\cf15\insrsid1196262\charrsid11683480 KEY(MAIN/LANGMIN)sh@ORLANGMSG@}{\rtlch\fcs1 \af0 \ltrch\fcs0 \insrsid1196262\charrsid11683480 #}{\rtlch\fcs1 \af0 \ltrch\fcs0 _x000d__x000a_\cs17\v\fs20\cf9\lang1024\langfe1024\loch\af1\hich\af1\dbch\af31501\noproof\insrsid1196262\charrsid11683480 \hich\af1\dbch\af31501\loch\f1 &lt;/Original&gt;}{\rtlch\fcs1 \af0 \ltrch\fcs0 \insrsid1196262\charrsid11683480 _x000d__x000a_\par }\pard\plain \ltrpar\s22\qc \li0\ri0\sb240\sa240\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OptDel&gt;}{\rtlch\fcs1 \af0 \ltrch\fcs0 \insrsid1196262\charrsid11683480 #}{_x000d__x000a_\rtlch\fcs1 \af1 \ltrch\fcs0 \cs18\v\f1\fs20\cf15\insrsid1196262\charrsid11683480 MNU[CROSSREFNO][CROSSREFYES]@CHOICE@}{\rtlch\fcs1 \af0 \ltrch\fcs0 \insrsid1196262\charrsid11683480 #}{\rtlch\fcs1 \af0 \ltrch\fcs0 _x000d__x000a_\cs17\i0\v\fs20\cf9\lang1024\langfe1024\loch\af1\hich\af1\dbch\af31501\noproof\insrsid1196262\charrsid11683480 \hich\af1\dbch\af31501\loch\f1 &lt;/OptDel&gt;}{\rtlch\fcs1 \af0 \ltrch\fcs0 \insrsid1196262\charrsid11683480 _x000d__x000a_\par }\pard\plain \ltrpar\s23\qc \li0\ri0\sb240\sa240\keepn\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TitreJust&gt;}{\rtlch\fcs1 \af0 \ltrch\fcs0 \insrsid1196262\charrsid11683480 _x000d__x000a_Justification}{\rtlch\fcs1 \af0 \ltrch\fcs0 \cs17\i0\v\fs20\cf9\lang1024\langfe1024\loch\af1\hich\af1\dbch\af31501\noproof\insrsid1196262\charrsid11683480 \hich\af1\dbch\af31501\loch\f1 &lt;/TitreJust&gt;}{\rtlch\fcs1 \af0 \ltrch\fcs0 _x000d__x000a_\insrsid1196262\charrsid11683480 _x000d__x000a_\par }\pard\plain \ltrpar\s21\ql \li0\ri0\sa240\nowidctlpar\wrapdefault\aspalpha\aspnum\faauto\adjustright\rin0\lin0\itap0\pararsid1196262 \rtlch\fcs1 \af0\afs20\alang1025 \ltrch\fcs0 \i\fs24\lang2057\langfe2057\cgrid\langnp2057\langfenp2057 {\rtlch\fcs1 \af0 _x000d__x000a_\ltrch\fcs0 \cs17\i0\v\fs20\cf9\lang1024\langfe1024\loch\af1\hich\af1\dbch\af31501\noproof\insrsid1196262\charrsid11683480 \hich\af1\dbch\af31501\loch\f1 &lt;OptDelPrev&gt;}{\rtlch\fcs1 \af0 \ltrch\fcs0 \insrsid1196262\charrsid11683480 #}{\rtlch\fcs1 \af1 _x000d__x000a_\ltrch\fcs0 \cs18\v\f1\fs20\cf15\insrsid1196262\charrsid11683480 MNU[TEXTJUSTYES][TEXTJUSTNO]@CHOICE@}{\rtlch\fcs1 \af0 \ltrch\fcs0 \insrsid1196262\charrsid11683480 #}{\rtlch\fcs1 \af0 \ltrch\fcs0 _x000d__x000a_\cs17\i0\v\fs20\cf9\lang1024\langfe1024\loch\af1\hich\af1\dbch\af31501\noproof\insrsid1196262\charrsid11683480 \hich\af1\dbch\af31501\loch\f1 &lt;/OptDelPrev&gt;}{\rtlch\fcs1 \af0 \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rtlch\fcs1 \af0 \ltrch\fcs0 _x000d__x000a_\cs17\v\fs20\cf9\lang1024\langfe1024\loch\af1\hich\af1\dbch\af31501\noproof\insrsid1196262 \hich\af1\dbch\af31501\loch\f1 Ame\hich\af1\dbch\af31501\loch\f1 nd}{\rtlch\fcs1 \af0 \ltrch\fcs0 _x000d__x000a_\cs17\v\fs20\cf9\lang1024\langfe1024\loch\af1\hich\af1\dbch\af31501\noproof\insrsid1196262\charrsid1168348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ed_x000d__x000a_e1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9"/>
    <w:docVar w:name="TXTAUTHOR" w:val="Željana Zovko"/>
    <w:docVar w:name="TXTLANGUE" w:val="PT"/>
    <w:docVar w:name="TXTLANGUEMIN" w:val="pt"/>
    <w:docVar w:name="TXTNRC" w:val="0006/2024"/>
    <w:docVar w:name="TXTNRCOM" w:val="(2024)0183"/>
    <w:docVar w:name="TXTNRFIRSTAM" w:val="127"/>
    <w:docVar w:name="TXTNRLASTAM" w:val="244"/>
    <w:docVar w:name="TXTNRPE" w:val="771.930"/>
    <w:docVar w:name="TXTNRPE2" w:val="765.292"/>
    <w:docVar w:name="TXTNRPROC" w:val="2024"/>
    <w:docVar w:name="TXTPEorAP" w:val="PE"/>
    <w:docVar w:name="TXTROUTE" w:val="AM\1319572PT.docx"/>
    <w:docVar w:name="TXTTITLE" w:val="Proposal for a regulation of the European Parliament and of the Council amending Regulation (EU) No 2023/2124 of the European Parliament and of the Council of 4 October 2023 on certain provisions for fishing in the GFCM (General Fisheries Commission for the Mediterranean) Agreement area"/>
    <w:docVar w:name="TXTVERSION" w:val="03-00"/>
    <w:docVar w:name="TXTVERSION2" w:val="01-00"/>
  </w:docVars>
  <w:rsids>
    <w:rsidRoot w:val="00B24698"/>
    <w:rsid w:val="000111BD"/>
    <w:rsid w:val="00073830"/>
    <w:rsid w:val="00075DBE"/>
    <w:rsid w:val="000B0781"/>
    <w:rsid w:val="000C2140"/>
    <w:rsid w:val="000D446F"/>
    <w:rsid w:val="000E7234"/>
    <w:rsid w:val="000F2A80"/>
    <w:rsid w:val="000F7815"/>
    <w:rsid w:val="001177CB"/>
    <w:rsid w:val="00126BC4"/>
    <w:rsid w:val="0013748B"/>
    <w:rsid w:val="00150057"/>
    <w:rsid w:val="00166CCB"/>
    <w:rsid w:val="0017484C"/>
    <w:rsid w:val="001809DD"/>
    <w:rsid w:val="001838DC"/>
    <w:rsid w:val="001A4802"/>
    <w:rsid w:val="001A5F80"/>
    <w:rsid w:val="001B761C"/>
    <w:rsid w:val="001C2054"/>
    <w:rsid w:val="001C502E"/>
    <w:rsid w:val="001D13C9"/>
    <w:rsid w:val="001D5CC4"/>
    <w:rsid w:val="001D7A49"/>
    <w:rsid w:val="001F0FDD"/>
    <w:rsid w:val="0020367C"/>
    <w:rsid w:val="00203D96"/>
    <w:rsid w:val="00222325"/>
    <w:rsid w:val="00231EA7"/>
    <w:rsid w:val="00236619"/>
    <w:rsid w:val="002554BF"/>
    <w:rsid w:val="002574CB"/>
    <w:rsid w:val="00280EA6"/>
    <w:rsid w:val="002A1C82"/>
    <w:rsid w:val="002B6A7B"/>
    <w:rsid w:val="002C5761"/>
    <w:rsid w:val="002E3F68"/>
    <w:rsid w:val="002E4311"/>
    <w:rsid w:val="003003A7"/>
    <w:rsid w:val="00315664"/>
    <w:rsid w:val="00322475"/>
    <w:rsid w:val="00363AD3"/>
    <w:rsid w:val="003743DE"/>
    <w:rsid w:val="00374902"/>
    <w:rsid w:val="0037660F"/>
    <w:rsid w:val="00384E84"/>
    <w:rsid w:val="0038706C"/>
    <w:rsid w:val="003923F7"/>
    <w:rsid w:val="003A3BB5"/>
    <w:rsid w:val="003A5102"/>
    <w:rsid w:val="003C6E39"/>
    <w:rsid w:val="003D466C"/>
    <w:rsid w:val="003D70F2"/>
    <w:rsid w:val="003E08BF"/>
    <w:rsid w:val="003E43AC"/>
    <w:rsid w:val="003E5426"/>
    <w:rsid w:val="003F21EB"/>
    <w:rsid w:val="003F3B0C"/>
    <w:rsid w:val="00422BB2"/>
    <w:rsid w:val="004367B3"/>
    <w:rsid w:val="00441413"/>
    <w:rsid w:val="00441D7D"/>
    <w:rsid w:val="00461E32"/>
    <w:rsid w:val="00464338"/>
    <w:rsid w:val="00495E20"/>
    <w:rsid w:val="004E0AAC"/>
    <w:rsid w:val="004E1C4C"/>
    <w:rsid w:val="004F03F0"/>
    <w:rsid w:val="004F2903"/>
    <w:rsid w:val="004F2CB9"/>
    <w:rsid w:val="005246D8"/>
    <w:rsid w:val="00547F73"/>
    <w:rsid w:val="00557617"/>
    <w:rsid w:val="00571479"/>
    <w:rsid w:val="005A7205"/>
    <w:rsid w:val="005A7EB4"/>
    <w:rsid w:val="005B32E3"/>
    <w:rsid w:val="005E50C2"/>
    <w:rsid w:val="006051F7"/>
    <w:rsid w:val="00607ABE"/>
    <w:rsid w:val="006337D4"/>
    <w:rsid w:val="00637384"/>
    <w:rsid w:val="00652B4D"/>
    <w:rsid w:val="0066168A"/>
    <w:rsid w:val="00665DDA"/>
    <w:rsid w:val="00672807"/>
    <w:rsid w:val="006746CD"/>
    <w:rsid w:val="00687070"/>
    <w:rsid w:val="00695CC1"/>
    <w:rsid w:val="006965BE"/>
    <w:rsid w:val="006A2838"/>
    <w:rsid w:val="006B4B58"/>
    <w:rsid w:val="006B6438"/>
    <w:rsid w:val="006D4E12"/>
    <w:rsid w:val="006D6B15"/>
    <w:rsid w:val="006F3F81"/>
    <w:rsid w:val="006F4B73"/>
    <w:rsid w:val="00702F62"/>
    <w:rsid w:val="007059E9"/>
    <w:rsid w:val="00706049"/>
    <w:rsid w:val="007152AF"/>
    <w:rsid w:val="00736FBA"/>
    <w:rsid w:val="0074160E"/>
    <w:rsid w:val="007418EC"/>
    <w:rsid w:val="007659AC"/>
    <w:rsid w:val="0079060C"/>
    <w:rsid w:val="007A42AB"/>
    <w:rsid w:val="007C71DE"/>
    <w:rsid w:val="00811D8D"/>
    <w:rsid w:val="00822C94"/>
    <w:rsid w:val="008363E4"/>
    <w:rsid w:val="00851460"/>
    <w:rsid w:val="0085430F"/>
    <w:rsid w:val="0087052C"/>
    <w:rsid w:val="00870CF2"/>
    <w:rsid w:val="0087412A"/>
    <w:rsid w:val="00874862"/>
    <w:rsid w:val="00875A9C"/>
    <w:rsid w:val="00887FDC"/>
    <w:rsid w:val="008B251A"/>
    <w:rsid w:val="008D6D06"/>
    <w:rsid w:val="008F0DDD"/>
    <w:rsid w:val="00900CAE"/>
    <w:rsid w:val="00904AD5"/>
    <w:rsid w:val="00907CCA"/>
    <w:rsid w:val="009154FF"/>
    <w:rsid w:val="00917A85"/>
    <w:rsid w:val="0094646B"/>
    <w:rsid w:val="00966038"/>
    <w:rsid w:val="009A65D8"/>
    <w:rsid w:val="009B0305"/>
    <w:rsid w:val="009B4539"/>
    <w:rsid w:val="009F230F"/>
    <w:rsid w:val="00A15973"/>
    <w:rsid w:val="00A233E9"/>
    <w:rsid w:val="00A46736"/>
    <w:rsid w:val="00A507FC"/>
    <w:rsid w:val="00A5426B"/>
    <w:rsid w:val="00A845EF"/>
    <w:rsid w:val="00A84E16"/>
    <w:rsid w:val="00A93389"/>
    <w:rsid w:val="00A93F8C"/>
    <w:rsid w:val="00A959E7"/>
    <w:rsid w:val="00AA0426"/>
    <w:rsid w:val="00AA0896"/>
    <w:rsid w:val="00AB74D6"/>
    <w:rsid w:val="00AC7149"/>
    <w:rsid w:val="00AD730A"/>
    <w:rsid w:val="00AE1432"/>
    <w:rsid w:val="00AE4459"/>
    <w:rsid w:val="00AF003F"/>
    <w:rsid w:val="00AF25FC"/>
    <w:rsid w:val="00AF2819"/>
    <w:rsid w:val="00B0638A"/>
    <w:rsid w:val="00B06E5B"/>
    <w:rsid w:val="00B10564"/>
    <w:rsid w:val="00B24698"/>
    <w:rsid w:val="00B41B4D"/>
    <w:rsid w:val="00B72691"/>
    <w:rsid w:val="00B77A45"/>
    <w:rsid w:val="00B8066A"/>
    <w:rsid w:val="00B85286"/>
    <w:rsid w:val="00B90B7F"/>
    <w:rsid w:val="00B9188F"/>
    <w:rsid w:val="00BA48D2"/>
    <w:rsid w:val="00BC1B1F"/>
    <w:rsid w:val="00BE0C84"/>
    <w:rsid w:val="00BE293C"/>
    <w:rsid w:val="00BE5062"/>
    <w:rsid w:val="00C046F3"/>
    <w:rsid w:val="00C10F61"/>
    <w:rsid w:val="00C22CC4"/>
    <w:rsid w:val="00C2336C"/>
    <w:rsid w:val="00C35E35"/>
    <w:rsid w:val="00C41E32"/>
    <w:rsid w:val="00C60472"/>
    <w:rsid w:val="00C92798"/>
    <w:rsid w:val="00CB34F1"/>
    <w:rsid w:val="00CB7B07"/>
    <w:rsid w:val="00CC3983"/>
    <w:rsid w:val="00D00CC7"/>
    <w:rsid w:val="00D100D1"/>
    <w:rsid w:val="00D14FCE"/>
    <w:rsid w:val="00D15308"/>
    <w:rsid w:val="00D1583C"/>
    <w:rsid w:val="00D15D1E"/>
    <w:rsid w:val="00D23D18"/>
    <w:rsid w:val="00D42398"/>
    <w:rsid w:val="00D44842"/>
    <w:rsid w:val="00D677D5"/>
    <w:rsid w:val="00D755F1"/>
    <w:rsid w:val="00D767AC"/>
    <w:rsid w:val="00D773DF"/>
    <w:rsid w:val="00D82FCC"/>
    <w:rsid w:val="00D85E21"/>
    <w:rsid w:val="00D87B31"/>
    <w:rsid w:val="00DB429F"/>
    <w:rsid w:val="00DB65C2"/>
    <w:rsid w:val="00DC4160"/>
    <w:rsid w:val="00DC6A1B"/>
    <w:rsid w:val="00DD5018"/>
    <w:rsid w:val="00DE672F"/>
    <w:rsid w:val="00E15A86"/>
    <w:rsid w:val="00E25DC5"/>
    <w:rsid w:val="00E44BB0"/>
    <w:rsid w:val="00E471BE"/>
    <w:rsid w:val="00E57F50"/>
    <w:rsid w:val="00E660E2"/>
    <w:rsid w:val="00EA25AE"/>
    <w:rsid w:val="00EB3A71"/>
    <w:rsid w:val="00EE011D"/>
    <w:rsid w:val="00EE3E0D"/>
    <w:rsid w:val="00EF03A3"/>
    <w:rsid w:val="00EF11AD"/>
    <w:rsid w:val="00F1688F"/>
    <w:rsid w:val="00F27170"/>
    <w:rsid w:val="00F37D8F"/>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646BC"/>
  <w15:chartTrackingRefBased/>
  <w15:docId w15:val="{C96CA274-2611-4930-A483-DECAFDDC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D96"/>
    <w:rPr>
      <w:rFonts w:ascii="Arial" w:hAnsi="Arial"/>
      <w:b/>
      <w:kern w:val="28"/>
      <w:sz w:val="28"/>
    </w:rPr>
  </w:style>
  <w:style w:type="character" w:customStyle="1" w:styleId="Heading2Char">
    <w:name w:val="Heading 2 Char"/>
    <w:basedOn w:val="DefaultParagraphFont"/>
    <w:link w:val="Heading2"/>
    <w:semiHidden/>
    <w:rsid w:val="00203D96"/>
    <w:rPr>
      <w:rFonts w:ascii="Arial" w:hAnsi="Arial"/>
      <w:b/>
      <w:i/>
      <w:sz w:val="24"/>
    </w:rPr>
  </w:style>
  <w:style w:type="character" w:customStyle="1" w:styleId="Heading3Char">
    <w:name w:val="Heading 3 Char"/>
    <w:basedOn w:val="DefaultParagraphFont"/>
    <w:link w:val="Heading3"/>
    <w:semiHidden/>
    <w:rsid w:val="00203D96"/>
    <w:rPr>
      <w:rFonts w:ascii="Arial" w:hAnsi="Arial"/>
      <w:sz w:val="24"/>
    </w:rPr>
  </w:style>
  <w:style w:type="character" w:customStyle="1" w:styleId="Heading4Char">
    <w:name w:val="Heading 4 Char"/>
    <w:basedOn w:val="DefaultParagraphFont"/>
    <w:link w:val="Heading4"/>
    <w:semiHidden/>
    <w:rsid w:val="00203D96"/>
    <w:rPr>
      <w:rFonts w:ascii="Arial" w:hAnsi="Arial"/>
      <w:b/>
      <w:sz w:val="24"/>
    </w:rPr>
  </w:style>
  <w:style w:type="character" w:customStyle="1" w:styleId="Heading5Char">
    <w:name w:val="Heading 5 Char"/>
    <w:basedOn w:val="DefaultParagraphFont"/>
    <w:link w:val="Heading5"/>
    <w:semiHidden/>
    <w:rsid w:val="00203D96"/>
    <w:rPr>
      <w:sz w:val="22"/>
    </w:rPr>
  </w:style>
  <w:style w:type="character" w:customStyle="1" w:styleId="Heading6Char">
    <w:name w:val="Heading 6 Char"/>
    <w:basedOn w:val="DefaultParagraphFont"/>
    <w:link w:val="Heading6"/>
    <w:semiHidden/>
    <w:rsid w:val="00203D96"/>
    <w:rPr>
      <w:i/>
      <w:sz w:val="22"/>
    </w:rPr>
  </w:style>
  <w:style w:type="character" w:customStyle="1" w:styleId="Heading7Char">
    <w:name w:val="Heading 7 Char"/>
    <w:basedOn w:val="DefaultParagraphFont"/>
    <w:link w:val="Heading7"/>
    <w:semiHidden/>
    <w:rsid w:val="00203D96"/>
    <w:rPr>
      <w:rFonts w:ascii="Arial" w:hAnsi="Arial"/>
      <w:sz w:val="24"/>
    </w:rPr>
  </w:style>
  <w:style w:type="character" w:customStyle="1" w:styleId="Heading8Char">
    <w:name w:val="Heading 8 Char"/>
    <w:basedOn w:val="DefaultParagraphFont"/>
    <w:link w:val="Heading8"/>
    <w:semiHidden/>
    <w:rsid w:val="00203D96"/>
    <w:rPr>
      <w:rFonts w:ascii="Arial" w:hAnsi="Arial"/>
      <w:i/>
      <w:sz w:val="24"/>
    </w:rPr>
  </w:style>
  <w:style w:type="character" w:customStyle="1" w:styleId="Heading9Char">
    <w:name w:val="Heading 9 Char"/>
    <w:basedOn w:val="DefaultParagraphFont"/>
    <w:link w:val="Heading9"/>
    <w:semiHidden/>
    <w:rsid w:val="00203D96"/>
    <w:rPr>
      <w:rFonts w:ascii="Arial" w:hAnsi="Arial"/>
      <w:b/>
      <w:i/>
      <w:sz w:val="18"/>
    </w:rPr>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03D96"/>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uiPriority w:val="39"/>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noteTextChar">
    <w:name w:val="Footnote Text Char"/>
    <w:basedOn w:val="DefaultParagraphFont"/>
    <w:link w:val="FootnoteText"/>
    <w:uiPriority w:val="99"/>
    <w:rsid w:val="00203D96"/>
    <w:rPr>
      <w:rFonts w:eastAsiaTheme="minorHAnsi"/>
      <w:lang w:eastAsia="en-US"/>
    </w:rPr>
  </w:style>
  <w:style w:type="paragraph" w:styleId="FootnoteText">
    <w:name w:val="footnote text"/>
    <w:basedOn w:val="Normal"/>
    <w:link w:val="FootnoteTextChar"/>
    <w:uiPriority w:val="99"/>
    <w:unhideWhenUsed/>
    <w:rsid w:val="00203D96"/>
    <w:pPr>
      <w:widowControl/>
      <w:ind w:left="720" w:hanging="720"/>
      <w:jc w:val="both"/>
    </w:pPr>
    <w:rPr>
      <w:rFonts w:eastAsiaTheme="minorHAnsi"/>
      <w:sz w:val="20"/>
      <w:lang w:eastAsia="en-US"/>
    </w:rPr>
  </w:style>
  <w:style w:type="character" w:customStyle="1" w:styleId="CommentTextChar">
    <w:name w:val="Comment Text Char"/>
    <w:basedOn w:val="DefaultParagraphFont"/>
    <w:link w:val="CommentText"/>
    <w:rsid w:val="00203D96"/>
  </w:style>
  <w:style w:type="paragraph" w:styleId="CommentText">
    <w:name w:val="annotation text"/>
    <w:basedOn w:val="Normal"/>
    <w:link w:val="CommentTextChar"/>
    <w:unhideWhenUsed/>
    <w:rsid w:val="00203D96"/>
    <w:rPr>
      <w:sz w:val="20"/>
    </w:rPr>
  </w:style>
  <w:style w:type="character" w:customStyle="1" w:styleId="FooterChar">
    <w:name w:val="Footer Char"/>
    <w:basedOn w:val="DefaultParagraphFont"/>
    <w:link w:val="Footer"/>
    <w:semiHidden/>
    <w:rsid w:val="00203D96"/>
    <w:rPr>
      <w:sz w:val="24"/>
    </w:rPr>
  </w:style>
  <w:style w:type="paragraph" w:styleId="Footer">
    <w:name w:val="footer"/>
    <w:basedOn w:val="Normal"/>
    <w:link w:val="FooterChar"/>
    <w:semiHidden/>
    <w:unhideWhenUsed/>
    <w:rsid w:val="00203D96"/>
    <w:pPr>
      <w:tabs>
        <w:tab w:val="center" w:pos="4513"/>
        <w:tab w:val="right" w:pos="9026"/>
      </w:tabs>
    </w:pPr>
  </w:style>
  <w:style w:type="character" w:customStyle="1" w:styleId="CommentSubjectChar">
    <w:name w:val="Comment Subject Char"/>
    <w:basedOn w:val="CommentTextChar"/>
    <w:link w:val="CommentSubject"/>
    <w:semiHidden/>
    <w:rsid w:val="00203D96"/>
    <w:rPr>
      <w:b/>
      <w:bCs/>
    </w:rPr>
  </w:style>
  <w:style w:type="paragraph" w:styleId="CommentSubject">
    <w:name w:val="annotation subject"/>
    <w:basedOn w:val="CommentText"/>
    <w:next w:val="CommentText"/>
    <w:link w:val="CommentSubjectChar"/>
    <w:semiHidden/>
    <w:unhideWhenUsed/>
    <w:rsid w:val="00203D96"/>
    <w:rPr>
      <w:b/>
      <w:bCs/>
    </w:rPr>
  </w:style>
  <w:style w:type="character" w:customStyle="1" w:styleId="BalloonTextChar">
    <w:name w:val="Balloon Text Char"/>
    <w:basedOn w:val="DefaultParagraphFont"/>
    <w:link w:val="BalloonText"/>
    <w:semiHidden/>
    <w:rsid w:val="00203D96"/>
    <w:rPr>
      <w:rFonts w:ascii="Segoe UI" w:hAnsi="Segoe UI" w:cs="Segoe UI"/>
      <w:sz w:val="18"/>
      <w:szCs w:val="18"/>
    </w:rPr>
  </w:style>
  <w:style w:type="paragraph" w:styleId="BalloonText">
    <w:name w:val="Balloon Text"/>
    <w:basedOn w:val="Normal"/>
    <w:link w:val="BalloonTextChar"/>
    <w:semiHidden/>
    <w:unhideWhenUsed/>
    <w:rsid w:val="00203D96"/>
    <w:rPr>
      <w:rFonts w:ascii="Segoe UI" w:hAnsi="Segoe UI" w:cs="Segoe UI"/>
      <w:sz w:val="18"/>
      <w:szCs w:val="18"/>
    </w:rPr>
  </w:style>
  <w:style w:type="character" w:customStyle="1" w:styleId="Normal6Char">
    <w:name w:val="Normal6 Char"/>
    <w:basedOn w:val="DefaultParagraphFont"/>
    <w:link w:val="Normal6"/>
    <w:locked/>
    <w:rsid w:val="00203D96"/>
    <w:rPr>
      <w:sz w:val="24"/>
      <w:lang w:val="pt-PT"/>
    </w:rPr>
  </w:style>
  <w:style w:type="paragraph" w:customStyle="1" w:styleId="Normal6">
    <w:name w:val="Normal6"/>
    <w:basedOn w:val="Normal"/>
    <w:link w:val="Normal6Char"/>
    <w:rsid w:val="00203D96"/>
    <w:pPr>
      <w:spacing w:after="120"/>
    </w:pPr>
  </w:style>
  <w:style w:type="paragraph" w:customStyle="1" w:styleId="ColumnHeading">
    <w:name w:val="ColumnHeading"/>
    <w:basedOn w:val="Normal"/>
    <w:rsid w:val="00203D96"/>
    <w:pPr>
      <w:spacing w:after="240"/>
      <w:jc w:val="center"/>
    </w:pPr>
    <w:rPr>
      <w:i/>
    </w:rPr>
  </w:style>
  <w:style w:type="paragraph" w:customStyle="1" w:styleId="Normal12Italic">
    <w:name w:val="Normal12Italic"/>
    <w:basedOn w:val="Normal"/>
    <w:rsid w:val="00203D96"/>
    <w:pPr>
      <w:spacing w:after="240"/>
    </w:pPr>
    <w:rPr>
      <w:i/>
      <w:noProof/>
    </w:rPr>
  </w:style>
  <w:style w:type="paragraph" w:customStyle="1" w:styleId="TableParagraph">
    <w:name w:val="Table Paragraph"/>
    <w:basedOn w:val="Normal"/>
    <w:uiPriority w:val="1"/>
    <w:qFormat/>
    <w:rsid w:val="00203D96"/>
    <w:pPr>
      <w:spacing w:line="252" w:lineRule="auto"/>
    </w:pPr>
    <w:rPr>
      <w:sz w:val="22"/>
      <w:szCs w:val="22"/>
      <w:lang w:eastAsia="en-US"/>
    </w:rPr>
  </w:style>
  <w:style w:type="paragraph" w:customStyle="1" w:styleId="Olang">
    <w:name w:val="Olang"/>
    <w:basedOn w:val="Normal"/>
    <w:rsid w:val="00203D96"/>
    <w:pPr>
      <w:spacing w:before="240" w:after="240"/>
      <w:jc w:val="right"/>
    </w:pPr>
    <w:rPr>
      <w:noProof/>
      <w:szCs w:val="24"/>
    </w:rPr>
  </w:style>
  <w:style w:type="character" w:styleId="FootnoteReference">
    <w:name w:val="footnote reference"/>
    <w:basedOn w:val="DefaultParagraphFont"/>
    <w:uiPriority w:val="99"/>
    <w:unhideWhenUsed/>
    <w:rsid w:val="00203D96"/>
    <w:rPr>
      <w:vertAlign w:val="superscript"/>
    </w:rPr>
  </w:style>
  <w:style w:type="paragraph" w:customStyle="1" w:styleId="Default">
    <w:name w:val="Default"/>
    <w:rsid w:val="0017484C"/>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100</Pages>
  <Words>25928</Words>
  <Characters>137164</Characters>
  <Application>Microsoft Office Word</Application>
  <DocSecurity>0</DocSecurity>
  <Lines>6234</Lines>
  <Paragraphs>2588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160504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2025-04-23T22:27:00Z</dcterms:created>
  <dcterms:modified xsi:type="dcterms:W3CDTF">2025-04-23T22:27:00Z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1319572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\\eiciBRUpr1\pdocep$\DocEP\TRANSFIL\EN\AM_Com_LegReport.EN(16/08/2024 16:58:03)</vt:lpwstr>
  </property>
  <property fmtid="{D5CDD505-2E9C-101B-9397-08002B2CF9AE}" pid="7" name="&lt;Type&gt;">
    <vt:lpwstr>AM</vt:lpwstr>
  </property>
  <property fmtid="{D5CDD505-2E9C-101B-9397-08002B2CF9AE}" pid="8" name="Bookout">
    <vt:lpwstr/>
  </property>
  <property fmtid="{D5CDD505-2E9C-101B-9397-08002B2CF9AE}" pid="9" name="Created with">
    <vt:lpwstr>10.0.1 Build [20250315]</vt:lpwstr>
  </property>
  <property fmtid="{D5CDD505-2E9C-101B-9397-08002B2CF9AE}" pid="10" name="FooterPath">
    <vt:lpwstr>AM\1319572PT.docx</vt:lpwstr>
  </property>
  <property fmtid="{D5CDD505-2E9C-101B-9397-08002B2CF9AE}" pid="11" name="LastEdited with">
    <vt:lpwstr>10.1.0 Build [20250401]</vt:lpwstr>
  </property>
  <property fmtid="{D5CDD505-2E9C-101B-9397-08002B2CF9AE}" pid="12" name="PE number">
    <vt:lpwstr>771.930</vt:lpwstr>
  </property>
  <property fmtid="{D5CDD505-2E9C-101B-9397-08002B2CF9AE}" pid="13" name="SendToEpades">
    <vt:lpwstr>OK(AMNUM) - 2025/04/09 09:01</vt:lpwstr>
  </property>
  <property fmtid="{D5CDD505-2E9C-101B-9397-08002B2CF9AE}" pid="14" name="SDLStudio">
    <vt:lpwstr/>
  </property>
</Properties>
</file>