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European Parliament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{PECH}</w:t>
      </w:r>
      <w:r>
        <w:t>Committee on Fisheries</w:t>
      </w:r>
      <w:r>
        <w:rPr>
          <w:rStyle w:val="HideTWBExt"/>
        </w:rPr>
        <w:t>&lt;/Commission&gt;</w:t>
      </w:r>
    </w:p>
    <w:p>
      <w:pPr>
        <w:pStyle w:val="LineBottom"/>
      </w:pPr>
      <w:r>
        <w:t xml:space="preserve"> </w:t>
      </w:r>
    </w:p>
    <w:p>
      <w:pPr>
        <w:pStyle w:val="CoverReference"/>
      </w:pPr>
      <w:r>
        <w:rPr>
          <w:rStyle w:val="HideTWBExt"/>
        </w:rPr>
        <w:t>&lt;RefProc&gt;</w:t>
      </w:r>
      <w:r>
        <w:t>2024/0263M</w:t>
      </w:r>
      <w:r>
        <w:rPr>
          <w:rStyle w:val="HideTWBExt"/>
        </w:rPr>
        <w:t>&lt;/RefProc&gt;</w:t>
      </w:r>
      <w:r>
        <w:rPr>
          <w:rStyle w:val="HideTWBExt"/>
        </w:rPr>
        <w:t>&lt;RefTypeProc&gt;</w:t>
      </w:r>
      <w:r>
        <w:t>(NLE)</w:t>
      </w:r>
      <w:r>
        <w:rPr>
          <w:rStyle w:val="HideTWBExt"/>
        </w:rPr>
        <w:t>&lt;/RefTypeProc&gt;</w:t>
      </w:r>
    </w:p>
    <w:p>
      <w:pPr>
        <w:pStyle w:val="CoverDate"/>
      </w:pPr>
      <w:r>
        <w:rPr>
          <w:rStyle w:val="HideTWBExt"/>
        </w:rPr>
        <w:t>&lt;Date&gt;</w:t>
      </w:r>
      <w:r>
        <w:rPr>
          <w:rStyle w:val="HideTWBInt"/>
        </w:rPr>
        <w:t>{26/03/2025}</w:t>
      </w:r>
      <w:r>
        <w:t>26.3.2025</w:t>
      </w:r>
      <w:r>
        <w:rPr>
          <w:rStyle w:val="HideTWBExt"/>
        </w:rPr>
        <w:t>&lt;/Date&gt;</w:t>
      </w:r>
    </w:p>
    <w:p>
      <w:pPr>
        <w:pStyle w:val="CoverDocType"/>
      </w:pPr>
      <w:r>
        <w:rPr>
          <w:rStyle w:val="HideTWBExt"/>
        </w:rPr>
        <w:t>&lt;TypeAM&gt;</w:t>
      </w:r>
      <w:r>
        <w:t>AMENDMENTS</w:t>
      </w:r>
      <w:r>
        <w:rPr>
          <w:rStyle w:val="HideTWBExt"/>
        </w:rPr>
        <w:t>&lt;/TypeAM&gt;</w:t>
      </w:r>
    </w:p>
    <w:p>
      <w:pPr>
        <w:pStyle w:val="CoverDocType24a"/>
      </w:pPr>
      <w:r>
        <w:rPr>
          <w:rStyle w:val="HideTWBExt"/>
        </w:rPr>
        <w:t>&lt;RangeAM&gt;</w:t>
      </w:r>
      <w:r>
        <w:t>1</w:t>
      </w:r>
      <w:r>
        <w:t xml:space="preserve"> - </w:t>
      </w:r>
      <w:r>
        <w:t>112</w:t>
      </w:r>
      <w:r>
        <w:rPr>
          <w:rStyle w:val="HideTWBExt"/>
        </w:rPr>
        <w:t>&lt;/RangeAM&gt;</w:t>
      </w:r>
    </w:p>
    <w:p>
      <w:pPr>
        <w:pStyle w:val="CoverBold"/>
      </w:pPr>
      <w:r>
        <w:rPr>
          <w:rStyle w:val="HideTWBExt"/>
        </w:rPr>
        <w:t>&lt;TitreType&gt;</w:t>
      </w:r>
      <w:r>
        <w:t>Draft report</w:t>
      </w:r>
      <w:r>
        <w:rPr>
          <w:rStyle w:val="HideTWBExt"/>
        </w:rPr>
        <w:t>&lt;/TitreType&gt;</w:t>
      </w:r>
    </w:p>
    <w:p>
      <w:pPr>
        <w:pStyle w:val="CoverBold"/>
      </w:pPr>
      <w:r>
        <w:rPr>
          <w:rStyle w:val="HideTWBExt"/>
        </w:rPr>
        <w:t>&lt;Rapporteur&gt;</w:t>
      </w:r>
      <w:r>
        <w:t>Emma Fourreau</w:t>
      </w:r>
      <w:r>
        <w:rPr>
          <w:rStyle w:val="HideTWBExt"/>
        </w:rPr>
        <w:t>&lt;/Rapporteur&gt;</w:t>
      </w:r>
    </w:p>
    <w:p>
      <w:pPr>
        <w:pStyle w:val="CoverNormal24a"/>
      </w:pPr>
      <w:r>
        <w:rPr>
          <w:rStyle w:val="HideTWBExt"/>
        </w:rPr>
        <w:t>&lt;DocRefPE&gt;</w:t>
      </w:r>
      <w:r>
        <w:t>(PE770.034v01-00)</w:t>
      </w:r>
      <w:r>
        <w:rPr>
          <w:rStyle w:val="HideTWBExt"/>
        </w:rPr>
        <w:t>&lt;/DocRefPE&gt;</w:t>
      </w:r>
    </w:p>
    <w:p>
      <w:pPr>
        <w:pStyle w:val="CoverNormal"/>
      </w:pPr>
      <w:r>
        <w:rPr>
          <w:rStyle w:val="HideTWBExt"/>
        </w:rPr>
        <w:t>&lt;Titre&gt;</w:t>
      </w:r>
      <w:r>
        <w:t>Implementing Protocol (2025-2030) to the Sustainable Fisheries Partnership Agreement between the European Union and the Government of Greenland and the Government of Denmark</w:t>
      </w:r>
      <w:r>
        <w:rPr>
          <w:rStyle w:val="HideTWBExt"/>
        </w:rPr>
        <w:t>&lt;/Titre&gt;</w:t>
      </w:r>
    </w:p>
    <w:p>
      <w:pPr>
        <w:pStyle w:val="CoverNormal24a"/>
      </w:pPr>
      <w:r>
        <w:rPr>
          <w:rStyle w:val="HideTWBExt"/>
        </w:rPr>
        <w:t>&lt;DocRef&gt;</w:t>
      </w:r>
      <w:r>
        <w:t>(2024/0263M(NLE))</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Amendment</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Karin Karlsbro,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6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having regard to the Agreement to Prevent Unregulated High Seas Fisheries in the Central Arctic Ocean,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Karin Karlsbro,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6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having regard to the Protocol (No 34) on special arrangements for Greenland,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Jessica Polfjärd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7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having regard to the EU Competitiveness Compass,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r>
        <w:rPr>
          <w:rStyle w:val="HideTWBExt"/>
          <w:b w:val="0"/>
        </w:rPr>
        <w:t>&lt;AuNomDe&gt;</w:t>
      </w:r>
      <w:r>
        <w:rPr>
          <w:rStyle w:val="HideTWBInt"/>
        </w:rPr>
        <w:t>{Greens/EFA}</w:t>
      </w:r>
      <w:r>
        <w:t>on behalf of the Greens/EFA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8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having regard to Regulation (EU) 2017/2403 of the European Parliament and of the Council of 12 December 2017 on the sustainable management of external fishing fleets,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Nicolás González Casares, Eric Sargiacomo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12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having regard to the Commission's communication entitled 'A Vision for Agriculture and Food' (COM(2025) 75 final),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Jessica Polfjärd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A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a.</w:t>
            </w:r>
            <w:r>
              <w:tab/>
            </w:r>
            <w:r>
              <w:rPr>
                <w:b/>
                <w:i/>
              </w:rPr>
              <w:t>whereas the Sustainable Fisheries Partnership Agreement between the European Union, on the one hand, and the Government of Greenland and the Government of Denmark, on the other hand, is one of the most financially significant fisheries partnerships that the EU has established with a third country;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Jessica Polfjärd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rPr>
                <w:b/>
                <w:i/>
              </w:rPr>
              <w:t>whereas 88% of Greenland’s population identifies as Greenlandic Inuit;</w:t>
            </w:r>
          </w:p>
        </w:tc>
        <w:tc>
          <w:tcPr>
            <w:tcW w:w="4876" w:type="dxa"/>
            <w:tcBorders>
              <w:top w:val="nil"/>
              <w:left w:val="nil"/>
              <w:bottom w:val="nil"/>
              <w:right w:val="nil"/>
            </w:tcBorders>
          </w:tcPr>
          <w:p>
            <w:pPr>
              <w:pStyle w:val="Normal6a"/>
            </w:pPr>
            <w:r>
              <w:rPr>
                <w:b/>
                <w:i/>
              </w:rPr>
              <w:t>deleted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i/>
              </w:rPr>
              <w:t>(A fisheries partnership agreement focuses on sustainable marine resource management, not on demographic statistics. The main goals are long-term ecological balance and supporting livelihoods dependent on these resources. While diversity is important, ethnic differences should not be emphasized, especially in numerical terms, within EU fisheries agreements.)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Emma Fourreau, Sebastian Everding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whereas 88% of Greenland’s population identifies as Greenlandic Inuit;</w:t>
            </w:r>
          </w:p>
        </w:tc>
        <w:tc>
          <w:tcPr>
            <w:tcW w:w="4876" w:type="dxa"/>
            <w:tcBorders>
              <w:top w:val="nil"/>
              <w:left w:val="nil"/>
              <w:bottom w:val="nil"/>
              <w:right w:val="nil"/>
            </w:tcBorders>
          </w:tcPr>
          <w:p>
            <w:pPr>
              <w:pStyle w:val="Normal6a"/>
            </w:pPr>
            <w:r>
              <w:t>C.</w:t>
            </w:r>
            <w:r>
              <w:tab/>
            </w:r>
            <w:r>
              <w:t xml:space="preserve">whereas 88% of Greenland’s population identifies as Greenlandic Inuit; </w:t>
            </w:r>
            <w:r>
              <w:rPr>
                <w:b/>
                <w:i/>
              </w:rPr>
              <w:t>whereas 20% of the population lives below the poverty line and the autonomous territory has been affected by the effects of colonisation;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Jessica Polfjärd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whereas small-scale coastal fisheries and subsistence fisheries form an integral part of the culture </w:t>
            </w:r>
            <w:r>
              <w:rPr>
                <w:b/>
                <w:i/>
              </w:rPr>
              <w:t>and</w:t>
            </w:r>
            <w:r>
              <w:t xml:space="preserve"> economy of Greenland’s coastal communities;</w:t>
            </w:r>
          </w:p>
        </w:tc>
        <w:tc>
          <w:tcPr>
            <w:tcW w:w="4876" w:type="dxa"/>
            <w:tcBorders>
              <w:top w:val="nil"/>
              <w:left w:val="nil"/>
              <w:bottom w:val="nil"/>
              <w:right w:val="nil"/>
            </w:tcBorders>
          </w:tcPr>
          <w:p>
            <w:pPr>
              <w:pStyle w:val="Normal6a"/>
            </w:pPr>
            <w:r>
              <w:t>D.</w:t>
            </w:r>
            <w:r>
              <w:tab/>
            </w:r>
            <w:r>
              <w:t>whereas small-scale coastal fisheries and subsistence fisheries form an integral part of the culture</w:t>
            </w:r>
            <w:r>
              <w:rPr>
                <w:b/>
                <w:i/>
              </w:rPr>
              <w:t>,</w:t>
            </w:r>
            <w:r>
              <w:t xml:space="preserve"> economy </w:t>
            </w:r>
            <w:r>
              <w:rPr>
                <w:b/>
                <w:i/>
              </w:rPr>
              <w:t>and social structure</w:t>
            </w:r>
            <w:r>
              <w:t xml:space="preserve"> of Greenland’s coastal communities</w:t>
            </w:r>
            <w:r>
              <w:rPr>
                <w:b/>
                <w:i/>
              </w:rPr>
              <w:t>, providing both livelihood and cultural heritage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Stephen Nikola Bartulica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whereas small-scale coastal fisheries and subsistence fisheries form an integral part of the culture and economy of Greenland’s coastal communities;</w:t>
            </w:r>
          </w:p>
        </w:tc>
        <w:tc>
          <w:tcPr>
            <w:tcW w:w="4876" w:type="dxa"/>
            <w:tcBorders>
              <w:top w:val="nil"/>
              <w:left w:val="nil"/>
              <w:bottom w:val="nil"/>
              <w:right w:val="nil"/>
            </w:tcBorders>
          </w:tcPr>
          <w:p>
            <w:pPr>
              <w:pStyle w:val="Normal6a"/>
            </w:pPr>
            <w:r>
              <w:t>D.</w:t>
            </w:r>
            <w:r>
              <w:tab/>
            </w:r>
            <w:r>
              <w:t xml:space="preserve">whereas small-scale coastal fisheries and subsistence fisheries form an integral part of the </w:t>
            </w:r>
            <w:r>
              <w:rPr>
                <w:b/>
                <w:i/>
              </w:rPr>
              <w:t>traditional</w:t>
            </w:r>
            <w:r>
              <w:t xml:space="preserve"> culture and economy of Greenland’s coastal communities</w:t>
            </w:r>
            <w:r>
              <w:rPr>
                <w:b/>
                <w:i/>
              </w:rPr>
              <w:t>, contributing to the local economy and creating jobs</w:t>
            </w:r>
            <w:r>
              <w:t>;</w:t>
            </w:r>
          </w:p>
        </w:tc>
      </w:tr>
    </w:tbl>
    <w:p>
      <w:pPr>
        <w:pStyle w:val="AmOrLang"/>
      </w:pPr>
      <w:r>
        <w:t xml:space="preserve">Or. </w:t>
      </w:r>
      <w:r>
        <w:rPr>
          <w:rStyle w:val="HideTWBExt"/>
        </w:rPr>
        <w:t>&lt;Original&gt;</w:t>
      </w:r>
      <w:r>
        <w:rPr>
          <w:rStyle w:val="HideTWBInt"/>
        </w:rPr>
        <w:t>{HR}</w:t>
      </w:r>
      <w:r>
        <w:t>hr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Emma Fourreau, Sebastian Everding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whereas small-scale coastal fisheries and subsistence fisheries form an integral part of the culture and economy of Greenland’s coastal communities;</w:t>
            </w:r>
          </w:p>
        </w:tc>
        <w:tc>
          <w:tcPr>
            <w:tcW w:w="4876" w:type="dxa"/>
            <w:tcBorders>
              <w:top w:val="nil"/>
              <w:left w:val="nil"/>
              <w:bottom w:val="nil"/>
              <w:right w:val="nil"/>
            </w:tcBorders>
          </w:tcPr>
          <w:p>
            <w:pPr>
              <w:pStyle w:val="Normal6a"/>
            </w:pPr>
            <w:r>
              <w:t>D.</w:t>
            </w:r>
            <w:r>
              <w:tab/>
            </w:r>
            <w:r>
              <w:t xml:space="preserve">whereas small-scale coastal fisheries and subsistence fisheries form an integral part of the culture and economy of Greenland’s coastal communities </w:t>
            </w:r>
            <w:r>
              <w:rPr>
                <w:b/>
                <w:i/>
              </w:rPr>
              <w:t>and are essential for the livelihood of isolated settlements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Jessica Polfjärd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D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a.</w:t>
            </w:r>
            <w:r>
              <w:tab/>
            </w:r>
            <w:r>
              <w:rPr>
                <w:b/>
                <w:i/>
              </w:rPr>
              <w:t>whereas, according to the ex-post evaluation findings and conclusions, the SFPA and Protocol have significantly contributed to the EU's policies for the Arctic region, as well as to Greenland’s policies, especially enhancing cooperation, collaboration, and the sustainable exploitation of natural resources;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Nicolás González Casares, Eric Sargiacomo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D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a.</w:t>
            </w:r>
            <w:r>
              <w:tab/>
            </w:r>
            <w:r>
              <w:rPr>
                <w:b/>
                <w:i/>
              </w:rPr>
              <w:t>whereas the sustainable fisheries partnership agreement (SFPA) between the European Union on the one hand, and the Government of Greenland and the Government of Denmark, on the other hand is the second most significant EU fisheries agreement with a third country for the EU in financial terms;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Jessica Polfjärd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w:t>
            </w:r>
            <w:r>
              <w:tab/>
            </w:r>
            <w:r>
              <w:rPr>
                <w:b/>
                <w:i/>
              </w:rPr>
              <w:t>whereas in recent years, following the exchange of quotas with Norway, fishing opportunities have been granted to around 10 Community vessels under the Protocol;</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Jessica Polfjärd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whereas </w:t>
            </w:r>
            <w:r>
              <w:rPr>
                <w:b/>
                <w:i/>
              </w:rPr>
              <w:t>in recent years, following the exchange of quotas with Norway,</w:t>
            </w:r>
            <w:r>
              <w:t xml:space="preserve"> fishing opportunities </w:t>
            </w:r>
            <w:r>
              <w:rPr>
                <w:b/>
                <w:i/>
              </w:rPr>
              <w:t>have been granted to around 10 Community vessels under the Protocol</w:t>
            </w:r>
            <w:r>
              <w:t>;</w:t>
            </w:r>
          </w:p>
        </w:tc>
        <w:tc>
          <w:tcPr>
            <w:tcW w:w="4876" w:type="dxa"/>
            <w:tcBorders>
              <w:top w:val="nil"/>
              <w:left w:val="nil"/>
              <w:bottom w:val="nil"/>
              <w:right w:val="nil"/>
            </w:tcBorders>
          </w:tcPr>
          <w:p>
            <w:pPr>
              <w:pStyle w:val="Normal6a"/>
            </w:pPr>
            <w:r>
              <w:t>E.</w:t>
            </w:r>
            <w:r>
              <w:tab/>
            </w:r>
            <w:r>
              <w:t xml:space="preserve">whereas </w:t>
            </w:r>
            <w:r>
              <w:rPr>
                <w:b/>
                <w:i/>
              </w:rPr>
              <w:t>the EU-Greenland SFPA and the EU-Norway agreement are closely interdependent, with the EU exchanging</w:t>
            </w:r>
            <w:r>
              <w:t xml:space="preserve"> fishing opportunities </w:t>
            </w:r>
            <w:r>
              <w:rPr>
                <w:b/>
                <w:i/>
              </w:rPr>
              <w:t>in Greenland for access to Norwegian waters, thereby creating a mutually beneficial arrangement between the EU, Greenland, and Norway</w:t>
            </w:r>
            <w:r>
              <w:t xml:space="preserve">; </w:t>
            </w:r>
            <w:r>
              <w:rPr>
                <w:b/>
                <w:i/>
              </w:rPr>
              <w:t>whereas the government of Greenland, as an autonomous territory, has overall responsibility for legislation and the management of fish resources within its EEZ as well as for regulating who is allowed to fish in its waters;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Nicolás González Casares, Eric Sargiacomo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whereas </w:t>
            </w:r>
            <w:r>
              <w:rPr>
                <w:b/>
                <w:i/>
              </w:rPr>
              <w:t>in recent years, following the exchange of quotas with Norway,</w:t>
            </w:r>
            <w:r>
              <w:t xml:space="preserve"> fishing opportunities </w:t>
            </w:r>
            <w:r>
              <w:rPr>
                <w:b/>
                <w:i/>
              </w:rPr>
              <w:t>have been granted to around 10 Community vessels under the Protocol</w:t>
            </w:r>
            <w:r>
              <w:t>;</w:t>
            </w:r>
          </w:p>
        </w:tc>
        <w:tc>
          <w:tcPr>
            <w:tcW w:w="4876" w:type="dxa"/>
            <w:tcBorders>
              <w:top w:val="nil"/>
              <w:left w:val="nil"/>
              <w:bottom w:val="nil"/>
              <w:right w:val="nil"/>
            </w:tcBorders>
          </w:tcPr>
          <w:p>
            <w:pPr>
              <w:pStyle w:val="Normal6a"/>
            </w:pPr>
            <w:r>
              <w:t>E.</w:t>
            </w:r>
            <w:r>
              <w:tab/>
            </w:r>
            <w:r>
              <w:t xml:space="preserve">whereas </w:t>
            </w:r>
            <w:r>
              <w:rPr>
                <w:b/>
                <w:i/>
              </w:rPr>
              <w:t>the EU-Greenland SFPA and the EU-Norway agreement are highly interdependent because the EU uses some of the</w:t>
            </w:r>
            <w:r>
              <w:t xml:space="preserve"> fishing opportunities </w:t>
            </w:r>
            <w:r>
              <w:rPr>
                <w:b/>
                <w:i/>
              </w:rPr>
              <w:t>provided for by Greenland to exchange for fishing opportunities in Norway; whereas fishing authorisations for target species as a proportion of total EU agreed quota was very high, with an average of 98% over 2021-2023</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Nicolás González Casares, Eric Sargiacomo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E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a.</w:t>
            </w:r>
            <w:r>
              <w:tab/>
            </w:r>
            <w:r>
              <w:rPr>
                <w:b/>
                <w:i/>
              </w:rPr>
              <w:t>whereas Greenland is by far the overseas country and territory (OCT) that receives the most EU funding; whereas, in the period 2021-2027, EU support to Greenland reaches EUR 225 million, equivalent to the amount received by the other 12 OCTs combined;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Emma Fourreau, Sebastian Everding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whereas according to scientists, the Arctic region is warming up almost four times faster than the rest of the world, with implications for fish populations and marine ecosystems;</w:t>
            </w:r>
          </w:p>
        </w:tc>
        <w:tc>
          <w:tcPr>
            <w:tcW w:w="4876" w:type="dxa"/>
            <w:tcBorders>
              <w:top w:val="nil"/>
              <w:left w:val="nil"/>
              <w:bottom w:val="nil"/>
              <w:right w:val="nil"/>
            </w:tcBorders>
          </w:tcPr>
          <w:p>
            <w:pPr>
              <w:pStyle w:val="Normal6a"/>
            </w:pPr>
            <w:r>
              <w:t>F.</w:t>
            </w:r>
            <w:r>
              <w:tab/>
            </w:r>
            <w:r>
              <w:t xml:space="preserve">whereas according to scientists, the Arctic region is warming up almost four times faster than the rest of the world, with implications for fish populations and marine ecosystems; </w:t>
            </w:r>
            <w:r>
              <w:rPr>
                <w:b/>
                <w:i/>
              </w:rPr>
              <w:t>whereas the Arctic has lost an ice area of more than 2 millions km² over the last forty years, i.e. the size of the Mediterranean sea;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Jessica Polfjärd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whereas according to scientists, the Arctic region is warming up almost four times faster than the rest of the world, with implications for fish populations </w:t>
            </w:r>
            <w:r>
              <w:rPr>
                <w:b/>
                <w:i/>
              </w:rPr>
              <w:t>and</w:t>
            </w:r>
            <w:r>
              <w:t xml:space="preserve"> marine ecosystems;</w:t>
            </w:r>
          </w:p>
        </w:tc>
        <w:tc>
          <w:tcPr>
            <w:tcW w:w="4876" w:type="dxa"/>
            <w:tcBorders>
              <w:top w:val="nil"/>
              <w:left w:val="nil"/>
              <w:bottom w:val="nil"/>
              <w:right w:val="nil"/>
            </w:tcBorders>
          </w:tcPr>
          <w:p>
            <w:pPr>
              <w:pStyle w:val="Normal6a"/>
            </w:pPr>
            <w:r>
              <w:t>F.</w:t>
            </w:r>
            <w:r>
              <w:tab/>
            </w:r>
            <w:r>
              <w:t>whereas according to scientists, the Arctic region is warming up almost four times faster than the rest of the world, with implications for fish populations</w:t>
            </w:r>
            <w:r>
              <w:rPr>
                <w:b/>
                <w:i/>
              </w:rPr>
              <w:t>,</w:t>
            </w:r>
            <w:r>
              <w:t xml:space="preserve"> marine ecosystems</w:t>
            </w:r>
            <w:r>
              <w:rPr>
                <w:b/>
                <w:i/>
              </w:rPr>
              <w:t>, the livelihoods of fishers, and the fishing industry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Jessica Polfjärd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F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a.</w:t>
            </w:r>
            <w:r>
              <w:tab/>
            </w:r>
            <w:r>
              <w:rPr>
                <w:b/>
                <w:i/>
              </w:rPr>
              <w:t>whereas the ex-post and ex-ante evaluation findings indicate that every EUR 1 invested from the EU budget in compensation payments for access generates a value of EUR 6.88, with Greenland reportedly earning an average of EUR 945 per tonne for fish caught by EU operators in its waters;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Emma Fourreau, Sebastian Everding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F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a.</w:t>
            </w:r>
            <w:r>
              <w:tab/>
            </w:r>
            <w:r>
              <w:rPr>
                <w:b/>
                <w:i/>
              </w:rPr>
              <w:t>whereas healthy fish populations and marine ecosystems are crucial for resilience to the growing effects of climate change and to guarantee the future of coastal fishing communities;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r>
        <w:rPr>
          <w:rStyle w:val="HideTWBExt"/>
          <w:b w:val="0"/>
        </w:rPr>
        <w:t>&lt;AuNomDe&gt;</w:t>
      </w:r>
      <w:r>
        <w:rPr>
          <w:rStyle w:val="HideTWBInt"/>
        </w:rPr>
        <w:t>{Greens/EFA}</w:t>
      </w:r>
      <w:r>
        <w:t>on behalf of the Greens/EFA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F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a.</w:t>
            </w:r>
            <w:r>
              <w:tab/>
            </w:r>
            <w:r>
              <w:rPr>
                <w:b/>
                <w:i/>
              </w:rPr>
              <w:t>whereas these transformations not only affect biodiversity, but also have significant implications for indigenous communities and commercial fisheries that depend on Arctic waters;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Jessica Polfjärd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F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b.</w:t>
            </w:r>
            <w:r>
              <w:tab/>
            </w:r>
            <w:r>
              <w:rPr>
                <w:b/>
                <w:i/>
              </w:rPr>
              <w:t>whereas Greenland efficiently manages fishing activities within its EEZ, with the Greenland Fisheries and Hunting Control Authority (GFJK) responsible for the registration and monitoring of both domestic and foreign catches and landings, as well as for ensuring adherence to international control and enforcement agreements, while also facilitating daily data exchanges with countries that hold fisheries agreements with Greenland;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r>
        <w:rPr>
          <w:rStyle w:val="HideTWBExt"/>
          <w:b w:val="0"/>
        </w:rPr>
        <w:t>&lt;AuNomDe&gt;</w:t>
      </w:r>
      <w:r>
        <w:rPr>
          <w:rStyle w:val="HideTWBInt"/>
        </w:rPr>
        <w:t>{Greens/EFA}</w:t>
      </w:r>
      <w:r>
        <w:t>on behalf of the Greens/EFA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F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b.</w:t>
            </w:r>
            <w:r>
              <w:tab/>
            </w:r>
            <w:r>
              <w:rPr>
                <w:b/>
                <w:i/>
              </w:rPr>
              <w:t>whereas the accelerating pace of global warming in the region underscores the urgent need for coordinated global action to mitigate its far-reaching consequences;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Nicolás González Casares, Eric Sargiacomo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whereas evaluation of the preceding Protocol reveals that overfishing can be ruled out with certainty for </w:t>
            </w:r>
            <w:r>
              <w:rPr>
                <w:b/>
                <w:i/>
              </w:rPr>
              <w:t>only</w:t>
            </w:r>
            <w:r>
              <w:t xml:space="preserve"> five of the fifteen stocks exploited under the Protocol, there is a lack of scientific data for some of the stocks, and four of them are regarded as still overexploited;</w:t>
            </w:r>
          </w:p>
        </w:tc>
        <w:tc>
          <w:tcPr>
            <w:tcW w:w="4876" w:type="dxa"/>
            <w:tcBorders>
              <w:top w:val="nil"/>
              <w:left w:val="nil"/>
              <w:bottom w:val="nil"/>
              <w:right w:val="nil"/>
            </w:tcBorders>
          </w:tcPr>
          <w:p>
            <w:pPr>
              <w:pStyle w:val="Normal6a"/>
            </w:pPr>
            <w:r>
              <w:t>G.</w:t>
            </w:r>
            <w:r>
              <w:tab/>
            </w:r>
            <w:r>
              <w:t>whereas evaluation of the preceding Protocol reveals that overfishing can be ruled out with certainty for five of the fifteen stocks exploited under the Protocol, there is a lack of scientific data for some of the stocks, and four of them are regarded as still overexploited;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whereas evaluation of the preceding Protocol reveals that overfishing can be ruled out with certainty for </w:t>
            </w:r>
            <w:r>
              <w:rPr>
                <w:b/>
                <w:i/>
              </w:rPr>
              <w:t>only</w:t>
            </w:r>
            <w:r>
              <w:t xml:space="preserve"> five of the fifteen stocks exploited under the Protocol, there is a lack of scientific data for some of the stocks, and four of them are regarded as still overexploited;</w:t>
            </w:r>
          </w:p>
        </w:tc>
        <w:tc>
          <w:tcPr>
            <w:tcW w:w="4876" w:type="dxa"/>
            <w:tcBorders>
              <w:top w:val="nil"/>
              <w:left w:val="nil"/>
              <w:bottom w:val="nil"/>
              <w:right w:val="nil"/>
            </w:tcBorders>
          </w:tcPr>
          <w:p>
            <w:pPr>
              <w:pStyle w:val="Normal6a"/>
            </w:pPr>
            <w:r>
              <w:t>G.</w:t>
            </w:r>
            <w:r>
              <w:tab/>
            </w:r>
            <w:r>
              <w:t>whereas evaluation of the preceding Protocol reveals that overfishing can be ruled out with certainty for five of the fifteen stocks exploited under the Protocol, there is a lack of scientific data for some of the stocks, and four of them are regarded as still overexploited;</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Nicolás González Casares, Eric Sargiacomo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G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 a.</w:t>
            </w:r>
            <w:r>
              <w:tab/>
            </w:r>
            <w:r>
              <w:rPr>
                <w:b/>
                <w:i/>
              </w:rPr>
              <w:t>whereas fishing opportunities are established by a joint committee based on the best available scientific advice and on the recommendations made by NAFO, NEAFC and ICES;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Nicolás González Casares, Eric Sargiacomo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whereas according to ICES, mobile bottom fishing gear is the most important vector for benthic habitat disruption in the Greenland Sea ecoregion; whereas </w:t>
            </w:r>
            <w:r>
              <w:rPr>
                <w:b/>
                <w:i/>
              </w:rPr>
              <w:t>the trawlable fishing areas largely coincide with the areas where</w:t>
            </w:r>
            <w:r>
              <w:t xml:space="preserve"> there </w:t>
            </w:r>
            <w:r>
              <w:rPr>
                <w:b/>
                <w:i/>
              </w:rPr>
              <w:t>have been changes in the observed distribution</w:t>
            </w:r>
            <w:r>
              <w:t xml:space="preserve"> of corals</w:t>
            </w:r>
            <w:r>
              <w:rPr>
                <w:b/>
                <w:i/>
              </w:rPr>
              <w:t>,</w:t>
            </w:r>
            <w:r>
              <w:t xml:space="preserve"> sponges </w:t>
            </w:r>
            <w:r>
              <w:rPr>
                <w:b/>
                <w:i/>
              </w:rPr>
              <w:t>and sea pens</w:t>
            </w:r>
            <w:r>
              <w:t>;</w:t>
            </w:r>
          </w:p>
        </w:tc>
        <w:tc>
          <w:tcPr>
            <w:tcW w:w="4876" w:type="dxa"/>
            <w:tcBorders>
              <w:top w:val="nil"/>
              <w:left w:val="nil"/>
              <w:bottom w:val="nil"/>
              <w:right w:val="nil"/>
            </w:tcBorders>
          </w:tcPr>
          <w:p>
            <w:pPr>
              <w:pStyle w:val="Normal6a"/>
            </w:pPr>
            <w:r>
              <w:t>H.</w:t>
            </w:r>
            <w:r>
              <w:tab/>
            </w:r>
            <w:r>
              <w:t xml:space="preserve">whereas according to ICES, mobile bottom fishing gear is the most important vector for benthic habitat disruption in the Greenland Sea ecoregion; whereas </w:t>
            </w:r>
            <w:r>
              <w:rPr>
                <w:b/>
                <w:i/>
              </w:rPr>
              <w:t>according to ICES</w:t>
            </w:r>
            <w:r>
              <w:t xml:space="preserve"> there </w:t>
            </w:r>
            <w:r>
              <w:rPr>
                <w:b/>
                <w:i/>
              </w:rPr>
              <w:t>is a high degree of overlap between the trawl fishery footprint for cod and demersal redfish, and the habitats</w:t>
            </w:r>
            <w:r>
              <w:t xml:space="preserve"> of corals </w:t>
            </w:r>
            <w:r>
              <w:rPr>
                <w:b/>
                <w:i/>
              </w:rPr>
              <w:t>and</w:t>
            </w:r>
            <w:r>
              <w:t xml:space="preserve"> sponges </w:t>
            </w:r>
            <w:r>
              <w:rPr>
                <w:b/>
                <w:i/>
              </w:rPr>
              <w:t>on the continental slope; whereas according to the ex-post and ex-ante evaluation study, management measures applicable to EU vessels operating in Greenland and the low risk of EU vessels having negative impacts on ecosystems limit both bycatch levels and the impact on ecosystems to a minimum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Jessica Polfjärd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whereas according to ICES, </w:t>
            </w:r>
            <w:r>
              <w:rPr>
                <w:b/>
                <w:i/>
              </w:rPr>
              <w:t>mobile bottom fishing gear is the most important vector for benthic habitat disruption in the</w:t>
            </w:r>
            <w:r>
              <w:t xml:space="preserve"> Greenland </w:t>
            </w:r>
            <w:r>
              <w:rPr>
                <w:b/>
                <w:i/>
              </w:rPr>
              <w:t>Sea ecoregion</w:t>
            </w:r>
            <w:r>
              <w:t xml:space="preserve">; whereas </w:t>
            </w:r>
            <w:r>
              <w:rPr>
                <w:b/>
                <w:i/>
              </w:rPr>
              <w:t>the trawlable fishing areas largely coincide with the areas where there have been changes in the observed distribution of corals, sponges and sea pens</w:t>
            </w:r>
            <w:r>
              <w:t>;</w:t>
            </w:r>
          </w:p>
        </w:tc>
        <w:tc>
          <w:tcPr>
            <w:tcW w:w="4876" w:type="dxa"/>
            <w:tcBorders>
              <w:top w:val="nil"/>
              <w:left w:val="nil"/>
              <w:bottom w:val="nil"/>
              <w:right w:val="nil"/>
            </w:tcBorders>
          </w:tcPr>
          <w:p>
            <w:pPr>
              <w:pStyle w:val="Normal6a"/>
            </w:pPr>
            <w:r>
              <w:t>H.</w:t>
            </w:r>
            <w:r>
              <w:tab/>
            </w:r>
            <w:r>
              <w:t xml:space="preserve">whereas according to ICES, </w:t>
            </w:r>
            <w:r>
              <w:rPr>
                <w:b/>
                <w:i/>
              </w:rPr>
              <w:t>fisheries are a crucial economic sector for</w:t>
            </w:r>
            <w:r>
              <w:t xml:space="preserve"> Greenland</w:t>
            </w:r>
            <w:r>
              <w:rPr>
                <w:b/>
                <w:i/>
              </w:rPr>
              <w:t>, providing livelihoods for many, yet it is essential to ensure that fishing practices do not harm marine ecosystems</w:t>
            </w:r>
            <w:r>
              <w:t xml:space="preserve">; whereas </w:t>
            </w:r>
            <w:r>
              <w:rPr>
                <w:b/>
                <w:i/>
              </w:rPr>
              <w:t>to safeguard both the marine environment and the future of fisheries, it is vital that all forms of trawling are conducted in a manner that minimizes damage to the seabed; whereas ICES has highlighted that certain species and habitats are vulnerable to the impacts of trawling</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Emma Fourreau, Sebastian Everding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whereas according to ICES, </w:t>
            </w:r>
            <w:r>
              <w:rPr>
                <w:b/>
                <w:i/>
              </w:rPr>
              <w:t>mobile bottom fishing gear is the most important vector for</w:t>
            </w:r>
            <w:r>
              <w:t xml:space="preserve"> benthic </w:t>
            </w:r>
            <w:r>
              <w:rPr>
                <w:b/>
                <w:i/>
              </w:rPr>
              <w:t>habitat disruption</w:t>
            </w:r>
            <w:r>
              <w:t xml:space="preserve"> in the Greenland Sea ecoregion; whereas </w:t>
            </w:r>
            <w:r>
              <w:rPr>
                <w:b/>
                <w:i/>
              </w:rPr>
              <w:t>the trawlable fishing areas largely coincide with the areas where</w:t>
            </w:r>
            <w:r>
              <w:t xml:space="preserve"> there </w:t>
            </w:r>
            <w:r>
              <w:rPr>
                <w:b/>
                <w:i/>
              </w:rPr>
              <w:t>have been changes in the observed</w:t>
            </w:r>
            <w:r>
              <w:t xml:space="preserve"> distribution of corals, sponges and sea pens;</w:t>
            </w:r>
          </w:p>
        </w:tc>
        <w:tc>
          <w:tcPr>
            <w:tcW w:w="4876" w:type="dxa"/>
            <w:tcBorders>
              <w:top w:val="nil"/>
              <w:left w:val="nil"/>
              <w:bottom w:val="nil"/>
              <w:right w:val="nil"/>
            </w:tcBorders>
          </w:tcPr>
          <w:p>
            <w:pPr>
              <w:pStyle w:val="Normal6a"/>
            </w:pPr>
            <w:r>
              <w:t>H.</w:t>
            </w:r>
            <w:r>
              <w:tab/>
            </w:r>
            <w:r>
              <w:t xml:space="preserve">whereas according to ICES, </w:t>
            </w:r>
            <w:r>
              <w:rPr>
                <w:b/>
                <w:i/>
              </w:rPr>
              <w:t>the greatest physical disturbance of the seabed and</w:t>
            </w:r>
            <w:r>
              <w:t xml:space="preserve"> benthic </w:t>
            </w:r>
            <w:r>
              <w:rPr>
                <w:b/>
                <w:i/>
              </w:rPr>
              <w:t>habitats</w:t>
            </w:r>
            <w:r>
              <w:t xml:space="preserve"> in the Greenland Sea ecoregion </w:t>
            </w:r>
            <w:r>
              <w:rPr>
                <w:b/>
                <w:i/>
              </w:rPr>
              <w:t>is caused by mobile bottom-contacting fishing gear</w:t>
            </w:r>
            <w:r>
              <w:t xml:space="preserve"> ; whereas there </w:t>
            </w:r>
            <w:r>
              <w:rPr>
                <w:b/>
                <w:i/>
              </w:rPr>
              <w:t>is a considerable overlap between the</w:t>
            </w:r>
            <w:r>
              <w:t xml:space="preserve"> distribution of corals, sponges</w:t>
            </w:r>
            <w:r>
              <w:rPr>
                <w:b/>
                <w:i/>
              </w:rPr>
              <w:t>,</w:t>
            </w:r>
            <w:r>
              <w:t xml:space="preserve"> and sea pens</w:t>
            </w:r>
            <w:r>
              <w:rPr>
                <w:b/>
                <w:i/>
              </w:rPr>
              <w:t>, and the areas trawled</w:t>
            </w:r>
            <w:r>
              <w:rPr>
                <w:b/>
                <w:i/>
                <w:vertAlign w:val="superscript"/>
              </w:rPr>
              <w:t>1a</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 xml:space="preserve">See the reports of the International Council for the Exploration of the Sea (ICES) entitled ‘Greenland Sea Ecosystem Overview’ of 2023, and ‘Greenland Sea Ecoregion – Fisheries Overview’ of 2024.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Eric Sargiacomo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H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whereas the ICES also points out that human activities (transport noise, seismological research, marine pollution, plastic pollution and climate change) are having an impact on the marine ecosystems and upsetting the balance of the ecoregion;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Karin Karlsbro,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I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 a.</w:t>
            </w:r>
            <w:r>
              <w:tab/>
            </w:r>
            <w:r>
              <w:rPr>
                <w:b/>
                <w:i/>
              </w:rPr>
              <w:t>whereas the EU maintains a close relationship with Greenland; whereas Greenland is one of the overseas countries and territories associated with the EU and whereas the EU and Greenland have had a fisheries partnership since 1984;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Karin Karlsbro,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I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 b.</w:t>
            </w:r>
            <w:r>
              <w:tab/>
            </w:r>
            <w:r>
              <w:rPr>
                <w:b/>
                <w:i/>
              </w:rPr>
              <w:t>whereas the European Commission opened an office in Nuuk, Greenland on 15th March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Jessica Polfjärd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ab/>
            </w:r>
            <w:r>
              <w:rPr>
                <w:b/>
                <w:i/>
              </w:rPr>
              <w:t>Highlights that, overall, the Protocol has proven to be highly effective in achieving its objectives and that the Agreement has provided a wide range of benefits to both EU and Greenlandic stakeholders, especially in terms of sustainability, transparency, equity, and national development;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Karin Karlsbro,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Notes the importance of the fisheries sector for Greenland, given that seafood exports account for over 90% of the autonomous territory’s total exports, and that fishing and the fishing industry together account for 15% of all jobs;</w:t>
            </w:r>
          </w:p>
        </w:tc>
        <w:tc>
          <w:tcPr>
            <w:tcW w:w="4876" w:type="dxa"/>
            <w:tcBorders>
              <w:top w:val="nil"/>
              <w:left w:val="nil"/>
              <w:bottom w:val="nil"/>
              <w:right w:val="nil"/>
            </w:tcBorders>
          </w:tcPr>
          <w:p>
            <w:pPr>
              <w:pStyle w:val="Normal6a"/>
            </w:pPr>
            <w:r>
              <w:t>1.</w:t>
            </w:r>
            <w:r>
              <w:tab/>
            </w:r>
            <w:r>
              <w:t xml:space="preserve">Notes the importance of the fisheries sector for Greenland, given that seafood exports account for over 90% of the autonomous territory’s total exports, and that fishing and the fishing industry together account for 15% of all jobs; </w:t>
            </w:r>
            <w:r>
              <w:rPr>
                <w:b/>
                <w:i/>
              </w:rPr>
              <w:t>stresses that the share of Greenlandic TACs allocated to the EU under the protocol is relatively small;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r>
        <w:rPr>
          <w:rStyle w:val="HideTWBExt"/>
          <w:b w:val="0"/>
        </w:rPr>
        <w:t>&lt;AuNomDe&gt;</w:t>
      </w:r>
      <w:r>
        <w:rPr>
          <w:rStyle w:val="HideTWBInt"/>
        </w:rPr>
        <w:t>{Greens/EFA}</w:t>
      </w:r>
      <w:r>
        <w:t>on behalf of the Greens/EFA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a.</w:t>
            </w:r>
            <w:r>
              <w:tab/>
            </w:r>
            <w:r>
              <w:rPr>
                <w:b/>
                <w:i/>
              </w:rPr>
              <w:t>Highlights the high professionalism of Greenlandic people in the fishing sector and their extensive knowledge, skills, experience in fishing practices, resource management, and maritime operations; notes that their deep-rooted expertise reflects a strong commitment to maintaining the economic and cultural significance of fisheries in Greenland; stresses that this professionalism ensures high-quality seafood production, adherence to international standards, and responsible stewardship of marine resources, making Greenlandic fishers valuable contributors to both local and global seafood markets;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Stephen Nikola Bartulica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Points out that one objective of the Protocol is to enhance cooperation between the Union and Greenland by implementing the partnership framework for the Agreement in order to promote a sustainable fisheries policy and the responsible exploitation of fisheries resources in the waters of Greenland, in the interest of both parties;</w:t>
            </w:r>
          </w:p>
        </w:tc>
      </w:tr>
    </w:tbl>
    <w:p>
      <w:pPr>
        <w:pStyle w:val="AmOrLang"/>
      </w:pPr>
      <w:r>
        <w:t xml:space="preserve">Or. </w:t>
      </w:r>
      <w:r>
        <w:rPr>
          <w:rStyle w:val="HideTWBExt"/>
        </w:rPr>
        <w:t>&lt;Original&gt;</w:t>
      </w:r>
      <w:r>
        <w:rPr>
          <w:rStyle w:val="HideTWBInt"/>
        </w:rPr>
        <w:t>{HR}</w:t>
      </w:r>
      <w:r>
        <w:t>hr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Nicolás González Casares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Recalls Greenland’s geostrategic position within the Arctic region; underlines the importance of the SFPA for relations between the European Union and Greenland in the current geopolitical context, </w:t>
            </w:r>
            <w:r>
              <w:rPr>
                <w:b/>
                <w:i/>
              </w:rPr>
              <w:t>having regard to</w:t>
            </w:r>
            <w:r>
              <w:t xml:space="preserve"> the climate crisis </w:t>
            </w:r>
            <w:r>
              <w:rPr>
                <w:b/>
                <w:i/>
              </w:rPr>
              <w:t>in</w:t>
            </w:r>
            <w:r>
              <w:t xml:space="preserve"> the region;</w:t>
            </w:r>
          </w:p>
        </w:tc>
        <w:tc>
          <w:tcPr>
            <w:tcW w:w="4876" w:type="dxa"/>
            <w:tcBorders>
              <w:top w:val="nil"/>
              <w:left w:val="nil"/>
              <w:bottom w:val="nil"/>
              <w:right w:val="nil"/>
            </w:tcBorders>
          </w:tcPr>
          <w:p>
            <w:pPr>
              <w:pStyle w:val="Normal6a"/>
            </w:pPr>
            <w:r>
              <w:t>2.</w:t>
            </w:r>
            <w:r>
              <w:tab/>
            </w:r>
            <w:r>
              <w:t>Recalls Greenland’s geostrategic position within the Arctic region; underlines the importance of the SFPA for relations between the European Union and Greenland</w:t>
            </w:r>
            <w:r>
              <w:rPr>
                <w:b/>
                <w:i/>
              </w:rPr>
              <w:t>, especially</w:t>
            </w:r>
            <w:r>
              <w:t xml:space="preserve"> in the current geopolitical context, </w:t>
            </w:r>
            <w:r>
              <w:rPr>
                <w:b/>
                <w:i/>
              </w:rPr>
              <w:t>given the threatening and aggressive attitude of the new US Government toward the island, but also in the context of</w:t>
            </w:r>
            <w:r>
              <w:t xml:space="preserve"> the climate crisis </w:t>
            </w:r>
            <w:r>
              <w:rPr>
                <w:b/>
                <w:i/>
              </w:rPr>
              <w:t>and its impact on</w:t>
            </w:r>
            <w:r>
              <w:t xml:space="preserve"> the region;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Emma Fourreau, Sebastian Everding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Recalls Greenland’s geostrategic position within the Arctic region; underlines the importance of the SFPA for relations between the European Union and Greenland in the current geopolitical context, </w:t>
            </w:r>
            <w:r>
              <w:rPr>
                <w:b/>
                <w:i/>
              </w:rPr>
              <w:t>having regard to</w:t>
            </w:r>
            <w:r>
              <w:t xml:space="preserve"> the climate crisis in the region;</w:t>
            </w:r>
          </w:p>
        </w:tc>
        <w:tc>
          <w:tcPr>
            <w:tcW w:w="4876" w:type="dxa"/>
            <w:tcBorders>
              <w:top w:val="nil"/>
              <w:left w:val="nil"/>
              <w:bottom w:val="nil"/>
              <w:right w:val="nil"/>
            </w:tcBorders>
          </w:tcPr>
          <w:p>
            <w:pPr>
              <w:pStyle w:val="Normal6a"/>
            </w:pPr>
            <w:r>
              <w:t>2.</w:t>
            </w:r>
            <w:r>
              <w:tab/>
            </w:r>
            <w:r>
              <w:t xml:space="preserve">Recalls Greenland’s geostrategic position within the Arctic region; underlines the importance of the SFPA for relations between the European Union and Greenland in the current geopolitical context, </w:t>
            </w:r>
            <w:r>
              <w:rPr>
                <w:b/>
                <w:i/>
              </w:rPr>
              <w:t>notably in the light of the diplomatic tensions between Greenland and the United States, and the reality of</w:t>
            </w:r>
            <w:r>
              <w:t xml:space="preserve"> the climate crisis in the region;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r>
        <w:rPr>
          <w:rStyle w:val="HideTWBExt"/>
          <w:b w:val="0"/>
        </w:rPr>
        <w:t>&lt;AuNomDe&gt;</w:t>
      </w:r>
      <w:r>
        <w:rPr>
          <w:rStyle w:val="HideTWBInt"/>
        </w:rPr>
        <w:t>{Greens/EFA}</w:t>
      </w:r>
      <w:r>
        <w:t>on behalf of the Greens/EFA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a.</w:t>
            </w:r>
            <w:r>
              <w:tab/>
            </w:r>
            <w:r>
              <w:rPr>
                <w:b/>
                <w:i/>
              </w:rPr>
              <w:t>Considers that given the escalating climate crisis in the region, this SFPA serves as a key instrument not only for fostering economic cooperation but also for promoting sustainable resource management and environmental resilience in Arctic waters;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Karin Karlsbro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a.</w:t>
            </w:r>
            <w:r>
              <w:tab/>
            </w:r>
            <w:r>
              <w:rPr>
                <w:b/>
                <w:i/>
              </w:rPr>
              <w:t>Highlights the importance of using the SFPA as a platform to continue deepening the cooperation towards solving common challenges, such as the climate crisis, geopolitical and security concerns and need for better scientific cooperation;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Jessica Polfjärd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a.</w:t>
            </w:r>
            <w:r>
              <w:tab/>
            </w:r>
            <w:r>
              <w:rPr>
                <w:b/>
                <w:i/>
              </w:rPr>
              <w:t>Highlights the necessity to strengthen the EU's Arctic policy and to collaborate more closely with the government of Greenland;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Nicolás González Casares, Eric Sargiacomo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Underlines that, while guaranteeing fishing opportunities for the European fleet, the SFPA </w:t>
            </w:r>
            <w:r>
              <w:rPr>
                <w:b/>
                <w:i/>
              </w:rPr>
              <w:t>should lead to</w:t>
            </w:r>
            <w:r>
              <w:t xml:space="preserve"> the exploitation of fisheries resources within sustainable limits and the preservation of marine biodiversity, in line with the standards laid down by the European Union; recalls that </w:t>
            </w:r>
            <w:r>
              <w:rPr>
                <w:b/>
                <w:i/>
              </w:rPr>
              <w:t>Community</w:t>
            </w:r>
            <w:r>
              <w:t xml:space="preserve"> vessels are supposed to fish only the available surplus;</w:t>
            </w:r>
          </w:p>
        </w:tc>
        <w:tc>
          <w:tcPr>
            <w:tcW w:w="4876" w:type="dxa"/>
            <w:tcBorders>
              <w:top w:val="nil"/>
              <w:left w:val="nil"/>
              <w:bottom w:val="nil"/>
              <w:right w:val="nil"/>
            </w:tcBorders>
          </w:tcPr>
          <w:p>
            <w:pPr>
              <w:pStyle w:val="Normal6a"/>
            </w:pPr>
            <w:r>
              <w:t>3.</w:t>
            </w:r>
            <w:r>
              <w:tab/>
            </w:r>
            <w:r>
              <w:t xml:space="preserve">Underlines that, while guaranteeing fishing opportunities for the European fleet, the SFPA </w:t>
            </w:r>
            <w:r>
              <w:rPr>
                <w:b/>
                <w:i/>
              </w:rPr>
              <w:t>aims at promoting</w:t>
            </w:r>
            <w:r>
              <w:t xml:space="preserve"> the exploitation of </w:t>
            </w:r>
            <w:r>
              <w:rPr>
                <w:b/>
                <w:i/>
              </w:rPr>
              <w:t>Greenland's</w:t>
            </w:r>
            <w:r>
              <w:t xml:space="preserve"> fisheries resources within sustainable limits and the preservation of marine biodiversity, in line with the standards laid down by the European Union</w:t>
            </w:r>
            <w:r>
              <w:rPr>
                <w:b/>
                <w:i/>
              </w:rPr>
              <w:t>, in order to achieve economic and social benefits, including the development of the Greenlandic fisheries sector</w:t>
            </w:r>
            <w:r>
              <w:t xml:space="preserve">; recalls that </w:t>
            </w:r>
            <w:r>
              <w:rPr>
                <w:b/>
                <w:i/>
              </w:rPr>
              <w:t>EU</w:t>
            </w:r>
            <w:r>
              <w:t xml:space="preserve"> vessels are supposed to fish only the available surplus </w:t>
            </w:r>
            <w:r>
              <w:rPr>
                <w:b/>
                <w:i/>
              </w:rPr>
              <w:t>as established in Article 3 of the SFPA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Stephen Nikola Bartulica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Underlines that, while guaranteeing fishing opportunities for the European fleet, the SFPA should lead to the exploitation of fisheries resources </w:t>
            </w:r>
            <w:r>
              <w:rPr>
                <w:b/>
                <w:i/>
              </w:rPr>
              <w:t>within sustainable limits and the preservation of marine biodiversity</w:t>
            </w:r>
            <w:r>
              <w:t>, in line with the standards laid down by the European Union</w:t>
            </w:r>
            <w:r>
              <w:rPr>
                <w:b/>
                <w:i/>
              </w:rPr>
              <w:t>;</w:t>
            </w:r>
            <w:r>
              <w:t xml:space="preserve"> </w:t>
            </w:r>
            <w:r>
              <w:rPr>
                <w:b/>
                <w:i/>
              </w:rPr>
              <w:t>recalls that Community vessels are supposed to fish only the available surplus</w:t>
            </w:r>
            <w:r>
              <w:t>;</w:t>
            </w:r>
          </w:p>
        </w:tc>
        <w:tc>
          <w:tcPr>
            <w:tcW w:w="4876" w:type="dxa"/>
            <w:tcBorders>
              <w:top w:val="nil"/>
              <w:left w:val="nil"/>
              <w:bottom w:val="nil"/>
              <w:right w:val="nil"/>
            </w:tcBorders>
          </w:tcPr>
          <w:p>
            <w:pPr>
              <w:pStyle w:val="Normal6a"/>
            </w:pPr>
            <w:r>
              <w:t>3.</w:t>
            </w:r>
            <w:r>
              <w:tab/>
            </w:r>
            <w:r>
              <w:t xml:space="preserve">Underlines that, while guaranteeing fishing opportunities for the European fleet, the SFPA should lead to the </w:t>
            </w:r>
            <w:r>
              <w:rPr>
                <w:b/>
                <w:i/>
              </w:rPr>
              <w:t>sustainable</w:t>
            </w:r>
            <w:r>
              <w:t xml:space="preserve"> exploitation of fisheries resources, in line with the standards laid down by the European Union</w:t>
            </w:r>
            <w:r>
              <w:rPr>
                <w:b/>
                <w:i/>
              </w:rPr>
              <w:t>, the fight against illegal, unreported and unregulated fishing (IUU fishing), the integration of partner countries into the global economy and contribute to sustainable development in all its dimensions</w:t>
            </w:r>
            <w:r>
              <w:t xml:space="preserve">; </w:t>
            </w:r>
          </w:p>
        </w:tc>
      </w:tr>
    </w:tbl>
    <w:p>
      <w:pPr>
        <w:pStyle w:val="AmOrLang"/>
      </w:pPr>
      <w:r>
        <w:t xml:space="preserve">Or. </w:t>
      </w:r>
      <w:r>
        <w:rPr>
          <w:rStyle w:val="HideTWBExt"/>
        </w:rPr>
        <w:t>&lt;Original&gt;</w:t>
      </w:r>
      <w:r>
        <w:rPr>
          <w:rStyle w:val="HideTWBInt"/>
        </w:rPr>
        <w:t>{HR}</w:t>
      </w:r>
      <w:r>
        <w:t>hr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Karin Karlsbro,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Underlines that, while guaranteeing fishing opportunities for the European fleet, the SFPA should </w:t>
            </w:r>
            <w:r>
              <w:rPr>
                <w:b/>
                <w:i/>
              </w:rPr>
              <w:t>lead</w:t>
            </w:r>
            <w:r>
              <w:t xml:space="preserve"> to the exploitation of fisheries resources within sustainable limits and the preservation of marine biodiversity, in line with the standards laid down by the European Union; recalls that Community vessels are supposed to fish only the available surplus;</w:t>
            </w:r>
          </w:p>
        </w:tc>
        <w:tc>
          <w:tcPr>
            <w:tcW w:w="4876" w:type="dxa"/>
            <w:tcBorders>
              <w:top w:val="nil"/>
              <w:left w:val="nil"/>
              <w:bottom w:val="nil"/>
              <w:right w:val="nil"/>
            </w:tcBorders>
          </w:tcPr>
          <w:p>
            <w:pPr>
              <w:pStyle w:val="Normal6a"/>
            </w:pPr>
            <w:r>
              <w:t>3.</w:t>
            </w:r>
            <w:r>
              <w:tab/>
            </w:r>
            <w:r>
              <w:t xml:space="preserve">Underlines that, while guaranteeing fishing opportunities for the European fleet, the SFPA should </w:t>
            </w:r>
            <w:r>
              <w:rPr>
                <w:b/>
                <w:i/>
              </w:rPr>
              <w:t>contribute</w:t>
            </w:r>
            <w:r>
              <w:t xml:space="preserve"> to the exploitation of fisheries resources within sustainable limits and the preservation of marine biodiversity, in line with the standards laid down by the European Union </w:t>
            </w:r>
            <w:r>
              <w:rPr>
                <w:b/>
                <w:i/>
              </w:rPr>
              <w:t>and international fora such as RFMOs</w:t>
            </w:r>
            <w:r>
              <w:t>; recalls that Community vessels are supposed to fish only the available surplus;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Jessica Polfjärd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Underlines that, while guaranteeing fishing opportunities for the European fleet, the SFPA should lead to the exploitation of fisheries resources within sustainable limits and the preservation of marine biodiversity, in line with the standards laid down by the European Union; recalls that Community vessels are </w:t>
            </w:r>
            <w:r>
              <w:rPr>
                <w:b/>
                <w:i/>
              </w:rPr>
              <w:t>supposed to fish only the</w:t>
            </w:r>
            <w:r>
              <w:t xml:space="preserve"> available surplus;</w:t>
            </w:r>
          </w:p>
        </w:tc>
        <w:tc>
          <w:tcPr>
            <w:tcW w:w="4876" w:type="dxa"/>
            <w:tcBorders>
              <w:top w:val="nil"/>
              <w:left w:val="nil"/>
              <w:bottom w:val="nil"/>
              <w:right w:val="nil"/>
            </w:tcBorders>
          </w:tcPr>
          <w:p>
            <w:pPr>
              <w:pStyle w:val="Normal6a"/>
            </w:pPr>
            <w:r>
              <w:t>3.</w:t>
            </w:r>
            <w:r>
              <w:tab/>
            </w:r>
            <w:r>
              <w:t xml:space="preserve">Underlines that, while guaranteeing fishing opportunities for the European fleet, the SFPA should lead to the exploitation of fisheries resources within sustainable limits and the preservation of marine biodiversity, in line with the standards laid down by the European Union; recalls that Community vessels are </w:t>
            </w:r>
            <w:r>
              <w:rPr>
                <w:b/>
                <w:i/>
              </w:rPr>
              <w:t>to only fish</w:t>
            </w:r>
            <w:r>
              <w:t xml:space="preserve"> available surplus;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Underlines that, while guaranteeing fishing opportunities for the European fleet, the SFPA should lead to the exploitation of fisheries resources within sustainable limits and the preservation of marine biodiversity, in line with the standards laid down by the European Union; recalls that Community vessels </w:t>
            </w:r>
            <w:r>
              <w:rPr>
                <w:b/>
                <w:i/>
              </w:rPr>
              <w:t>are supposed to</w:t>
            </w:r>
            <w:r>
              <w:t xml:space="preserve"> fish only the available surplus;</w:t>
            </w:r>
          </w:p>
        </w:tc>
        <w:tc>
          <w:tcPr>
            <w:tcW w:w="4876" w:type="dxa"/>
            <w:tcBorders>
              <w:top w:val="nil"/>
              <w:left w:val="nil"/>
              <w:bottom w:val="nil"/>
              <w:right w:val="nil"/>
            </w:tcBorders>
          </w:tcPr>
          <w:p>
            <w:pPr>
              <w:pStyle w:val="Normal6a"/>
            </w:pPr>
            <w:r>
              <w:t>3.</w:t>
            </w:r>
            <w:r>
              <w:tab/>
            </w:r>
            <w:r>
              <w:t>Underlines that, while guaranteeing fishing opportunities for the European fleet, the SFPA should lead to the exploitation of fisheries resources within sustainable limits and the preservation of marine biodiversity, in line with the standards laid down by the European Union; recalls that Community vessels fish only the available surplus;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Stephen Nikola Bartulica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Concluding the Implementing Protocol to the Agreement enables the continuation and strengthening of the strategic fisheries partnership between the EU and the Government of Greenland, creating fishing opportunities for Union fishing vessels in Greenland's fishing zone;</w:t>
            </w:r>
          </w:p>
        </w:tc>
      </w:tr>
    </w:tbl>
    <w:p>
      <w:pPr>
        <w:pStyle w:val="AmOrLang"/>
      </w:pPr>
      <w:r>
        <w:t xml:space="preserve">Or. </w:t>
      </w:r>
      <w:r>
        <w:rPr>
          <w:rStyle w:val="HideTWBExt"/>
        </w:rPr>
        <w:t>&lt;Original&gt;</w:t>
      </w:r>
      <w:r>
        <w:rPr>
          <w:rStyle w:val="HideTWBInt"/>
        </w:rPr>
        <w:t>{HR}</w:t>
      </w:r>
      <w:r>
        <w:t>hr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Stephen Nikola Bartulica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3b.</w:t>
            </w:r>
            <w:r>
              <w:tab/>
            </w:r>
            <w:r>
              <w:rPr>
                <w:b/>
                <w:i/>
              </w:rPr>
              <w:t>The sectoral support available under the Protocol will help the Government of Greenland in implementing its national fisheries and maritime economy strategy, including in the fight against IUU fishing, while promoting decent working conditions for fishing activity;</w:t>
            </w:r>
          </w:p>
        </w:tc>
      </w:tr>
    </w:tbl>
    <w:p>
      <w:pPr>
        <w:pStyle w:val="AmOrLang"/>
      </w:pPr>
      <w:r>
        <w:t xml:space="preserve">Or. </w:t>
      </w:r>
      <w:r>
        <w:rPr>
          <w:rStyle w:val="HideTWBExt"/>
        </w:rPr>
        <w:t>&lt;Original&gt;</w:t>
      </w:r>
      <w:r>
        <w:rPr>
          <w:rStyle w:val="HideTWBInt"/>
        </w:rPr>
        <w:t>{HR}</w:t>
      </w:r>
      <w:r>
        <w:t>hr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r>
        <w:rPr>
          <w:rStyle w:val="HideTWBExt"/>
          <w:b w:val="0"/>
        </w:rPr>
        <w:t>&lt;AuNomDe&gt;</w:t>
      </w:r>
      <w:r>
        <w:rPr>
          <w:rStyle w:val="HideTWBInt"/>
        </w:rPr>
        <w:t>{Greens/EFA}</w:t>
      </w:r>
      <w:r>
        <w:t>on behalf of the Greens/EFA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Welcomes the increase in the total financial contribution paid by the European Union and the fees paid by </w:t>
            </w:r>
            <w:r>
              <w:rPr>
                <w:b/>
                <w:i/>
              </w:rPr>
              <w:t>fisheries</w:t>
            </w:r>
            <w:r>
              <w:t xml:space="preserve"> operators;</w:t>
            </w:r>
          </w:p>
        </w:tc>
        <w:tc>
          <w:tcPr>
            <w:tcW w:w="4876" w:type="dxa"/>
            <w:tcBorders>
              <w:top w:val="nil"/>
              <w:left w:val="nil"/>
              <w:bottom w:val="nil"/>
              <w:right w:val="nil"/>
            </w:tcBorders>
          </w:tcPr>
          <w:p>
            <w:pPr>
              <w:pStyle w:val="Normal6a"/>
            </w:pPr>
            <w:r>
              <w:t>5.</w:t>
            </w:r>
            <w:r>
              <w:tab/>
            </w:r>
            <w:r>
              <w:t xml:space="preserve">Welcomes the increase in the total financial contribution paid by the European Union and the fees paid by </w:t>
            </w:r>
            <w:r>
              <w:rPr>
                <w:b/>
                <w:i/>
              </w:rPr>
              <w:t>fishing</w:t>
            </w:r>
            <w:r>
              <w:t xml:space="preserve"> operators; </w:t>
            </w:r>
            <w:r>
              <w:rPr>
                <w:b/>
                <w:i/>
              </w:rPr>
              <w:t>highlights the importance of the fees paid by ship-owners as they ensure that Greenland receives economic benefits from granting access to its waters as well the fact that EU vessels operate under regulated and monitored conditions, reducing risks of overfishing or environmental damage;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Emma Fourreau, Sebastian Everding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Welcomes the increase in the total financial contribution paid by the European Union and the fees paid by fisheries operators;</w:t>
            </w:r>
          </w:p>
        </w:tc>
        <w:tc>
          <w:tcPr>
            <w:tcW w:w="4876" w:type="dxa"/>
            <w:tcBorders>
              <w:top w:val="nil"/>
              <w:left w:val="nil"/>
              <w:bottom w:val="nil"/>
              <w:right w:val="nil"/>
            </w:tcBorders>
          </w:tcPr>
          <w:p>
            <w:pPr>
              <w:pStyle w:val="Normal6a"/>
            </w:pPr>
            <w:r>
              <w:t>5.</w:t>
            </w:r>
            <w:r>
              <w:tab/>
            </w:r>
            <w:r>
              <w:t xml:space="preserve">Welcomes the increase in the total financial contribution paid by the European Union and the fees paid by fisheries operators; </w:t>
            </w:r>
            <w:r>
              <w:rPr>
                <w:b/>
                <w:i/>
              </w:rPr>
              <w:t>Considers that EU operators should assume a greater share of the financial contribution paid for the access rights in the framework of SFPAs, as first beneficiaries of such agreements;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Jessica Polfjärd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rPr>
                <w:b/>
                <w:i/>
              </w:rPr>
              <w:t>Welcomes</w:t>
            </w:r>
            <w:r>
              <w:t xml:space="preserve"> the increase in the total financial contribution paid by the European Union and the fees paid by fisheries operators;</w:t>
            </w:r>
          </w:p>
        </w:tc>
        <w:tc>
          <w:tcPr>
            <w:tcW w:w="4876" w:type="dxa"/>
            <w:tcBorders>
              <w:top w:val="nil"/>
              <w:left w:val="nil"/>
              <w:bottom w:val="nil"/>
              <w:right w:val="nil"/>
            </w:tcBorders>
          </w:tcPr>
          <w:p>
            <w:pPr>
              <w:pStyle w:val="Normal6a"/>
            </w:pPr>
            <w:r>
              <w:t>5.</w:t>
            </w:r>
            <w:r>
              <w:tab/>
            </w:r>
            <w:r>
              <w:rPr>
                <w:b/>
                <w:i/>
              </w:rPr>
              <w:t>Notes</w:t>
            </w:r>
            <w:r>
              <w:t xml:space="preserve"> the increase in the total financial contribution paid by the European Union and the fees paid by fisheries operators</w:t>
            </w:r>
            <w:r>
              <w:rPr>
                <w:b/>
                <w:i/>
              </w:rPr>
              <w:t>, while underscoring that these contributions must remain socio-economically sustainable for EU operators and proportionate to the volume of catches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Karin Karlsbro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rPr>
                <w:b/>
                <w:i/>
              </w:rPr>
              <w:t>Welcomes</w:t>
            </w:r>
            <w:r>
              <w:t xml:space="preserve"> the increase in the total financial contribution paid by the European Union and the fees paid by fisheries operators;</w:t>
            </w:r>
          </w:p>
        </w:tc>
        <w:tc>
          <w:tcPr>
            <w:tcW w:w="4876" w:type="dxa"/>
            <w:tcBorders>
              <w:top w:val="nil"/>
              <w:left w:val="nil"/>
              <w:bottom w:val="nil"/>
              <w:right w:val="nil"/>
            </w:tcBorders>
          </w:tcPr>
          <w:p>
            <w:pPr>
              <w:pStyle w:val="Normal6a"/>
            </w:pPr>
            <w:r>
              <w:t>5.</w:t>
            </w:r>
            <w:r>
              <w:tab/>
            </w:r>
            <w:r>
              <w:rPr>
                <w:b/>
                <w:i/>
              </w:rPr>
              <w:t>Notes</w:t>
            </w:r>
            <w:r>
              <w:t xml:space="preserve"> the increase in the total financial contribution paid by the European Union and the fees paid by fisheries operators;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rPr>
                <w:b/>
                <w:i/>
              </w:rPr>
              <w:t>Welcomes</w:t>
            </w:r>
            <w:r>
              <w:t xml:space="preserve"> the increase in the total financial contribution paid by the European Union and the fees paid by fisheries operators;</w:t>
            </w:r>
          </w:p>
        </w:tc>
        <w:tc>
          <w:tcPr>
            <w:tcW w:w="4876" w:type="dxa"/>
            <w:tcBorders>
              <w:top w:val="nil"/>
              <w:left w:val="nil"/>
              <w:bottom w:val="nil"/>
              <w:right w:val="nil"/>
            </w:tcBorders>
          </w:tcPr>
          <w:p>
            <w:pPr>
              <w:pStyle w:val="Normal6a"/>
            </w:pPr>
            <w:r>
              <w:t>5.</w:t>
            </w:r>
            <w:r>
              <w:tab/>
            </w:r>
            <w:r>
              <w:rPr>
                <w:b/>
                <w:i/>
              </w:rPr>
              <w:t>Notes</w:t>
            </w:r>
            <w:r>
              <w:t xml:space="preserve"> the increase in the total financial contribution paid by the European Union and the fees paid by fisheries operators;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Nicolás González Casares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a.</w:t>
            </w:r>
            <w:r>
              <w:tab/>
            </w:r>
            <w:r>
              <w:rPr>
                <w:b/>
                <w:i/>
              </w:rPr>
              <w:t>Underlines the high value of the SFPA and that every EUR 1 invested from the EU budget in the compensation payment for access supports the creation of EUR 6.88 of value added, with EUR 4.32 to the EU and EUR 2.12 to Greenland;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r>
        <w:rPr>
          <w:rStyle w:val="HideTWBExt"/>
          <w:b w:val="0"/>
        </w:rPr>
        <w:t>&lt;AuNomDe&gt;</w:t>
      </w:r>
      <w:r>
        <w:rPr>
          <w:rStyle w:val="HideTWBInt"/>
        </w:rPr>
        <w:t>{Greens/EFA}</w:t>
      </w:r>
      <w:r>
        <w:t>on behalf of the Greens/EFA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a.</w:t>
            </w:r>
            <w:r>
              <w:tab/>
            </w:r>
            <w:r>
              <w:rPr>
                <w:b/>
                <w:i/>
              </w:rPr>
              <w:t>Calls for a future increase in the contribution by fishing operators to the financial contribution paid by the European Union;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r>
        <w:rPr>
          <w:rStyle w:val="HideTWBExt"/>
          <w:b w:val="0"/>
        </w:rPr>
        <w:t>&lt;AuNomDe&gt;</w:t>
      </w:r>
      <w:r>
        <w:rPr>
          <w:rStyle w:val="HideTWBInt"/>
        </w:rPr>
        <w:t>{Greens/EFA}</w:t>
      </w:r>
      <w:r>
        <w:t>on behalf of the Greens/EFA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b.</w:t>
            </w:r>
            <w:r>
              <w:tab/>
            </w:r>
            <w:r>
              <w:rPr>
                <w:b/>
                <w:i/>
              </w:rPr>
              <w:t>Highlights that all catches, including bycatches and discards, must be recorded and reported by species according to applicable Greenlandic legislation;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r>
        <w:rPr>
          <w:rStyle w:val="HideTWBExt"/>
          <w:b w:val="0"/>
        </w:rPr>
        <w:t>&lt;AuNomDe&gt;</w:t>
      </w:r>
      <w:r>
        <w:rPr>
          <w:rStyle w:val="HideTWBInt"/>
        </w:rPr>
        <w:t>{Greens/EFA}</w:t>
      </w:r>
      <w:r>
        <w:t>on behalf of the Greens/EFA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Welcomes the robust monitoring system</w:t>
            </w:r>
            <w:r>
              <w:rPr>
                <w:b/>
                <w:i/>
              </w:rPr>
              <w:t>, the</w:t>
            </w:r>
            <w:r>
              <w:t xml:space="preserve"> framework for </w:t>
            </w:r>
            <w:r>
              <w:rPr>
                <w:b/>
                <w:i/>
              </w:rPr>
              <w:t>the management of</w:t>
            </w:r>
            <w:r>
              <w:t xml:space="preserve"> bycatch and the </w:t>
            </w:r>
            <w:r>
              <w:rPr>
                <w:b/>
                <w:i/>
              </w:rPr>
              <w:t>ban on discards</w:t>
            </w:r>
            <w:r>
              <w:t xml:space="preserve"> that apply in Greenland waters, as well as the presence of observers;</w:t>
            </w:r>
          </w:p>
        </w:tc>
        <w:tc>
          <w:tcPr>
            <w:tcW w:w="4876" w:type="dxa"/>
            <w:tcBorders>
              <w:top w:val="nil"/>
              <w:left w:val="nil"/>
              <w:bottom w:val="nil"/>
              <w:right w:val="nil"/>
            </w:tcBorders>
          </w:tcPr>
          <w:p>
            <w:pPr>
              <w:pStyle w:val="Normal6a"/>
            </w:pPr>
            <w:r>
              <w:t>6.</w:t>
            </w:r>
            <w:r>
              <w:tab/>
            </w:r>
            <w:r>
              <w:t xml:space="preserve">Welcomes the robust monitoring system </w:t>
            </w:r>
            <w:r>
              <w:rPr>
                <w:b/>
                <w:i/>
              </w:rPr>
              <w:t>along with a comprehensive</w:t>
            </w:r>
            <w:r>
              <w:t xml:space="preserve"> framework for </w:t>
            </w:r>
            <w:r>
              <w:rPr>
                <w:b/>
                <w:i/>
              </w:rPr>
              <w:t>managing</w:t>
            </w:r>
            <w:r>
              <w:t xml:space="preserve"> bycatch and the </w:t>
            </w:r>
            <w:r>
              <w:rPr>
                <w:b/>
                <w:i/>
              </w:rPr>
              <w:t>strict discard policy</w:t>
            </w:r>
            <w:r>
              <w:t xml:space="preserve"> that apply in Greenland waters, as well as the presence of observers; </w:t>
            </w:r>
            <w:r>
              <w:rPr>
                <w:b/>
                <w:i/>
              </w:rPr>
              <w:t>acknowledges the fundamental role of observers in ensuring compliance, promoting transparency, and supporting sustainable fisheries management in the region;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Karin Karlsbro,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Welcomes the robust monitoring system, the framework for the management of bycatch and the ban on discards that apply in Greenland waters</w:t>
            </w:r>
            <w:r>
              <w:rPr>
                <w:b/>
                <w:i/>
              </w:rPr>
              <w:t>,</w:t>
            </w:r>
            <w:r>
              <w:t xml:space="preserve"> as well as the presence of observers;</w:t>
            </w:r>
          </w:p>
        </w:tc>
        <w:tc>
          <w:tcPr>
            <w:tcW w:w="4876" w:type="dxa"/>
            <w:tcBorders>
              <w:top w:val="nil"/>
              <w:left w:val="nil"/>
              <w:bottom w:val="nil"/>
              <w:right w:val="nil"/>
            </w:tcBorders>
          </w:tcPr>
          <w:p>
            <w:pPr>
              <w:pStyle w:val="Normal6a"/>
            </w:pPr>
            <w:r>
              <w:t>6.</w:t>
            </w:r>
            <w:r>
              <w:tab/>
            </w:r>
            <w:r>
              <w:t>Welcomes the robust monitoring system, the framework for the management of bycatch and the ban on discards that apply in Greenland waters</w:t>
            </w:r>
            <w:r>
              <w:rPr>
                <w:b/>
                <w:i/>
              </w:rPr>
              <w:t>; considers positively the efforts made in terms of controls of fishing operations</w:t>
            </w:r>
            <w:r>
              <w:t xml:space="preserve"> as well as the presence of observers </w:t>
            </w:r>
            <w:r>
              <w:rPr>
                <w:b/>
                <w:i/>
              </w:rPr>
              <w:t>in these activities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Nicolás González Casares, Eric Sargiacomo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Welcomes the robust monitoring system, the framework for the management of bycatch and the ban on discards that apply in Greenland waters, as well as the presence of observers;</w:t>
            </w:r>
          </w:p>
        </w:tc>
        <w:tc>
          <w:tcPr>
            <w:tcW w:w="4876" w:type="dxa"/>
            <w:tcBorders>
              <w:top w:val="nil"/>
              <w:left w:val="nil"/>
              <w:bottom w:val="nil"/>
              <w:right w:val="nil"/>
            </w:tcBorders>
          </w:tcPr>
          <w:p>
            <w:pPr>
              <w:pStyle w:val="Normal6a"/>
            </w:pPr>
            <w:r>
              <w:t>6.</w:t>
            </w:r>
            <w:r>
              <w:tab/>
            </w:r>
            <w:r>
              <w:t>Welcomes the robust monitoring system, the framework for the management of bycatch and the ban on discards that apply in Greenland waters, as well as the presence of observers</w:t>
            </w:r>
            <w:r>
              <w:rPr>
                <w:b/>
                <w:i/>
              </w:rPr>
              <w:t>, to which the sectoral support provided under the SFPA has contributed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Stephen Nikola Bartulica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6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Points out that the purpose of the new Protocol is to grant fishing opportunities to Union vessels in the fishing zones located in the waters of Greenland, in accordance with scientific advice and the recommendations of the relevant regional fisheries management organisations (NAFO, NEAFC);</w:t>
            </w:r>
          </w:p>
        </w:tc>
      </w:tr>
    </w:tbl>
    <w:p>
      <w:pPr>
        <w:pStyle w:val="AmOrLang"/>
      </w:pPr>
      <w:r>
        <w:t xml:space="preserve">Or. </w:t>
      </w:r>
      <w:r>
        <w:rPr>
          <w:rStyle w:val="HideTWBExt"/>
        </w:rPr>
        <w:t>&lt;Original&gt;</w:t>
      </w:r>
      <w:r>
        <w:rPr>
          <w:rStyle w:val="HideTWBInt"/>
        </w:rPr>
        <w:t>{HR}</w:t>
      </w:r>
      <w:r>
        <w:t>hr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Jessica Polfjärd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Reaffirms its concerns regarding the </w:t>
            </w:r>
            <w:r>
              <w:rPr>
                <w:b/>
                <w:i/>
              </w:rPr>
              <w:t>overexploitation of several target fish populations under the Protocol for which the TACs set by Greenland are higher than</w:t>
            </w:r>
            <w:r>
              <w:t xml:space="preserve"> scientific </w:t>
            </w:r>
            <w:r>
              <w:rPr>
                <w:b/>
                <w:i/>
              </w:rPr>
              <w:t>advice</w:t>
            </w:r>
            <w:r>
              <w:t xml:space="preserve">, in particular </w:t>
            </w:r>
            <w:r>
              <w:rPr>
                <w:b/>
                <w:i/>
              </w:rPr>
              <w:t>for</w:t>
            </w:r>
            <w:r>
              <w:t xml:space="preserve"> the Northern prawn, targeted by both Greenland vessels and Community vessels (which account for a more marginal share); in this respect, </w:t>
            </w:r>
            <w:r>
              <w:rPr>
                <w:b/>
                <w:i/>
              </w:rPr>
              <w:t>notes the reduction in</w:t>
            </w:r>
            <w:r>
              <w:t xml:space="preserve"> indicative annual fishing opportunities for several fish </w:t>
            </w:r>
            <w:r>
              <w:rPr>
                <w:b/>
                <w:i/>
              </w:rPr>
              <w:t>populations</w:t>
            </w:r>
            <w:r>
              <w:t>;</w:t>
            </w:r>
          </w:p>
        </w:tc>
        <w:tc>
          <w:tcPr>
            <w:tcW w:w="4876" w:type="dxa"/>
            <w:tcBorders>
              <w:top w:val="nil"/>
              <w:left w:val="nil"/>
              <w:bottom w:val="nil"/>
              <w:right w:val="nil"/>
            </w:tcBorders>
          </w:tcPr>
          <w:p>
            <w:pPr>
              <w:pStyle w:val="Normal6a"/>
            </w:pPr>
            <w:r>
              <w:t>7.</w:t>
            </w:r>
            <w:r>
              <w:tab/>
            </w:r>
            <w:r>
              <w:t>Reaffirms its concerns regarding the </w:t>
            </w:r>
            <w:r>
              <w:rPr>
                <w:b/>
                <w:i/>
              </w:rPr>
              <w:t>lack of precise</w:t>
            </w:r>
            <w:r>
              <w:t xml:space="preserve"> scientific </w:t>
            </w:r>
            <w:r>
              <w:rPr>
                <w:b/>
                <w:i/>
              </w:rPr>
              <w:t>data on the state of fish stocks</w:t>
            </w:r>
            <w:r>
              <w:t xml:space="preserve">, </w:t>
            </w:r>
            <w:r>
              <w:rPr>
                <w:b/>
                <w:i/>
              </w:rPr>
              <w:t>which are assessed with limited data or using a precautionary approach; regrets</w:t>
            </w:r>
            <w:r>
              <w:t xml:space="preserve"> in particular </w:t>
            </w:r>
            <w:r>
              <w:rPr>
                <w:b/>
                <w:i/>
              </w:rPr>
              <w:t>the</w:t>
            </w:r>
            <w:r>
              <w:t xml:space="preserve"> </w:t>
            </w:r>
            <w:r>
              <w:rPr>
                <w:b/>
                <w:i/>
              </w:rPr>
              <w:t>situation of</w:t>
            </w:r>
            <w:r>
              <w:t xml:space="preserve"> the Northern prawn, targeted by both Greenland vessels and Community vessels (which account for a more marginal share); </w:t>
            </w:r>
            <w:r>
              <w:rPr>
                <w:b/>
                <w:i/>
              </w:rPr>
              <w:t>notes,</w:t>
            </w:r>
            <w:r>
              <w:t xml:space="preserve"> in this respect, </w:t>
            </w:r>
            <w:r>
              <w:rPr>
                <w:b/>
                <w:i/>
              </w:rPr>
              <w:t>the positive step of reducing</w:t>
            </w:r>
            <w:r>
              <w:t xml:space="preserve"> indicative annual fishing opportunities for several fish </w:t>
            </w:r>
            <w:r>
              <w:rPr>
                <w:b/>
                <w:i/>
              </w:rPr>
              <w:t>stocks based on available scientific data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Nicolás González Casares, Eric Sargiacomo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Reaffirms its concerns regarding the overexploitation of </w:t>
            </w:r>
            <w:r>
              <w:rPr>
                <w:b/>
                <w:i/>
              </w:rPr>
              <w:t>several target fish populations under the Protocol for which the TACs set by Greenland are higher than scientific advice, in particular for</w:t>
            </w:r>
            <w:r>
              <w:t xml:space="preserve"> the Northern prawn, targeted by both Greenland vessels and </w:t>
            </w:r>
            <w:r>
              <w:rPr>
                <w:b/>
                <w:i/>
              </w:rPr>
              <w:t>Community</w:t>
            </w:r>
            <w:r>
              <w:t xml:space="preserve"> vessels (which account for a </w:t>
            </w:r>
            <w:r>
              <w:rPr>
                <w:b/>
                <w:i/>
              </w:rPr>
              <w:t>more</w:t>
            </w:r>
            <w:r>
              <w:t xml:space="preserve"> marginal share); in this respect, notes the reduction in indicative annual fishing opportunities for several fish populations;</w:t>
            </w:r>
          </w:p>
        </w:tc>
        <w:tc>
          <w:tcPr>
            <w:tcW w:w="4876" w:type="dxa"/>
            <w:tcBorders>
              <w:top w:val="nil"/>
              <w:left w:val="nil"/>
              <w:bottom w:val="nil"/>
              <w:right w:val="nil"/>
            </w:tcBorders>
          </w:tcPr>
          <w:p>
            <w:pPr>
              <w:pStyle w:val="Normal6a"/>
            </w:pPr>
            <w:r>
              <w:t>7.</w:t>
            </w:r>
            <w:r>
              <w:tab/>
            </w:r>
            <w:r>
              <w:t xml:space="preserve">Reaffirms its concerns regarding the </w:t>
            </w:r>
            <w:r>
              <w:rPr>
                <w:b/>
                <w:i/>
              </w:rPr>
              <w:t>lack of specific scientific data for some of the species stock components, which has led to their assessment under a precautionary approach or to their being assessed as having either stock status lower than maximum sustainable yield or being subject to overfishing; regrets in particular the</w:t>
            </w:r>
            <w:r>
              <w:t xml:space="preserve"> overexploitation of the Northern prawn, targeted by both Greenland vessels and </w:t>
            </w:r>
            <w:r>
              <w:rPr>
                <w:b/>
                <w:i/>
              </w:rPr>
              <w:t>EU</w:t>
            </w:r>
            <w:r>
              <w:t xml:space="preserve"> vessels (which account for a marginal share); in this respect, notes the reduction in indicative annual fishing opportunities for several fish populations;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Reaffirms its concerns regarding the </w:t>
            </w:r>
            <w:r>
              <w:rPr>
                <w:b/>
                <w:i/>
              </w:rPr>
              <w:t>overexploitation of</w:t>
            </w:r>
            <w:r>
              <w:t xml:space="preserve"> several target fish populations under the Protocol </w:t>
            </w:r>
            <w:r>
              <w:rPr>
                <w:b/>
                <w:i/>
              </w:rPr>
              <w:t>for which the TACs set by Greenland are higher than scientific advice</w:t>
            </w:r>
            <w:r>
              <w:t>, in particular for the Northern prawn, targeted by both Greenland vessels and Community vessels (which account for a more marginal share); in this respect, notes the reduction in indicative annual fishing opportunities for several fish populations;</w:t>
            </w:r>
          </w:p>
        </w:tc>
        <w:tc>
          <w:tcPr>
            <w:tcW w:w="4876" w:type="dxa"/>
            <w:tcBorders>
              <w:top w:val="nil"/>
              <w:left w:val="nil"/>
              <w:bottom w:val="nil"/>
              <w:right w:val="nil"/>
            </w:tcBorders>
          </w:tcPr>
          <w:p>
            <w:pPr>
              <w:pStyle w:val="Normal6a"/>
            </w:pPr>
            <w:r>
              <w:t>7.</w:t>
            </w:r>
            <w:r>
              <w:tab/>
            </w:r>
            <w:r>
              <w:t xml:space="preserve">Reaffirms its concerns regarding the </w:t>
            </w:r>
            <w:r>
              <w:rPr>
                <w:b/>
                <w:i/>
              </w:rPr>
              <w:t>lack of scientific data on</w:t>
            </w:r>
            <w:r>
              <w:t xml:space="preserve"> several target fish populations under the Protocol </w:t>
            </w:r>
            <w:r>
              <w:rPr>
                <w:b/>
                <w:i/>
              </w:rPr>
              <w:t>and the resulting uncertainty for certain TACs set by Greenland</w:t>
            </w:r>
            <w:r>
              <w:t>, in particular for the Northern prawn, targeted by both Greenland vessels and Community vessels (which account for a more marginal share); in this respect, notes the reduction in indicative annual fishing opportunities for several fish populations;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r>
        <w:rPr>
          <w:rStyle w:val="HideTWBExt"/>
          <w:b w:val="0"/>
        </w:rPr>
        <w:t>&lt;AuNomDe&gt;</w:t>
      </w:r>
      <w:r>
        <w:rPr>
          <w:rStyle w:val="HideTWBInt"/>
        </w:rPr>
        <w:t>{Greens/EFA}</w:t>
      </w:r>
      <w:r>
        <w:t>on behalf of the Greens/EFA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Reaffirms its concerns regarding the overexploitation of several target fish populations under the Protocol for which the TACs set by Greenland are higher than scientific advice, in particular for the Northern prawn, targeted by both Greenland vessels and Community vessels (which account for a more marginal share); in this respect, </w:t>
            </w:r>
            <w:r>
              <w:rPr>
                <w:b/>
                <w:i/>
              </w:rPr>
              <w:t>notes</w:t>
            </w:r>
            <w:r>
              <w:t xml:space="preserve"> the reduction in indicative annual fishing opportunities for several fish populations;</w:t>
            </w:r>
          </w:p>
        </w:tc>
        <w:tc>
          <w:tcPr>
            <w:tcW w:w="4876" w:type="dxa"/>
            <w:tcBorders>
              <w:top w:val="nil"/>
              <w:left w:val="nil"/>
              <w:bottom w:val="nil"/>
              <w:right w:val="nil"/>
            </w:tcBorders>
          </w:tcPr>
          <w:p>
            <w:pPr>
              <w:pStyle w:val="Normal6a"/>
            </w:pPr>
            <w:r>
              <w:t>7.</w:t>
            </w:r>
            <w:r>
              <w:tab/>
            </w:r>
            <w:r>
              <w:t xml:space="preserve">Reaffirms its concerns regarding the overexploitation of several target fish populations under the Protocol for which the TACs set by Greenland are higher than scientific advice, in particular for the Northern prawn, targeted by both Greenland vessels and Community vessels (which account for a more marginal share); in this respect, </w:t>
            </w:r>
            <w:r>
              <w:rPr>
                <w:b/>
                <w:i/>
              </w:rPr>
              <w:t>welcomes</w:t>
            </w:r>
            <w:r>
              <w:t xml:space="preserve"> the reduction in indicative annual fishing opportunities for several fish populations;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r>
        <w:rPr>
          <w:rStyle w:val="HideTWBExt"/>
          <w:b w:val="0"/>
        </w:rPr>
        <w:t>&lt;AuNomDe&gt;</w:t>
      </w:r>
      <w:r>
        <w:rPr>
          <w:rStyle w:val="HideTWBInt"/>
        </w:rPr>
        <w:t>{Greens/EFA}</w:t>
      </w:r>
      <w:r>
        <w:t>on behalf of the Greens/EFA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7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a.</w:t>
            </w:r>
            <w:r>
              <w:tab/>
            </w:r>
            <w:r>
              <w:rPr>
                <w:b/>
                <w:i/>
              </w:rPr>
              <w:t>Remains concerned by the exploitation of the Northern prawn, particularly in certain areas of West Greenland, where stocks have shown signs of decline due to fishing pressure, global warming, and increased predation by cod; emphasises the importance of strengthening sustainable management measures, including adjusting catch quotas based on scientific recommendations from ICES and NAFO, as well as improving fishing practices to reduce bycatch and preserve the marine ecosystem; calls on the Commission to enhance cooperation with Greenlandic authorities to ensure a sustainable and balanced exploitation of this resource that is essential to the local economy;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Jessica Polfjärd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rPr>
                <w:b/>
                <w:i/>
              </w:rPr>
              <w:t>Calls once again for the Commission and</w:t>
            </w:r>
            <w:r>
              <w:t xml:space="preserve"> Greenland to use the precautionary principle and the best available scientific advice as a basis for setting annual fishing opportunities;</w:t>
            </w:r>
          </w:p>
        </w:tc>
        <w:tc>
          <w:tcPr>
            <w:tcW w:w="4876" w:type="dxa"/>
            <w:tcBorders>
              <w:top w:val="nil"/>
              <w:left w:val="nil"/>
              <w:bottom w:val="nil"/>
              <w:right w:val="nil"/>
            </w:tcBorders>
          </w:tcPr>
          <w:p>
            <w:pPr>
              <w:pStyle w:val="Normal6a"/>
            </w:pPr>
            <w:r>
              <w:t>8.</w:t>
            </w:r>
            <w:r>
              <w:tab/>
            </w:r>
            <w:r>
              <w:rPr>
                <w:b/>
                <w:i/>
              </w:rPr>
              <w:t>Encourages</w:t>
            </w:r>
            <w:r>
              <w:t xml:space="preserve"> Greenland </w:t>
            </w:r>
            <w:r>
              <w:rPr>
                <w:b/>
                <w:i/>
              </w:rPr>
              <w:t>to</w:t>
            </w:r>
            <w:r>
              <w:t xml:space="preserve"> </w:t>
            </w:r>
            <w:r>
              <w:rPr>
                <w:b/>
                <w:i/>
              </w:rPr>
              <w:t>continue</w:t>
            </w:r>
            <w:r>
              <w:t xml:space="preserve"> to use the precautionary principle and the best available scientific advice as a basis for setting annual fishing opportunities</w:t>
            </w:r>
            <w:r>
              <w:rPr>
                <w:b/>
                <w:i/>
              </w:rPr>
              <w:t>, whilst also taking into consideration the socio-economic aspects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Karin Karlsbro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rPr>
                <w:b/>
                <w:i/>
              </w:rPr>
              <w:t>Calls once again for</w:t>
            </w:r>
            <w:r>
              <w:t xml:space="preserve"> the Commission and Greenland to use the precautionary principle and the best available scientific advice as a basis for setting annual fishing opportunities;</w:t>
            </w:r>
          </w:p>
        </w:tc>
        <w:tc>
          <w:tcPr>
            <w:tcW w:w="4876" w:type="dxa"/>
            <w:tcBorders>
              <w:top w:val="nil"/>
              <w:left w:val="nil"/>
              <w:bottom w:val="nil"/>
              <w:right w:val="nil"/>
            </w:tcBorders>
          </w:tcPr>
          <w:p>
            <w:pPr>
              <w:pStyle w:val="Normal6a"/>
            </w:pPr>
            <w:r>
              <w:t>8.</w:t>
            </w:r>
            <w:r>
              <w:tab/>
            </w:r>
            <w:r>
              <w:rPr>
                <w:b/>
                <w:i/>
              </w:rPr>
              <w:t>Reiterates that, on the basis of the SFPA,</w:t>
            </w:r>
            <w:r>
              <w:t xml:space="preserve"> the Commission and Greenland </w:t>
            </w:r>
            <w:r>
              <w:rPr>
                <w:b/>
                <w:i/>
              </w:rPr>
              <w:t>are</w:t>
            </w:r>
            <w:r>
              <w:t xml:space="preserve"> to use the precautionary principle and the best available scientific advice as a basis for setting annual fishing opportunities;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Stephen Nikola Bartulica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rPr>
                <w:b/>
                <w:i/>
              </w:rPr>
              <w:t>Calls once again for the Commission and Greenland to use the precautionary principle and the best available</w:t>
            </w:r>
            <w:r>
              <w:t xml:space="preserve"> scientific advice </w:t>
            </w:r>
            <w:r>
              <w:rPr>
                <w:b/>
                <w:i/>
              </w:rPr>
              <w:t>as a basis for setting annual fishing opportunities</w:t>
            </w:r>
            <w:r>
              <w:t>;</w:t>
            </w:r>
          </w:p>
        </w:tc>
        <w:tc>
          <w:tcPr>
            <w:tcW w:w="4876" w:type="dxa"/>
            <w:tcBorders>
              <w:top w:val="nil"/>
              <w:left w:val="nil"/>
              <w:bottom w:val="nil"/>
              <w:right w:val="nil"/>
            </w:tcBorders>
          </w:tcPr>
          <w:p>
            <w:pPr>
              <w:pStyle w:val="Normal6a"/>
            </w:pPr>
            <w:r>
              <w:t>8.</w:t>
            </w:r>
            <w:r>
              <w:tab/>
            </w:r>
            <w:r>
              <w:rPr>
                <w:b/>
                <w:i/>
              </w:rPr>
              <w:t>Points out that annual fishing opportunities for Union vessels in the fishing zones located in the waters of Greenland are set in accordance with</w:t>
            </w:r>
            <w:r>
              <w:t xml:space="preserve"> scientific advice </w:t>
            </w:r>
            <w:r>
              <w:rPr>
                <w:b/>
                <w:i/>
              </w:rPr>
              <w:t>and the recommendations of the relevant regional fisheries management organisations</w:t>
            </w:r>
            <w:r>
              <w:t>;</w:t>
            </w:r>
          </w:p>
        </w:tc>
      </w:tr>
    </w:tbl>
    <w:p>
      <w:pPr>
        <w:pStyle w:val="AmOrLang"/>
      </w:pPr>
      <w:r>
        <w:t xml:space="preserve">Or. </w:t>
      </w:r>
      <w:r>
        <w:rPr>
          <w:rStyle w:val="HideTWBExt"/>
        </w:rPr>
        <w:t>&lt;Original&gt;</w:t>
      </w:r>
      <w:r>
        <w:rPr>
          <w:rStyle w:val="HideTWBInt"/>
        </w:rPr>
        <w:t>{HR}</w:t>
      </w:r>
      <w:r>
        <w:t>hr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Nicolás González Casares, Eric Sargiacomo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Calls </w:t>
            </w:r>
            <w:r>
              <w:rPr>
                <w:b/>
                <w:i/>
              </w:rPr>
              <w:t>once again</w:t>
            </w:r>
            <w:r>
              <w:t xml:space="preserve"> for the Commission and Greenland to </w:t>
            </w:r>
            <w:r>
              <w:rPr>
                <w:b/>
                <w:i/>
              </w:rPr>
              <w:t>use</w:t>
            </w:r>
            <w:r>
              <w:t xml:space="preserve"> the precautionary principle and the best available scientific advice as a basis for setting annual fishing opportunities;</w:t>
            </w:r>
          </w:p>
        </w:tc>
        <w:tc>
          <w:tcPr>
            <w:tcW w:w="4876" w:type="dxa"/>
            <w:tcBorders>
              <w:top w:val="nil"/>
              <w:left w:val="nil"/>
              <w:bottom w:val="nil"/>
              <w:right w:val="nil"/>
            </w:tcBorders>
          </w:tcPr>
          <w:p>
            <w:pPr>
              <w:pStyle w:val="Normal6a"/>
            </w:pPr>
            <w:r>
              <w:t>8.</w:t>
            </w:r>
            <w:r>
              <w:tab/>
            </w:r>
            <w:r>
              <w:t xml:space="preserve">Calls for the Commission and Greenland to </w:t>
            </w:r>
            <w:r>
              <w:rPr>
                <w:b/>
                <w:i/>
              </w:rPr>
              <w:t>keep using</w:t>
            </w:r>
            <w:r>
              <w:t xml:space="preserve"> the precautionary principle and the best available scientific advice as a basis for setting annual fishing opportunities;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Calls once again for the Commission and Greenland to use the </w:t>
            </w:r>
            <w:r>
              <w:rPr>
                <w:b/>
                <w:i/>
              </w:rPr>
              <w:t>precautionary principle and the</w:t>
            </w:r>
            <w:r>
              <w:t xml:space="preserve"> best available scientific advice as a basis for setting annual fishing opportunities;</w:t>
            </w:r>
          </w:p>
        </w:tc>
        <w:tc>
          <w:tcPr>
            <w:tcW w:w="4876" w:type="dxa"/>
            <w:tcBorders>
              <w:top w:val="nil"/>
              <w:left w:val="nil"/>
              <w:bottom w:val="nil"/>
              <w:right w:val="nil"/>
            </w:tcBorders>
          </w:tcPr>
          <w:p>
            <w:pPr>
              <w:pStyle w:val="Normal6a"/>
            </w:pPr>
            <w:r>
              <w:t>8.</w:t>
            </w:r>
            <w:r>
              <w:tab/>
            </w:r>
            <w:r>
              <w:t>Calls once again for the Commission and Greenland to use the best available scientific advice as a basis for setting annual fishing opportunities;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Emma Fourreau, Sebastian Everding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Notes that a significant share of the fishing opportunities granted to the European Union by Greenland go to Norwegian vessels in connection with the exchange of quotas; recalls that the same sustainability standards must apply to both European and Norwegian vessels in order to ensure that they are treated equally;</w:t>
            </w:r>
          </w:p>
        </w:tc>
        <w:tc>
          <w:tcPr>
            <w:tcW w:w="4876" w:type="dxa"/>
            <w:tcBorders>
              <w:top w:val="nil"/>
              <w:left w:val="nil"/>
              <w:bottom w:val="nil"/>
              <w:right w:val="nil"/>
            </w:tcBorders>
          </w:tcPr>
          <w:p>
            <w:pPr>
              <w:pStyle w:val="Normal6a"/>
            </w:pPr>
            <w:r>
              <w:t>9.</w:t>
            </w:r>
            <w:r>
              <w:tab/>
            </w:r>
            <w:r>
              <w:t xml:space="preserve">Notes that a significant share of the fishing opportunities granted to the European Union by Greenland go to Norwegian vessels in connection with the exchange of quotas; recalls that the same sustainability standards </w:t>
            </w:r>
            <w:r>
              <w:rPr>
                <w:b/>
                <w:i/>
              </w:rPr>
              <w:t>and fisheries control rules</w:t>
            </w:r>
            <w:r>
              <w:t xml:space="preserve"> must apply to both European and Norwegian vessels in order to ensure that they are treated equally;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Jessica Polfjärd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Notes that a significant share of the fishing opportunities granted to the European Union by Greenland go to Norwegian vessels in connection with the exchange of quotas; recalls that the same sustainability standards must apply to </w:t>
            </w:r>
            <w:r>
              <w:rPr>
                <w:b/>
                <w:i/>
              </w:rPr>
              <w:t>both European and</w:t>
            </w:r>
            <w:r>
              <w:t xml:space="preserve"> Norwegian vessels in order to ensure that they are treated equally;</w:t>
            </w:r>
          </w:p>
        </w:tc>
        <w:tc>
          <w:tcPr>
            <w:tcW w:w="4876" w:type="dxa"/>
            <w:tcBorders>
              <w:top w:val="nil"/>
              <w:left w:val="nil"/>
              <w:bottom w:val="nil"/>
              <w:right w:val="nil"/>
            </w:tcBorders>
          </w:tcPr>
          <w:p>
            <w:pPr>
              <w:pStyle w:val="Normal6a"/>
            </w:pPr>
            <w:r>
              <w:t>9.</w:t>
            </w:r>
            <w:r>
              <w:tab/>
            </w:r>
            <w:r>
              <w:t xml:space="preserve">Notes that a significant share of the fishing opportunities granted to the European Union by Greenland go to Norwegian vessels in connection with the exchange of quotas; recalls that the same sustainability standards </w:t>
            </w:r>
            <w:r>
              <w:rPr>
                <w:b/>
                <w:i/>
              </w:rPr>
              <w:t>followed by European vessels</w:t>
            </w:r>
            <w:r>
              <w:t xml:space="preserve"> must apply to Norwegian vessels in order to ensure that they are treated equally;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Notes that a </w:t>
            </w:r>
            <w:r>
              <w:rPr>
                <w:b/>
                <w:i/>
              </w:rPr>
              <w:t>significant</w:t>
            </w:r>
            <w:r>
              <w:t xml:space="preserve"> share of the fishing opportunities granted to the European Union by Greenland go to Norwegian vessels in connection with the exchange of quotas; recalls that the same sustainability standards must apply to both European and Norwegian vessels in order to ensure that they are treated equally;</w:t>
            </w:r>
          </w:p>
        </w:tc>
        <w:tc>
          <w:tcPr>
            <w:tcW w:w="4876" w:type="dxa"/>
            <w:tcBorders>
              <w:top w:val="nil"/>
              <w:left w:val="nil"/>
              <w:bottom w:val="nil"/>
              <w:right w:val="nil"/>
            </w:tcBorders>
          </w:tcPr>
          <w:p>
            <w:pPr>
              <w:pStyle w:val="Normal6a"/>
            </w:pPr>
            <w:r>
              <w:t>9.</w:t>
            </w:r>
            <w:r>
              <w:tab/>
            </w:r>
            <w:r>
              <w:t>Notes that a share of the fishing opportunities granted to the European Union by Greenland go to Norwegian vessels in connection with the exchange of quotas; recalls that the same sustainability standards must apply to both European and Norwegian vessels in order to ensure that they are treated equally;</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Emma Fourreau, Sebastian Everding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Recalls that reliable and robust data are required to calculate the available surplus; reiterates its concerns regarding the existing gaps; welcomes the efforts of the fisheries sector to cooperate with scientific monitoring and data collection;</w:t>
            </w:r>
          </w:p>
        </w:tc>
        <w:tc>
          <w:tcPr>
            <w:tcW w:w="4876" w:type="dxa"/>
            <w:tcBorders>
              <w:top w:val="nil"/>
              <w:left w:val="nil"/>
              <w:bottom w:val="nil"/>
              <w:right w:val="nil"/>
            </w:tcBorders>
          </w:tcPr>
          <w:p>
            <w:pPr>
              <w:pStyle w:val="Normal6a"/>
            </w:pPr>
            <w:r>
              <w:t>10.</w:t>
            </w:r>
            <w:r>
              <w:tab/>
            </w:r>
            <w:r>
              <w:t>Recalls that reliable and robust data are required to calculate the available surplus</w:t>
            </w:r>
            <w:r>
              <w:rPr>
                <w:b/>
                <w:i/>
              </w:rPr>
              <w:t>; takes the view that targeting fish populations subject to overexploitation is contrary to that objective</w:t>
            </w:r>
            <w:r>
              <w:t xml:space="preserve">; reiterates its concerns regarding the existing gaps; welcomes the efforts of the fisheries sector to cooperate with scientific monitoring and data collection </w:t>
            </w:r>
            <w:r>
              <w:rPr>
                <w:b/>
                <w:i/>
              </w:rPr>
              <w:t>and invites the Commission to step up the scientific and financial support to the Greenland Institute of Natural Resources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Jessica Polfjärd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Recalls that reliable and robust data are required to calculate the available surplus</w:t>
            </w:r>
            <w:r>
              <w:rPr>
                <w:b/>
                <w:i/>
              </w:rPr>
              <w:t>; reiterates its concerns regarding the existing gaps</w:t>
            </w:r>
            <w:r>
              <w:t>; welcomes the efforts of the fisheries sector to cooperate with scientific monitoring and data collection;</w:t>
            </w:r>
          </w:p>
        </w:tc>
        <w:tc>
          <w:tcPr>
            <w:tcW w:w="4876" w:type="dxa"/>
            <w:tcBorders>
              <w:top w:val="nil"/>
              <w:left w:val="nil"/>
              <w:bottom w:val="nil"/>
              <w:right w:val="nil"/>
            </w:tcBorders>
          </w:tcPr>
          <w:p>
            <w:pPr>
              <w:pStyle w:val="Normal6a"/>
            </w:pPr>
            <w:r>
              <w:t>10.</w:t>
            </w:r>
            <w:r>
              <w:tab/>
            </w:r>
            <w:r>
              <w:t>Recalls that reliable and robust data are required to calculate the available surplus; welcomes the efforts of the fisheries sector to cooperate with scientific monitoring and data collection;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Nicolás González Casares, Eric Sargiacomo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Recalls that reliable and robust data are required to calculate the available surplus; reiterates its concerns regarding the existing gaps; welcomes the efforts of the fisheries sector to cooperate with scientific monitoring and data collection;</w:t>
            </w:r>
          </w:p>
        </w:tc>
        <w:tc>
          <w:tcPr>
            <w:tcW w:w="4876" w:type="dxa"/>
            <w:tcBorders>
              <w:top w:val="nil"/>
              <w:left w:val="nil"/>
              <w:bottom w:val="nil"/>
              <w:right w:val="nil"/>
            </w:tcBorders>
          </w:tcPr>
          <w:p>
            <w:pPr>
              <w:pStyle w:val="Normal6a"/>
            </w:pPr>
            <w:r>
              <w:t>10.</w:t>
            </w:r>
            <w:r>
              <w:tab/>
            </w:r>
            <w:r>
              <w:t xml:space="preserve">Recalls that reliable and robust data are required to calculate the available surplus; reiterates its concerns regarding the existing gaps </w:t>
            </w:r>
            <w:r>
              <w:rPr>
                <w:b/>
                <w:i/>
              </w:rPr>
              <w:t>for some stocks</w:t>
            </w:r>
            <w:r>
              <w:t>; welcomes the efforts of the fisheries sector to cooperate with scientific monitoring and data collection;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Stephen Nikola Bartulica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Recalls that </w:t>
            </w:r>
            <w:r>
              <w:rPr>
                <w:b/>
                <w:i/>
              </w:rPr>
              <w:t>reliable and robust</w:t>
            </w:r>
            <w:r>
              <w:t xml:space="preserve"> data are required to calculate the available surplus; reiterates its concerns regarding the existing gaps; welcomes the efforts of the fisheries sector to cooperate with scientific monitoring and data collection;</w:t>
            </w:r>
          </w:p>
        </w:tc>
        <w:tc>
          <w:tcPr>
            <w:tcW w:w="4876" w:type="dxa"/>
            <w:tcBorders>
              <w:top w:val="nil"/>
              <w:left w:val="nil"/>
              <w:bottom w:val="nil"/>
              <w:right w:val="nil"/>
            </w:tcBorders>
          </w:tcPr>
          <w:p>
            <w:pPr>
              <w:pStyle w:val="Normal6a"/>
            </w:pPr>
            <w:r>
              <w:t>10.</w:t>
            </w:r>
            <w:r>
              <w:tab/>
            </w:r>
            <w:r>
              <w:t>Recalls that </w:t>
            </w:r>
            <w:r>
              <w:rPr>
                <w:b/>
                <w:i/>
              </w:rPr>
              <w:t>the latest scientific</w:t>
            </w:r>
            <w:r>
              <w:t xml:space="preserve"> data are required to calculate the available surplus; reiterates its concerns regarding the existing gaps; welcomes the efforts of the fisheries sector to cooperate with scientific monitoring and data collection;</w:t>
            </w:r>
          </w:p>
        </w:tc>
      </w:tr>
    </w:tbl>
    <w:p>
      <w:pPr>
        <w:pStyle w:val="AmOrLang"/>
      </w:pPr>
      <w:r>
        <w:t xml:space="preserve">Or. </w:t>
      </w:r>
      <w:r>
        <w:rPr>
          <w:rStyle w:val="HideTWBExt"/>
        </w:rPr>
        <w:t>&lt;Original&gt;</w:t>
      </w:r>
      <w:r>
        <w:rPr>
          <w:rStyle w:val="HideTWBInt"/>
        </w:rPr>
        <w:t>{HR}</w:t>
      </w:r>
      <w:r>
        <w:t>hr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Eric Sargiacomo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Underlines that the data on benthic habitats in the Greenland Sea ecoregion are limited, but point to the potential presence of vulnerable marine ecosystems; insists on the need for more scientific data in order to map these habitats and the need to adopt technical and spatial measures aimed at mitigating the impact of bottom fisheries on these ecosystems;</w:t>
            </w:r>
          </w:p>
        </w:tc>
        <w:tc>
          <w:tcPr>
            <w:tcW w:w="4876" w:type="dxa"/>
            <w:tcBorders>
              <w:top w:val="nil"/>
              <w:left w:val="nil"/>
              <w:bottom w:val="nil"/>
              <w:right w:val="nil"/>
            </w:tcBorders>
          </w:tcPr>
          <w:p>
            <w:pPr>
              <w:pStyle w:val="Normal6a"/>
            </w:pPr>
            <w:r>
              <w:t>11.</w:t>
            </w:r>
            <w:r>
              <w:tab/>
            </w:r>
            <w:r>
              <w:t>Underlines that the data on benthic habitats in the Greenland Sea ecoregion are limited, but point to the potential presence of vulnerable marine ecosystems; insists on the need for more scientific data in order to map these habitats and the need to adopt</w:t>
            </w:r>
            <w:r>
              <w:rPr>
                <w:b/>
                <w:i/>
              </w:rPr>
              <w:t>, in consultation with Greenland's authorities,</w:t>
            </w:r>
            <w:r>
              <w:t xml:space="preserve"> technical and spatial measures aimed at mitigating the impact of bottom fisheries on these ecosystems; </w:t>
            </w:r>
            <w:r>
              <w:rPr>
                <w:b/>
                <w:i/>
              </w:rPr>
              <w:t>calls on the Commission and Greenland to provide a better assessment of the impact on fish stocks of other human activities affecting the ecosystems, such as maritime transport, seismological research, pollution and climate change;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Emma Fourreau, Sebastian Everding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Underlines that the data on benthic habitats in the Greenland Sea ecoregion are limited, but point to the potential presence of vulnerable marine ecosystems; insists on the need for more scientific data in order to map these habitats </w:t>
            </w:r>
            <w:r>
              <w:rPr>
                <w:b/>
                <w:i/>
              </w:rPr>
              <w:t>and the need to adopt</w:t>
            </w:r>
            <w:r>
              <w:t xml:space="preserve"> technical and spatial measures aimed at mitigating the impact of bottom fisheries on these ecosystems;</w:t>
            </w:r>
          </w:p>
        </w:tc>
        <w:tc>
          <w:tcPr>
            <w:tcW w:w="4876" w:type="dxa"/>
            <w:tcBorders>
              <w:top w:val="nil"/>
              <w:left w:val="nil"/>
              <w:bottom w:val="nil"/>
              <w:right w:val="nil"/>
            </w:tcBorders>
          </w:tcPr>
          <w:p>
            <w:pPr>
              <w:pStyle w:val="Normal6a"/>
            </w:pPr>
            <w:r>
              <w:t>11.</w:t>
            </w:r>
            <w:r>
              <w:tab/>
            </w:r>
            <w:r>
              <w:t>Underlines that the data on benthic habitats in the Greenland Sea ecoregion are limited, but point to the potential presence of vulnerable marine ecosystems; insists on the need for more scientific data in order to map these habitats</w:t>
            </w:r>
            <w:r>
              <w:rPr>
                <w:b/>
                <w:i/>
              </w:rPr>
              <w:t>, adopting</w:t>
            </w:r>
            <w:r>
              <w:t xml:space="preserve"> technical and spatial measures aimed at mitigating the impact of bottom fisheries on these ecosystems </w:t>
            </w:r>
            <w:r>
              <w:rPr>
                <w:b/>
                <w:i/>
              </w:rPr>
              <w:t>and encouraging the reporting of encounters with vulnerable marine ecosystem species (VMEs) by vessels</w:t>
            </w:r>
            <w:r>
              <w:t xml:space="preserve">; </w:t>
            </w:r>
            <w:r>
              <w:rPr>
                <w:b/>
                <w:i/>
              </w:rPr>
              <w:t>invites the Commission and the Greenlandic authorities to dedicate a part of the sectoral support to consolidate the mapping and detection of VMEs;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Jessica Polfjärd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Underlines that the data on benthic habitats in the Greenland Sea ecoregion are limited</w:t>
            </w:r>
            <w:r>
              <w:rPr>
                <w:b/>
                <w:i/>
              </w:rPr>
              <w:t>, but point to the potential presence of vulnerable marine ecosystems; insists on</w:t>
            </w:r>
            <w:r>
              <w:t xml:space="preserve"> the need for more scientific data </w:t>
            </w:r>
            <w:r>
              <w:rPr>
                <w:b/>
                <w:i/>
              </w:rPr>
              <w:t>in order to map these habitats and the need to adopt technical and spatial measures aimed at mitigating the impact of bottom fisheries on these ecosystems</w:t>
            </w:r>
            <w:r>
              <w:t>;</w:t>
            </w:r>
          </w:p>
        </w:tc>
        <w:tc>
          <w:tcPr>
            <w:tcW w:w="4876" w:type="dxa"/>
            <w:tcBorders>
              <w:top w:val="nil"/>
              <w:left w:val="nil"/>
              <w:bottom w:val="nil"/>
              <w:right w:val="nil"/>
            </w:tcBorders>
          </w:tcPr>
          <w:p>
            <w:pPr>
              <w:pStyle w:val="Normal6a"/>
            </w:pPr>
            <w:r>
              <w:t>11.</w:t>
            </w:r>
            <w:r>
              <w:tab/>
            </w:r>
            <w:r>
              <w:t>Underlines that the data on benthic habitats in the Greenland Sea ecoregion are limited</w:t>
            </w:r>
            <w:r>
              <w:rPr>
                <w:b/>
                <w:i/>
              </w:rPr>
              <w:t>; highlights</w:t>
            </w:r>
            <w:r>
              <w:t xml:space="preserve"> the need for more </w:t>
            </w:r>
            <w:r>
              <w:rPr>
                <w:b/>
                <w:i/>
              </w:rPr>
              <w:t>comprehensive</w:t>
            </w:r>
            <w:r>
              <w:t xml:space="preserve"> scientific data;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Stephen Nikola Bartulica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Underlines that the data on benthic habitats in the Greenland Sea ecoregion are limited</w:t>
            </w:r>
            <w:r>
              <w:rPr>
                <w:b/>
                <w:i/>
              </w:rPr>
              <w:t>, but point to the potential presence of vulnerable marine ecosystems</w:t>
            </w:r>
            <w:r>
              <w:t xml:space="preserve">; insists on the need for more scientific data in order to map these habitats and </w:t>
            </w:r>
            <w:r>
              <w:rPr>
                <w:b/>
                <w:i/>
              </w:rPr>
              <w:t>the need to adopt technical and spatial measures aimed at mitigating the impact of bottom fisheries on these ecosystems</w:t>
            </w:r>
            <w:r>
              <w:t>;</w:t>
            </w:r>
          </w:p>
        </w:tc>
        <w:tc>
          <w:tcPr>
            <w:tcW w:w="4876" w:type="dxa"/>
            <w:tcBorders>
              <w:top w:val="nil"/>
              <w:left w:val="nil"/>
              <w:bottom w:val="nil"/>
              <w:right w:val="nil"/>
            </w:tcBorders>
          </w:tcPr>
          <w:p>
            <w:pPr>
              <w:pStyle w:val="Normal6a"/>
            </w:pPr>
            <w:r>
              <w:t>11.</w:t>
            </w:r>
            <w:r>
              <w:tab/>
            </w:r>
            <w:r>
              <w:t xml:space="preserve">Underlines that the data on benthic habitats in the Greenland Sea ecoregion are limited; insists on the need for more scientific data in order to map these habitats and </w:t>
            </w:r>
            <w:r>
              <w:rPr>
                <w:b/>
                <w:i/>
              </w:rPr>
              <w:t>draw appropriate conclusions</w:t>
            </w:r>
            <w:r>
              <w:t>;</w:t>
            </w:r>
          </w:p>
        </w:tc>
      </w:tr>
    </w:tbl>
    <w:p>
      <w:pPr>
        <w:pStyle w:val="AmOrLang"/>
      </w:pPr>
      <w:r>
        <w:t xml:space="preserve">Or. </w:t>
      </w:r>
      <w:r>
        <w:rPr>
          <w:rStyle w:val="HideTWBExt"/>
        </w:rPr>
        <w:t>&lt;Original&gt;</w:t>
      </w:r>
      <w:r>
        <w:rPr>
          <w:rStyle w:val="HideTWBInt"/>
        </w:rPr>
        <w:t>{HR}</w:t>
      </w:r>
      <w:r>
        <w:t>hr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Nicolás González Casares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Underlines that the data on benthic habitats in the Greenland Sea ecoregion are limited</w:t>
            </w:r>
            <w:r>
              <w:rPr>
                <w:b/>
                <w:i/>
              </w:rPr>
              <w:t>, but point to the potential presence of vulnerable marine ecosystems</w:t>
            </w:r>
            <w:r>
              <w:t>; insists on the need for more scientific data in order to map these habitats and the need to adopt technical and spatial measures aimed at mitigating the impact of bottom fisheries on these ecosystems;</w:t>
            </w:r>
          </w:p>
        </w:tc>
        <w:tc>
          <w:tcPr>
            <w:tcW w:w="4876" w:type="dxa"/>
            <w:tcBorders>
              <w:top w:val="nil"/>
              <w:left w:val="nil"/>
              <w:bottom w:val="nil"/>
              <w:right w:val="nil"/>
            </w:tcBorders>
          </w:tcPr>
          <w:p>
            <w:pPr>
              <w:pStyle w:val="Normal6a"/>
            </w:pPr>
            <w:r>
              <w:t>11.</w:t>
            </w:r>
            <w:r>
              <w:tab/>
            </w:r>
            <w:r>
              <w:t>Underlines that the data on benthic habitats</w:t>
            </w:r>
            <w:r>
              <w:rPr>
                <w:b/>
                <w:i/>
              </w:rPr>
              <w:t>, such as the ones that could be considered as vulnerable marine ecosystems,</w:t>
            </w:r>
            <w:r>
              <w:t xml:space="preserve"> in the Greenland Sea ecoregion are limited; insists on the need for more scientific data in order to map these habitats and the need to adopt technical and spatial measures aimed at mitigating the impact of bottom fisheries on these ecosystems;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Karin Karlsbro,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Underlines that the data on benthic habitats in the Greenland Sea ecoregion are limited, but point to the potential presence of vulnerable marine ecosystems; insists on the need for more scientific data in order to map these habitats and the need to adopt technical and spatial measures aimed at mitigating the impact of </w:t>
            </w:r>
            <w:r>
              <w:rPr>
                <w:b/>
                <w:i/>
              </w:rPr>
              <w:t>bottom</w:t>
            </w:r>
            <w:r>
              <w:t xml:space="preserve"> fisheries on these ecosystems;</w:t>
            </w:r>
          </w:p>
        </w:tc>
        <w:tc>
          <w:tcPr>
            <w:tcW w:w="4876" w:type="dxa"/>
            <w:tcBorders>
              <w:top w:val="nil"/>
              <w:left w:val="nil"/>
              <w:bottom w:val="nil"/>
              <w:right w:val="nil"/>
            </w:tcBorders>
          </w:tcPr>
          <w:p>
            <w:pPr>
              <w:pStyle w:val="Normal6a"/>
            </w:pPr>
            <w:r>
              <w:t>11.</w:t>
            </w:r>
            <w:r>
              <w:tab/>
            </w:r>
            <w:r>
              <w:t>Underlines that the data on benthic habitats in the Greenland Sea ecoregion are limited, but point to the potential presence of vulnerable marine ecosystems; insists on the need for more scientific data in order to map these habitats and the need to adopt technical and spatial measures aimed at mitigating the impact of fisheries on these ecosystems;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r>
        <w:rPr>
          <w:rStyle w:val="HideTWBExt"/>
          <w:b w:val="0"/>
        </w:rPr>
        <w:t>&lt;AuNomDe&gt;</w:t>
      </w:r>
      <w:r>
        <w:rPr>
          <w:rStyle w:val="HideTWBInt"/>
        </w:rPr>
        <w:t>{Greens/EFA}</w:t>
      </w:r>
      <w:r>
        <w:t>on behalf of the Greens/EFA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11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a.</w:t>
            </w:r>
            <w:r>
              <w:tab/>
            </w:r>
            <w:r>
              <w:rPr>
                <w:b/>
                <w:i/>
              </w:rPr>
              <w:t>Recalls that the use of the Vessel Monitoring System (VMS) is crucial for monitoring bottom fishing activities, as it allows for real-time tracking of fishing vessels, ensuring compliance with regulations and minimizing the risk of illegal, unreported, and unregulated (IUU) fishing in sensitive marine areas;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r>
        <w:rPr>
          <w:rStyle w:val="HideTWBExt"/>
          <w:b w:val="0"/>
        </w:rPr>
        <w:t>&lt;AuNomDe&gt;</w:t>
      </w:r>
      <w:r>
        <w:rPr>
          <w:rStyle w:val="HideTWBInt"/>
        </w:rPr>
        <w:t>{Greens/EFA}</w:t>
      </w:r>
      <w:r>
        <w:t>on behalf of the Greens/EFA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Underlines the small share of landings carried out by the European fleet in Greenland and the small number of seafarers from Greenland signed on with European vessels; considers that the Protocol should deliver more indirect added value for the Greenland economy;</w:t>
            </w:r>
          </w:p>
        </w:tc>
        <w:tc>
          <w:tcPr>
            <w:tcW w:w="4876" w:type="dxa"/>
            <w:tcBorders>
              <w:top w:val="nil"/>
              <w:left w:val="nil"/>
              <w:bottom w:val="nil"/>
              <w:right w:val="nil"/>
            </w:tcBorders>
          </w:tcPr>
          <w:p>
            <w:pPr>
              <w:pStyle w:val="Normal6a"/>
            </w:pPr>
            <w:r>
              <w:t>12.</w:t>
            </w:r>
            <w:r>
              <w:tab/>
            </w:r>
            <w:r>
              <w:t xml:space="preserve">Underlines the small share of landings carried out by the European fleet in Greenland and the small number of seafarers from Greenland signed on with European vessels; </w:t>
            </w:r>
            <w:r>
              <w:rPr>
                <w:b/>
                <w:i/>
              </w:rPr>
              <w:t>notes that this highlights the low level of local workforce engagement in international maritime operations and indicates a gap in the direct employment opportunities for Greenlandic workers in the European shipping industry;</w:t>
            </w:r>
            <w:r>
              <w:t xml:space="preserve"> considers that the Protocol should deliver more indirect added value for the Greenland economy; </w:t>
            </w:r>
            <w:r>
              <w:rPr>
                <w:b/>
                <w:i/>
              </w:rPr>
              <w:t>highlights that this could involve infrastructure development and support for local businesses; notes that the goal is for Greenland to derive greater overall benefit from such agreements, even if it's not through the immediate amount of landings or employment of seafarers, but rather through sustainable growth in sectors that will have a lasting positive impact on the local economy;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Nicolás González Casares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Underlines the small share of landings carried out by the European fleet in Greenland and the small number of seafarers from Greenland signed on with European vessels; </w:t>
            </w:r>
            <w:r>
              <w:rPr>
                <w:b/>
                <w:i/>
              </w:rPr>
              <w:t>considers that the Protocol should deliver more indirect added value for the</w:t>
            </w:r>
            <w:r>
              <w:t xml:space="preserve"> Greenland </w:t>
            </w:r>
            <w:r>
              <w:rPr>
                <w:b/>
                <w:i/>
              </w:rPr>
              <w:t>economy</w:t>
            </w:r>
            <w:r>
              <w:t>;</w:t>
            </w:r>
          </w:p>
        </w:tc>
        <w:tc>
          <w:tcPr>
            <w:tcW w:w="4876" w:type="dxa"/>
            <w:tcBorders>
              <w:top w:val="nil"/>
              <w:left w:val="nil"/>
              <w:bottom w:val="nil"/>
              <w:right w:val="nil"/>
            </w:tcBorders>
          </w:tcPr>
          <w:p>
            <w:pPr>
              <w:pStyle w:val="Normal6a"/>
            </w:pPr>
            <w:r>
              <w:t>12.</w:t>
            </w:r>
            <w:r>
              <w:tab/>
            </w:r>
            <w:r>
              <w:t xml:space="preserve">Underlines the small share of landings carried out by the European fleet in Greenland and the small number of seafarers from Greenland signed on with European vessels; </w:t>
            </w:r>
            <w:r>
              <w:rPr>
                <w:b/>
                <w:i/>
              </w:rPr>
              <w:t>recalls, however, the limited number of EU vessels fishing in</w:t>
            </w:r>
            <w:r>
              <w:t xml:space="preserve"> Greenland </w:t>
            </w:r>
            <w:r>
              <w:rPr>
                <w:b/>
                <w:i/>
              </w:rPr>
              <w:t>under this protocol (8-10 vessels), and that the majority do not land in or visit Greenlandic ports</w:t>
            </w:r>
            <w:r>
              <w:t xml:space="preserve">; </w:t>
            </w:r>
            <w:r>
              <w:rPr>
                <w:b/>
                <w:i/>
              </w:rPr>
              <w:t>also recalls that according to the ex-ante and ex-post evaluation study, there has been no reciprocal interest in establishing joint enterprises/ventures due to the priorities of the private sector in Greenland and in EU Member States;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Jessica Polfjärd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rPr>
                <w:b/>
                <w:i/>
              </w:rPr>
              <w:t>Underlines the small share of landings carried out by the European fleet in Greenland and the small number of seafarers from</w:t>
            </w:r>
            <w:r>
              <w:t xml:space="preserve"> Greenland </w:t>
            </w:r>
            <w:r>
              <w:rPr>
                <w:b/>
                <w:i/>
              </w:rPr>
              <w:t>signed on with European vessels; considers that the Protocol should deliver more indirect added value for the Greenland economy</w:t>
            </w:r>
            <w:r>
              <w:t>;</w:t>
            </w:r>
          </w:p>
        </w:tc>
        <w:tc>
          <w:tcPr>
            <w:tcW w:w="4876" w:type="dxa"/>
            <w:tcBorders>
              <w:top w:val="nil"/>
              <w:left w:val="nil"/>
              <w:bottom w:val="nil"/>
              <w:right w:val="nil"/>
            </w:tcBorders>
          </w:tcPr>
          <w:p>
            <w:pPr>
              <w:pStyle w:val="Normal6a"/>
            </w:pPr>
            <w:r>
              <w:t>12.</w:t>
            </w:r>
            <w:r>
              <w:tab/>
            </w:r>
            <w:r>
              <w:rPr>
                <w:b/>
                <w:i/>
              </w:rPr>
              <w:t>Notes that the agreement has generated employment opportunities for Greenlandic nationals and that sectoral support is being effectively implemented, providing significant benefits to</w:t>
            </w:r>
            <w:r>
              <w:t xml:space="preserve"> Greenland </w:t>
            </w:r>
            <w:r>
              <w:rPr>
                <w:b/>
                <w:i/>
              </w:rPr>
              <w:t>across environmental, social, and economic dimensions; encourages operators to maintain good cooperation and further enhance employment opportunities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Emma Fourreau, Sebastian Everding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Underlines the small share of landings carried out by the European fleet in Greenland and the small number of seafarers from Greenland signed on with European vessels; considers that the Protocol should deliver more indirect added value for the Greenland economy;</w:t>
            </w:r>
          </w:p>
        </w:tc>
        <w:tc>
          <w:tcPr>
            <w:tcW w:w="4876" w:type="dxa"/>
            <w:tcBorders>
              <w:top w:val="nil"/>
              <w:left w:val="nil"/>
              <w:bottom w:val="nil"/>
              <w:right w:val="nil"/>
            </w:tcBorders>
          </w:tcPr>
          <w:p>
            <w:pPr>
              <w:pStyle w:val="Normal6a"/>
            </w:pPr>
            <w:r>
              <w:t>12.</w:t>
            </w:r>
            <w:r>
              <w:tab/>
            </w:r>
            <w:r>
              <w:t xml:space="preserve">Underlines the small share of landings carried out by the European fleet in Greenland and the small number of seafarers from Greenland signed on with European vessels </w:t>
            </w:r>
            <w:r>
              <w:rPr>
                <w:b/>
                <w:i/>
              </w:rPr>
              <w:t>(5 according to the evaluation of the previous agreement, representing 2.5 % of the total jobs)</w:t>
            </w:r>
            <w:r>
              <w:t>; considers that the Protocol should deliver more indirect added value for the Greenland economy;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Karin Karlsbro,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Underlines the small share of landings carried out by the European fleet in Greenland and the small number of seafarers from Greenland signed on with European vessels; considers that the Protocol should deliver more </w:t>
            </w:r>
            <w:r>
              <w:rPr>
                <w:b/>
                <w:i/>
              </w:rPr>
              <w:t>indirect</w:t>
            </w:r>
            <w:r>
              <w:t xml:space="preserve"> added value for the Greenland economy;</w:t>
            </w:r>
          </w:p>
        </w:tc>
        <w:tc>
          <w:tcPr>
            <w:tcW w:w="4876" w:type="dxa"/>
            <w:tcBorders>
              <w:top w:val="nil"/>
              <w:left w:val="nil"/>
              <w:bottom w:val="nil"/>
              <w:right w:val="nil"/>
            </w:tcBorders>
          </w:tcPr>
          <w:p>
            <w:pPr>
              <w:pStyle w:val="Normal6a"/>
            </w:pPr>
            <w:r>
              <w:t>12.</w:t>
            </w:r>
            <w:r>
              <w:tab/>
            </w:r>
            <w:r>
              <w:t xml:space="preserve">Underlines the small share of landings carried out by the European fleet in Greenland and the small number of seafarers from Greenland signed on with European vessels; considers that the Protocol should </w:t>
            </w:r>
            <w:r>
              <w:rPr>
                <w:b/>
                <w:i/>
              </w:rPr>
              <w:t>be used to develop the fisheries sector as well as other auxiliary sectors in Greenland so that it can</w:t>
            </w:r>
            <w:r>
              <w:t xml:space="preserve"> deliver more added value for the Greenland economy;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Underlines </w:t>
            </w:r>
            <w:r>
              <w:rPr>
                <w:b/>
                <w:i/>
              </w:rPr>
              <w:t>the small</w:t>
            </w:r>
            <w:r>
              <w:t xml:space="preserve"> share of landings carried out by the European fleet in Greenland </w:t>
            </w:r>
            <w:r>
              <w:rPr>
                <w:b/>
                <w:i/>
              </w:rPr>
              <w:t>and the small number of</w:t>
            </w:r>
            <w:r>
              <w:t xml:space="preserve"> seafarers from Greenland signed on with European vessels; considers that the Protocol </w:t>
            </w:r>
            <w:r>
              <w:rPr>
                <w:b/>
                <w:i/>
              </w:rPr>
              <w:t>should deliver more</w:t>
            </w:r>
            <w:r>
              <w:t xml:space="preserve"> indirect added value for the Greenland economy;</w:t>
            </w:r>
          </w:p>
        </w:tc>
        <w:tc>
          <w:tcPr>
            <w:tcW w:w="4876" w:type="dxa"/>
            <w:tcBorders>
              <w:top w:val="nil"/>
              <w:left w:val="nil"/>
              <w:bottom w:val="nil"/>
              <w:right w:val="nil"/>
            </w:tcBorders>
          </w:tcPr>
          <w:p>
            <w:pPr>
              <w:pStyle w:val="Normal6a"/>
            </w:pPr>
            <w:r>
              <w:t>12.</w:t>
            </w:r>
            <w:r>
              <w:tab/>
            </w:r>
            <w:r>
              <w:t xml:space="preserve">Underlines </w:t>
            </w:r>
            <w:r>
              <w:rPr>
                <w:b/>
                <w:i/>
              </w:rPr>
              <w:t>that a significant</w:t>
            </w:r>
            <w:r>
              <w:t xml:space="preserve"> share of </w:t>
            </w:r>
            <w:r>
              <w:rPr>
                <w:b/>
                <w:i/>
              </w:rPr>
              <w:t>the</w:t>
            </w:r>
            <w:r>
              <w:t xml:space="preserve"> landings </w:t>
            </w:r>
            <w:r>
              <w:rPr>
                <w:b/>
                <w:i/>
              </w:rPr>
              <w:t>are</w:t>
            </w:r>
            <w:r>
              <w:t xml:space="preserve"> carried out by the European fleet in Greenland</w:t>
            </w:r>
            <w:r>
              <w:rPr>
                <w:b/>
                <w:i/>
              </w:rPr>
              <w:t>, which also employs</w:t>
            </w:r>
            <w:r>
              <w:t xml:space="preserve"> seafarers from Greenland signed on with European vessels; considers that the Protocol </w:t>
            </w:r>
            <w:r>
              <w:rPr>
                <w:b/>
                <w:i/>
              </w:rPr>
              <w:t>thus delivers substantial</w:t>
            </w:r>
            <w:r>
              <w:t xml:space="preserve"> indirect added value for the Greenland economy;</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Stephen Nikola Bartulica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12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Points out that resources for sectoral support under the previous protocol helped strengthen Greenland's scientific research and administrative capacity and contributed to better ocean governance in Greenland:</w:t>
            </w:r>
          </w:p>
        </w:tc>
      </w:tr>
    </w:tbl>
    <w:p>
      <w:pPr>
        <w:pStyle w:val="AmOrLang"/>
      </w:pPr>
      <w:r>
        <w:t xml:space="preserve">Or. </w:t>
      </w:r>
      <w:r>
        <w:rPr>
          <w:rStyle w:val="HideTWBExt"/>
        </w:rPr>
        <w:t>&lt;Original&gt;</w:t>
      </w:r>
      <w:r>
        <w:rPr>
          <w:rStyle w:val="HideTWBInt"/>
        </w:rPr>
        <w:t>{HR}</w:t>
      </w:r>
      <w:r>
        <w:t>hr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Jessica Polfjärd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13.</w:t>
            </w:r>
            <w:r>
              <w:tab/>
            </w:r>
            <w:r>
              <w:rPr>
                <w:b/>
                <w:i/>
              </w:rPr>
              <w:t>Welcomes the fact that the Protocol refers to the United Nations Declaration on the Rights of Indigenous Peoples;</w:t>
            </w:r>
          </w:p>
        </w:tc>
        <w:tc>
          <w:tcPr>
            <w:tcW w:w="4876" w:type="dxa"/>
            <w:tcBorders>
              <w:top w:val="nil"/>
              <w:left w:val="nil"/>
              <w:bottom w:val="nil"/>
              <w:right w:val="nil"/>
            </w:tcBorders>
          </w:tcPr>
          <w:p>
            <w:pPr>
              <w:pStyle w:val="Normal6a"/>
            </w:pPr>
            <w:r>
              <w:rPr>
                <w:b/>
                <w:i/>
              </w:rPr>
              <w:t>deleted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i/>
              </w:rPr>
              <w:t>(A fisheries partnership agreement focuses on sustainable fishing, balancing ecological health with economic interests. The Government of Greenland likely considers the rights, needs, and aspirations of its local communities in this agreement. While the UNDRIP addresses broader social and cultural issues, these may not directly relate to the fisheries agreement between Greenland and the EU.These critical and complex topics must be discussed in appropriate forums dedicated to them.)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Emma Fourreau, Sebastian Everding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Welcomes the fact that the Protocol refers to the United Nations Declaration on the Rights of Indigenous Peoples;</w:t>
            </w:r>
          </w:p>
        </w:tc>
        <w:tc>
          <w:tcPr>
            <w:tcW w:w="4876" w:type="dxa"/>
            <w:tcBorders>
              <w:top w:val="nil"/>
              <w:left w:val="nil"/>
              <w:bottom w:val="nil"/>
              <w:right w:val="nil"/>
            </w:tcBorders>
          </w:tcPr>
          <w:p>
            <w:pPr>
              <w:pStyle w:val="Normal6a"/>
            </w:pPr>
            <w:r>
              <w:t>13.</w:t>
            </w:r>
            <w:r>
              <w:tab/>
            </w:r>
            <w:r>
              <w:t xml:space="preserve">Welcomes the fact that the Protocol refers to the United Nations Declaration on the Rights of Indigenous Peoples; </w:t>
            </w:r>
            <w:r>
              <w:rPr>
                <w:b/>
                <w:i/>
              </w:rPr>
              <w:t>invites the EU and its Member States to scrupulously respect this declaration when implementing the fisheries protocol and in the context of the financial contribution paid under the EU-OCT partnership with regard to the rights of these peoples to their natural resources;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Emma Fourreau, Sebastian Everding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Invites the Commission and Greenland, within the framework of sectoral support and the SFPA, to step up their efforts to support Greenland’s small-scale coastal fisheries, to help guarantee access by the latter to fisheries resources and to ensure the participation of Greenland’s fishing communities and civil society in the implementation of the SFPA;</w:t>
            </w:r>
          </w:p>
        </w:tc>
        <w:tc>
          <w:tcPr>
            <w:tcW w:w="4876" w:type="dxa"/>
            <w:tcBorders>
              <w:top w:val="nil"/>
              <w:left w:val="nil"/>
              <w:bottom w:val="nil"/>
              <w:right w:val="nil"/>
            </w:tcBorders>
          </w:tcPr>
          <w:p>
            <w:pPr>
              <w:pStyle w:val="Normal6a"/>
            </w:pPr>
            <w:r>
              <w:t>15.</w:t>
            </w:r>
            <w:r>
              <w:tab/>
            </w:r>
            <w:r>
              <w:t>Invites the Commission and Greenland, within the framework of sectoral support and the SFPA, to step up their efforts to support Greenland’s small-scale coastal fisheries, to help guarantee access by the latter to fisheries resources</w:t>
            </w:r>
            <w:r>
              <w:rPr>
                <w:b/>
                <w:i/>
              </w:rPr>
              <w:t>, including through the access to trainings, support for co-management in the coastal areas, and measures to adapt their fishing activities to the effects of climate change;</w:t>
            </w:r>
            <w:r>
              <w:t xml:space="preserve"> and to ensure the participation of Greenland’s fishing communities and civil society </w:t>
            </w:r>
            <w:r>
              <w:rPr>
                <w:b/>
                <w:i/>
              </w:rPr>
              <w:t>during the negotiations and</w:t>
            </w:r>
            <w:r>
              <w:t xml:space="preserve"> in the implementation of the SFPA;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Eric Sargiacomo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Invites the Commission and Greenland, within the framework of sectoral support and the SFPA, to step up their efforts to support Greenland’s small-scale coastal fisheries, to help guarantee access by the latter to fisheries resources and to ensure the participation of Greenland’s fishing communities and civil society in the implementation of the SFPA;</w:t>
            </w:r>
          </w:p>
        </w:tc>
        <w:tc>
          <w:tcPr>
            <w:tcW w:w="4876" w:type="dxa"/>
            <w:tcBorders>
              <w:top w:val="nil"/>
              <w:left w:val="nil"/>
              <w:bottom w:val="nil"/>
              <w:right w:val="nil"/>
            </w:tcBorders>
          </w:tcPr>
          <w:p>
            <w:pPr>
              <w:pStyle w:val="Normal6a"/>
            </w:pPr>
            <w:r>
              <w:t>15.</w:t>
            </w:r>
            <w:r>
              <w:tab/>
            </w:r>
            <w:r>
              <w:t>Invites the Commission and Greenland, within the framework of sectoral support and the SFPA, to step up their efforts to support Greenland’s small-scale coastal fisheries, to help guarantee access by the latter to fisheries resources and to ensure the participation of Greenland’s fishing communities and civil society in the implementation of the SFPA</w:t>
            </w:r>
            <w:r>
              <w:rPr>
                <w:b/>
                <w:i/>
              </w:rPr>
              <w:t>, in line with the FAO’s Voluntary Guidelines for Securing Sustainable Small-Scale Fisheries</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Karin Karlsbro,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Invites the Commission and Greenland, within the framework of sectoral support and the SFPA, to step up their efforts to support Greenland’s small-scale coastal fisheries, to help </w:t>
            </w:r>
            <w:r>
              <w:rPr>
                <w:b/>
                <w:i/>
              </w:rPr>
              <w:t>guarantee access by the latter to fisheries resources and to ensure</w:t>
            </w:r>
            <w:r>
              <w:t xml:space="preserve"> the participation of Greenland’s fishing communities and civil society in the implementation of the SFPA;</w:t>
            </w:r>
          </w:p>
        </w:tc>
        <w:tc>
          <w:tcPr>
            <w:tcW w:w="4876" w:type="dxa"/>
            <w:tcBorders>
              <w:top w:val="nil"/>
              <w:left w:val="nil"/>
              <w:bottom w:val="nil"/>
              <w:right w:val="nil"/>
            </w:tcBorders>
          </w:tcPr>
          <w:p>
            <w:pPr>
              <w:pStyle w:val="Normal6a"/>
            </w:pPr>
            <w:r>
              <w:t>15.</w:t>
            </w:r>
            <w:r>
              <w:tab/>
            </w:r>
            <w:r>
              <w:t xml:space="preserve">Invites the Commission and Greenland, within the framework of sectoral support and the SFPA, to step up their efforts to support Greenland’s small-scale coastal fisheries, to help </w:t>
            </w:r>
            <w:r>
              <w:rPr>
                <w:b/>
                <w:i/>
              </w:rPr>
              <w:t>ensuring</w:t>
            </w:r>
            <w:r>
              <w:t xml:space="preserve"> the participation of Greenland’s fishing communities and civil society in the implementation of the SFPA</w:t>
            </w:r>
            <w:r>
              <w:rPr>
                <w:b/>
                <w:i/>
              </w:rPr>
              <w:t>, </w:t>
            </w:r>
            <w:r>
              <w:rPr>
                <w:b/>
                <w:i/>
              </w:rPr>
              <w:t>as well as to do their part in facilitating the exchange of best practices in arrangements for access to fisheries resources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r>
        <w:rPr>
          <w:rStyle w:val="HideTWBExt"/>
          <w:b w:val="0"/>
        </w:rPr>
        <w:t>&lt;AuNomDe&gt;</w:t>
      </w:r>
      <w:r>
        <w:rPr>
          <w:rStyle w:val="HideTWBInt"/>
        </w:rPr>
        <w:t>{Greens/EFA}</w:t>
      </w:r>
      <w:r>
        <w:t>on behalf of the Greens/EFA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Invites the Commission and Greenland, within the framework of sectoral support and the SFPA, to step up their efforts to support Greenland’s small-scale coastal fisheries, to help guarantee access by the latter to fisheries resources and to ensure the participation of Greenland’s fishing communities and civil society in the implementation of the SFPA;</w:t>
            </w:r>
          </w:p>
        </w:tc>
        <w:tc>
          <w:tcPr>
            <w:tcW w:w="4876" w:type="dxa"/>
            <w:tcBorders>
              <w:top w:val="nil"/>
              <w:left w:val="nil"/>
              <w:bottom w:val="nil"/>
              <w:right w:val="nil"/>
            </w:tcBorders>
          </w:tcPr>
          <w:p>
            <w:pPr>
              <w:pStyle w:val="Normal6a"/>
            </w:pPr>
            <w:r>
              <w:t>15.</w:t>
            </w:r>
            <w:r>
              <w:tab/>
            </w:r>
            <w:r>
              <w:t>Invites the Commission and Greenland, within the framework of sectoral support and the SFPA, to step up their efforts to support Greenland’s small-scale coastal fisheries</w:t>
            </w:r>
            <w:r>
              <w:rPr>
                <w:b/>
                <w:i/>
              </w:rPr>
              <w:t>, including the improvement of available data on their fleet size and fishing effort</w:t>
            </w:r>
            <w:r>
              <w:t>, to help guarantee access by the latter to fisheries resources and to ensure the participation of Greenland’s fishing communities and civil society in the implementation of the SFPA;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Emma Fourreau, Sebastian Everding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15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 a.</w:t>
            </w:r>
            <w:r>
              <w:tab/>
            </w:r>
            <w:r>
              <w:rPr>
                <w:b/>
                <w:i/>
              </w:rPr>
              <w:t>Highlights that the Community vessels fish beyond 12 nautical miles from the baseline of Greenland, which prevents competition with small-scale coastal fisheries;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r>
        <w:rPr>
          <w:rStyle w:val="HideTWBExt"/>
          <w:b w:val="0"/>
        </w:rPr>
        <w:t>&lt;AuNomDe&gt;</w:t>
      </w:r>
      <w:r>
        <w:rPr>
          <w:rStyle w:val="HideTWBInt"/>
        </w:rPr>
        <w:t>{Greens/EFA}</w:t>
      </w:r>
      <w:r>
        <w:t>on behalf of the Greens/EFA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Notes Greenland’s willingness to develop its fisheries sector further; takes note of the recent reform of its fisheries legislation;</w:t>
            </w:r>
          </w:p>
        </w:tc>
        <w:tc>
          <w:tcPr>
            <w:tcW w:w="4876" w:type="dxa"/>
            <w:tcBorders>
              <w:top w:val="nil"/>
              <w:left w:val="nil"/>
              <w:bottom w:val="nil"/>
              <w:right w:val="nil"/>
            </w:tcBorders>
          </w:tcPr>
          <w:p>
            <w:pPr>
              <w:pStyle w:val="Normal6a"/>
            </w:pPr>
            <w:r>
              <w:t>16.</w:t>
            </w:r>
            <w:r>
              <w:tab/>
            </w:r>
            <w:r>
              <w:t xml:space="preserve">Notes Greenland’s willingness to develop its fisheries sector further; takes note of the recent reform of its fisheries legislation; </w:t>
            </w:r>
            <w:r>
              <w:rPr>
                <w:b/>
                <w:i/>
              </w:rPr>
              <w:t>highlights that such development must be carried out in a sustainable manner, ensuring that it does not come at the expense of scientific advice; stresses that any expansion or restructuring of the sector should adhere to best environmental practices, safeguard marine biodiversity, and prevent overfishing; calls for transparent decision-making processes, strengthened monitoring mechanisms, and close collaboration with scientific experts to maintain the long-term health and productivity of Greenland’s marine ecosystems;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Eric Sargiacomo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Notes Greenland’s willingness to develop its fisheries sector further; takes note of the recent reform of its fisheries legislation;</w:t>
            </w:r>
          </w:p>
        </w:tc>
        <w:tc>
          <w:tcPr>
            <w:tcW w:w="4876" w:type="dxa"/>
            <w:tcBorders>
              <w:top w:val="nil"/>
              <w:left w:val="nil"/>
              <w:bottom w:val="nil"/>
              <w:right w:val="nil"/>
            </w:tcBorders>
          </w:tcPr>
          <w:p>
            <w:pPr>
              <w:pStyle w:val="Normal6a"/>
            </w:pPr>
            <w:r>
              <w:t>16.</w:t>
            </w:r>
            <w:r>
              <w:tab/>
            </w:r>
            <w:r>
              <w:t>Notes Greenland’s willingness to develop its fisheries sector further; takes note of the recent reform of its fisheries legislation</w:t>
            </w:r>
            <w:r>
              <w:rPr>
                <w:b/>
                <w:i/>
              </w:rPr>
              <w:t>, but is concerned about the potential risks marketing would pose in terms of quota concentration</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Jessica Polfjärd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rPr>
                <w:b/>
                <w:i/>
              </w:rPr>
              <w:t>Notes</w:t>
            </w:r>
            <w:r>
              <w:t xml:space="preserve"> Greenland’s willingness to develop its fisheries sector further; takes note of the recent reform of its fisheries legislation;</w:t>
            </w:r>
          </w:p>
        </w:tc>
        <w:tc>
          <w:tcPr>
            <w:tcW w:w="4876" w:type="dxa"/>
            <w:tcBorders>
              <w:top w:val="nil"/>
              <w:left w:val="nil"/>
              <w:bottom w:val="nil"/>
              <w:right w:val="nil"/>
            </w:tcBorders>
          </w:tcPr>
          <w:p>
            <w:pPr>
              <w:pStyle w:val="Normal6a"/>
            </w:pPr>
            <w:r>
              <w:t>16.</w:t>
            </w:r>
            <w:r>
              <w:tab/>
            </w:r>
            <w:r>
              <w:rPr>
                <w:b/>
                <w:i/>
              </w:rPr>
              <w:t>Welcomes</w:t>
            </w:r>
            <w:r>
              <w:t xml:space="preserve"> Greenland’s willingness to develop its fisheries sector further; takes note of the recent reform of its fisheries legislation;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Emma Fourreau, Sebastian Everding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Underscores the importance of repositioning the fisheries agreement in the broader context of post-Brexit fisheries governance, relations between the European Union and Norway in the area of fisheries and the European Union’s policy on the Arctic;</w:t>
            </w:r>
          </w:p>
        </w:tc>
        <w:tc>
          <w:tcPr>
            <w:tcW w:w="4876" w:type="dxa"/>
            <w:tcBorders>
              <w:top w:val="nil"/>
              <w:left w:val="nil"/>
              <w:bottom w:val="nil"/>
              <w:right w:val="nil"/>
            </w:tcBorders>
          </w:tcPr>
          <w:p>
            <w:pPr>
              <w:pStyle w:val="Normal6a"/>
            </w:pPr>
            <w:r>
              <w:t>17.</w:t>
            </w:r>
            <w:r>
              <w:tab/>
            </w:r>
            <w:r>
              <w:t xml:space="preserve">Underscores the importance of repositioning the fisheries agreement in the broader context of post-Brexit fisheries governance </w:t>
            </w:r>
            <w:r>
              <w:rPr>
                <w:b/>
                <w:i/>
              </w:rPr>
              <w:t>and regional fisheries management</w:t>
            </w:r>
            <w:r>
              <w:t>, relations between the European Union and Norway in the area of fisheries and the European Union’s policy on the Arctic;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Karin Karlsbro,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Underscores the importance of repositioning the fisheries agreement in the broader context of post-Brexit fisheries governance, relations between the European Union and Norway in the area of fisheries and the European Union’s policy on the Arctic;</w:t>
            </w:r>
          </w:p>
        </w:tc>
        <w:tc>
          <w:tcPr>
            <w:tcW w:w="4876" w:type="dxa"/>
            <w:tcBorders>
              <w:top w:val="nil"/>
              <w:left w:val="nil"/>
              <w:bottom w:val="nil"/>
              <w:right w:val="nil"/>
            </w:tcBorders>
          </w:tcPr>
          <w:p>
            <w:pPr>
              <w:pStyle w:val="Normal6a"/>
            </w:pPr>
            <w:r>
              <w:t>17.</w:t>
            </w:r>
            <w:r>
              <w:tab/>
            </w:r>
            <w:r>
              <w:t xml:space="preserve">Underscores the importance of repositioning the fisheries agreement in the broader context of post-Brexit fisheries governance, relations between the European Union and Norway </w:t>
            </w:r>
            <w:r>
              <w:rPr>
                <w:b/>
                <w:i/>
              </w:rPr>
              <w:t>as well as other coastal states</w:t>
            </w:r>
            <w:r>
              <w:t xml:space="preserve"> in the area of fisheries and the European Union’s policy on the Arctic;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Jessica Polfjärd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 a.</w:t>
            </w:r>
            <w:r>
              <w:tab/>
            </w:r>
            <w:r>
              <w:rPr>
                <w:b/>
                <w:i/>
              </w:rPr>
              <w:t>Acknowledges the increasingly complex geopolitical landscape in the Arctic and Nordic region, along with pressing challenges, such as climate change; stresses the critical need to maintain a strong and productive partnership with Greenland and its Nordic neighbours;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Emma Fourreau, Sebastian Everding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Invites the European Union and Greenland to improve transparency and cooperation within the framework of regional fisheries management organisations (RFMOs) and agreements between coastal states for the management of certain stocks;</w:t>
            </w:r>
          </w:p>
        </w:tc>
        <w:tc>
          <w:tcPr>
            <w:tcW w:w="4876" w:type="dxa"/>
            <w:tcBorders>
              <w:top w:val="nil"/>
              <w:left w:val="nil"/>
              <w:bottom w:val="nil"/>
              <w:right w:val="nil"/>
            </w:tcBorders>
          </w:tcPr>
          <w:p>
            <w:pPr>
              <w:pStyle w:val="Normal6a"/>
            </w:pPr>
            <w:r>
              <w:t>18.</w:t>
            </w:r>
            <w:r>
              <w:tab/>
            </w:r>
            <w:r>
              <w:t>Invites the European Union and Greenland to improve transparency and cooperation within the framework of regional fisheries management organisations (RFMOs)</w:t>
            </w:r>
            <w:r>
              <w:rPr>
                <w:b/>
                <w:i/>
              </w:rPr>
              <w:t>, namely NEAFC and NAFO,</w:t>
            </w:r>
            <w:r>
              <w:t xml:space="preserve"> and agreements between coastal states for the management of certain stocks; </w:t>
            </w:r>
            <w:r>
              <w:rPr>
                <w:b/>
                <w:i/>
              </w:rPr>
              <w:t>reiterates the importance of following scientific recommendations, including on the effects of climate change, implementing an ecosystem-based approach to fisheries management as well as improving decision-making processes within these organizations;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Jessica Polfjärd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rPr>
                <w:b/>
                <w:i/>
              </w:rPr>
              <w:t>Invites the European Union and</w:t>
            </w:r>
            <w:r>
              <w:t xml:space="preserve"> Greenland to </w:t>
            </w:r>
            <w:r>
              <w:rPr>
                <w:b/>
                <w:i/>
              </w:rPr>
              <w:t>improve</w:t>
            </w:r>
            <w:r>
              <w:t xml:space="preserve"> transparency and cooperation within the framework of regional fisheries management organisations (RFMOs) and agreements between coastal states for the management of certain stocks;</w:t>
            </w:r>
          </w:p>
        </w:tc>
        <w:tc>
          <w:tcPr>
            <w:tcW w:w="4876" w:type="dxa"/>
            <w:tcBorders>
              <w:top w:val="nil"/>
              <w:left w:val="nil"/>
              <w:bottom w:val="nil"/>
              <w:right w:val="nil"/>
            </w:tcBorders>
          </w:tcPr>
          <w:p>
            <w:pPr>
              <w:pStyle w:val="Normal6a"/>
            </w:pPr>
            <w:r>
              <w:t>18.</w:t>
            </w:r>
            <w:r>
              <w:tab/>
            </w:r>
            <w:r>
              <w:rPr>
                <w:b/>
                <w:i/>
              </w:rPr>
              <w:t>Encourages</w:t>
            </w:r>
            <w:r>
              <w:t xml:space="preserve"> Greenland to </w:t>
            </w:r>
            <w:r>
              <w:rPr>
                <w:b/>
                <w:i/>
              </w:rPr>
              <w:t>continue strengthening its already strong</w:t>
            </w:r>
            <w:r>
              <w:t xml:space="preserve"> transparency and cooperation within the framework of regional fisheries management organisations (RFMOs) and agreements between coastal states for the management of certain stocks;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Emma Fourreau, Sebastian Everding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18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 a.</w:t>
            </w:r>
            <w:r>
              <w:tab/>
            </w:r>
            <w:r>
              <w:rPr>
                <w:b/>
                <w:i/>
              </w:rPr>
              <w:t>Recalls that the lack of quota sharing agreements between coastal states for certain shared stocks in the North-East Atlantic, such as mackerel, poses risks for fish populations and the sustainability of fishing activities;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Karin Karlsbro,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18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 a.</w:t>
            </w:r>
            <w:r>
              <w:tab/>
            </w:r>
            <w:r>
              <w:rPr>
                <w:b/>
                <w:i/>
              </w:rPr>
              <w:t>Calls for the Commission to further utilise the opportunities that the Commission office in Nuuk provides, especially in strengthening cooperation with the Greenlandic government;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Emma Fourreau, Sebastian Everding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Invites the European Union to pursue detailed objectives within the framework of the Joint Communication of 13 October 2021 entitled ‘A stronger EU engagement for a peaceful, sustainable and prosperous Arctic’ as regards the sustainable management of living marine resources, climate and the protection of the marine environment upon which fisheries depend; asks the European Union to strengthen its efforts to this end;</w:t>
            </w:r>
          </w:p>
        </w:tc>
        <w:tc>
          <w:tcPr>
            <w:tcW w:w="4876" w:type="dxa"/>
            <w:tcBorders>
              <w:top w:val="nil"/>
              <w:left w:val="nil"/>
              <w:bottom w:val="nil"/>
              <w:right w:val="nil"/>
            </w:tcBorders>
          </w:tcPr>
          <w:p>
            <w:pPr>
              <w:pStyle w:val="Normal6a"/>
            </w:pPr>
            <w:r>
              <w:t>19.</w:t>
            </w:r>
            <w:r>
              <w:tab/>
            </w:r>
            <w:r>
              <w:t>Invites the European Union to pursue detailed objectives within the framework of the Joint Communication of 13 October 2021 entitled ‘A stronger EU engagement for a peaceful, sustainable and prosperous Arctic’ as regards the sustainable management of living marine resources, climate and the protection of the marine environment upon which fisheries depend; asks the European Union to strengthen its efforts to this end</w:t>
            </w:r>
            <w:r>
              <w:rPr>
                <w:b/>
                <w:i/>
              </w:rPr>
              <w:t>, </w:t>
            </w:r>
            <w:r>
              <w:rPr>
                <w:b/>
                <w:i/>
              </w:rPr>
              <w:t>while protecting the rights of indigenous peoples</w:t>
            </w:r>
            <w:r>
              <w:t xml:space="preserve">; </w:t>
            </w:r>
            <w:r>
              <w:rPr>
                <w:b/>
                <w:i/>
              </w:rPr>
              <w:t>welcomes the financial commitment of the EU mission “Restoring our oceans and waters”, part of which is allocated to projects dedicated to protecting and restoring biodiversity in the Arctic basin;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Stephen Nikola Bartulica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rPr>
                <w:b/>
                <w:i/>
              </w:rPr>
              <w:t>Invites the European Union to pursue detailed objectives within the framework of</w:t>
            </w:r>
            <w:r>
              <w:t xml:space="preserve"> the Joint Communication of 13 October 2021 entitled ‘A stronger EU engagement for a peaceful, sustainable and prosperous Arctic’ </w:t>
            </w:r>
            <w:r>
              <w:rPr>
                <w:b/>
                <w:i/>
              </w:rPr>
              <w:t>as regards the sustainable management of living marine resources, climate and the protection of the marine environment upon which fisheries depend;</w:t>
            </w:r>
            <w:r>
              <w:t xml:space="preserve"> </w:t>
            </w:r>
            <w:r>
              <w:rPr>
                <w:b/>
                <w:i/>
              </w:rPr>
              <w:t>asks the European Union to strengthen its efforts to this end</w:t>
            </w:r>
            <w:r>
              <w:t>;</w:t>
            </w:r>
          </w:p>
        </w:tc>
        <w:tc>
          <w:tcPr>
            <w:tcW w:w="4876" w:type="dxa"/>
            <w:tcBorders>
              <w:top w:val="nil"/>
              <w:left w:val="nil"/>
              <w:bottom w:val="nil"/>
              <w:right w:val="nil"/>
            </w:tcBorders>
          </w:tcPr>
          <w:p>
            <w:pPr>
              <w:pStyle w:val="Normal6a"/>
            </w:pPr>
            <w:r>
              <w:t>19.</w:t>
            </w:r>
            <w:r>
              <w:tab/>
            </w:r>
            <w:r>
              <w:rPr>
                <w:b/>
                <w:i/>
              </w:rPr>
              <w:t>Recalls</w:t>
            </w:r>
            <w:r>
              <w:t xml:space="preserve"> the Joint Communication of 13 October 2021 entitled ‘A stronger EU engagement for a peaceful, sustainable and prosperous Arctic';</w:t>
            </w:r>
          </w:p>
        </w:tc>
      </w:tr>
    </w:tbl>
    <w:p>
      <w:pPr>
        <w:pStyle w:val="AmOrLang"/>
      </w:pPr>
      <w:r>
        <w:t xml:space="preserve">Or. </w:t>
      </w:r>
      <w:r>
        <w:rPr>
          <w:rStyle w:val="HideTWBExt"/>
        </w:rPr>
        <w:t>&lt;Original&gt;</w:t>
      </w:r>
      <w:r>
        <w:rPr>
          <w:rStyle w:val="HideTWBInt"/>
        </w:rPr>
        <w:t>{HR}</w:t>
      </w:r>
      <w:r>
        <w:t>hr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Emma Fourreau, Sebastian Everding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19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a.</w:t>
            </w:r>
            <w:r>
              <w:tab/>
            </w:r>
            <w:r>
              <w:rPr>
                <w:b/>
                <w:i/>
              </w:rPr>
              <w:t>Warns against the devastating impacts of offshore oil and gas exploration and extraction in Arctic regions, which poses great risks for fishing activities and threatens the fragile ecosystems of the Arctic; recalls the EU commitment to push for oil, coal and gas to stay in the ground, including in Arctic regions;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771.968</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52</w:t>
    </w:r>
    <w:r>
      <w:fldChar w:fldCharType="end"/>
    </w:r>
    <w:r>
      <w:t>/</w:t>
    </w:r>
    <w:r>
      <w:fldChar w:fldCharType="begin"/>
    </w:r>
    <w:r>
      <w:instrText xml:space="preserve"> NUMPAGES </w:instrText>
    </w:r>
    <w:r>
      <w:fldChar w:fldCharType="separate"/>
    </w:r>
    <w:r>
      <w:t>52</w:t>
    </w:r>
    <w:r>
      <w:fldChar w:fldCharType="end"/>
    </w:r>
    <w:r>
      <w:tab/>
    </w:r>
    <w:r>
      <w:rPr>
        <w:rStyle w:val="HideTWBExt"/>
      </w:rPr>
      <w:t>&lt;PathFdR&gt;</w:t>
    </w:r>
    <w:r>
      <w:t>AM\1318069EN.docx</w:t>
    </w:r>
    <w:r>
      <w:rPr>
        <w:rStyle w:val="HideTWBExt"/>
      </w:rPr>
      <w:t>&lt;/PathFdR&gt;</w:t>
    </w:r>
  </w:p>
  <w:p>
    <w:pPr>
      <w:pStyle w:val="EPFooter2"/>
    </w:pPr>
    <w:r>
      <w:t>EN</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AM\1318069EN.docx</w:t>
    </w:r>
    <w:r>
      <w:rPr>
        <w:rStyle w:val="HideTWBExt"/>
      </w:rPr>
      <w:t>&lt;/PathFdR&gt;</w:t>
    </w:r>
    <w:r>
      <w:tab/>
    </w:r>
    <w:r>
      <w:fldChar w:fldCharType="begin"/>
    </w:r>
    <w:r>
      <w:instrText xml:space="preserve"> PAGE </w:instrText>
    </w:r>
    <w:r>
      <w:fldChar w:fldCharType="separate"/>
    </w:r>
    <w:r>
      <w:t>51</w:t>
    </w:r>
    <w:r>
      <w:fldChar w:fldCharType="end"/>
    </w:r>
    <w:r>
      <w:t>/</w:t>
    </w:r>
    <w:r>
      <w:fldChar w:fldCharType="begin"/>
    </w:r>
    <w:r>
      <w:instrText xml:space="preserve"> NUMPAGES </w:instrText>
    </w:r>
    <w:r>
      <w:fldChar w:fldCharType="separate"/>
    </w:r>
    <w:r>
      <w:t>52</w:t>
    </w:r>
    <w:r>
      <w:fldChar w:fldCharType="end"/>
    </w:r>
    <w:r>
      <w:tab/>
    </w:r>
    <w:r>
      <w:t>PE</w:t>
    </w:r>
    <w:r>
      <w:rPr>
        <w:rStyle w:val="HideTWBExt"/>
      </w:rPr>
      <w:t>&lt;NoPE&gt;</w:t>
    </w:r>
    <w:r>
      <w:t>771.968</w:t>
    </w:r>
    <w:r>
      <w:rPr>
        <w:rStyle w:val="HideTWBExt"/>
      </w:rPr>
      <w:t>&lt;/NoPE&gt;</w:t>
    </w:r>
    <w:r>
      <w:rPr>
        <w:rStyle w:val="HideTWBExt"/>
      </w:rPr>
      <w:t>&lt;Version&gt;</w:t>
    </w:r>
    <w:r>
      <w:t>v01-00</w:t>
    </w:r>
    <w:r>
      <w:rPr>
        <w:rStyle w:val="HideTWBExt"/>
      </w:rPr>
      <w:t>&lt;/Version&gt;</w:t>
    </w:r>
  </w:p>
  <w:p>
    <w:pPr>
      <w:pStyle w:val="EPFooter2"/>
    </w:pPr>
    <w:r>
      <w:tab/>
    </w:r>
    <w:r>
      <w:tab/>
    </w:r>
    <w:r>
      <w:t>EN</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AM\1318069EN.docx</w:t>
    </w:r>
    <w:r>
      <w:rPr>
        <w:rStyle w:val="HideTWBExt"/>
      </w:rPr>
      <w:t>&lt;/PathFdR&gt;</w:t>
    </w:r>
    <w:r>
      <w:tab/>
    </w:r>
    <w:r>
      <w:tab/>
    </w:r>
    <w:r>
      <w:t>PE</w:t>
    </w:r>
    <w:r>
      <w:rPr>
        <w:rStyle w:val="HideTWBExt"/>
      </w:rPr>
      <w:t>&lt;NoPE&gt;</w:t>
    </w:r>
    <w:r>
      <w:t>771.968</w:t>
    </w:r>
    <w:r>
      <w:rPr>
        <w:rStyle w:val="HideTWBExt"/>
      </w:rPr>
      <w:t>&lt;/NoPE&gt;</w:t>
    </w:r>
    <w:r>
      <w:rPr>
        <w:rStyle w:val="HideTWBExt"/>
      </w:rPr>
      <w:t>&lt;Version&gt;</w:t>
    </w:r>
    <w:r>
      <w:t>v01-00</w:t>
    </w:r>
    <w:r>
      <w:rPr>
        <w:rStyle w:val="HideTWBExt"/>
      </w:rPr>
      <w:t>&lt;/Version&gt;</w:t>
    </w:r>
  </w:p>
  <w:p>
    <w:pPr>
      <w:pStyle w:val="EPFooter2"/>
    </w:pPr>
    <w:r>
      <w:t>EN</w:t>
    </w:r>
    <w:r>
      <w:tab/>
    </w:r>
    <w:r>
      <w:rPr>
        <w:rStyle w:val="EPFooter2Motto"/>
      </w:rPr>
      <w:t>United in diversity</w:t>
    </w:r>
    <w:r>
      <w:tab/>
    </w:r>
    <w:r>
      <w:t>EN</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olumnHeading">
    <w:name w:val="AmColumnHeading"/>
    <w:basedOn w:val="Normal"/>
    <w:pPr>
      <w:widowControl w:val="0"/>
      <w:spacing w:after="240"/>
      <w:jc w:val="center"/>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52</Pages>
  <Words>10495</Words>
  <Characters>58292</Characters>
  <Application>Microsoft Office Word</Application>
  <DocSecurity>0</DocSecurity>
  <Lines>1</Lines>
  <Paragraphs>1002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67908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1318069</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156485</vt:lpwstr>
  </property>
  <property fmtid="{D5CDD505-2E9C-101B-9397-08002B2CF9AE}" pid="7" name="dmxml.render.traceId">
    <vt:lpwstr>67ecefb0e33e9f06e29702646226978a</vt:lpwstr>
  </property>
  <property fmtid="{D5CDD505-2E9C-101B-9397-08002B2CF9AE}" pid="8" name="FooterPath">
    <vt:lpwstr>AM\1318069EN.docx</vt:lpwstr>
  </property>
  <property fmtid="{D5CDD505-2E9C-101B-9397-08002B2CF9AE}" pid="9" name="PE Number">
    <vt:lpwstr>771.968</vt:lpwstr>
  </property>
  <property fmtid="{D5CDD505-2E9C-101B-9397-08002B2CF9AE}" pid="10" name="UID">
    <vt:lpwstr>eu.europa.europarl-DIN1-2025-0000063507_01.00-en-01.00_text-xml</vt:lpwstr>
  </property>
</Properties>
</file>