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Europees Parlement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{PECH}</w:t>
      </w:r>
      <w:r>
        <w:t>Commissie visserij</w:t>
      </w:r>
      <w:r>
        <w:rPr>
          <w:rStyle w:val="HideTWBExt"/>
        </w:rPr>
        <w:t>&lt;/Commission&gt;</w:t>
      </w:r>
    </w:p>
    <w:p>
      <w:pPr>
        <w:pStyle w:val="LineBottom"/>
      </w:pPr>
      <w:r>
        <w:t xml:space="preserve"> </w:t>
      </w:r>
    </w:p>
    <w:p>
      <w:pPr>
        <w:pStyle w:val="CoverReference"/>
      </w:pPr>
      <w:r>
        <w:rPr>
          <w:rStyle w:val="HideTWBExt"/>
        </w:rPr>
        <w:t>&lt;RefProc&gt;</w:t>
      </w:r>
      <w:r>
        <w:t>2024/2123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{07/06/2025}</w:t>
      </w:r>
      <w:r>
        <w:t>7.6.2025</w:t>
      </w:r>
      <w:r>
        <w:rPr>
          <w:rStyle w:val="HideTWBExt"/>
        </w:rPr>
        <w:t>&lt;/Date&gt;</w:t>
      </w:r>
    </w:p>
    <w:p>
      <w:pPr>
        <w:pStyle w:val="CoverDocType"/>
      </w:pPr>
      <w:r>
        <w:rPr>
          <w:rStyle w:val="HideTWBExt"/>
        </w:rPr>
        <w:t>&lt;TypeAM&gt;</w:t>
      </w:r>
      <w:r>
        <w:t>AMENDEMENTEN</w:t>
      </w:r>
      <w:r>
        <w:rPr>
          <w:rStyle w:val="HideTWBExt"/>
        </w:rPr>
        <w:t>&lt;/TypeAM&gt;</w:t>
      </w:r>
    </w:p>
    <w:p>
      <w:pPr>
        <w:pStyle w:val="CoverDocType24a"/>
      </w:pPr>
      <w:r>
        <w:rPr>
          <w:rStyle w:val="HideTWBExt"/>
        </w:rPr>
        <w:t>&lt;RangeAM&gt;</w:t>
      </w:r>
      <w:r>
        <w:t>1</w:t>
      </w:r>
      <w:r>
        <w:t xml:space="preserve"> - </w:t>
      </w:r>
      <w:r>
        <w:t>391</w:t>
      </w:r>
      <w:r>
        <w:rPr>
          <w:rStyle w:val="HideTWBExt"/>
        </w:rPr>
        <w:t>&lt;/RangeAM&gt;</w:t>
      </w:r>
    </w:p>
    <w:p>
      <w:pPr>
        <w:pStyle w:val="CoverBold"/>
      </w:pPr>
      <w:r>
        <w:rPr>
          <w:rStyle w:val="HideTWBExt"/>
        </w:rPr>
        <w:t>&lt;TitreType&gt;</w:t>
      </w:r>
      <w:r>
        <w:t>Ontwerpverslag</w:t>
      </w:r>
      <w:r>
        <w:rPr>
          <w:rStyle w:val="HideTWBExt"/>
        </w:rPr>
        <w:t>&lt;/TitreType&gt;</w:t>
      </w:r>
    </w:p>
    <w:p>
      <w:pPr>
        <w:pStyle w:val="CoverBold"/>
      </w:pPr>
      <w:r>
        <w:rPr>
          <w:rStyle w:val="HideTWBExt"/>
        </w:rPr>
        <w:t>&lt;Rapporteur&gt;</w:t>
      </w:r>
      <w:r>
        <w:t>Ton Diepeveen</w:t>
      </w:r>
      <w:r>
        <w:rPr>
          <w:rStyle w:val="HideTWBExt"/>
        </w:rPr>
        <w:t>&lt;/Rapporteur&gt;</w:t>
      </w:r>
    </w:p>
    <w:p>
      <w:pPr>
        <w:pStyle w:val="CoverNormal24a"/>
      </w:pPr>
      <w:r>
        <w:rPr>
          <w:rStyle w:val="HideTWBExt"/>
        </w:rPr>
        <w:t>&lt;DocRefPE&gt;</w:t>
      </w:r>
      <w:r>
        <w:t>(PE772.077v01-00)</w:t>
      </w:r>
      <w:r>
        <w:rPr>
          <w:rStyle w:val="HideTWBExt"/>
        </w:rPr>
        <w:t>&lt;/DocRefPE&gt;</w:t>
      </w:r>
    </w:p>
    <w:p>
      <w:pPr>
        <w:pStyle w:val="CoverNormal"/>
      </w:pPr>
      <w:r>
        <w:rPr>
          <w:rStyle w:val="HideTWBExt"/>
        </w:rPr>
        <w:t>&lt;Titre&gt;</w:t>
      </w:r>
      <w:r>
        <w:t>De decarbonisatie en modernisering van de visserij in de EU en de ontwikkeling en het gebruik van vistuig</w:t>
      </w:r>
      <w:r>
        <w:rPr>
          <w:rStyle w:val="HideTWBExt"/>
        </w:rPr>
        <w:t>&lt;/Titre&gt;</w:t>
      </w:r>
    </w:p>
    <w:p>
      <w:pPr>
        <w:pStyle w:val="CoverNormal24a"/>
      </w:pPr>
      <w:r>
        <w:rPr>
          <w:rStyle w:val="HideTWBExt"/>
        </w:rPr>
        <w:t>&lt;DocRef&gt;</w:t>
      </w:r>
      <w:r>
        <w:t>(2024/2123(INI))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Amendement</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2019/1241 van het Europees Parlement en de Raad van 20 juni 2019 betreffende de instandhouding van visbestanden en de bescherming van mariene ecosystemen door middel van technische maatregelen, tot wijziging van de Verordeningen (EG) nr. 1967/2006 en (EG) nr. 1224/2009 van de Raad en de Verordeningen (EU) nr. 1380/2013, (EU) 2016/1139, (EU) 2018/973, (EU) 2019/472 en (EU) 2019/1022 van het Europees Parlement en de Raad, en tot intrekking van de Verordeningen (EG) nr. 894/97, (EG) nr. 850/98, (EG) nr. 2549/2000, (EG) nr. 254/2002, (EG) nr. 812/2004 en (EG) nr. 2187/2005 van de Raad,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2021/1119 van het Europees Parlement en de Raad van 30 juni 2021 tot vaststelling van een kader voor de totstandbrenging van klimaatneutraliteit en tot wijziging van Verordening (EG) nr. 401/2009 en Verordening (EU) 2018/1999 (de “Europese klimaatwet”),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2019/1241 van het Europees Parlement en de Raad van 20 juni 2019 betreffende de instandhouding van visbestanden en de bescherming van mariene ecosystemen door middel van technische maatregelen,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Besluit (EU) 2022/591 van het Europees Parlement en de Raad van 6 april 2022 betreffende een algemeen milieuactieprogramma voor de Europese Unie voor de periode tot en met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11 december 2019 over de Europese Green Deal (COM(2019)0640),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speciaal advies van de ICES van 22 oktober 2020 getiteld “EU request on review of innovative gear for potential use in EU waters and their impacts” (ICES-advies 2020, sr.2020.12),</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2023/1804 van het Europees Parlement en de Raad van 13 september 2023 betreffende de uitrol van infrastructuur voor alternatieve brandstoffen,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nr. 1380/2013 van het Europees Parlement en de Raad van 11 december 2013 inzake het gemeenschappelijk visserijbeleid (GVB),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resolutie van 15 januari 2020 over de Europese Green Deal,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artikel 191 van het Verdrag betreffende de werking van de Europese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Analyse 01/2022, getiteld</w:t>
            </w:r>
            <w:r>
              <w:t xml:space="preserve"> </w:t>
            </w:r>
            <w:r>
              <w:rPr>
                <w:b/>
                <w:i/>
              </w:rPr>
              <w:t>"Energiebelasting, koolstofbeprijzing en energiesubsidies" en Speciaal Verslag 26/2020, getiteld</w:t>
            </w:r>
            <w:r>
              <w:t xml:space="preserve"> </w:t>
            </w:r>
            <w:r>
              <w:rPr>
                <w:b/>
                <w:i/>
              </w:rPr>
              <w:t>“Het mariene milieu:</w:t>
            </w:r>
            <w:r>
              <w:t xml:space="preserve"> </w:t>
            </w:r>
            <w:r>
              <w:rPr>
                <w:b/>
                <w:i/>
              </w:rPr>
              <w:t>de EU biedt brede, maar geen diepgaande bescherming", van de Europese Rekenkamer;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2023/1805 van het Europees Parlement en de Raad van 13 september 2023 betreffende het gebruik van hernieuwbare en koolstofarme brandstoffen in het zeevervoer,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12 mei 2021 getiteld “Strategische richtsnoeren voor een duurzamere en concurrerendere EU-aquacultuur voor de periode 2021 tot en met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21 februari 2023 over de energietransitie van de visserij- en aquacultuursector in de EU (COM(2023)100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21 februari 2023 over de energietransitie van de visserij- en aquacultuursector in de EU (COM(2023)100 final);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gids van de Commissie van november 2023 over financieringsmogelijkheden voor de groene energietransitie van visserij en aquacultuur ter ondersteuning van de energietransitie in de visserij en de aquacultuur via EU-financieringsmogelijkheden in het kader van het meerjarig financieel kader 2021-2027, NextGenerationEU en daarna,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Richtlijn (EU) 2023/2413 van het Europees Parlement en de Raad van 18 oktober 2023 tot wijziging van Richtlijn (EU) 2018/2001, Verordening (EU) 2018/1999 en Richtlijn 98/70/EG wat de bevordering van energie uit hernieuwbare bronnen betreft,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studie van de Onderzoeksdienst van het Europees Parlement van juni 2023 getiteld “Decarbonising the fishing sector” (PE 740.225),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resolutie van 19 januari 2023 over de situatie van de kleinschalige visserij in de EU en de vooruitzichten voor de toekomst,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Richtlĳn 2003/87/EG van het Europees Parlement en de Raad van 13 oktober 2003 tot vaststelling van een regeling voor de handel in broeikasgasemissierechten binnen de Gemeenschap,</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advies van het Europees Economisch en Sociaal Comité van 12 juli 2023 over het koolstofvrij maken van de vissersvloot (EESC NAT/895),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aanbevelingen van 19 mei 2025 van de adviesraad voor de Noordzee inzake de evaluatie van het gemeenschappelijk visserijbeleid,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Richtlijn (EU) 2023/2413 van het Europees Parlement en de Raad van 18 oktober 2023 tot wijziging van Richtlijn (EU) 2018/2001, Verordening (EU) 2018/1999 en Richtlijn 98/70/EG wat de bevordering van energie uit hernieuwbare bronnen betreft, en tot intrekking van Richtlijn (EU) 2015/652 van de Raad,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advies van de adviesraad voor de noordwestelijke wateren van 28 november 2023 over de mededeling van de Commissie over de energietransitie van de visserij- en aquacultuursector in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Besluit (EU) 2022/591 van het Europees Parlement en de Raad van 6 april 2022 betreffende een algemeen milieuactieprogramma voor de Europese Unie voor de periode tot en met 2030,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Speciaal verslag 25/2023 van de Europese Rekenkamer van 15 november 2023 getiteld "Aquacultuurbeleid van de EU – Stagnerende productie en onduidelijke resultaten ondanks meer EU-financiering",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aanbevelingen van 27 september 2023 van de adviesraad voor de Oostzee inzake de energietransitie van de visserijsector in de Oostzee,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Overeenkomst van Parijs van 2015, die gesloten is uit hoofde van het Raamverdrag van de Verenigde Naties inzake klimaatverandering,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advies van de adviesraad voor de noordwestelijke wateren van 28 november 2023 over de mededeling van de Commissie over de energietransitie van de visserij- en aquacultuursector in de EU (COM(2023)100),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2023 getiteld “Actieplan:</w:t>
            </w:r>
            <w:r>
              <w:t xml:space="preserve"> </w:t>
            </w:r>
            <w:r>
              <w:rPr>
                <w:b/>
                <w:i/>
              </w:rPr>
              <w:t>Bescherming en herstel van mariene ecosystemen voor een duurzame en veerkrachtige visserij",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studie van het Europees Parlement van maart 2024 getiteld "The Future of the EU Fishing Fleet: Innovation, adaptation and resilience" (IPOL_STU(2024)759324),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Speciaal verslag 26/2020 van de Europese Rekenkamer getiteld: “Het mariene milieu:</w:t>
            </w:r>
            <w:r>
              <w:t xml:space="preserve"> </w:t>
            </w:r>
            <w:r>
              <w:rPr>
                <w:b/>
                <w:i/>
              </w:rPr>
              <w:t>de EU biedt brede, maar geen diepgaande bescherming”,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undecies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Speciaal verslag van de Europese Rekenkamer van 2023 getiteld "Aquacultuurbeleid van de EU –</w:t>
            </w:r>
            <w:r>
              <w:t xml:space="preserve"> </w:t>
            </w:r>
            <w:r>
              <w:rPr>
                <w:b/>
                <w:i/>
              </w:rPr>
              <w:t>Stagnerende productie en onduidelijke resultaten ondanks meer EU-financiering",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undecies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advies van de adviesraad voor markten (MAC) van 29 april 2024 getiteld “Energy Transition in EU Fisheries and Aquaculture”,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duodecies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verslag van de afdeling Wetenschappelijke Toekomstverkenningen (STOA) van het Europees Parlement van 2023 getiteld "Decarbonising the fishing sector:</w:t>
            </w:r>
            <w:r>
              <w:t xml:space="preserve"> </w:t>
            </w:r>
            <w:r>
              <w:rPr>
                <w:b/>
                <w:i/>
              </w:rPr>
              <w:t>Energy efficiency measures and alternative energy solutions for fishing vessels",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duodecies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verslag van de Commissie aan het Europees Parlement en de Raad van 30 juli 2024 over de uitvoering van de verordening inzake technische maatregelen,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terdecies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verslag van de Europese wetenschappelijke adviesraad inzake klimaatverandering van 2025 over de doelstellingen van de EU voor 2040 getiteld “Scientific advice for amending the European Climate Law – Setting climate goals to strength EU strategic priorities”,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1 quaterdecies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verslag van 2025 van de dienst van Copernicus voor klimaatverandering (C3S) en de Wereld Meteorologische Organisatie (WMO) getiteld “European State of the Climate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standpunt van 18 januari 2024 over de stand van zaken met betrekking tot de uitvoering van het gemeenschappelijk visserijbeleid en toekomstperspectieven,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over de energietransitie van de visserij- en aquacultuursector in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artikelen 3, 4, 9, 38, 174 en 349 van het Verdrag betreffende de werking van de Europese Unie (VWEU),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getiteld "EU Action Plan:</w:t>
            </w:r>
            <w:r>
              <w:t xml:space="preserve"> </w:t>
            </w:r>
            <w:r>
              <w:rPr>
                <w:b/>
                <w:i/>
              </w:rPr>
              <w:t>Protecting and restoring marine ecosystems for sustainable and resilient fisheries",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Internationaal Verdrag voor de beveiliging van mensenlevens op zee (SOLAS),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verdrag inzake de Internationale Maritieme Organisatie (IMO),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het verdrag tot oprichting van de Internationale Arbeidsorganisatie (IAO),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overeenkomst die op de 21e Conferentie van de Partijen bij het Raamverdrag van de Verenigde Naties inzake klimaatverandering (COP21) op 12 december 2015 in Parijs is aangenomen (de Overeenkomst van Parijs),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nr. 1380/2013</w:t>
            </w:r>
            <w:r>
              <w:rPr>
                <w:b/>
                <w:i/>
                <w:vertAlign w:val="superscript"/>
              </w:rPr>
              <w:t>1 bis</w:t>
            </w:r>
            <w:r>
              <w:rPr>
                <w:b/>
                <w:i/>
              </w:rPr>
              <w:t> inzake het gemeenschappelijk visserijbeleid (GVB),</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PB L 354 van 28.12.2013, blz. 22, ELI:</w:t>
            </w:r>
            <w:r>
              <w:t xml:space="preserve"> </w:t>
            </w:r>
            <w:r>
              <w:rPr>
                <w:b/>
                <w:i/>
              </w:rPr>
              <w:t>http://data.europa.eu/eli/reg/2013/1380/oj?locale=nl.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2021/1139</w:t>
            </w:r>
            <w:r>
              <w:rPr>
                <w:b/>
                <w:i/>
                <w:vertAlign w:val="superscript"/>
              </w:rPr>
              <w:t>2 bis</w:t>
            </w:r>
            <w:r>
              <w:t xml:space="preserve"> </w:t>
            </w:r>
            <w:r>
              <w:rPr>
                <w:b/>
                <w:i/>
              </w:rPr>
              <w:t>van het Europees Parlement en de Raad van 7 juli 2021 tot oprichting van het Europees Fonds voor maritieme zaken, visserij en aquacultuur en tot wijziging van Verordening (EU) 2017/1004,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 bis</w:t>
            </w:r>
            <w:r>
              <w:t xml:space="preserve"> </w:t>
            </w:r>
            <w:r>
              <w:rPr>
                <w:b/>
                <w:i/>
              </w:rPr>
              <w:t>PB L 149 van 13.7.2021, blz.</w:t>
            </w:r>
            <w:r>
              <w:t xml:space="preserve"> </w:t>
            </w:r>
            <w:r>
              <w:rPr>
                <w:b/>
                <w:i/>
              </w:rPr>
              <w:t>1, ELI:</w:t>
            </w:r>
            <w:r>
              <w:t xml:space="preserve"> </w:t>
            </w:r>
            <w:r>
              <w:rPr>
                <w:b/>
                <w:i/>
              </w:rPr>
              <w:t>http://data.europa.eu/eli/reg/2021/1139/oj?locale=nl.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Verordening (EU) 2023/2842</w:t>
            </w:r>
            <w:r>
              <w:rPr>
                <w:b/>
                <w:i/>
                <w:vertAlign w:val="superscript"/>
              </w:rPr>
              <w:t>3 bis</w:t>
            </w:r>
            <w:r>
              <w:t xml:space="preserve"> </w:t>
            </w:r>
            <w:r>
              <w:rPr>
                <w:b/>
                <w:i/>
              </w:rPr>
              <w:t>van het Europees Parlement en de Raad van 22 november 2023 tot wijziging van Verordening (EG) nr. 1224/2009 van de Raad, en tot wijziging van Verordeningen (EG) nr. 1967/2006 en (EG) nr. 1005/2008 van de Raad en Verordeningen (EU) 2016/1139, (EU) 2017/2403 en (EU) 2019/473 van het Europees Parlement en de Raad wat betreft visserijcontrole,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 bis</w:t>
            </w:r>
            <w:r>
              <w:t xml:space="preserve"> </w:t>
            </w:r>
            <w:r>
              <w:rPr>
                <w:b/>
                <w:i/>
              </w:rPr>
              <w:t>PB L, 2023/2842, 20.12.2023, ELI:</w:t>
            </w:r>
            <w:r>
              <w:t xml:space="preserve"> </w:t>
            </w:r>
            <w:r>
              <w:rPr>
                <w:b/>
                <w:i/>
              </w:rPr>
              <w:t>http://data.europa.eu/eli/reg/2023/2842/oj?locale=nl.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nonies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11 december 2019 getiteld “De Europese Green Deal” (COM(2019)0640),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undecies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de mededeling van de Commissie van 17 mei 2021 over een nieuwe aanpak voor een duurzame blauwe economie in de EU – De blauwe economie van de EU transformeren voor een duurzame toekomst (COM(2021)0240),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duodecies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resolutie van 14 september 2021 “Naar een sterker partnerschap met de ultraperifere gebieden van de EU” (2020/2120(INI)),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terdecies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resolutie van 16 september 2021 getiteld “Vissers voor de toekomst:</w:t>
            </w:r>
            <w:r>
              <w:t xml:space="preserve"> </w:t>
            </w:r>
            <w:r>
              <w:rPr>
                <w:b/>
                <w:i/>
              </w:rPr>
              <w:t>de visserijsector aantrekkelijk maken voor een nieuwe generatie werknemers en werkgelegenheid scheppen in kustgemeenschappen (2019/2161(INI)),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quaterdecies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resolutie van 3 mei 2022 getiteld “Naar een duurzame blauwe economie in de EU:</w:t>
            </w:r>
            <w:r>
              <w:t xml:space="preserve"> </w:t>
            </w:r>
            <w:r>
              <w:rPr>
                <w:b/>
                <w:i/>
              </w:rPr>
              <w:t>de rol van de visserij- en de aquacultuursector” (2021/2188(INI)),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Visum 2 quindecies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gezien zijn resolutie van 19 januari 2023 over de situatie van de kleinschalige visserij in de EU en toekomstperspectieven (2021/2056(INI)),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overwegende dat de klimaatdoelstellingen van de EU voor 2050 </w:t>
            </w:r>
            <w:r>
              <w:rPr>
                <w:b/>
                <w:i/>
              </w:rPr>
              <w:t>een pragmatische en economisch</w:t>
            </w:r>
            <w:r>
              <w:t xml:space="preserve"> haalbare aanpak </w:t>
            </w:r>
            <w:r>
              <w:rPr>
                <w:b/>
                <w:i/>
              </w:rPr>
              <w:t>vereisen</w:t>
            </w:r>
            <w:r>
              <w:t xml:space="preserve"> voor de decarbonisatie en modernisering van de vissersvloot van de EU;</w:t>
            </w:r>
          </w:p>
        </w:tc>
        <w:tc>
          <w:tcPr>
            <w:tcW w:w="4876" w:type="dxa"/>
            <w:tcBorders>
              <w:top w:val="nil"/>
              <w:left w:val="nil"/>
              <w:bottom w:val="nil"/>
              <w:right w:val="nil"/>
            </w:tcBorders>
          </w:tcPr>
          <w:p>
            <w:pPr>
              <w:pStyle w:val="Normal6a"/>
            </w:pPr>
            <w:r>
              <w:t>A.</w:t>
            </w:r>
            <w:r>
              <w:tab/>
            </w:r>
            <w:r>
              <w:t xml:space="preserve">overwegende dat de klimaatdoelstellingen van de EU voor 2050 </w:t>
            </w:r>
            <w:r>
              <w:rPr>
                <w:b/>
                <w:i/>
              </w:rPr>
              <w:t>nodig zijn om de klimaatverandering te bestrijden en hoge kosten voor de economie en het milieu te vermijden;</w:t>
            </w:r>
            <w:r>
              <w:t xml:space="preserve"> </w:t>
            </w:r>
            <w:r>
              <w:rPr>
                <w:b/>
                <w:i/>
              </w:rPr>
              <w:t>overwegende dat voor het behalen van deze doelstellingen een sociaal-economisch</w:t>
            </w:r>
            <w:r>
              <w:t xml:space="preserve"> haalbare aanpak voor de decarbonisatie en modernisering van de </w:t>
            </w:r>
            <w:r>
              <w:rPr>
                <w:b/>
                <w:i/>
              </w:rPr>
              <w:t>visserijsector en de</w:t>
            </w:r>
            <w:r>
              <w:t xml:space="preserve"> vissersvloot van de EU </w:t>
            </w:r>
            <w:r>
              <w:rPr>
                <w:b/>
                <w:i/>
              </w:rPr>
              <w:t>vereist 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overwegende dat </w:t>
            </w:r>
            <w:r>
              <w:rPr>
                <w:b/>
                <w:i/>
              </w:rPr>
              <w:t>de klimaatdoelstellingen</w:t>
            </w:r>
            <w:r>
              <w:t xml:space="preserve"> van de EU </w:t>
            </w:r>
            <w:r>
              <w:rPr>
                <w:b/>
                <w:i/>
              </w:rPr>
              <w:t>voor 2050 een pragmatische en economisch haalbare aanpak vereisen voor de decarbonisatie en modernisering van de vissersvloot van de EU</w:t>
            </w:r>
            <w:r>
              <w:t>;</w:t>
            </w:r>
          </w:p>
        </w:tc>
        <w:tc>
          <w:tcPr>
            <w:tcW w:w="4876" w:type="dxa"/>
            <w:tcBorders>
              <w:top w:val="nil"/>
              <w:left w:val="nil"/>
              <w:bottom w:val="nil"/>
              <w:right w:val="nil"/>
            </w:tcBorders>
          </w:tcPr>
          <w:p>
            <w:pPr>
              <w:pStyle w:val="Normal6a"/>
            </w:pPr>
            <w:r>
              <w:t>A.</w:t>
            </w:r>
            <w:r>
              <w:tab/>
            </w:r>
            <w:r>
              <w:t xml:space="preserve">overwegende dat </w:t>
            </w:r>
            <w:r>
              <w:rPr>
                <w:b/>
                <w:i/>
              </w:rPr>
              <w:t>het bereiken van klimaatneutraliteit tegen 2050 een rechtvaardige, inclusieve en duurzame transitie van de visserijsector</w:t>
            </w:r>
            <w:r>
              <w:t xml:space="preserve"> van de EU </w:t>
            </w:r>
            <w:r>
              <w:rPr>
                <w:b/>
                <w:i/>
              </w:rPr>
              <w:t>vereist, op basis van een evenwicht tussen milieubescherming, sociale rechtvaardigheid en economische levensvatbaarheid, en ondersteund door overheidsinvesteringen en innovatie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overwegende dat de klimaatdoelstellingen van de EU voor 2050 een pragmatische en economisch haalbare aanpak vereisen voor de decarbonisatie en modernisering van de vissersvloot van de EU;</w:t>
            </w:r>
          </w:p>
        </w:tc>
        <w:tc>
          <w:tcPr>
            <w:tcW w:w="4876" w:type="dxa"/>
            <w:tcBorders>
              <w:top w:val="nil"/>
              <w:left w:val="nil"/>
              <w:bottom w:val="nil"/>
              <w:right w:val="nil"/>
            </w:tcBorders>
          </w:tcPr>
          <w:p>
            <w:pPr>
              <w:pStyle w:val="Normal6a"/>
            </w:pPr>
            <w:r>
              <w:t>A.</w:t>
            </w:r>
            <w:r>
              <w:tab/>
            </w:r>
            <w:r>
              <w:t xml:space="preserve">overwegende dat de klimaatdoelstellingen van de EU voor 2050 een pragmatische en economisch haalbare aanpak vereisen voor de decarbonisatie en modernisering van de vissersvloot van de EU; </w:t>
            </w:r>
            <w:r>
              <w:rPr>
                <w:b/>
                <w:i/>
              </w:rPr>
              <w:t>overwegende dat het gemiddelde EU-vissersvaartuig ouder is dan 31,5 jaar;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overwegende dat de klimaatdoelstellingen van de EU voor 2050 een </w:t>
            </w:r>
            <w:r>
              <w:rPr>
                <w:b/>
                <w:i/>
              </w:rPr>
              <w:t>pragmatische en economisch haalbare</w:t>
            </w:r>
            <w:r>
              <w:t xml:space="preserve"> aanpak vereisen voor de decarbonisatie en modernisering van de vissersvloot van de EU;</w:t>
            </w:r>
          </w:p>
        </w:tc>
        <w:tc>
          <w:tcPr>
            <w:tcW w:w="4876" w:type="dxa"/>
            <w:tcBorders>
              <w:top w:val="nil"/>
              <w:left w:val="nil"/>
              <w:bottom w:val="nil"/>
              <w:right w:val="nil"/>
            </w:tcBorders>
          </w:tcPr>
          <w:p>
            <w:pPr>
              <w:pStyle w:val="Normal6a"/>
            </w:pPr>
            <w:r>
              <w:t>A.</w:t>
            </w:r>
            <w:r>
              <w:tab/>
            </w:r>
            <w:r>
              <w:t xml:space="preserve">overwegende dat de klimaatdoelstellingen van de EU voor 2050 een </w:t>
            </w:r>
            <w:r>
              <w:rPr>
                <w:b/>
                <w:i/>
              </w:rPr>
              <w:t>ambitieuze, sociaal rechtvaardige en ecologisch verantwoorde</w:t>
            </w:r>
            <w:r>
              <w:t> aanpak vereisen voor de decarbonisatie en modernisering van de vissersvloot van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de Europese visserijsector haar uitstoot van broeikasgassen sinds 1990 reeds met meer dan 50 % heeft teruggedrongen en uiterlijk in 2050 haar uitstoot met ruim 55 % zal hebben verminderd;</w:t>
            </w:r>
            <w:r>
              <w:t xml:space="preserve"> </w:t>
            </w:r>
            <w:r>
              <w:rPr>
                <w:b/>
                <w:i/>
              </w:rPr>
              <w:t>overwegende dat deze aanzienlijke daling kan worden verklaard door de verminderde uitstoot in de Europese vloot, maar ook door de verbetering van de energie-efficiëntie van vaartuigen en door de hogere opbrengsten in de visserijsector;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de broeikasgasemissies van de zeescheepvaartsector de afgelopen jaren wereldwijd zijn toegenomen, maar dat de emissies van de vissersvloot van de EU zijn afgenomen en blijven dalen, in combinatie met de inkrimping van de vloot;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het aanpakken van uitdagingen met betrekking tot het klimaat en het milieu en het behalen van de doelstellingen van de Overeenkomst van Parijs centraal staan in de mededeling van de Commissie getiteld “De Europese Green Deal”;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de visserijsector van de EU wordt geconfronteerd met grote uitdagingen in verband met klimaatverandering, van ongunstige weersomstandigheden op zee tot migratie van visbestanden als gevolg van warmere zeetemperaturen;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de vissersvloot van de EU haar CO</w:t>
            </w:r>
            <w:r>
              <w:rPr>
                <w:b/>
                <w:i/>
                <w:vertAlign w:val="subscript"/>
              </w:rPr>
              <w:t>2</w:t>
            </w:r>
            <w:r>
              <w:rPr>
                <w:b/>
                <w:i/>
              </w:rPr>
              <w:t>-uitstoot al met meer dan 50 % heeft verminderd sinds de jaren 1990, een resultaat dat moet worden erkend bij het vaststellen van toekomstige doelstellingen;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vissen in het Verdrag betreffende de werking van de Europese Unie worden erkend als wezens met gevoel die pijn, angst en een gevoel van welzijn kunnen ervaren;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overwegende dat de drievoudige planetaire crisis als gevolg van klimaatverandering, vervuiling en biodiversiteitsverlies, die de oceanen treft, dringend moet worden aangepakt;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overwegende dat de strijd tegen de klimaatverandering noodzakelijk is om de meest nadelige gevolgen voor de samenleving en de economie te voorkomen en ervoor te zorgen dat de komende generaties, met inbegrip van de komende generaties in de visserij, beter toegerust zijn om het hoofd te bieden aan de onvermijdelijke gevolgen van klimaatverandering;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overwegende dat de Europese vissersvloot in het slechtste geval naar schatting 0,015 % van de wereldwijde koolstofemissies zal uitstoten;</w:t>
            </w:r>
            <w:r>
              <w:t xml:space="preserve"> </w:t>
            </w:r>
            <w:r>
              <w:rPr>
                <w:b/>
                <w:i/>
              </w:rPr>
              <w:t>overwegende dat de EU-vloot zijn emissies al met meer dan 52 % heeft verminderd ten opzichte van 1990;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overwegende dat de energieproducten die worden geleverd voor gebruik als brandstof voor de vaart in EU-wateren (met inbegrip van visserij) momenteel volledig zijn vrijgesteld van belasting op grond van de energiebelastingrichtlijn;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overwegende dat vis de minst energie-intensieve bron van dierlijke eiwitten is met de kleinste koolstofvoetafdruk;</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quater.</w:t>
            </w:r>
            <w:r>
              <w:tab/>
            </w:r>
            <w:r>
              <w:rPr>
                <w:b/>
                <w:i/>
              </w:rPr>
              <w:t>overwegende dat in het 8e milieuactieprogramma (MAP) de toezegging van de Europese Unie wordt uiteengezet om subsidies voor fossiele brandstoffen in de Europese Unie geleidelijk af te schaffen;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quater.</w:t>
            </w:r>
            <w:r>
              <w:tab/>
            </w:r>
            <w:r>
              <w:rPr>
                <w:b/>
                <w:i/>
              </w:rPr>
              <w:t>overwegende dat visserijproducten de gezondste bronnen van dierlijke eiwitten ter wereld zijn, met de laagste koolstofvoetafdruk;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A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quinquies.</w:t>
            </w:r>
            <w:r>
              <w:tab/>
            </w:r>
            <w:r>
              <w:rPr>
                <w:b/>
                <w:i/>
              </w:rPr>
              <w:t>overwegende dat er sinds de goedkeuring van de Overeenkomst van Parijs in 2015 onvoldoende vooruitgang is geboekt bij de verwezenlijking van de langetermijndoelstellingen van deze overeenkomst;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overwegende dat alternatieve brandstoffen en motoren </w:t>
            </w:r>
            <w:r>
              <w:rPr>
                <w:b/>
                <w:i/>
              </w:rPr>
              <w:t>die in de huidige EU-wetgeving worden voorgesteld</w:t>
            </w:r>
            <w:r>
              <w:t xml:space="preserve"> nog niet op grote schaal commercieel levensvatbaar zijn</w:t>
            </w:r>
            <w:r>
              <w:rPr>
                <w:b/>
                <w:i/>
              </w:rPr>
              <w:t>, waardoor</w:t>
            </w:r>
            <w:r>
              <w:t xml:space="preserve"> de energiekosten voor de </w:t>
            </w:r>
            <w:r>
              <w:rPr>
                <w:b/>
                <w:i/>
              </w:rPr>
              <w:t>vloot aanzienlijk stijgen en er behoorlijke financiële</w:t>
            </w:r>
            <w:r>
              <w:t xml:space="preserve"> investeringen </w:t>
            </w:r>
            <w:r>
              <w:rPr>
                <w:b/>
                <w:i/>
              </w:rPr>
              <w:t>nodig zijn</w:t>
            </w:r>
            <w:r>
              <w:t xml:space="preserve"> voor het ontwerp, de opleiding van de bemanning, de opslag, de afhandelingssystemen en de ontwikkeling van infrastructuur;</w:t>
            </w:r>
          </w:p>
        </w:tc>
        <w:tc>
          <w:tcPr>
            <w:tcW w:w="4876" w:type="dxa"/>
            <w:tcBorders>
              <w:top w:val="nil"/>
              <w:left w:val="nil"/>
              <w:bottom w:val="nil"/>
              <w:right w:val="nil"/>
            </w:tcBorders>
          </w:tcPr>
          <w:p>
            <w:pPr>
              <w:pStyle w:val="Normal6a"/>
            </w:pPr>
            <w:r>
              <w:t>B.</w:t>
            </w:r>
            <w:r>
              <w:tab/>
            </w:r>
            <w:r>
              <w:t xml:space="preserve">overwegende dat </w:t>
            </w:r>
            <w:r>
              <w:rPr>
                <w:b/>
                <w:i/>
              </w:rPr>
              <w:t>op de markt verkrijgbare</w:t>
            </w:r>
            <w:r>
              <w:t xml:space="preserve"> alternatieve brandstoffen en motoren nog niet op grote schaal </w:t>
            </w:r>
            <w:r>
              <w:rPr>
                <w:b/>
                <w:i/>
              </w:rPr>
              <w:t>volledig</w:t>
            </w:r>
            <w:r>
              <w:t xml:space="preserve"> commercieel levensvatbaar zijn</w:t>
            </w:r>
            <w:r>
              <w:rPr>
                <w:b/>
                <w:i/>
              </w:rPr>
              <w:t>;</w:t>
            </w:r>
            <w:r>
              <w:t xml:space="preserve"> </w:t>
            </w:r>
            <w:r>
              <w:rPr>
                <w:b/>
                <w:i/>
              </w:rPr>
              <w:t>overwegende dat een aanzienlijke stijging van</w:t>
            </w:r>
            <w:r>
              <w:t xml:space="preserve"> de energiekosten </w:t>
            </w:r>
            <w:r>
              <w:rPr>
                <w:b/>
                <w:i/>
              </w:rPr>
              <w:t>moet worden vermeden</w:t>
            </w:r>
            <w:r>
              <w:t xml:space="preserve"> voor de </w:t>
            </w:r>
            <w:r>
              <w:rPr>
                <w:b/>
                <w:i/>
              </w:rPr>
              <w:t>succesvolle uitrol ervan, terwijl steun en</w:t>
            </w:r>
            <w:r>
              <w:t xml:space="preserve"> investeringen voor het ontwerp, de opleiding van de bemanning, de opslag, de afhandelingssystemen en de ontwikkeling van infrastructuur </w:t>
            </w:r>
            <w:r>
              <w:rPr>
                <w:b/>
                <w:i/>
              </w:rPr>
              <w:t>moeten worden voorgesteld en vergemakkelijkt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overwegende dat </w:t>
            </w:r>
            <w:r>
              <w:rPr>
                <w:b/>
                <w:i/>
              </w:rPr>
              <w:t>alternatieve brandstoffen en motoren die in de huidige EU-wetgeving worden voorgesteld nog niet op grote schaal commercieel levensvatbaar zijn, waardoor de energiekosten voor de vloot aanzienlijk stijgen en er behoorlijke financiële</w:t>
            </w:r>
            <w:r>
              <w:t xml:space="preserve"> investeringen </w:t>
            </w:r>
            <w:r>
              <w:rPr>
                <w:b/>
                <w:i/>
              </w:rPr>
              <w:t>nodig zijn voor het ontwerp, de</w:t>
            </w:r>
            <w:r>
              <w:t xml:space="preserve"> opleiding van de bemanning</w:t>
            </w:r>
            <w:r>
              <w:rPr>
                <w:b/>
                <w:i/>
              </w:rPr>
              <w:t>, de opslag</w:t>
            </w:r>
            <w:r>
              <w:t xml:space="preserve">, </w:t>
            </w:r>
            <w:r>
              <w:rPr>
                <w:b/>
                <w:i/>
              </w:rPr>
              <w:t>de afhandelingssystemen</w:t>
            </w:r>
            <w:r>
              <w:t xml:space="preserve"> en </w:t>
            </w:r>
            <w:r>
              <w:rPr>
                <w:b/>
                <w:i/>
              </w:rPr>
              <w:t>de ontwikkeling van infrastructuur</w:t>
            </w:r>
            <w:r>
              <w:t>;</w:t>
            </w:r>
          </w:p>
        </w:tc>
        <w:tc>
          <w:tcPr>
            <w:tcW w:w="4876" w:type="dxa"/>
            <w:tcBorders>
              <w:top w:val="nil"/>
              <w:left w:val="nil"/>
              <w:bottom w:val="nil"/>
              <w:right w:val="nil"/>
            </w:tcBorders>
          </w:tcPr>
          <w:p>
            <w:pPr>
              <w:pStyle w:val="Normal6a"/>
            </w:pPr>
            <w:r>
              <w:t>B.</w:t>
            </w:r>
            <w:r>
              <w:tab/>
            </w:r>
            <w:r>
              <w:t xml:space="preserve">overwegende dat </w:t>
            </w:r>
            <w:r>
              <w:rPr>
                <w:b/>
                <w:i/>
              </w:rPr>
              <w:t>de overgang naar koolstofarme aandrijfsystemen aanzienlijke</w:t>
            </w:r>
            <w:r>
              <w:t xml:space="preserve"> investeringen </w:t>
            </w:r>
            <w:r>
              <w:rPr>
                <w:b/>
                <w:i/>
              </w:rPr>
              <w:t>vereist in technologische ontwikkeling, scheepsontwerp,</w:t>
            </w:r>
            <w:r>
              <w:t xml:space="preserve"> opleiding van de bemanning </w:t>
            </w:r>
            <w:r>
              <w:rPr>
                <w:b/>
                <w:i/>
              </w:rPr>
              <w:t>en haveninfrastructuur</w:t>
            </w:r>
            <w:r>
              <w:t xml:space="preserve">, en </w:t>
            </w:r>
            <w:r>
              <w:rPr>
                <w:b/>
                <w:i/>
              </w:rPr>
              <w:t>gepaard moet gaan met overheidssteun om de toegankelijkheid en betaalbaarheid voor alle segmenten van de vloot, met name de kleinschalige en ambachtelijke visserij, te waarborgen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overwegende dat alternatieve brandstoffen en motoren die in de huidige EU-wetgeving worden voorgesteld nog niet op grote schaal commercieel levensvatbaar zijn, waardoor de energiekosten voor de vloot </w:t>
            </w:r>
            <w:r>
              <w:rPr>
                <w:b/>
                <w:i/>
              </w:rPr>
              <w:t>aanzienlijk</w:t>
            </w:r>
            <w:r>
              <w:t xml:space="preserve"> stijgen en er behoorlijke financiële investeringen nodig zijn voor het ontwerp, de opleiding van de bemanning, de opslag, de afhandelingssystemen en de ontwikkeling van infrastructuur;</w:t>
            </w:r>
          </w:p>
        </w:tc>
        <w:tc>
          <w:tcPr>
            <w:tcW w:w="4876" w:type="dxa"/>
            <w:tcBorders>
              <w:top w:val="nil"/>
              <w:left w:val="nil"/>
              <w:bottom w:val="nil"/>
              <w:right w:val="nil"/>
            </w:tcBorders>
          </w:tcPr>
          <w:p>
            <w:pPr>
              <w:pStyle w:val="Normal6a"/>
            </w:pPr>
            <w:r>
              <w:t>B.</w:t>
            </w:r>
            <w:r>
              <w:tab/>
            </w:r>
            <w:r>
              <w:t xml:space="preserve">overwegende dat alternatieve brandstoffen en motoren die in de huidige EU-wetgeving worden voorgesteld nog niet op grote schaal commercieel levensvatbaar zijn, waardoor de energiekosten voor de vloot </w:t>
            </w:r>
            <w:r>
              <w:rPr>
                <w:b/>
                <w:i/>
              </w:rPr>
              <w:t>tijdelijk</w:t>
            </w:r>
            <w:r>
              <w:t xml:space="preserve"> stijgen en er behoorlijke financiële investeringen nodig zijn voor het ontwerp, de opleiding van de bemanning, de opslag, de afhandelingssystemen en de ontwikkeling van infrastructuur;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overwegende dat alternatieve brandstoffen en motoren die </w:t>
            </w:r>
            <w:r>
              <w:rPr>
                <w:b/>
                <w:i/>
              </w:rPr>
              <w:t>in de huidige EU-wetgeving worden voorgesteld</w:t>
            </w:r>
            <w:r>
              <w:t xml:space="preserve"> nog niet op grote schaal commercieel </w:t>
            </w:r>
            <w:r>
              <w:rPr>
                <w:b/>
                <w:i/>
              </w:rPr>
              <w:t>levensvatbaar</w:t>
            </w:r>
            <w:r>
              <w:t xml:space="preserve"> zijn, waardoor de energiekosten voor de vloot aanzienlijk stijgen en er behoorlijke financiële investeringen nodig zijn voor het ontwerp, de opleiding van de bemanning, de opslag, de afhandelingssystemen en de ontwikkeling van infrastructuur;</w:t>
            </w:r>
          </w:p>
        </w:tc>
        <w:tc>
          <w:tcPr>
            <w:tcW w:w="4876" w:type="dxa"/>
            <w:tcBorders>
              <w:top w:val="nil"/>
              <w:left w:val="nil"/>
              <w:bottom w:val="nil"/>
              <w:right w:val="nil"/>
            </w:tcBorders>
          </w:tcPr>
          <w:p>
            <w:pPr>
              <w:pStyle w:val="Normal6a"/>
            </w:pPr>
            <w:r>
              <w:t>B.</w:t>
            </w:r>
            <w:r>
              <w:tab/>
            </w:r>
            <w:r>
              <w:t xml:space="preserve">overwegende dat alternatieve brandstoffen en motoren </w:t>
            </w:r>
            <w:r>
              <w:rPr>
                <w:b/>
                <w:i/>
              </w:rPr>
              <w:t>nog steeds technologieën zijn</w:t>
            </w:r>
            <w:r>
              <w:t xml:space="preserve"> die nog niet op grote schaal commercieel </w:t>
            </w:r>
            <w:r>
              <w:rPr>
                <w:b/>
                <w:i/>
              </w:rPr>
              <w:t>beschikbaar</w:t>
            </w:r>
            <w:r>
              <w:t xml:space="preserve"> zijn, waardoor de energiekosten voor de vloot aanzienlijk stijgen en er behoorlijke </w:t>
            </w:r>
            <w:r>
              <w:rPr>
                <w:b/>
                <w:i/>
              </w:rPr>
              <w:t>publieke en particuliere</w:t>
            </w:r>
            <w:r>
              <w:t> financiële investeringen nodig zijn voor het ontwerp, de opleiding van de bemanning, de opslag, de afhandelingssystemen en de ontwikkeling van infrastructuur;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overwegende dat het partnerschap voor energietransitie (ETP), dat in 2023 van start is gegaan, een waardevol platform is dat is ontworpen om de energietransitie in de visserij- en aquacultuursector van de EU te versnellen en belanghebbenden bij elkaar te brengen;</w:t>
            </w:r>
            <w:r>
              <w:t xml:space="preserve"> </w:t>
            </w:r>
            <w:r>
              <w:rPr>
                <w:b/>
                <w:i/>
              </w:rPr>
              <w:t>overwegende dat het ETP niet voorziet in de financiering die nodig is voor de energietransitie;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overwegende dat geen enkele technologie momenteel een definitieve oplossing biedt voor het volledig koolstofvrij maken van de vissersvloot, maar dat ontwikkelingen en vooruitgang actief moeten worden ondersteund door middel van onderzoek, demonstratieprojecten en gerichte investeringen;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quater.</w:t>
            </w:r>
            <w:r>
              <w:tab/>
            </w:r>
            <w:r>
              <w:rPr>
                <w:b/>
                <w:i/>
              </w:rPr>
              <w:t>overwegende dat toegankelijke en schaalbare alternatieve brandstoffen en technologieën prioriteit moeten krijgen om een rechtvaardige en tijdige transitie mogelijk te maken;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B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quater.</w:t>
            </w:r>
            <w:r>
              <w:tab/>
            </w:r>
            <w:r>
              <w:rPr>
                <w:b/>
                <w:i/>
              </w:rPr>
              <w:t>overwegende dat de kleinschalige kustvloot weliswaar 76 % uitmaakt van alle actieve vissersvaartuigen die in de Europese Unie actief zijn, maar nog steeds wordt geconfronteerd met aanhoudende uitdagingen op het gebied van modernisering;</w:t>
            </w:r>
            <w:r>
              <w:t xml:space="preserve"> </w:t>
            </w:r>
            <w:r>
              <w:rPr>
                <w:b/>
                <w:i/>
              </w:rPr>
              <w:t>overwegende dat, ondanks het aantal vaartuigen, de technologische ontwikkelingen beperkt blijven, met name wat betreft aangepaste nieuwe hybride motoren, alsook de kosten van alternatieve brandstoffen in vergelijking met fossiele brandstoffen, die het transitieproces verstoren;</w:t>
            </w:r>
            <w:r>
              <w:t xml:space="preserve"> </w:t>
            </w:r>
            <w:r>
              <w:rPr>
                <w:b/>
                <w:i/>
              </w:rPr>
              <w:t>overwegende dat er dringend gerichte maatregelen nodig zijn om de transitie van de kleinschalige visserij te ondersteunen;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w:t>
            </w:r>
            <w:r>
              <w:tab/>
            </w:r>
            <w:r>
              <w:rPr>
                <w:b/>
                <w:i/>
              </w:rPr>
              <w:t>overwegende dat beperkende regelgevingsvoorwaarden die worden opgelegd door het gemeenschappelijk visserijbeleid (GVB) en het Europees Fonds voor maritieme zaken, visserij en aquacultuur (EFMZVA) een belemmering vormen voor de noodzakelijke verbeteringen op het gebied van veiligheid en energie-efficiëntie, waardoor het concurrentievermogen en de winstgevendheid van vissers ten opzichte van vloten buiten de EU worden aangetast;</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overwegende dat beperkende regelgevingsvoorwaarden die worden opgelegd door het gemeenschappelijk visserijbeleid (GVB) en het Europees Fonds voor maritieme zaken, visserij en aquacultuur (EFMZVA) een belemmering </w:t>
            </w:r>
            <w:r>
              <w:rPr>
                <w:b/>
                <w:i/>
              </w:rPr>
              <w:t>vormen</w:t>
            </w:r>
            <w:r>
              <w:t xml:space="preserve"> voor de noodzakelijke verbeteringen op het gebied van veiligheid en energie-efficiëntie, </w:t>
            </w:r>
            <w:r>
              <w:rPr>
                <w:b/>
                <w:i/>
              </w:rPr>
              <w:t>waardoor</w:t>
            </w:r>
            <w:r>
              <w:t xml:space="preserve"> het concurrentievermogen en de winstgevendheid van vissers ten opzichte van vloten buiten de EU worden </w:t>
            </w:r>
            <w:r>
              <w:rPr>
                <w:b/>
                <w:i/>
              </w:rPr>
              <w:t>aangetast</w:t>
            </w:r>
            <w:r>
              <w:t>;</w:t>
            </w:r>
          </w:p>
        </w:tc>
        <w:tc>
          <w:tcPr>
            <w:tcW w:w="4876" w:type="dxa"/>
            <w:tcBorders>
              <w:top w:val="nil"/>
              <w:left w:val="nil"/>
              <w:bottom w:val="nil"/>
              <w:right w:val="nil"/>
            </w:tcBorders>
          </w:tcPr>
          <w:p>
            <w:pPr>
              <w:pStyle w:val="Normal6a"/>
            </w:pPr>
            <w:r>
              <w:t>C.</w:t>
            </w:r>
            <w:r>
              <w:tab/>
            </w:r>
            <w:r>
              <w:t xml:space="preserve">overwegende dat beperkende regelgevingsvoorwaarden die worden opgelegd door het gemeenschappelijk visserijbeleid (GVB) en het Europees Fonds voor maritieme zaken, visserij en aquacultuur (EFMZVA) </w:t>
            </w:r>
            <w:r>
              <w:rPr>
                <w:b/>
                <w:i/>
              </w:rPr>
              <w:t>de lidstaten en de regio’s beletten te investeren in de decarbonisering van hun vloot, wat</w:t>
            </w:r>
            <w:r>
              <w:t xml:space="preserve"> een belemmering </w:t>
            </w:r>
            <w:r>
              <w:rPr>
                <w:b/>
                <w:i/>
              </w:rPr>
              <w:t>vormt</w:t>
            </w:r>
            <w:r>
              <w:t xml:space="preserve"> voor de noodzakelijke verbeteringen op het gebied van veiligheid en energie-efficiëntie, </w:t>
            </w:r>
            <w:r>
              <w:rPr>
                <w:b/>
                <w:i/>
              </w:rPr>
              <w:t>en nadelig is voor</w:t>
            </w:r>
            <w:r>
              <w:t xml:space="preserve"> het concurrentievermogen en de winstgevendheid van vissers ten opzichte van vloten buiten de EU</w:t>
            </w:r>
            <w:r>
              <w:rPr>
                <w:b/>
                <w:i/>
              </w:rPr>
              <w:t>, vooral in de ultraperifere gebieden;</w:t>
            </w:r>
            <w:r>
              <w:t xml:space="preserve"> </w:t>
            </w:r>
            <w:r>
              <w:rPr>
                <w:b/>
                <w:i/>
              </w:rPr>
              <w:t>overwegende dat het GVB en EFMZVA bijgevolg moeten</w:t>
            </w:r>
            <w:r>
              <w:t xml:space="preserve"> worden </w:t>
            </w:r>
            <w:r>
              <w:rPr>
                <w:b/>
                <w:i/>
              </w:rPr>
              <w:t>herzien om het wetgevingskader te actualiseren en af te stemmen op de huidige uitdagingen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Oihane Agirregoitia Martínez,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overwegende dat </w:t>
            </w:r>
            <w:r>
              <w:rPr>
                <w:b/>
                <w:i/>
              </w:rPr>
              <w:t>beperkende regelgevingsvoorwaarden die</w:t>
            </w:r>
            <w:r>
              <w:t xml:space="preserve"> worden </w:t>
            </w:r>
            <w:r>
              <w:rPr>
                <w:b/>
                <w:i/>
              </w:rPr>
              <w:t>opgelegd door</w:t>
            </w:r>
            <w:r>
              <w:t xml:space="preserve"> het gemeenschappelijk visserijbeleid (GVB) en het Europees Fonds voor maritieme zaken, visserij en aquacultuur (EFMZVA) </w:t>
            </w:r>
            <w:r>
              <w:rPr>
                <w:b/>
                <w:i/>
              </w:rPr>
              <w:t>een belemmering vormen</w:t>
            </w:r>
            <w:r>
              <w:t xml:space="preserve"> voor de </w:t>
            </w:r>
            <w:r>
              <w:rPr>
                <w:b/>
                <w:i/>
              </w:rPr>
              <w:t>noodzakelijke verbeteringen</w:t>
            </w:r>
            <w:r>
              <w:t xml:space="preserve"> op het </w:t>
            </w:r>
            <w:r>
              <w:rPr>
                <w:b/>
                <w:i/>
              </w:rPr>
              <w:t>gebied van veiligheid en energie-efficiëntie, waardoor</w:t>
            </w:r>
            <w:r>
              <w:t xml:space="preserve"> het concurrentievermogen en de winstgevendheid van vissers ten opzichte van vloten buiten de EU </w:t>
            </w:r>
            <w:r>
              <w:rPr>
                <w:b/>
                <w:i/>
              </w:rPr>
              <w:t>worden aangetast</w:t>
            </w:r>
            <w:r>
              <w:t>;</w:t>
            </w:r>
          </w:p>
        </w:tc>
        <w:tc>
          <w:tcPr>
            <w:tcW w:w="4876" w:type="dxa"/>
            <w:tcBorders>
              <w:top w:val="nil"/>
              <w:left w:val="nil"/>
              <w:bottom w:val="nil"/>
              <w:right w:val="nil"/>
            </w:tcBorders>
          </w:tcPr>
          <w:p>
            <w:pPr>
              <w:pStyle w:val="Normal6a"/>
            </w:pPr>
            <w:r>
              <w:t>C.</w:t>
            </w:r>
            <w:r>
              <w:tab/>
            </w:r>
            <w:r>
              <w:t xml:space="preserve">overwegende dat </w:t>
            </w:r>
            <w:r>
              <w:rPr>
                <w:b/>
                <w:i/>
              </w:rPr>
              <w:t>verbeteringen op het gebied van veiligheid en energie-efficiëntie kunnen</w:t>
            </w:r>
            <w:r>
              <w:t xml:space="preserve"> worden </w:t>
            </w:r>
            <w:r>
              <w:rPr>
                <w:b/>
                <w:i/>
              </w:rPr>
              <w:t>ondersteund door EU-fondsen in het kader van de regels van</w:t>
            </w:r>
            <w:r>
              <w:t xml:space="preserve"> het gemeenschappelijk visserijbeleid (GVB) en het Europees Fonds voor maritieme zaken, visserij en aquacultuur (EFMZVA)</w:t>
            </w:r>
            <w:r>
              <w:rPr>
                <w:b/>
                <w:i/>
              </w:rPr>
              <w:t>;</w:t>
            </w:r>
            <w:r>
              <w:t xml:space="preserve"> </w:t>
            </w:r>
            <w:r>
              <w:rPr>
                <w:b/>
                <w:i/>
              </w:rPr>
              <w:t>overwegende dat uit recente studies blijkt dat toekomstige steuninstrumenten minder restrictieve voorwaarden</w:t>
            </w:r>
            <w:r>
              <w:t xml:space="preserve"> voor de </w:t>
            </w:r>
            <w:r>
              <w:rPr>
                <w:b/>
                <w:i/>
              </w:rPr>
              <w:t>visserij moeten overwegen en tegelijkertijd beperkingen moeten opleggen om overcapaciteit of overbevissing</w:t>
            </w:r>
            <w:r>
              <w:t xml:space="preserve"> op het </w:t>
            </w:r>
            <w:r>
              <w:rPr>
                <w:b/>
                <w:i/>
              </w:rPr>
              <w:t>niveau van afzonderlijke segmenten of de gehele nationale vloot te voorkomen, teneinde</w:t>
            </w:r>
            <w:r>
              <w:t xml:space="preserve"> het concurrentievermogen en de winstgevendheid van vissers ten opzichte van vloten buiten de EU </w:t>
            </w:r>
            <w:r>
              <w:rPr>
                <w:b/>
                <w:i/>
              </w:rPr>
              <w:t>verder te versterken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overwegende dat </w:t>
            </w:r>
            <w:r>
              <w:rPr>
                <w:b/>
                <w:i/>
              </w:rPr>
              <w:t>beperkende regelgevingsvoorwaarden die worden opgelegd door</w:t>
            </w:r>
            <w:r>
              <w:t xml:space="preserve"> het gemeenschappelijk visserijbeleid (GVB) en het Europees Fonds voor maritieme zaken, visserij en aquacultuur (EFMZVA) </w:t>
            </w:r>
            <w:r>
              <w:rPr>
                <w:b/>
                <w:i/>
              </w:rPr>
              <w:t>een belemmering vormen voor de noodzakelijke verbeteringen op het gebied van</w:t>
            </w:r>
            <w:r>
              <w:t xml:space="preserve"> veiligheid en energie-efficiëntie</w:t>
            </w:r>
            <w:r>
              <w:rPr>
                <w:b/>
                <w:i/>
              </w:rPr>
              <w:t>, waardoor het</w:t>
            </w:r>
            <w:r>
              <w:t xml:space="preserve"> concurrentievermogen en </w:t>
            </w:r>
            <w:r>
              <w:rPr>
                <w:b/>
                <w:i/>
              </w:rPr>
              <w:t>de</w:t>
            </w:r>
            <w:r>
              <w:t xml:space="preserve"> winstgevendheid van </w:t>
            </w:r>
            <w:r>
              <w:rPr>
                <w:b/>
                <w:i/>
              </w:rPr>
              <w:t>vissers</w:t>
            </w:r>
            <w:r>
              <w:t xml:space="preserve"> ten opzichte van vloten buiten de EU </w:t>
            </w:r>
            <w:r>
              <w:rPr>
                <w:b/>
                <w:i/>
              </w:rPr>
              <w:t>worden aangetast</w:t>
            </w:r>
            <w:r>
              <w:t>;</w:t>
            </w:r>
          </w:p>
        </w:tc>
        <w:tc>
          <w:tcPr>
            <w:tcW w:w="4876" w:type="dxa"/>
            <w:tcBorders>
              <w:top w:val="nil"/>
              <w:left w:val="nil"/>
              <w:bottom w:val="nil"/>
              <w:right w:val="nil"/>
            </w:tcBorders>
          </w:tcPr>
          <w:p>
            <w:pPr>
              <w:pStyle w:val="Normal6a"/>
            </w:pPr>
            <w:r>
              <w:t>C.</w:t>
            </w:r>
            <w:r>
              <w:tab/>
            </w:r>
            <w:r>
              <w:t xml:space="preserve">overwegende dat </w:t>
            </w:r>
            <w:r>
              <w:rPr>
                <w:b/>
                <w:i/>
              </w:rPr>
              <w:t>de bepalingen van</w:t>
            </w:r>
            <w:r>
              <w:t xml:space="preserve"> het gemeenschappelijk visserijbeleid (GVB) en het Europees Fonds voor maritieme zaken, visserij en aquacultuur (EFMZVA) </w:t>
            </w:r>
            <w:r>
              <w:rPr>
                <w:b/>
                <w:i/>
              </w:rPr>
              <w:t>maatregelen en financiële steun omvatten om de</w:t>
            </w:r>
            <w:r>
              <w:t xml:space="preserve"> veiligheid en </w:t>
            </w:r>
            <w:r>
              <w:rPr>
                <w:b/>
                <w:i/>
              </w:rPr>
              <w:t>de</w:t>
            </w:r>
            <w:r>
              <w:t xml:space="preserve"> energie-efficiëntie </w:t>
            </w:r>
            <w:r>
              <w:rPr>
                <w:b/>
                <w:i/>
              </w:rPr>
              <w:t>van vaartuigen te verbeteren;</w:t>
            </w:r>
            <w:r>
              <w:t xml:space="preserve"> </w:t>
            </w:r>
            <w:r>
              <w:rPr>
                <w:b/>
                <w:i/>
              </w:rPr>
              <w:t>overwegende dat deze bepalingen ambitieuzer hadden kunnen zijn toen zij werden vastgesteld;</w:t>
            </w:r>
            <w:r>
              <w:t xml:space="preserve"> </w:t>
            </w:r>
            <w:r>
              <w:rPr>
                <w:b/>
                <w:i/>
              </w:rPr>
              <w:t>overwegende dat deze bepalingen mettertijd zullen leiden tot een groter</w:t>
            </w:r>
            <w:r>
              <w:t xml:space="preserve"> concurrentievermogen en </w:t>
            </w:r>
            <w:r>
              <w:rPr>
                <w:b/>
                <w:i/>
              </w:rPr>
              <w:t>een grotere</w:t>
            </w:r>
            <w:r>
              <w:t xml:space="preserve"> winstgevendheid van </w:t>
            </w:r>
            <w:r>
              <w:rPr>
                <w:b/>
                <w:i/>
              </w:rPr>
              <w:t>EU-vissers</w:t>
            </w:r>
            <w:r>
              <w:t xml:space="preserve"> ten opzichte van vloten buiten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overwegende dat </w:t>
            </w:r>
            <w:r>
              <w:rPr>
                <w:b/>
                <w:i/>
              </w:rPr>
              <w:t>beperkende</w:t>
            </w:r>
            <w:r>
              <w:t xml:space="preserve"> regelgevingsvoorwaarden die worden </w:t>
            </w:r>
            <w:r>
              <w:rPr>
                <w:b/>
                <w:i/>
              </w:rPr>
              <w:t>opgelegd</w:t>
            </w:r>
            <w:r>
              <w:t xml:space="preserve"> door het gemeenschappelijk visserijbeleid (GVB) en het Europees Fonds voor maritieme zaken, visserij en aquacultuur (EFMZVA) </w:t>
            </w:r>
            <w:r>
              <w:rPr>
                <w:b/>
                <w:i/>
              </w:rPr>
              <w:t>een belemmering vormen voor de noodzakelijke</w:t>
            </w:r>
            <w:r>
              <w:t xml:space="preserve"> verbeteringen op het gebied van veiligheid en energie-efficiëntie, </w:t>
            </w:r>
            <w:r>
              <w:rPr>
                <w:b/>
                <w:i/>
              </w:rPr>
              <w:t>waardoor het concurrentievermogen en de winstgevendheid van vissers ten opzichte van vloten buiten de EU worden aangetast</w:t>
            </w:r>
            <w:r>
              <w:t>;</w:t>
            </w:r>
          </w:p>
        </w:tc>
        <w:tc>
          <w:tcPr>
            <w:tcW w:w="4876" w:type="dxa"/>
            <w:tcBorders>
              <w:top w:val="nil"/>
              <w:left w:val="nil"/>
              <w:bottom w:val="nil"/>
              <w:right w:val="nil"/>
            </w:tcBorders>
          </w:tcPr>
          <w:p>
            <w:pPr>
              <w:pStyle w:val="Normal6a"/>
            </w:pPr>
            <w:r>
              <w:t>C.</w:t>
            </w:r>
            <w:r>
              <w:tab/>
            </w:r>
            <w:r>
              <w:t xml:space="preserve">overwegende dat </w:t>
            </w:r>
            <w:r>
              <w:rPr>
                <w:b/>
                <w:i/>
              </w:rPr>
              <w:t>de</w:t>
            </w:r>
            <w:r>
              <w:t xml:space="preserve"> regelgevingsvoorwaarden die worden </w:t>
            </w:r>
            <w:r>
              <w:rPr>
                <w:b/>
                <w:i/>
              </w:rPr>
              <w:t>vastgesteld</w:t>
            </w:r>
            <w:r>
              <w:t xml:space="preserve"> door het gemeenschappelijk visserijbeleid (GVB) en het Europees Fonds voor maritieme zaken, visserij en aquacultuur (EFMZVA) </w:t>
            </w:r>
            <w:r>
              <w:rPr>
                <w:b/>
                <w:i/>
              </w:rPr>
              <w:t>criteria introduceren voor</w:t>
            </w:r>
            <w:r>
              <w:t xml:space="preserve"> verbeteringen op het gebied van veiligheid en energie-efficiëntie, </w:t>
            </w:r>
            <w:r>
              <w:rPr>
                <w:b/>
                <w:i/>
              </w:rPr>
              <w:t>en daarbij zorgen voor evenwicht om overcapaciteit te verminderen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overwegende dat zowel het GVB als het EFMZVA dienovereenkomstig fundamenteel moeten worden hervormd om beter tegemoet te kunnen komen aan de behoeften van de agenda voor decarbonisatie en modernisering;</w:t>
            </w:r>
            <w:r>
              <w:t xml:space="preserve"> </w:t>
            </w:r>
            <w:r>
              <w:rPr>
                <w:b/>
                <w:i/>
              </w:rPr>
              <w:t>overwegende dat bij dergelijke hervormingen ten volle rekening moet worden gehouden met de enorme regionale diversiteit van de vissersvloot van de EU en geen uniforme aanpak mag worden gehanteerd;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C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overwegende dat vissers, en met name kleinschalige exploitanten, essentiële bondgenoten zijn bij de bescherming van mariene ecosystemen en volledig moeten worden betrokken bij de uitvoering en monitoring van beleid ter ondersteuning van de transitie naar duurzame visserijpraktijken met een lage 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overwegende dat </w:t>
            </w:r>
            <w:r>
              <w:rPr>
                <w:b/>
                <w:i/>
              </w:rPr>
              <w:t>innovatief</w:t>
            </w:r>
            <w:r>
              <w:t xml:space="preserve"> vistuig </w:t>
            </w:r>
            <w:r>
              <w:rPr>
                <w:b/>
                <w:i/>
              </w:rPr>
              <w:t>een sleutelrol kan spelen bij het</w:t>
            </w:r>
            <w:r>
              <w:t xml:space="preserve"> vergroten </w:t>
            </w:r>
            <w:r>
              <w:rPr>
                <w:b/>
                <w:i/>
              </w:rPr>
              <w:t>van de duurzaamheid, maar dat het gebrek aan duidelijke EU-definities en efficiënte goedkeuringsprocedures de ecologische, technologische en economische voordelen aanzienlijk dreigt te vertragen</w:t>
            </w:r>
            <w:r>
              <w:t>;</w:t>
            </w:r>
          </w:p>
        </w:tc>
        <w:tc>
          <w:tcPr>
            <w:tcW w:w="4876" w:type="dxa"/>
            <w:tcBorders>
              <w:top w:val="nil"/>
              <w:left w:val="nil"/>
              <w:bottom w:val="nil"/>
              <w:right w:val="nil"/>
            </w:tcBorders>
          </w:tcPr>
          <w:p>
            <w:pPr>
              <w:pStyle w:val="Normal6a"/>
            </w:pPr>
            <w:r>
              <w:t>D.</w:t>
            </w:r>
            <w:r>
              <w:tab/>
            </w:r>
            <w:r>
              <w:t xml:space="preserve">overwegende dat </w:t>
            </w:r>
            <w:r>
              <w:rPr>
                <w:b/>
                <w:i/>
              </w:rPr>
              <w:t>modern</w:t>
            </w:r>
            <w:r>
              <w:t xml:space="preserve"> vistuig </w:t>
            </w:r>
            <w:r>
              <w:rPr>
                <w:b/>
                <w:i/>
              </w:rPr>
              <w:t>negatieve gevolgen kan hebben voor vissen in de vorm van meer pijn en verwondingen of zelfs doding, met name door het gebruik van bepaalde methoden zoals pulsvisserij en bodemtrawlervisserij;</w:t>
            </w:r>
            <w:r>
              <w:t xml:space="preserve"> </w:t>
            </w:r>
            <w:r>
              <w:rPr>
                <w:b/>
                <w:i/>
              </w:rPr>
              <w:t>overwegende dat deze praktijken vissen stress kunnen geven, de kans kunnen</w:t>
            </w:r>
            <w:r>
              <w:t xml:space="preserve"> vergroten </w:t>
            </w:r>
            <w:r>
              <w:rPr>
                <w:b/>
                <w:i/>
              </w:rPr>
              <w:t>dat ongewenste vangsten worden weggegooid en kwetsbare mariene habitats kunnen schaden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overwegende dat </w:t>
            </w:r>
            <w:r>
              <w:rPr>
                <w:b/>
                <w:i/>
              </w:rPr>
              <w:t>innovatief</w:t>
            </w:r>
            <w:r>
              <w:t xml:space="preserve"> vistuig een sleutelrol </w:t>
            </w:r>
            <w:r>
              <w:rPr>
                <w:b/>
                <w:i/>
              </w:rPr>
              <w:t>kan spelen</w:t>
            </w:r>
            <w:r>
              <w:t xml:space="preserve"> bij het vergroten van de duurzaamheid</w:t>
            </w:r>
            <w:r>
              <w:rPr>
                <w:b/>
                <w:i/>
              </w:rPr>
              <w:t>, maar dat het gebrek aan duidelijke EU-definities en efficiënte</w:t>
            </w:r>
            <w:r>
              <w:t xml:space="preserve"> goedkeuringsprocedures </w:t>
            </w:r>
            <w:r>
              <w:rPr>
                <w:b/>
                <w:i/>
              </w:rPr>
              <w:t>de ecologische, technologische en economische voordelen aanzienlijk dreigt te vertragen</w:t>
            </w:r>
            <w:r>
              <w:t>;</w:t>
            </w:r>
          </w:p>
        </w:tc>
        <w:tc>
          <w:tcPr>
            <w:tcW w:w="4876" w:type="dxa"/>
            <w:tcBorders>
              <w:top w:val="nil"/>
              <w:left w:val="nil"/>
              <w:bottom w:val="nil"/>
              <w:right w:val="nil"/>
            </w:tcBorders>
          </w:tcPr>
          <w:p>
            <w:pPr>
              <w:pStyle w:val="Normal6a"/>
            </w:pPr>
            <w:r>
              <w:t>D.</w:t>
            </w:r>
            <w:r>
              <w:tab/>
            </w:r>
            <w:r>
              <w:t xml:space="preserve">overwegende dat </w:t>
            </w:r>
            <w:r>
              <w:rPr>
                <w:b/>
                <w:i/>
              </w:rPr>
              <w:t>innovatie in de visserijsector, ook met betrekking tot</w:t>
            </w:r>
            <w:r>
              <w:t xml:space="preserve"> vistuig </w:t>
            </w:r>
            <w:r>
              <w:rPr>
                <w:b/>
                <w:i/>
              </w:rPr>
              <w:t>en vismethoden,</w:t>
            </w:r>
            <w:r>
              <w:t xml:space="preserve"> een sleutelrol </w:t>
            </w:r>
            <w:r>
              <w:rPr>
                <w:b/>
                <w:i/>
              </w:rPr>
              <w:t>speelt</w:t>
            </w:r>
            <w:r>
              <w:t xml:space="preserve"> bij het vergroten van de duurzaamheid </w:t>
            </w:r>
            <w:r>
              <w:rPr>
                <w:b/>
                <w:i/>
              </w:rPr>
              <w:t>en daarom onder meer moet worden ondersteund met efficiëntere</w:t>
            </w:r>
            <w:r>
              <w:t xml:space="preserve"> goedkeuringsprocedures </w:t>
            </w:r>
            <w:r>
              <w:rPr>
                <w:b/>
                <w:i/>
              </w:rPr>
              <w:t>en met steun voor een bredere toepassing van nieuwe innovatieve technieken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overwegende dat innovatief vistuig een sleutelrol kan spelen bij het vergroten van de duurzaamheid</w:t>
            </w:r>
            <w:r>
              <w:rPr>
                <w:b/>
                <w:i/>
              </w:rPr>
              <w:t>, maar dat het gebrek aan duidelijke EU-definities en efficiënte goedkeuringsprocedures de ecologische, technologische en economische voordelen aanzienlijk dreigt te vertragen</w:t>
            </w:r>
            <w:r>
              <w:t>;</w:t>
            </w:r>
          </w:p>
        </w:tc>
        <w:tc>
          <w:tcPr>
            <w:tcW w:w="4876" w:type="dxa"/>
            <w:tcBorders>
              <w:top w:val="nil"/>
              <w:left w:val="nil"/>
              <w:bottom w:val="nil"/>
              <w:right w:val="nil"/>
            </w:tcBorders>
          </w:tcPr>
          <w:p>
            <w:pPr>
              <w:pStyle w:val="Normal6a"/>
            </w:pPr>
            <w:r>
              <w:t>D.</w:t>
            </w:r>
            <w:r>
              <w:tab/>
            </w:r>
            <w:r>
              <w:t>overwegende dat innovatief vistuig een sleutelrol kan spelen bij het vergroten van de duurzaamheid;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overwegende dat innovatief vistuig een sleutelrol kan spelen bij het vergroten van de duurzaamheid, maar dat het gebrek aan duidelijke EU-definities en efficiënte goedkeuringsprocedures de ecologische, technologische en economische voordelen aanzienlijk dreigt te vertragen;</w:t>
            </w:r>
          </w:p>
        </w:tc>
        <w:tc>
          <w:tcPr>
            <w:tcW w:w="4876" w:type="dxa"/>
            <w:tcBorders>
              <w:top w:val="nil"/>
              <w:left w:val="nil"/>
              <w:bottom w:val="nil"/>
              <w:right w:val="nil"/>
            </w:tcBorders>
          </w:tcPr>
          <w:p>
            <w:pPr>
              <w:pStyle w:val="Normal6a"/>
            </w:pPr>
            <w:r>
              <w:t>D.</w:t>
            </w:r>
            <w:r>
              <w:tab/>
            </w:r>
            <w:r>
              <w:t xml:space="preserve">overwegende dat innovatief vistuig een sleutelrol kan spelen bij het vergroten van de duurzaamheid, maar dat het gebrek aan duidelijke EU-definities en efficiënte goedkeuringsprocedures de ecologische, technologische en economische voordelen aanzienlijk dreigt te vertragen; </w:t>
            </w:r>
            <w:r>
              <w:rPr>
                <w:b/>
                <w:i/>
              </w:rPr>
              <w:t>overwegende dat in duidelijke EU-definities rekening moet worden gehouden met de regionale diversiteit van de visserij en aquacultuur in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overwegende dat innovatief vistuig een sleutelrol kan spelen bij het vergroten van de duurzaamheid, maar dat het gebrek aan duidelijke EU-definities en efficiënte goedkeuringsprocedures de ecologische, technologische en economische voordelen aanzienlijk </w:t>
            </w:r>
            <w:r>
              <w:rPr>
                <w:b/>
                <w:i/>
              </w:rPr>
              <w:t>dreigt te vertragen</w:t>
            </w:r>
            <w:r>
              <w:t>;</w:t>
            </w:r>
          </w:p>
        </w:tc>
        <w:tc>
          <w:tcPr>
            <w:tcW w:w="4876" w:type="dxa"/>
            <w:tcBorders>
              <w:top w:val="nil"/>
              <w:left w:val="nil"/>
              <w:bottom w:val="nil"/>
              <w:right w:val="nil"/>
            </w:tcBorders>
          </w:tcPr>
          <w:p>
            <w:pPr>
              <w:pStyle w:val="Normal6a"/>
            </w:pPr>
            <w:r>
              <w:t>D.</w:t>
            </w:r>
            <w:r>
              <w:tab/>
            </w:r>
            <w:r>
              <w:t xml:space="preserve">overwegende dat innovatief vistuig een sleutelrol kan spelen bij het vergroten van de duurzaamheid, maar dat het gebrek aan duidelijke EU-definities en efficiënte goedkeuringsprocedures de </w:t>
            </w:r>
            <w:r>
              <w:rPr>
                <w:b/>
                <w:i/>
              </w:rPr>
              <w:t>potentiële</w:t>
            </w:r>
            <w:r>
              <w:t xml:space="preserve"> ecologische, technologische en economische voordelen aanzienlijk </w:t>
            </w:r>
            <w:r>
              <w:rPr>
                <w:b/>
                <w:i/>
              </w:rPr>
              <w:t>ondermijnt en vertraagt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overwegende dat innovatief vistuig een sleutelrol kan spelen bij het vergroten van de </w:t>
            </w:r>
            <w:r>
              <w:rPr>
                <w:b/>
                <w:i/>
              </w:rPr>
              <w:t>duurzaamheid</w:t>
            </w:r>
            <w:r>
              <w:t xml:space="preserve">, </w:t>
            </w:r>
            <w:r>
              <w:rPr>
                <w:b/>
                <w:i/>
              </w:rPr>
              <w:t>maar dat het gebrek aan duidelijke EU-definities en efficiënte goedkeuringsprocedures de ecologische, technologische en economische voordelen aanzienlijk dreigt te vertragen</w:t>
            </w:r>
            <w:r>
              <w:t>;</w:t>
            </w:r>
          </w:p>
        </w:tc>
        <w:tc>
          <w:tcPr>
            <w:tcW w:w="4876" w:type="dxa"/>
            <w:tcBorders>
              <w:top w:val="nil"/>
              <w:left w:val="nil"/>
              <w:bottom w:val="nil"/>
              <w:right w:val="nil"/>
            </w:tcBorders>
          </w:tcPr>
          <w:p>
            <w:pPr>
              <w:pStyle w:val="Normal6a"/>
            </w:pPr>
            <w:r>
              <w:t>D.</w:t>
            </w:r>
            <w:r>
              <w:tab/>
            </w:r>
            <w:r>
              <w:t xml:space="preserve">overwegende dat innovatief vistuig een sleutelrol kan spelen bij het vergroten van de </w:t>
            </w:r>
            <w:r>
              <w:rPr>
                <w:b/>
                <w:i/>
              </w:rPr>
              <w:t>milieuduurzaamheid</w:t>
            </w:r>
            <w:r>
              <w:t xml:space="preserve">, </w:t>
            </w:r>
            <w:r>
              <w:rPr>
                <w:b/>
                <w:i/>
              </w:rPr>
              <w:t>het verbeteren van de operationele efficiëntie en het verminderen van het brandstofverbruik, en moet worden ondersteund door middel van gerichte investeringen, kennisdeling en snellere evaluatie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overwegende dat innovatief vistuig van de prototypefase moet overgaan op de demonstratiefase, zodat de efficiëntie en doeltreffendheid ervan onder reële gebruiksomstandigheden kunnen worden getest, met de steun van het EFMZVA;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overwegende dat bepaalde visserijtechnieken, zoals gesleept vistuig en mobiele bodemvisserij, zeer brandstofintensief zijn, aanzienlijke kosten voor de sector met zich meebrengen en een bijzonder grote koolstofvoetafdruk hebben;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overwegende dat geen enkel vistuig op zich goed of slecht is, maar dat de waarde ervan afhangt van de wijze waarop het wordt gebruikt en gereguleerd;</w:t>
            </w:r>
            <w:r>
              <w:t xml:space="preserve"> </w:t>
            </w:r>
            <w:r>
              <w:rPr>
                <w:b/>
                <w:i/>
              </w:rPr>
              <w:t>overwegende dat een open, technologieneutrale aanpak nodig 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overwegende dat deze visserijtechnieken ook de duurzaamheid van de visserij en de beschikbaarheid van vis op middellange en lange termijn in gevaar brengen;</w:t>
            </w:r>
            <w:r>
              <w:t xml:space="preserve"> </w:t>
            </w:r>
            <w:r>
              <w:rPr>
                <w:b/>
                <w:i/>
              </w:rPr>
              <w:t>overwegende dat zij ook schadelijk zijn voor de ecosystemen waarvan die visserij afhankelijk 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quater.</w:t>
            </w:r>
            <w:r>
              <w:tab/>
            </w:r>
            <w:r>
              <w:rPr>
                <w:b/>
                <w:i/>
              </w:rPr>
              <w:t>overwegende dat deze visserijtechnieken ook van invloed zijn op de koolstofvastlegging;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D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quinquies.</w:t>
            </w:r>
            <w:r>
              <w:tab/>
            </w:r>
            <w:r>
              <w:rPr>
                <w:b/>
                <w:i/>
              </w:rPr>
              <w:t>overwegende dat de Europese Rekenkamer heeft aangegeven dat de visserijfondsen van de EU niet mogen worden gebruikt om acties te financieren die de vangstcapaciteit van vaartuigen vergroten;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overwegende dat het van cruciaal belang is te investeren in onderzoek naar en de ontwikkeling van vistuig met een lage impact om bij te dragen aan de verwezenlijking van de duurzaamheidsdoelstellingen;</w:t>
            </w:r>
          </w:p>
        </w:tc>
        <w:tc>
          <w:tcPr>
            <w:tcW w:w="4876" w:type="dxa"/>
            <w:tcBorders>
              <w:top w:val="nil"/>
              <w:left w:val="nil"/>
              <w:bottom w:val="nil"/>
              <w:right w:val="nil"/>
            </w:tcBorders>
          </w:tcPr>
          <w:p>
            <w:pPr>
              <w:pStyle w:val="Normal6a"/>
            </w:pPr>
            <w:r>
              <w:t>E.</w:t>
            </w:r>
            <w:r>
              <w:tab/>
            </w:r>
            <w:r>
              <w:t xml:space="preserve">overwegende dat het van cruciaal belang is te investeren in onderzoek naar en de ontwikkeling van </w:t>
            </w:r>
            <w:r>
              <w:rPr>
                <w:b/>
                <w:i/>
              </w:rPr>
              <w:t>alternatieve motoren en brandstoffen, manieren om de energieprestatie van vaartuigen te verbeteren door aanpassing of innovatieve scheepsbouwkunde, en</w:t>
            </w:r>
            <w:r>
              <w:t xml:space="preserve"> vistuig met een lage impact om bij te dragen aan de verwezenlijking van de duurzaamheidsdoelstellingen;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overwegende dat het van cruciaal belang is te investeren in onderzoek </w:t>
            </w:r>
            <w:r>
              <w:rPr>
                <w:b/>
                <w:i/>
              </w:rPr>
              <w:t>naar en de</w:t>
            </w:r>
            <w:r>
              <w:t xml:space="preserve"> ontwikkeling van vistuig met een lage impact </w:t>
            </w:r>
            <w:r>
              <w:rPr>
                <w:b/>
                <w:i/>
              </w:rPr>
              <w:t>om bij te dragen aan de verwezenlijking</w:t>
            </w:r>
            <w:r>
              <w:t xml:space="preserve"> van de </w:t>
            </w:r>
            <w:r>
              <w:rPr>
                <w:b/>
                <w:i/>
              </w:rPr>
              <w:t>duurzaamheidsdoelstellingen</w:t>
            </w:r>
            <w:r>
              <w:t>;</w:t>
            </w:r>
          </w:p>
        </w:tc>
        <w:tc>
          <w:tcPr>
            <w:tcW w:w="4876" w:type="dxa"/>
            <w:tcBorders>
              <w:top w:val="nil"/>
              <w:left w:val="nil"/>
              <w:bottom w:val="nil"/>
              <w:right w:val="nil"/>
            </w:tcBorders>
          </w:tcPr>
          <w:p>
            <w:pPr>
              <w:pStyle w:val="Normal6a"/>
            </w:pPr>
            <w:r>
              <w:t>E.</w:t>
            </w:r>
            <w:r>
              <w:tab/>
            </w:r>
            <w:r>
              <w:t>overwegende dat het van cruciaal belang is te investeren in onderzoek</w:t>
            </w:r>
            <w:r>
              <w:rPr>
                <w:b/>
                <w:i/>
              </w:rPr>
              <w:t>,</w:t>
            </w:r>
            <w:r>
              <w:t xml:space="preserve"> ontwikkeling </w:t>
            </w:r>
            <w:r>
              <w:rPr>
                <w:b/>
                <w:i/>
              </w:rPr>
              <w:t>en doeltreffend gebruik</w:t>
            </w:r>
            <w:r>
              <w:t xml:space="preserve"> van vistuig met een lage impact</w:t>
            </w:r>
            <w:r>
              <w:rPr>
                <w:b/>
                <w:i/>
              </w:rPr>
              <w:t>, met inbegrip van technologieën die de bijvangst verminderen, de brandstofefficiëntie verbeteren en de verstoring</w:t>
            </w:r>
            <w:r>
              <w:t xml:space="preserve"> van de </w:t>
            </w:r>
            <w:r>
              <w:rPr>
                <w:b/>
                <w:i/>
              </w:rPr>
              <w:t>zeebodem tot een minimum beperken, om een rechtvaardige en wetenschappelijk onderbouwde transitie naar duurzame visserij te ondersteunen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overwegende dat het van cruciaal belang is te investeren in onderzoek naar en de ontwikkeling van vistuig met een lage impact </w:t>
            </w:r>
            <w:r>
              <w:rPr>
                <w:b/>
                <w:i/>
              </w:rPr>
              <w:t>om bij te dragen aan de verwezenlijking van</w:t>
            </w:r>
            <w:r>
              <w:t xml:space="preserve"> de duurzaamheidsdoelstellingen;</w:t>
            </w:r>
          </w:p>
        </w:tc>
        <w:tc>
          <w:tcPr>
            <w:tcW w:w="4876" w:type="dxa"/>
            <w:tcBorders>
              <w:top w:val="nil"/>
              <w:left w:val="nil"/>
              <w:bottom w:val="nil"/>
              <w:right w:val="nil"/>
            </w:tcBorders>
          </w:tcPr>
          <w:p>
            <w:pPr>
              <w:pStyle w:val="Normal6a"/>
            </w:pPr>
            <w:r>
              <w:t>E.</w:t>
            </w:r>
            <w:r>
              <w:tab/>
            </w:r>
            <w:r>
              <w:t xml:space="preserve">overwegende dat het van cruciaal belang is te investeren in </w:t>
            </w:r>
            <w:r>
              <w:rPr>
                <w:b/>
                <w:i/>
              </w:rPr>
              <w:t>en ondersteuning te verlenen voor</w:t>
            </w:r>
            <w:r>
              <w:t xml:space="preserve"> onderzoek naar en de ontwikkeling van </w:t>
            </w:r>
            <w:r>
              <w:rPr>
                <w:b/>
                <w:i/>
              </w:rPr>
              <w:t>nieuw vistuig en nieuwe visserijmethoden, met inbegrip van</w:t>
            </w:r>
            <w:r>
              <w:t xml:space="preserve"> vistuig met een lage impact</w:t>
            </w:r>
            <w:r>
              <w:rPr>
                <w:b/>
                <w:i/>
              </w:rPr>
              <w:t>, om de doelstellingen van de visserijwetgeving en</w:t>
            </w:r>
            <w:r>
              <w:t xml:space="preserve"> de duurzaamheidsdoelstellingen </w:t>
            </w:r>
            <w:r>
              <w:rPr>
                <w:b/>
                <w:i/>
              </w:rPr>
              <w:t>van de EU te verwezenlijken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overwegende dat het van cruciaal belang is te investeren in onderzoek </w:t>
            </w:r>
            <w:r>
              <w:rPr>
                <w:b/>
                <w:i/>
              </w:rPr>
              <w:t>naar en de</w:t>
            </w:r>
            <w:r>
              <w:t xml:space="preserve"> ontwikkeling van vistuig met een lage impact om bij te dragen aan de verwezenlijking van de duurzaamheidsdoelstellingen;</w:t>
            </w:r>
          </w:p>
        </w:tc>
        <w:tc>
          <w:tcPr>
            <w:tcW w:w="4876" w:type="dxa"/>
            <w:tcBorders>
              <w:top w:val="nil"/>
              <w:left w:val="nil"/>
              <w:bottom w:val="nil"/>
              <w:right w:val="nil"/>
            </w:tcBorders>
          </w:tcPr>
          <w:p>
            <w:pPr>
              <w:pStyle w:val="Normal6a"/>
            </w:pPr>
            <w:r>
              <w:t>E.</w:t>
            </w:r>
            <w:r>
              <w:tab/>
            </w:r>
            <w:r>
              <w:t xml:space="preserve">overwegende dat het van cruciaal belang is te investeren in onderzoek </w:t>
            </w:r>
            <w:r>
              <w:rPr>
                <w:b/>
                <w:i/>
              </w:rPr>
              <w:t>en</w:t>
            </w:r>
            <w:r>
              <w:t xml:space="preserve"> ontwikkeling</w:t>
            </w:r>
            <w:r>
              <w:rPr>
                <w:b/>
                <w:i/>
              </w:rPr>
              <w:t>, onder meer op het gebied</w:t>
            </w:r>
            <w:r>
              <w:t xml:space="preserve"> van vistuig met een lage impact</w:t>
            </w:r>
            <w:r>
              <w:rPr>
                <w:b/>
                <w:i/>
              </w:rPr>
              <w:t>,</w:t>
            </w:r>
            <w:r>
              <w:t xml:space="preserve"> om bij te dragen aan de verwezenlijking van de duurzaamheidsdoelstellingen;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E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bis.</w:t>
            </w:r>
            <w:r>
              <w:tab/>
            </w:r>
            <w:r>
              <w:rPr>
                <w:b/>
                <w:i/>
              </w:rPr>
              <w:t>overwegende dat de huidige vrijstelling van brandstofbelasting voor de Europese vissersvloot, die oploopt tot 1,5 miljard EUR per jaar, de transitie naar een koolstofneutrale visserij met een lage impact vertraagt;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E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ter.</w:t>
            </w:r>
            <w:r>
              <w:tab/>
            </w:r>
            <w:r>
              <w:rPr>
                <w:b/>
                <w:i/>
              </w:rPr>
              <w:t>overwegende dat het van essentieel belang is rekening te houden met het volledige scala aan klimaateffecten van de visserij, waaronder de gevolgen van bepaalde visserijactiviteiten voor de ecosystemen van de zeebodem en de cruciale rol die de oceaan speelt bij de koolstofvastlegging en de aanpassing aan de gevolgen van de klimaatverandering;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F.</w:t>
            </w:r>
            <w:r>
              <w:tab/>
            </w:r>
            <w:r>
              <w:rPr>
                <w:b/>
                <w:i/>
              </w:rPr>
              <w:t>overwegende dat aquacultuur en algenteelt kunnen dienen als aanvullende instrumenten bij de algehele inspanning om de visserijactiviteiten van de EU koolstofvrij te maken;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overwegende dat aquacultuur </w:t>
            </w:r>
            <w:r>
              <w:rPr>
                <w:b/>
                <w:i/>
              </w:rPr>
              <w:t>en algenteelt</w:t>
            </w:r>
            <w:r>
              <w:t xml:space="preserve"> kunnen dienen als aanvullende instrumenten bij de algehele inspanning om de visserijactiviteiten van de EU koolstofvrij te maken;</w:t>
            </w:r>
          </w:p>
        </w:tc>
        <w:tc>
          <w:tcPr>
            <w:tcW w:w="4876" w:type="dxa"/>
            <w:tcBorders>
              <w:top w:val="nil"/>
              <w:left w:val="nil"/>
              <w:bottom w:val="nil"/>
              <w:right w:val="nil"/>
            </w:tcBorders>
          </w:tcPr>
          <w:p>
            <w:pPr>
              <w:pStyle w:val="Normal6a"/>
            </w:pPr>
            <w:r>
              <w:t>F.</w:t>
            </w:r>
            <w:r>
              <w:tab/>
            </w:r>
            <w:r>
              <w:t>overwegende dat aquacultuur</w:t>
            </w:r>
            <w:r>
              <w:rPr>
                <w:b/>
                <w:i/>
              </w:rPr>
              <w:t>- en algenteeltactiviteiten</w:t>
            </w:r>
            <w:r>
              <w:t xml:space="preserve"> kunnen dienen als aanvullende instrumenten bij de algehele inspanning om de visserijactiviteiten van de EU koolstofvrij te maken</w:t>
            </w:r>
            <w:r>
              <w:rPr>
                <w:b/>
                <w:i/>
              </w:rPr>
              <w:t>, mits zij voldoen aan sociale en milieucriteria en criteria op het gebied van dierenwelzijn, en mits de EU regeneratieve en laagtrofische aquacultuuractiviteiten zoals de kweek van schaal- en schelpdieren bevordert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overwegende dat aquacultuur en algenteelt kunnen dienen als aanvullende instrumenten bij de algehele inspanning om de visserijactiviteiten van de EU koolstofvrij te maken;</w:t>
            </w:r>
          </w:p>
        </w:tc>
        <w:tc>
          <w:tcPr>
            <w:tcW w:w="4876" w:type="dxa"/>
            <w:tcBorders>
              <w:top w:val="nil"/>
              <w:left w:val="nil"/>
              <w:bottom w:val="nil"/>
              <w:right w:val="nil"/>
            </w:tcBorders>
          </w:tcPr>
          <w:p>
            <w:pPr>
              <w:pStyle w:val="Normal6a"/>
            </w:pPr>
            <w:r>
              <w:t>F.</w:t>
            </w:r>
            <w:r>
              <w:tab/>
            </w:r>
            <w:r>
              <w:t xml:space="preserve">overwegende dat aquacultuur en algenteelt kunnen dienen als aanvullende instrumenten bij de algehele inspanning om de visserijactiviteiten van de EU koolstofvrij te maken; </w:t>
            </w:r>
            <w:r>
              <w:rPr>
                <w:b/>
                <w:i/>
              </w:rPr>
              <w:t>overwegende dat in dit verband een zeer belangrijke rol is weggelegd voor extensieve aquacultuur, in tegenstelling tot intensieve aquacultuur;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overwegende dat aquacultuur en algenteelt </w:t>
            </w:r>
            <w:r>
              <w:rPr>
                <w:b/>
                <w:i/>
              </w:rPr>
              <w:t>kunnen dienen als aanvullende instrumenten bij de algehele inspanning om</w:t>
            </w:r>
            <w:r>
              <w:t xml:space="preserve"> de visserijactiviteiten van de EU </w:t>
            </w:r>
            <w:r>
              <w:rPr>
                <w:b/>
                <w:i/>
              </w:rPr>
              <w:t>koolstofvrij te maken</w:t>
            </w:r>
            <w:r>
              <w:t>;</w:t>
            </w:r>
          </w:p>
        </w:tc>
        <w:tc>
          <w:tcPr>
            <w:tcW w:w="4876" w:type="dxa"/>
            <w:tcBorders>
              <w:top w:val="nil"/>
              <w:left w:val="nil"/>
              <w:bottom w:val="nil"/>
              <w:right w:val="nil"/>
            </w:tcBorders>
          </w:tcPr>
          <w:p>
            <w:pPr>
              <w:pStyle w:val="Normal6a"/>
            </w:pPr>
            <w:r>
              <w:t>F.</w:t>
            </w:r>
            <w:r>
              <w:tab/>
            </w:r>
            <w:r>
              <w:t xml:space="preserve">overwegende dat aquacultuur en algenteelt </w:t>
            </w:r>
            <w:r>
              <w:rPr>
                <w:b/>
                <w:i/>
              </w:rPr>
              <w:t>complementair zijn aan</w:t>
            </w:r>
            <w:r>
              <w:t xml:space="preserve"> de visserijactiviteiten van de EU </w:t>
            </w:r>
            <w:r>
              <w:rPr>
                <w:b/>
                <w:i/>
              </w:rPr>
              <w:t>en kunnen bijdragen tot een bredere decarbonisatie van de sector aquatische levensmiddelen van de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overwegende dat aquacultuur en algenteelt </w:t>
            </w:r>
            <w:r>
              <w:rPr>
                <w:b/>
                <w:i/>
              </w:rPr>
              <w:t>kunnen dienen als aanvullende instrumenten</w:t>
            </w:r>
            <w:r>
              <w:t xml:space="preserve"> bij de algehele inspanning om de visserijactiviteiten van de EU koolstofvrij te maken;</w:t>
            </w:r>
          </w:p>
        </w:tc>
        <w:tc>
          <w:tcPr>
            <w:tcW w:w="4876" w:type="dxa"/>
            <w:tcBorders>
              <w:top w:val="nil"/>
              <w:left w:val="nil"/>
              <w:bottom w:val="nil"/>
              <w:right w:val="nil"/>
            </w:tcBorders>
          </w:tcPr>
          <w:p>
            <w:pPr>
              <w:pStyle w:val="Normal6a"/>
            </w:pPr>
            <w:r>
              <w:t>F.</w:t>
            </w:r>
            <w:r>
              <w:tab/>
            </w:r>
            <w:r>
              <w:t xml:space="preserve">overwegende dat aquacultuur en algenteelt </w:t>
            </w:r>
            <w:r>
              <w:rPr>
                <w:b/>
                <w:i/>
              </w:rPr>
              <w:t>ook belangrijke sectoren zijn</w:t>
            </w:r>
            <w:r>
              <w:t xml:space="preserve"> bij de algehele inspanning om de visserijactiviteiten van de EU koolstofvrij te maken </w:t>
            </w:r>
            <w:r>
              <w:rPr>
                <w:b/>
                <w:i/>
              </w:rPr>
              <w:t>en de koolstofvoetafdruk van invoer te verkleinen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overwegende dat aquacultuur </w:t>
            </w:r>
            <w:r>
              <w:rPr>
                <w:b/>
                <w:i/>
              </w:rPr>
              <w:t>en</w:t>
            </w:r>
            <w:r>
              <w:t xml:space="preserve"> algenteelt kunnen dienen als aanvullende instrumenten bij de algehele inspanning om de visserijactiviteiten van de EU koolstofvrij te maken;</w:t>
            </w:r>
          </w:p>
        </w:tc>
        <w:tc>
          <w:tcPr>
            <w:tcW w:w="4876" w:type="dxa"/>
            <w:tcBorders>
              <w:top w:val="nil"/>
              <w:left w:val="nil"/>
              <w:bottom w:val="nil"/>
              <w:right w:val="nil"/>
            </w:tcBorders>
          </w:tcPr>
          <w:p>
            <w:pPr>
              <w:pStyle w:val="Normal6a"/>
            </w:pPr>
            <w:r>
              <w:t>F.</w:t>
            </w:r>
            <w:r>
              <w:tab/>
            </w:r>
            <w:r>
              <w:t>overwegende dat aquacultuur</w:t>
            </w:r>
            <w:r>
              <w:rPr>
                <w:b/>
                <w:i/>
              </w:rPr>
              <w:t>,</w:t>
            </w:r>
            <w:r>
              <w:t xml:space="preserve"> algenteelt </w:t>
            </w:r>
            <w:r>
              <w:rPr>
                <w:b/>
                <w:i/>
              </w:rPr>
              <w:t>en schaal- en schelpdierencultuur</w:t>
            </w:r>
            <w:r>
              <w:t xml:space="preserve"> kunnen dienen als aanvullende instrumenten bij de algehele inspanning om de visserijactiviteiten van de EU koolstofvrij te maken;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overwegende dat de ontwikkeling van de industriële aquacultuur van vleesetende soorten grote hoeveelheden vismeel en visolie van in het wild gevangen vis vereist, schadelijke gevolgen heeft voor het klimaat, de mariene kustecosystemen, de waterverontreiniging en het dierenwelzijn, en leidt tot concurrentie om maritieme ruimte met kleinschalige vissers;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overwegende dat de Commissie de lidstaten gerichte technische ondersteuning moet bieden om de vergunningsprocedures te stroomlijnen en de regeldruk in de aquacultuur te verminderen, duurzame investeringen aantrekkelijker te maken en te zorgen voor een gelijk speelveld ten opzichte van producenten uit derde landen;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overwegende dat de vissersvloot van de EU haar emissies sinds 1990 met 50 % heeft verminderd, slechts 0,01 % van de wereldwijde emissies vertegenwoordigt en niettemin decarbonisatievereisten krijgt opgelegd die haar met onevenredige kosten kunnen opzadelen;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overwegende dat het verbeteren van de arbeids- en levensomstandigheden aan boord essentieel is om het welzijn van vissers te waarborgen, nieuwe generaties aan te trekken voor de sector en het beroep van visser inclusiever te maken, met name voor vrouwen en jongeren;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France Jamet,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overwegende dat de Europese Unie minder dan 1 % van de wereldwijde algenteelt en aquacultuur vertegenwoordigt, en dat het merendeel van deze productie afkomstig is van Aziatische landen, met name China;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overwegende dat de EU nog altijd voor meer dan 70 % van haar consumptie afhankelijk is van de invoer van visserijproducten;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quater.</w:t>
            </w:r>
            <w:r>
              <w:tab/>
            </w:r>
            <w:r>
              <w:rPr>
                <w:b/>
                <w:i/>
              </w:rPr>
              <w:t>overwegende dat het Europees Fonds voor maritieme zaken, visserij en aquacultuur (EFMZVA) bepalingen bevat ter ondersteuning van decarbonisatie, innovatie en sociale duurzaamheid in de visserijsector, maar dat de daadwerkelijke bijdrage ervan afhangt van billijke toegang, minder administratieve lasten en volledige afstemming op de doelstellingen van een rechtvaardige en inclusieve transitie;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quater.</w:t>
            </w:r>
            <w:r>
              <w:tab/>
            </w:r>
            <w:r>
              <w:rPr>
                <w:b/>
                <w:i/>
              </w:rPr>
              <w:t>overwegende dat een succesvolle transitie van de visserijsector inclusieve governance vereist op basis van wetenschappelijk bewijs, evenals de actieve betrokkenheid van belanghebbenden, waaronder vissers, kustgemeenschappen, onderzoekers en regionale autoriteiten;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quinquies.</w:t>
            </w:r>
            <w:r>
              <w:tab/>
            </w:r>
            <w:r>
              <w:rPr>
                <w:b/>
                <w:i/>
              </w:rPr>
              <w:t>overwegende dat het gemeenschappelijk visserijbeleid (GVB) tot doel heeft de biologische rijkdommen van de zee naar behoren in stand te houden en te beheren en ervoor te zorgen dat visserijactiviteiten uit ecologisch oogpunt duurzaam zijn op de lange termijn en worden beheerd op een manier die strookt met de doelstellingen om voordelen te realiseren op economisch en sociaal gebied en op het gebied van werkgelegenheid, en bij te dragen tot de beschikbaarheid van voedselvoorraden;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Overweging F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sexies.</w:t>
            </w:r>
            <w:r>
              <w:tab/>
            </w:r>
            <w:r>
              <w:rPr>
                <w:b/>
                <w:i/>
              </w:rPr>
              <w:t>overwegende dat ultraperifere gebieden kampen met specifieke beperkingen, zoals een afgelegen ligging, een insulair karakter, kleine markten en beperkte connectiviteit, en dat hiermee ten volle rekening moet worden gehouden bij de uitvoering van het visserijbeleid, onder meer door middel van aangepaste subsidiabiliteitscriteria in het kader van het EFMZVA en flexibiliteit op het gebied van capaciteits- en vlootvernieuwing;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Decarbonisatie</w:t>
            </w:r>
            <w:r>
              <w:t xml:space="preserve"> en modernisering</w:t>
            </w:r>
          </w:p>
        </w:tc>
        <w:tc>
          <w:tcPr>
            <w:tcW w:w="4876" w:type="dxa"/>
            <w:tcBorders>
              <w:top w:val="nil"/>
              <w:left w:val="nil"/>
              <w:bottom w:val="nil"/>
              <w:right w:val="nil"/>
            </w:tcBorders>
          </w:tcPr>
          <w:p>
            <w:pPr>
              <w:pStyle w:val="Normal6a"/>
            </w:pPr>
            <w:r>
              <w:rPr>
                <w:b/>
                <w:i/>
              </w:rPr>
              <w:t>Energietransitie</w:t>
            </w:r>
            <w:r>
              <w:t xml:space="preserve"> en modernisering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Decarbonisatie </w:t>
            </w:r>
            <w:r>
              <w:rPr>
                <w:b/>
                <w:i/>
              </w:rPr>
              <w:t>en modernisering</w:t>
            </w:r>
          </w:p>
        </w:tc>
        <w:tc>
          <w:tcPr>
            <w:tcW w:w="4876" w:type="dxa"/>
            <w:tcBorders>
              <w:top w:val="nil"/>
              <w:left w:val="nil"/>
              <w:bottom w:val="nil"/>
              <w:right w:val="nil"/>
            </w:tcBorders>
          </w:tcPr>
          <w:p>
            <w:pPr>
              <w:pStyle w:val="Normal6a"/>
            </w:pPr>
            <w:r>
              <w:t>Decarbonisatie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Context en uitdagingen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Context </w:t>
            </w:r>
            <w:r>
              <w:rPr>
                <w:b/>
                <w:i/>
              </w:rPr>
              <w:t>en</w:t>
            </w:r>
            <w:r>
              <w:t xml:space="preserve"> uitdagingen</w:t>
            </w:r>
          </w:p>
        </w:tc>
        <w:tc>
          <w:tcPr>
            <w:tcW w:w="4876" w:type="dxa"/>
            <w:tcBorders>
              <w:top w:val="nil"/>
              <w:left w:val="nil"/>
              <w:bottom w:val="nil"/>
              <w:right w:val="nil"/>
            </w:tcBorders>
          </w:tcPr>
          <w:p>
            <w:pPr>
              <w:pStyle w:val="Normal6a"/>
            </w:pPr>
            <w:r>
              <w:t>Context</w:t>
            </w:r>
            <w:r>
              <w:rPr>
                <w:b/>
                <w:i/>
              </w:rPr>
              <w:t>,</w:t>
            </w:r>
            <w:r>
              <w:t xml:space="preserve"> uitdagingen </w:t>
            </w:r>
            <w:r>
              <w:rPr>
                <w:b/>
                <w:i/>
              </w:rPr>
              <w:t>en kansen voor een rechtvaardige transitie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neemt kennis van</w:t>
            </w:r>
            <w:r>
              <w:t xml:space="preserve"> de doelstelling van de EU om uiterlijk in 2050 klimaatneutraal te zijn; wijst </w:t>
            </w:r>
            <w:r>
              <w:rPr>
                <w:b/>
                <w:i/>
              </w:rPr>
              <w:t>er echter op</w:t>
            </w:r>
            <w:r>
              <w:t xml:space="preserve"> dat het pad naar de verwezenlijking van deze doelstelling een genuanceerde en evenwichtige aanpak vereist om de duurzaamheid van zowel de sector als de bestaansmiddelen van de personen die daarvan afhankelijk zijn te waarborgen;</w:t>
            </w:r>
          </w:p>
        </w:tc>
        <w:tc>
          <w:tcPr>
            <w:tcW w:w="4876" w:type="dxa"/>
            <w:tcBorders>
              <w:top w:val="nil"/>
              <w:left w:val="nil"/>
              <w:bottom w:val="nil"/>
              <w:right w:val="nil"/>
            </w:tcBorders>
          </w:tcPr>
          <w:p>
            <w:pPr>
              <w:pStyle w:val="Normal6a"/>
            </w:pPr>
            <w:r>
              <w:t>1.</w:t>
            </w:r>
            <w:r>
              <w:tab/>
            </w:r>
            <w:r>
              <w:rPr>
                <w:b/>
                <w:i/>
              </w:rPr>
              <w:t>is ingenomen met</w:t>
            </w:r>
            <w:r>
              <w:t xml:space="preserve"> de doelstelling van de EU om uiterlijk in 2050 klimaatneutraal te zijn; </w:t>
            </w:r>
            <w:r>
              <w:rPr>
                <w:b/>
                <w:i/>
              </w:rPr>
              <w:t>benadrukt dat de EU een regelgevingskader met duidelijke doelstellingen heeft vastgesteld om de sector koolstofvrij te maken, door de broeikasgasemissies van de maritieme sector te beprijzen (bijvoorbeeld via het emissiehandelssysteem (ETS)), de vraag naar duurzame brandstoffen voor de zeevaart te stimuleren door middel van progressieve sectorale streefcijfers voor de vermindering van broeikasgasemissies (bijvoorbeeld via het initiatief FuelEU Zeevaart), evenals het aanbod (bijvoorbeeld met behulp van streefcijfers voor hernieuwbare brandstoffen van niet-biologische oorsprong voor de zeevaart in het kader van de richtlijn hernieuwbare energie), en door schone walstroomvoorziening te ontwikkelen (bijvoorbeeld in het kader van de verordening infrastructuur voor alternatieve brandstoffen (AFIR));</w:t>
            </w:r>
            <w:r>
              <w:t xml:space="preserve"> </w:t>
            </w:r>
            <w:r>
              <w:rPr>
                <w:b/>
                <w:i/>
              </w:rPr>
              <w:t>onderstreept dat er aanvullende regelgeving nodig is om te zorgen voor afstemming op het traject van vermindering van de emissies van de zeevaart en het in dit bestaande regelgevingskader vastgestelde versnelde gebruik van duurzame brandstoffen voor de zeevaart;</w:t>
            </w:r>
            <w:r>
              <w:t xml:space="preserve"> wijst </w:t>
            </w:r>
            <w:r>
              <w:rPr>
                <w:b/>
                <w:i/>
              </w:rPr>
              <w:t>erop</w:t>
            </w:r>
            <w:r>
              <w:t xml:space="preserve"> dat het pad naar de verwezenlijking van deze doelstelling een genuanceerde en evenwichtige aanpak vereist om de duurzaamheid van zowel de sector als de bestaansmiddelen van de personen die daarvan afhankelijk zijn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Anja Hazekamp, 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neemt kennis</w:t>
            </w:r>
            <w:r>
              <w:t xml:space="preserve"> van de doelstelling van de EU om uiterlijk in 2050 klimaatneutraal te zijn; wijst </w:t>
            </w:r>
            <w:r>
              <w:rPr>
                <w:b/>
                <w:i/>
              </w:rPr>
              <w:t>er echter op dat het pad naar de verwezenlijking van deze doelstelling een genuanceerde en evenwichtige aanpak vereist</w:t>
            </w:r>
            <w:r>
              <w:t xml:space="preserve"> om de duurzaamheid van </w:t>
            </w:r>
            <w:r>
              <w:rPr>
                <w:b/>
                <w:i/>
              </w:rPr>
              <w:t>zowel</w:t>
            </w:r>
            <w:r>
              <w:t xml:space="preserve"> de sector </w:t>
            </w:r>
            <w:r>
              <w:rPr>
                <w:b/>
                <w:i/>
              </w:rPr>
              <w:t>als de bestaansmiddelen van de personen</w:t>
            </w:r>
            <w:r>
              <w:t xml:space="preserve"> die daarvan afhankelijk zijn te waarborgen;</w:t>
            </w:r>
          </w:p>
        </w:tc>
        <w:tc>
          <w:tcPr>
            <w:tcW w:w="4876" w:type="dxa"/>
            <w:tcBorders>
              <w:top w:val="nil"/>
              <w:left w:val="nil"/>
              <w:bottom w:val="nil"/>
              <w:right w:val="nil"/>
            </w:tcBorders>
          </w:tcPr>
          <w:p>
            <w:pPr>
              <w:pStyle w:val="Normal6a"/>
            </w:pPr>
            <w:r>
              <w:t>1.</w:t>
            </w:r>
            <w:r>
              <w:tab/>
            </w:r>
            <w:r>
              <w:rPr>
                <w:b/>
                <w:i/>
              </w:rPr>
              <w:t>wijst andermaal op het belang</w:t>
            </w:r>
            <w:r>
              <w:t xml:space="preserve"> van de doelstelling van de EU om uiterlijk in 2050 klimaatneutraal te zijn; wijst </w:t>
            </w:r>
            <w:r>
              <w:rPr>
                <w:b/>
                <w:i/>
              </w:rPr>
              <w:t>erop dat de oceaan in een noodtoestand verkeert, aangezien toenemende eutrofiëring, verzuring, opwarming van de oceanen en plasticvervuiling zijn gezondheid verslechteren en de alarmerende trend van overbevissing, waardoor meer dan een derde van de mondiale visbestanden uitgeput raakt, aanhoudt;</w:t>
            </w:r>
            <w:r>
              <w:t xml:space="preserve"> </w:t>
            </w:r>
            <w:r>
              <w:rPr>
                <w:b/>
                <w:i/>
              </w:rPr>
              <w:t>verzoekt de Commissie en de lidstaten doortastende maatregelen te nemen</w:t>
            </w:r>
            <w:r>
              <w:t xml:space="preserve"> om de duurzaamheid van </w:t>
            </w:r>
            <w:r>
              <w:rPr>
                <w:b/>
                <w:i/>
              </w:rPr>
              <w:t>de oceaan,</w:t>
            </w:r>
            <w:r>
              <w:t xml:space="preserve"> de sector </w:t>
            </w:r>
            <w:r>
              <w:rPr>
                <w:b/>
                <w:i/>
              </w:rPr>
              <w:t>en alle levende wezens</w:t>
            </w:r>
            <w:r>
              <w:t xml:space="preserve"> die daarvan afhankelijk zijn</w:t>
            </w:r>
            <w:r>
              <w:rPr>
                <w:b/>
                <w:i/>
              </w:rPr>
              <w:t>,</w:t>
            </w:r>
            <w:r>
              <w:t xml:space="preserve">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neemt kennis van</w:t>
            </w:r>
            <w:r>
              <w:t xml:space="preserve"> de doelstelling van de EU om uiterlijk in 2050 klimaatneutraal te zijn</w:t>
            </w:r>
            <w:r>
              <w:rPr>
                <w:b/>
                <w:i/>
              </w:rPr>
              <w:t>;</w:t>
            </w:r>
            <w:r>
              <w:t xml:space="preserve"> wijst </w:t>
            </w:r>
            <w:r>
              <w:rPr>
                <w:b/>
                <w:i/>
              </w:rPr>
              <w:t>er echter op</w:t>
            </w:r>
            <w:r>
              <w:t xml:space="preserve"> dat het pad naar de verwezenlijking van deze doelstelling een </w:t>
            </w:r>
            <w:r>
              <w:rPr>
                <w:b/>
                <w:i/>
              </w:rPr>
              <w:t>genuanceerde en evenwichtige</w:t>
            </w:r>
            <w:r>
              <w:t xml:space="preserve"> aanpak vereist om </w:t>
            </w:r>
            <w:r>
              <w:rPr>
                <w:b/>
                <w:i/>
              </w:rPr>
              <w:t>de duurzaamheid van zowel</w:t>
            </w:r>
            <w:r>
              <w:t xml:space="preserve"> de sector </w:t>
            </w:r>
            <w:r>
              <w:rPr>
                <w:b/>
                <w:i/>
              </w:rPr>
              <w:t>als</w:t>
            </w:r>
            <w:r>
              <w:t xml:space="preserve"> de bestaansmiddelen van de personen die daarvan afhankelijk zijn </w:t>
            </w:r>
            <w:r>
              <w:rPr>
                <w:b/>
                <w:i/>
              </w:rPr>
              <w:t>te waarborgen</w:t>
            </w:r>
            <w:r>
              <w:t>;</w:t>
            </w:r>
          </w:p>
        </w:tc>
        <w:tc>
          <w:tcPr>
            <w:tcW w:w="4876" w:type="dxa"/>
            <w:tcBorders>
              <w:top w:val="nil"/>
              <w:left w:val="nil"/>
              <w:bottom w:val="nil"/>
              <w:right w:val="nil"/>
            </w:tcBorders>
          </w:tcPr>
          <w:p>
            <w:pPr>
              <w:pStyle w:val="Normal6a"/>
            </w:pPr>
            <w:r>
              <w:t>1.</w:t>
            </w:r>
            <w:r>
              <w:tab/>
            </w:r>
            <w:r>
              <w:rPr>
                <w:b/>
                <w:i/>
              </w:rPr>
              <w:t>bevestigt nogmaals</w:t>
            </w:r>
            <w:r>
              <w:t xml:space="preserve"> de doelstelling van de EU om uiterlijk in 2050 klimaatneutraal te zijn </w:t>
            </w:r>
            <w:r>
              <w:rPr>
                <w:b/>
                <w:i/>
              </w:rPr>
              <w:t>en</w:t>
            </w:r>
            <w:r>
              <w:t xml:space="preserve"> wijst </w:t>
            </w:r>
            <w:r>
              <w:rPr>
                <w:b/>
                <w:i/>
              </w:rPr>
              <w:t>erop dat deze doelstelling in het EU-recht is verankerd;</w:t>
            </w:r>
            <w:r>
              <w:t xml:space="preserve"> </w:t>
            </w:r>
            <w:r>
              <w:rPr>
                <w:b/>
                <w:i/>
              </w:rPr>
              <w:t>beklemtoont</w:t>
            </w:r>
            <w:r>
              <w:t xml:space="preserve"> dat het pad naar de verwezenlijking van deze doelstelling een </w:t>
            </w:r>
            <w:r>
              <w:rPr>
                <w:b/>
                <w:i/>
              </w:rPr>
              <w:t>inclusieve</w:t>
            </w:r>
            <w:r>
              <w:t xml:space="preserve"> aanpak </w:t>
            </w:r>
            <w:r>
              <w:rPr>
                <w:b/>
                <w:i/>
              </w:rPr>
              <w:t>en een rechtvaardige transitie voor iedereen</w:t>
            </w:r>
            <w:r>
              <w:t xml:space="preserve"> vereist om </w:t>
            </w:r>
            <w:r>
              <w:rPr>
                <w:b/>
                <w:i/>
              </w:rPr>
              <w:t>ervoor te zorgen dat de transitie van</w:t>
            </w:r>
            <w:r>
              <w:t xml:space="preserve"> de sector de bestaansmiddelen </w:t>
            </w:r>
            <w:r>
              <w:rPr>
                <w:b/>
                <w:i/>
              </w:rPr>
              <w:t>waarborgt</w:t>
            </w:r>
            <w:r>
              <w:t xml:space="preserve"> van de personen die daarvan afhankelijk zijn;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neemt kennis</w:t>
            </w:r>
            <w:r>
              <w:t xml:space="preserve"> van de </w:t>
            </w:r>
            <w:r>
              <w:rPr>
                <w:b/>
                <w:i/>
              </w:rPr>
              <w:t>doelstelling</w:t>
            </w:r>
            <w:r>
              <w:t xml:space="preserve"> van de EU </w:t>
            </w:r>
            <w:r>
              <w:rPr>
                <w:b/>
                <w:i/>
              </w:rPr>
              <w:t>om uiterlijk in 2050 klimaatneutraal te zijn;</w:t>
            </w:r>
            <w:r>
              <w:t xml:space="preserve"> </w:t>
            </w:r>
            <w:r>
              <w:rPr>
                <w:b/>
                <w:i/>
              </w:rPr>
              <w:t>wijst er echter op dat het pad naar de verwezenlijking van deze doelstelling een genuanceerde en evenwichtige aanpak</w:t>
            </w:r>
            <w:r>
              <w:t xml:space="preserve"> vereist </w:t>
            </w:r>
            <w:r>
              <w:rPr>
                <w:b/>
                <w:i/>
              </w:rPr>
              <w:t>om de duurzaamheid van zowel de sector als de bestaansmiddelen</w:t>
            </w:r>
            <w:r>
              <w:t xml:space="preserve"> van de </w:t>
            </w:r>
            <w:r>
              <w:rPr>
                <w:b/>
                <w:i/>
              </w:rPr>
              <w:t>personen die daarvan afhankelijk zijn te waarborgen</w:t>
            </w:r>
            <w:r>
              <w:t>;</w:t>
            </w:r>
          </w:p>
        </w:tc>
        <w:tc>
          <w:tcPr>
            <w:tcW w:w="4876" w:type="dxa"/>
            <w:tcBorders>
              <w:top w:val="nil"/>
              <w:left w:val="nil"/>
              <w:bottom w:val="nil"/>
              <w:right w:val="nil"/>
            </w:tcBorders>
          </w:tcPr>
          <w:p>
            <w:pPr>
              <w:pStyle w:val="Normal6a"/>
            </w:pPr>
            <w:r>
              <w:t>1.</w:t>
            </w:r>
            <w:r>
              <w:tab/>
            </w:r>
            <w:r>
              <w:rPr>
                <w:b/>
                <w:i/>
              </w:rPr>
              <w:t>benadrukt dat het verwezenlijken van klimaatneutraliteit tegen 2050, in overeenstemming met de Europese Green Deal en de Overeenkomst van Parijs</w:t>
            </w:r>
            <w:r>
              <w:t xml:space="preserve"> van de </w:t>
            </w:r>
            <w:r>
              <w:rPr>
                <w:b/>
                <w:i/>
              </w:rPr>
              <w:t>VN, een gestructureerde en inclusieve transitie in de visserijsector</w:t>
            </w:r>
            <w:r>
              <w:t xml:space="preserve"> van de EU vereist</w:t>
            </w:r>
            <w:r>
              <w:rPr>
                <w:b/>
                <w:i/>
              </w:rPr>
              <w:t>;</w:t>
            </w:r>
            <w:r>
              <w:t xml:space="preserve"> </w:t>
            </w:r>
            <w:r>
              <w:rPr>
                <w:b/>
                <w:i/>
              </w:rPr>
              <w:t>onderstreept dat deze transitie gebaseerd moet zijn op een billijk evenwicht tussen milieubescherming, economische levensvatbaarheid en sociale cohesie, en op zinvolle wijze moet bijdragen aan de klimaatdoelstellingen</w:t>
            </w:r>
            <w:r>
              <w:t xml:space="preserve"> van de </w:t>
            </w:r>
            <w:r>
              <w:rPr>
                <w:b/>
                <w:i/>
              </w:rPr>
              <w:t>Unie, zonder de veerkracht van visserijgemeenschappen te ondermijnen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neemt kennis van</w:t>
            </w:r>
            <w:r>
              <w:t xml:space="preserve"> de doelstelling van de EU om uiterlijk in 2050 klimaatneutraal te zijn; </w:t>
            </w:r>
            <w:r>
              <w:rPr>
                <w:b/>
                <w:i/>
              </w:rPr>
              <w:t>wijst er echter op dat het pad naar de verwezenlijking van deze doelstelling een genuanceerde en evenwichtige aanpak vereist om de duurzaamheid van zowel</w:t>
            </w:r>
            <w:r>
              <w:t xml:space="preserve"> de sector </w:t>
            </w:r>
            <w:r>
              <w:rPr>
                <w:b/>
                <w:i/>
              </w:rPr>
              <w:t>als de bestaansmiddelen</w:t>
            </w:r>
            <w:r>
              <w:t xml:space="preserve"> van de </w:t>
            </w:r>
            <w:r>
              <w:rPr>
                <w:b/>
                <w:i/>
              </w:rPr>
              <w:t>personen die daarvan afhankelijk zijn te waarborgen</w:t>
            </w:r>
            <w:r>
              <w:t>;</w:t>
            </w:r>
          </w:p>
        </w:tc>
        <w:tc>
          <w:tcPr>
            <w:tcW w:w="4876" w:type="dxa"/>
            <w:tcBorders>
              <w:top w:val="nil"/>
              <w:left w:val="nil"/>
              <w:bottom w:val="nil"/>
              <w:right w:val="nil"/>
            </w:tcBorders>
          </w:tcPr>
          <w:p>
            <w:pPr>
              <w:pStyle w:val="Normal6a"/>
            </w:pPr>
            <w:r>
              <w:t>1.</w:t>
            </w:r>
            <w:r>
              <w:tab/>
            </w:r>
            <w:r>
              <w:rPr>
                <w:b/>
                <w:i/>
              </w:rPr>
              <w:t>is ingenomen met</w:t>
            </w:r>
            <w:r>
              <w:t xml:space="preserve"> de doelstelling van de EU om uiterlijk in 2050 klimaatneutraal te zijn; </w:t>
            </w:r>
            <w:r>
              <w:rPr>
                <w:b/>
                <w:i/>
              </w:rPr>
              <w:t>is van mening dat een rechtvaardige transitie naar een koolstofneutrale visserij uitdagingen, maar ook kansen met zich meebrengt, onder meer door de afhankelijkheid van</w:t>
            </w:r>
            <w:r>
              <w:t xml:space="preserve"> de sector van de </w:t>
            </w:r>
            <w:r>
              <w:rPr>
                <w:b/>
                <w:i/>
              </w:rPr>
              <w:t>schommelende prijzen van fossiele brandstoffen te verminderen en een concurrentievoordeel te creëren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neemt kennis van de doelstelling van de EU om uiterlijk in 2050 klimaatneutraal te zijn; wijst er echter op dat het pad naar de verwezenlijking van deze doelstelling een genuanceerde en evenwichtige aanpak vereist om de duurzaamheid van zowel de sector als de bestaansmiddelen van de personen die daarvan afhankelijk zijn te waarborgen;</w:t>
            </w:r>
          </w:p>
        </w:tc>
        <w:tc>
          <w:tcPr>
            <w:tcW w:w="4876" w:type="dxa"/>
            <w:tcBorders>
              <w:top w:val="nil"/>
              <w:left w:val="nil"/>
              <w:bottom w:val="nil"/>
              <w:right w:val="nil"/>
            </w:tcBorders>
          </w:tcPr>
          <w:p>
            <w:pPr>
              <w:pStyle w:val="Normal6a"/>
            </w:pPr>
            <w:r>
              <w:t>1.</w:t>
            </w:r>
            <w:r>
              <w:tab/>
            </w:r>
            <w:r>
              <w:t xml:space="preserve">neemt kennis van de doelstelling van de EU om uiterlijk in 2050 klimaatneutraal te zijn; wijst er echter op dat het pad naar de verwezenlijking van deze doelstelling een genuanceerde en evenwichtige aanpak vereist om de duurzaamheid van zowel de sector als de bestaansmiddelen van de personen die daarvan afhankelijk zijn te waarborgen; </w:t>
            </w:r>
            <w:r>
              <w:rPr>
                <w:b/>
                <w:i/>
              </w:rPr>
              <w:t>acht het absoluut noodzakelijk dat bij deze genuanceerde en evenwichtige aanpak ten volle rekening wordt gehouden met regionale verschillen;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neemt kennis van de doelstelling van de EU om uiterlijk in 2050 klimaatneutraal te zijn; wijst </w:t>
            </w:r>
            <w:r>
              <w:rPr>
                <w:b/>
                <w:i/>
              </w:rPr>
              <w:t>er echter op</w:t>
            </w:r>
            <w:r>
              <w:t xml:space="preserve"> dat het pad naar de verwezenlijking van deze doelstelling een genuanceerde en evenwichtige aanpak vereist om de duurzaamheid van zowel de sector als de bestaansmiddelen van de personen die daarvan afhankelijk zijn te waarborgen;</w:t>
            </w:r>
          </w:p>
        </w:tc>
        <w:tc>
          <w:tcPr>
            <w:tcW w:w="4876" w:type="dxa"/>
            <w:tcBorders>
              <w:top w:val="nil"/>
              <w:left w:val="nil"/>
              <w:bottom w:val="nil"/>
              <w:right w:val="nil"/>
            </w:tcBorders>
          </w:tcPr>
          <w:p>
            <w:pPr>
              <w:pStyle w:val="Normal6a"/>
            </w:pPr>
            <w:r>
              <w:t>1.</w:t>
            </w:r>
            <w:r>
              <w:tab/>
            </w:r>
            <w:r>
              <w:t xml:space="preserve">neemt kennis van de doelstelling van de EU om uiterlijk in 2050 klimaatneutraal te zijn; wijst </w:t>
            </w:r>
            <w:r>
              <w:rPr>
                <w:b/>
                <w:i/>
              </w:rPr>
              <w:t>erop</w:t>
            </w:r>
            <w:r>
              <w:t xml:space="preserve"> dat het pad naar de verwezenlijking van deze doelstelling een genuanceerde en evenwichtige aanpak vereist om de </w:t>
            </w:r>
            <w:r>
              <w:rPr>
                <w:b/>
                <w:i/>
              </w:rPr>
              <w:t>economische en sociale</w:t>
            </w:r>
            <w:r>
              <w:t xml:space="preserve"> duurzaamheid van zowel de sector als de bestaansmiddelen van de personen die daarvan afhankelijk zijn te waarborgen</w:t>
            </w:r>
            <w:r>
              <w:rPr>
                <w:b/>
                <w:i/>
              </w:rPr>
              <w:t>, in overeenstemming met de drie pijlers van duurzame ontwikkeling</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neemt kennis van de doelstelling van de EU om uiterlijk in 2050 klimaatneutraal te zijn; wijst er echter op dat het pad naar de verwezenlijking van deze doelstelling een genuanceerde en evenwichtige aanpak vereist om de </w:t>
            </w:r>
            <w:r>
              <w:rPr>
                <w:b/>
                <w:i/>
              </w:rPr>
              <w:t>duurzaamheid</w:t>
            </w:r>
            <w:r>
              <w:t xml:space="preserve"> van zowel de sector als de bestaansmiddelen van de personen die daarvan afhankelijk zijn te waarborgen;</w:t>
            </w:r>
          </w:p>
        </w:tc>
        <w:tc>
          <w:tcPr>
            <w:tcW w:w="4876" w:type="dxa"/>
            <w:tcBorders>
              <w:top w:val="nil"/>
              <w:left w:val="nil"/>
              <w:bottom w:val="nil"/>
              <w:right w:val="nil"/>
            </w:tcBorders>
          </w:tcPr>
          <w:p>
            <w:pPr>
              <w:pStyle w:val="Normal6a"/>
            </w:pPr>
            <w:r>
              <w:t>1.</w:t>
            </w:r>
            <w:r>
              <w:tab/>
            </w:r>
            <w:r>
              <w:t xml:space="preserve">neemt kennis van de doelstelling van de EU om uiterlijk in 2050 klimaatneutraal te zijn; wijst er echter op dat het pad naar de verwezenlijking van deze doelstelling een genuanceerde en evenwichtige aanpak vereist om de </w:t>
            </w:r>
            <w:r>
              <w:rPr>
                <w:b/>
                <w:i/>
              </w:rPr>
              <w:t>economische, sociale en milieuduurzaamheid</w:t>
            </w:r>
            <w:r>
              <w:t xml:space="preserve"> van zowel de sector als de bestaansmiddelen van de personen die daarvan afhankelijk zijn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wijst erop dat het klimaattraject van de EU anticiperend moet zijn en moet worden geleid door maatschappelijke verantwoording, wetenschappelijke kennis en solidariteit;</w:t>
            </w:r>
            <w:r>
              <w:t xml:space="preserve"> </w:t>
            </w:r>
            <w:r>
              <w:rPr>
                <w:b/>
                <w:i/>
              </w:rPr>
              <w:t>pleit voor gecoördineerde beleidskaders voor de lange termijn die de visserij integreren in de bredere decarbonisatie-inspanningen van de Unie en ervoor zorgen dat geen vlootsegment of -regio aan zijn lot wordt overgelaten;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vestigt de aandacht op de noodzaak van een realistische, gefaseerde routekaart voor het koolstofvrij maken van de economie waarin technologische ontwikkelingen, logistieke verbeteringen, beschikbaarheid van alternatieve brandstoffen en wetgevingstermijnen op elkaar worden afgestemd om een haalbare en doeltreffende uitvoering in alle vlootsegmenten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beklemtoont dat de oceaan 50 % van alle nodige zuurstof genereert, 30 % van alle kooldioxide-emissies absorbeert en 90 % van de overtollige warmte afvangt die door deze emissies wordt vastgehouden;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herinnert aan de toezegging van de EU om een einde te maken aan schadelijke visserijsubsidies in overeenstemming met de WTO-overeenkomst en SDG 14;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ter.</w:t>
            </w:r>
            <w:r>
              <w:tab/>
            </w:r>
            <w:r>
              <w:rPr>
                <w:b/>
                <w:i/>
              </w:rPr>
              <w:t>verzoekt de Commissie in haar komende oceaanpact een ambitieuze routekaart op te nemen voor het koolstofvrij maken van de visserij, met afdwingbare tussentijdse mijlpalen die stroken met de klimaatwet van de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merkt op</w:t>
            </w:r>
            <w:r>
              <w:t xml:space="preserve"> dat de </w:t>
            </w:r>
            <w:r>
              <w:rPr>
                <w:b/>
                <w:i/>
              </w:rPr>
              <w:t>inspanningen van de EU op het gebied van decarbonisatie gericht zijn op de volledige vissersvloot, met bijzondere nadruk op vaartuigen met een lengte van meer dan 12 meter;</w:t>
            </w:r>
            <w:r>
              <w:t xml:space="preserve"> </w:t>
            </w:r>
            <w:r>
              <w:rPr>
                <w:b/>
                <w:i/>
              </w:rPr>
              <w:t>merkt op dat het gemiddelde vissersvaartuig in de EU ouder is dan 31,5 jaar, waardoor de aanpassing van deze oude vaartuigen of de upgrade naar alternatieve energiebronnen een</w:t>
            </w:r>
            <w:r>
              <w:t xml:space="preserve"> uitdaging vormt;</w:t>
            </w:r>
          </w:p>
        </w:tc>
        <w:tc>
          <w:tcPr>
            <w:tcW w:w="4876" w:type="dxa"/>
            <w:tcBorders>
              <w:top w:val="nil"/>
              <w:left w:val="nil"/>
              <w:bottom w:val="nil"/>
              <w:right w:val="nil"/>
            </w:tcBorders>
          </w:tcPr>
          <w:p>
            <w:pPr>
              <w:pStyle w:val="Normal6a"/>
            </w:pPr>
            <w:r>
              <w:t>2.</w:t>
            </w:r>
            <w:r>
              <w:tab/>
            </w:r>
            <w:r>
              <w:rPr>
                <w:b/>
                <w:i/>
              </w:rPr>
              <w:t>ziet in</w:t>
            </w:r>
            <w:r>
              <w:t xml:space="preserve"> dat de </w:t>
            </w:r>
            <w:r>
              <w:rPr>
                <w:b/>
                <w:i/>
              </w:rPr>
              <w:t>overgang naar koolstofarme aandrijf- en energiesystemen een aanzienlijke</w:t>
            </w:r>
            <w:r>
              <w:t xml:space="preserve"> uitdaging vormt </w:t>
            </w:r>
            <w:r>
              <w:rPr>
                <w:b/>
                <w:i/>
              </w:rPr>
              <w:t>voor de visserijsector, met name voor kleinere exploitanten met een beperkte financiële en technische capaciteit</w:t>
            </w:r>
            <w:r>
              <w:t xml:space="preserve">; </w:t>
            </w:r>
            <w:r>
              <w:rPr>
                <w:b/>
                <w:i/>
              </w:rPr>
              <w:t>herinnert eraan dat structurele belemmeringen voor de toegang, waaronder hoge toegangskosten, een gebrek aan opleiding en ontoereikende haveninfrastructuur, moeten worden weggenomen om een inclusieve transitie te bewerkstelligen;</w:t>
            </w:r>
            <w:r>
              <w:t xml:space="preserve"> </w:t>
            </w:r>
            <w:r>
              <w:rPr>
                <w:b/>
                <w:i/>
              </w:rPr>
              <w:t>beklemtoont dat een uniforme aanpak niet geschikt is met het oog op de diversiteit van de vloten, regio’s en sociaal-economische contexten van de Unie;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merkt op dat de inspanningen van de EU op het gebied van decarbonisatie gericht zijn op de volledige vissersvloot, met bijzondere nadruk op vaartuigen met een lengte van meer dan 12 meter; merkt op dat het gemiddelde vissersvaartuig in de EU ouder is dan 31,5 jaar, waardoor de aanpassing van deze oude vaartuigen of de upgrade naar alternatieve energiebronnen een uitdaging vormt;</w:t>
            </w:r>
          </w:p>
        </w:tc>
        <w:tc>
          <w:tcPr>
            <w:tcW w:w="4876" w:type="dxa"/>
            <w:tcBorders>
              <w:top w:val="nil"/>
              <w:left w:val="nil"/>
              <w:bottom w:val="nil"/>
              <w:right w:val="nil"/>
            </w:tcBorders>
          </w:tcPr>
          <w:p>
            <w:pPr>
              <w:pStyle w:val="Normal6a"/>
            </w:pPr>
            <w:r>
              <w:t>2.</w:t>
            </w:r>
            <w:r>
              <w:tab/>
            </w:r>
            <w:r>
              <w:t xml:space="preserve">merkt op dat de inspanningen van de EU op het gebied van decarbonisatie gericht zijn op de volledige vissersvloot, met bijzondere nadruk op vaartuigen met een lengte van meer dan 12 meter; merkt op dat het gemiddelde vissersvaartuig in de EU ouder is dan 31,5 jaar, waardoor de aanpassing van deze oude vaartuigen of de upgrade naar alternatieve energiebronnen een uitdaging vormt; </w:t>
            </w:r>
            <w:r>
              <w:rPr>
                <w:b/>
                <w:i/>
              </w:rPr>
              <w:t>benadrukt dat er dringend overheidsfinanciering nodig is voor de vernieuwing van de vloot, en dat daarbij waarborgen moeten worden genomen om te voorkomen dat het vermogen van vaartuigen om meer te vissen toeneemt;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merkt op dat de </w:t>
            </w:r>
            <w:r>
              <w:rPr>
                <w:b/>
                <w:i/>
              </w:rPr>
              <w:t>inspanningen</w:t>
            </w:r>
            <w:r>
              <w:t xml:space="preserve"> van de EU op het gebied van decarbonisatie </w:t>
            </w:r>
            <w:r>
              <w:rPr>
                <w:b/>
                <w:i/>
              </w:rPr>
              <w:t>gericht zijn</w:t>
            </w:r>
            <w:r>
              <w:t xml:space="preserve"> op de volledige vissersvloot, </w:t>
            </w:r>
            <w:r>
              <w:rPr>
                <w:b/>
                <w:i/>
              </w:rPr>
              <w:t>met bijzondere nadruk op</w:t>
            </w:r>
            <w:r>
              <w:t xml:space="preserve"> vaartuigen </w:t>
            </w:r>
            <w:r>
              <w:rPr>
                <w:b/>
                <w:i/>
              </w:rPr>
              <w:t>met een lengte van meer dan 12 meter</w:t>
            </w:r>
            <w:r>
              <w:t>; merkt op dat het gemiddelde vissersvaartuig in de EU ouder is dan 31,5 jaar</w:t>
            </w:r>
            <w:r>
              <w:rPr>
                <w:b/>
                <w:i/>
              </w:rPr>
              <w:t>, waardoor de aanpassing van deze oude vaartuigen of de upgrade naar alternatieve energiebronnen een uitdaging vormt</w:t>
            </w:r>
            <w:r>
              <w:t>;</w:t>
            </w:r>
          </w:p>
        </w:tc>
        <w:tc>
          <w:tcPr>
            <w:tcW w:w="4876" w:type="dxa"/>
            <w:tcBorders>
              <w:top w:val="nil"/>
              <w:left w:val="nil"/>
              <w:bottom w:val="nil"/>
              <w:right w:val="nil"/>
            </w:tcBorders>
          </w:tcPr>
          <w:p>
            <w:pPr>
              <w:pStyle w:val="Normal6a"/>
            </w:pPr>
            <w:r>
              <w:t>2.</w:t>
            </w:r>
            <w:r>
              <w:tab/>
            </w:r>
            <w:r>
              <w:t xml:space="preserve">merkt op dat de </w:t>
            </w:r>
            <w:r>
              <w:rPr>
                <w:b/>
                <w:i/>
              </w:rPr>
              <w:t>doelstellingen</w:t>
            </w:r>
            <w:r>
              <w:t xml:space="preserve"> van de EU op het gebied van decarbonisatie </w:t>
            </w:r>
            <w:r>
              <w:rPr>
                <w:b/>
                <w:i/>
              </w:rPr>
              <w:t>betrekking hebben</w:t>
            </w:r>
            <w:r>
              <w:t xml:space="preserve"> op de volledige vissersvloot, </w:t>
            </w:r>
            <w:r>
              <w:rPr>
                <w:b/>
                <w:i/>
              </w:rPr>
              <w:t>en dat de aanpassing van de</w:t>
            </w:r>
            <w:r>
              <w:t xml:space="preserve"> vaartuigen </w:t>
            </w:r>
            <w:r>
              <w:rPr>
                <w:b/>
                <w:i/>
              </w:rPr>
              <w:t>of de upgrade naar alternatieve energiebronnen daarom een uitdaging zal vormen</w:t>
            </w:r>
            <w:r>
              <w:t xml:space="preserve">; merkt op dat het gemiddelde vissersvaartuig in de EU ouder is dan 31,5 jaar </w:t>
            </w:r>
            <w:r>
              <w:rPr>
                <w:b/>
                <w:i/>
              </w:rPr>
              <w:t>en dat de kleinschalige kustvloot in 2021 76 % van de actieve vloot uitmaakte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merkt op dat de inspanningen van de EU op het gebied van decarbonisatie gericht zijn op de volledige vissersvloot, met bijzondere nadruk op vaartuigen met een lengte van meer dan 12 meter; merkt op dat het gemiddelde vissersvaartuig in de EU ouder is dan 31,5 jaar, </w:t>
            </w:r>
            <w:r>
              <w:rPr>
                <w:b/>
                <w:i/>
              </w:rPr>
              <w:t>waardoor</w:t>
            </w:r>
            <w:r>
              <w:t xml:space="preserve"> de aanpassing van deze oude vaartuigen of de upgrade naar alternatieve energiebronnen </w:t>
            </w:r>
            <w:r>
              <w:rPr>
                <w:b/>
                <w:i/>
              </w:rPr>
              <w:t>een uitdaging</w:t>
            </w:r>
            <w:r>
              <w:t xml:space="preserve"> vormt;</w:t>
            </w:r>
          </w:p>
        </w:tc>
        <w:tc>
          <w:tcPr>
            <w:tcW w:w="4876" w:type="dxa"/>
            <w:tcBorders>
              <w:top w:val="nil"/>
              <w:left w:val="nil"/>
              <w:bottom w:val="nil"/>
              <w:right w:val="nil"/>
            </w:tcBorders>
          </w:tcPr>
          <w:p>
            <w:pPr>
              <w:pStyle w:val="Normal6a"/>
            </w:pPr>
            <w:r>
              <w:t>2.</w:t>
            </w:r>
            <w:r>
              <w:tab/>
            </w:r>
            <w:r>
              <w:t xml:space="preserve">merkt op dat de inspanningen van de EU op het gebied van decarbonisatie gericht zijn op de volledige vissersvloot, met bijzondere nadruk op vaartuigen met een lengte van meer dan 12 meter; </w:t>
            </w:r>
            <w:r>
              <w:rPr>
                <w:b/>
                <w:i/>
              </w:rPr>
              <w:t>wijst erop dat schepen die vis vangen of verwerken van Verordening (EU) 2023/1805 zijn uitgesloten;</w:t>
            </w:r>
            <w:r>
              <w:t xml:space="preserve"> merkt op dat het gemiddelde vissersvaartuig in de EU ouder is dan 31,5 jaar, </w:t>
            </w:r>
            <w:r>
              <w:rPr>
                <w:b/>
                <w:i/>
              </w:rPr>
              <w:t>en dat</w:t>
            </w:r>
            <w:r>
              <w:t xml:space="preserve"> de aanpassing van deze oude vaartuigen of de upgrade naar alternatieve energiebronnen </w:t>
            </w:r>
            <w:r>
              <w:rPr>
                <w:b/>
                <w:i/>
              </w:rPr>
              <w:t>daarom een prioriteit</w:t>
            </w:r>
            <w:r>
              <w:t xml:space="preserve"> vormt </w:t>
            </w:r>
            <w:r>
              <w:rPr>
                <w:b/>
                <w:i/>
              </w:rPr>
              <w:t>met het oog op de verwezenlijking van de vastgestelde streefcijfers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merkt op dat de inspanningen van de EU op het gebied van </w:t>
            </w:r>
            <w:r>
              <w:rPr>
                <w:b/>
                <w:i/>
              </w:rPr>
              <w:t>decarbonisatie</w:t>
            </w:r>
            <w:r>
              <w:t xml:space="preserve"> gericht zijn op de volledige vissersvloot</w:t>
            </w:r>
            <w:r>
              <w:rPr>
                <w:b/>
                <w:i/>
              </w:rPr>
              <w:t>, met bijzondere nadruk op vaartuigen met een lengte van meer dan 12 meter</w:t>
            </w:r>
            <w:r>
              <w:t>; merkt op dat het gemiddelde vissersvaartuig in de EU ouder is dan 31,5 jaar, waardoor de aanpassing van deze oude vaartuigen of de upgrade naar alternatieve energiebronnen een uitdaging vormt;</w:t>
            </w:r>
          </w:p>
        </w:tc>
        <w:tc>
          <w:tcPr>
            <w:tcW w:w="4876" w:type="dxa"/>
            <w:tcBorders>
              <w:top w:val="nil"/>
              <w:left w:val="nil"/>
              <w:bottom w:val="nil"/>
              <w:right w:val="nil"/>
            </w:tcBorders>
          </w:tcPr>
          <w:p>
            <w:pPr>
              <w:pStyle w:val="Normal6a"/>
            </w:pPr>
            <w:r>
              <w:t>2.</w:t>
            </w:r>
            <w:r>
              <w:tab/>
            </w:r>
            <w:r>
              <w:t xml:space="preserve">merkt op dat de inspanningen van de EU op het gebied van </w:t>
            </w:r>
            <w:r>
              <w:rPr>
                <w:b/>
                <w:i/>
              </w:rPr>
              <w:t>energietransitie</w:t>
            </w:r>
            <w:r>
              <w:t xml:space="preserve"> gericht zijn op de volledige vissersvloot; merkt op dat het gemiddelde vissersvaartuig in de EU ouder is dan 31,5 jaar, waardoor de aanpassing van deze oude vaartuigen of de upgrade naar alternatieve energiebronnen een uitdaging vormt</w:t>
            </w:r>
            <w:r>
              <w:rPr>
                <w:b/>
                <w:i/>
              </w:rPr>
              <w:t>, met name in de ultraperifere gebieden</w:t>
            </w:r>
            <w:r>
              <w:t xml:space="preserve">; </w:t>
            </w:r>
            <w:r>
              <w:rPr>
                <w:b/>
                <w:i/>
              </w:rPr>
              <w:t>stelt vast dat het vernieuwingspercentage van vaartuigen bijna nul is;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benadrukt daarom dat er niet alleen aandacht moet worden besteed aan modernisering, maar ook aan de mogelijkheden voor de vernieuwing van vaartuigen, teneinde de decarbonisatiedoelstellingen van de EU te verwezenlijken;</w:t>
            </w:r>
            <w:r>
              <w:t xml:space="preserve"> </w:t>
            </w:r>
            <w:r>
              <w:rPr>
                <w:b/>
                <w:i/>
              </w:rPr>
              <w:t>betreurt dat het huidige kader van het GVB en het EFMZVA een grote belemmering vormt voor de mogelijkheden voor overheidssteun, wat ook een ontmoedigend effect heeft op particuliere investeringen in de vernieuwing van vaartuigen en het feitelijk onmogelijk maakt de EU-vissersvloot koolstofvrij te maken;</w:t>
            </w:r>
            <w:r>
              <w:t xml:space="preserve"> </w:t>
            </w:r>
            <w:r>
              <w:rPr>
                <w:b/>
                <w:i/>
              </w:rPr>
              <w:t>verzoekt bijgevolg om een wijziging van het huidige wetgevingskader;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Anja Hazekamp, Sebastian Everding</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benadrukt dat bodemtrawlervisserij op zee evenveel koolstof uitstoot als de mondiale luchtvaart, en dat dit de Europese samenleving tot 11 miljard EUR per jaar kost;</w:t>
            </w:r>
            <w:r>
              <w:t xml:space="preserve"> </w:t>
            </w:r>
            <w:r>
              <w:rPr>
                <w:b/>
                <w:i/>
              </w:rPr>
              <w:t>verzoekt de Commissie en de lidstaten vaart te zetten achter de inspanningen om bodemtrawlervisserij en andere schadelijke visserijtechnieken in alle beschermde mariene gebieden geleidelijk af te schaffen om de biodiversiteit te beschermen en de emissies van de vissersvloot van de EU te verminderen;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verzoekt de Commissie inspanningen op het gebied van decarbonisatie op te nemen in de criteria voor de preferentiële toewijzing van vangstmogelijkheden door de lidstaten voor kustvisserij als milieucriterium in verband met artikel 17 van het GVB;</w:t>
            </w:r>
            <w:r>
              <w:t xml:space="preserve"> </w:t>
            </w:r>
            <w:r>
              <w:rPr>
                <w:b/>
                <w:i/>
              </w:rPr>
              <w:t>is van mening dat de vernieuwing en decarbonisatie van de vloot belangrijke factoren zijn om nieuwe generaties aan te trekken;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onderstreept dat de transitie naar koolstofarme en energie-efficiënte visserijpraktijken inclusief en toegankelijk moet zijn voor alle segmenten van de sector, met name voor kleinschalige en ambachtelijke vissers, en moet worden ondersteund met overheidsinvesteringen, opleiding en kennisoverdracht;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benadrukt dat een aanzienlijke vermindering van het brandstofverbruik kan worden bereikt door de intensiteit van het brandstofgebruik te verminderen, met name door vissersvaartuigen en vistuig te optimaliseren of door het visgedrag aan te passen;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merkt bovendien op dat stappen in de richting van decarbonisatie specifieke uitdagingen met zich mee zullen brengen voor de kleinschalige vloot, en dat de behoeften ervan volledig in acht moeten worden genomen bij de ontwikkeling van EU-beleid;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ter.</w:t>
            </w:r>
            <w:r>
              <w:tab/>
            </w:r>
            <w:r>
              <w:rPr>
                <w:b/>
                <w:i/>
              </w:rPr>
              <w:t>benadrukt dat duurzaam visserijbeheer essentieel is om het brandstofverbruik en de broeikasgasemissies te beperken;</w:t>
            </w:r>
            <w:r>
              <w:t xml:space="preserve"> </w:t>
            </w:r>
            <w:r>
              <w:rPr>
                <w:b/>
                <w:i/>
              </w:rPr>
              <w:t>wijst erop dat gezonde en overvloedige vispopulaties ondanks bescheidener visserij-inspanningen hogere vangsten kunnen betekenen en een vermindering van het brandstofverbruik en andere kosten mogelijk kunnen maken;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quater.</w:t>
            </w:r>
            <w:r>
              <w:tab/>
            </w:r>
            <w:r>
              <w:rPr>
                <w:b/>
                <w:i/>
              </w:rPr>
              <w:t>vestigt de aandacht op de bijzonder grote milieueffecten van bodemtrawlervisserij, een visserijmethode die per definitie bijdraagt tot het vrijkomen van koolstof uit mariene ecosystemen;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quinquies.</w:t>
            </w:r>
            <w:r>
              <w:tab/>
            </w:r>
            <w:r>
              <w:rPr>
                <w:b/>
                <w:i/>
              </w:rPr>
              <w:t>onderstreept dat de oceaan meer dan 30 % van de wereldwijde CO</w:t>
            </w:r>
            <w:r>
              <w:rPr>
                <w:b/>
                <w:i/>
                <w:vertAlign w:val="subscript"/>
              </w:rPr>
              <w:t>2</w:t>
            </w:r>
            <w:r>
              <w:rPr>
                <w:b/>
                <w:i/>
              </w:rPr>
              <w:t>-uitstoot absorbeert en daarmee 's werelds belangrijkste bondgenoot is in de strijd tegen de klimaatverandering en bij de verwezenlijking van de doelstelling om klimaatneutraliteit te bereiken;</w:t>
            </w:r>
            <w:r>
              <w:t xml:space="preserve"> </w:t>
            </w:r>
            <w:r>
              <w:rPr>
                <w:b/>
                <w:i/>
              </w:rPr>
              <w:t>is van mening dat hier rekening mee moet worden gehouden bij het uitwerken van decarbonisatiescenario’s;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betreurt het dat de huidige wetgevingsvoorstellen gericht zijn op de invoering van</w:t>
            </w:r>
            <w:r>
              <w:t xml:space="preserve"> hybride motoren en het gebruik van waterstof, ammoniak en biobrandstoffen als vervanging voor fossiele brandstoffen</w:t>
            </w:r>
            <w:r>
              <w:rPr>
                <w:b/>
                <w:i/>
              </w:rPr>
              <w:t>;</w:t>
            </w:r>
            <w:r>
              <w:t xml:space="preserve"> </w:t>
            </w:r>
            <w:r>
              <w:rPr>
                <w:b/>
                <w:i/>
              </w:rPr>
              <w:t>benadrukt dat deze alternatieven</w:t>
            </w:r>
            <w:r>
              <w:t xml:space="preserve"> weliswaar </w:t>
            </w:r>
            <w:r>
              <w:rPr>
                <w:b/>
                <w:i/>
              </w:rPr>
              <w:t>veelbelovend zijn, maar</w:t>
            </w:r>
            <w:r>
              <w:t xml:space="preserve"> nog niet op grote schaal commercieel levensvatbaar zijn, aangezien ze bijna twee keer zo veel kosten als diesel en kampen met technische, logistieke en economische belemmeringen die grondig moeten worden beoordeeld;</w:t>
            </w:r>
          </w:p>
        </w:tc>
        <w:tc>
          <w:tcPr>
            <w:tcW w:w="4876" w:type="dxa"/>
            <w:tcBorders>
              <w:top w:val="nil"/>
              <w:left w:val="nil"/>
              <w:bottom w:val="nil"/>
              <w:right w:val="nil"/>
            </w:tcBorders>
          </w:tcPr>
          <w:p>
            <w:pPr>
              <w:pStyle w:val="Normal6a"/>
            </w:pPr>
            <w:r>
              <w:t>3.</w:t>
            </w:r>
            <w:r>
              <w:tab/>
            </w:r>
            <w:r>
              <w:rPr>
                <w:b/>
                <w:i/>
              </w:rPr>
              <w:t>merkt op dat</w:t>
            </w:r>
            <w:r>
              <w:t xml:space="preserve"> hybride motoren en het gebruik van waterstof, ammoniak en biobrandstoffen als vervanging voor fossiele brandstoffen weliswaar </w:t>
            </w:r>
            <w:r>
              <w:rPr>
                <w:b/>
                <w:i/>
              </w:rPr>
              <w:t>toekomstperspectieven bieden, maar niet per se duurzaam zijn en</w:t>
            </w:r>
            <w:r>
              <w:t xml:space="preserve"> nog niet op grote schaal commercieel levensvatbaar zijn, aangezien ze bijna twee keer zo veel kosten als diesel en kampen met technische, logistieke en economische belemmeringen die grondig moeten worden beoordeeld; </w:t>
            </w:r>
            <w:r>
              <w:rPr>
                <w:b/>
                <w:i/>
              </w:rPr>
              <w:t>benadrukt dat decarbonisatie ook moet worden gestimuleerd door gebruik te maken van bestaande instrumenten en door een holistische aanpak te hanteren, te beginnen met de aanzienlijke vermindering van de intensiteit van het brandstofverbruik en de verbetering van de energie-efficiëntie;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betreurt het dat de huidige wetgevingsvoorstellen gericht zijn op de invoering van hybride motoren en het gebruik van waterstof, ammoniak en biobrandstoffen als vervanging voor fossiele brandstoffen</w:t>
            </w:r>
            <w:r>
              <w:t xml:space="preserve">; benadrukt dat </w:t>
            </w:r>
            <w:r>
              <w:rPr>
                <w:b/>
                <w:i/>
              </w:rPr>
              <w:t>deze alternatieven weliswaar veelbelovend zijn, maar nog niet op grote schaal commercieel levensvatbaar zijn</w:t>
            </w:r>
            <w:r>
              <w:t xml:space="preserve">, </w:t>
            </w:r>
            <w:r>
              <w:rPr>
                <w:b/>
                <w:i/>
              </w:rPr>
              <w:t>aangezien ze bijna twee keer zo veel kosten als diesel en kampen met technische, logistieke en economische belemmeringen die grondig</w:t>
            </w:r>
            <w:r>
              <w:t xml:space="preserve"> moeten worden </w:t>
            </w:r>
            <w:r>
              <w:rPr>
                <w:b/>
                <w:i/>
              </w:rPr>
              <w:t>beoordeeld</w:t>
            </w:r>
            <w:r>
              <w:t>;</w:t>
            </w:r>
          </w:p>
        </w:tc>
        <w:tc>
          <w:tcPr>
            <w:tcW w:w="4876" w:type="dxa"/>
            <w:tcBorders>
              <w:top w:val="nil"/>
              <w:left w:val="nil"/>
              <w:bottom w:val="nil"/>
              <w:right w:val="nil"/>
            </w:tcBorders>
          </w:tcPr>
          <w:p>
            <w:pPr>
              <w:pStyle w:val="Normal6a"/>
            </w:pPr>
            <w:r>
              <w:t>3.</w:t>
            </w:r>
            <w:r>
              <w:tab/>
            </w:r>
            <w:r>
              <w:rPr>
                <w:b/>
                <w:i/>
              </w:rPr>
              <w:t>realiseert zich dat momenteel geen enkele aandrijvings- of brandstoftechnologie een definitieve oplossing biedt voor het volledig koolstofvrij maken van de visserijsector, vanwege de grote verscheidenheid aan vaartuigsoorten, operationele profielen en regionale contexten</w:t>
            </w:r>
            <w:r>
              <w:t xml:space="preserve">; benadrukt dat </w:t>
            </w:r>
            <w:r>
              <w:rPr>
                <w:b/>
                <w:i/>
              </w:rPr>
              <w:t>de decarbonisatiestrategie van de Unie daarom technologisch open en wetenschappelijk onderbouwd moet blijven</w:t>
            </w:r>
            <w:r>
              <w:t xml:space="preserve">, </w:t>
            </w:r>
            <w:r>
              <w:rPr>
                <w:b/>
                <w:i/>
              </w:rPr>
              <w:t>en dat voortijdige normalisatie of technologische lock-in daarbij moet worden vermeden;</w:t>
            </w:r>
            <w:r>
              <w:t xml:space="preserve"> </w:t>
            </w:r>
            <w:r>
              <w:rPr>
                <w:b/>
                <w:i/>
              </w:rPr>
              <w:t>onderstreept dat de gerichte overheidsinvesteringen in onderzoeks-, innovatie- en demonstratieprojecten voor alternatieve aandrijvingssystemen</w:t>
            </w:r>
            <w:r>
              <w:t xml:space="preserve"> moeten worden </w:t>
            </w:r>
            <w:r>
              <w:rPr>
                <w:b/>
                <w:i/>
              </w:rPr>
              <w:t>opgevoerd om de ontwikkeling van veilige, efficiënte en schaalbare oplossingen te ondersteunen die zijn afgestemd op de behoeften van de sector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betreurt het dat de huidige wetgevingsvoorstellen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die grondig moeten worden beoordeeld;</w:t>
            </w:r>
          </w:p>
        </w:tc>
        <w:tc>
          <w:tcPr>
            <w:tcW w:w="4876" w:type="dxa"/>
            <w:tcBorders>
              <w:top w:val="nil"/>
              <w:left w:val="nil"/>
              <w:bottom w:val="nil"/>
              <w:right w:val="nil"/>
            </w:tcBorders>
          </w:tcPr>
          <w:p>
            <w:pPr>
              <w:pStyle w:val="Normal6a"/>
            </w:pPr>
            <w:r>
              <w:t>3.</w:t>
            </w:r>
            <w:r>
              <w:tab/>
            </w:r>
            <w:r>
              <w:t xml:space="preserve">betreurt het dat de huidige wetgevingsvoorstellen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die grondig moeten worden beoordeeld; </w:t>
            </w:r>
            <w:r>
              <w:rPr>
                <w:b/>
                <w:i/>
              </w:rPr>
              <w:t>is van mening dat een uniforme aanpak niet geschikt zal zijn omdat er nieuwe technologieën worden ontwikkeld, en dat rekening moet worden gehouden met de behoeften van afzonderlijke vloten;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betreurt het dat de huidige wetgevingsvoorstellen gericht zijn op de invoering van hybride motoren en het gebruik van waterstof, ammoniak en biobrandstoffen als vervanging voor fossiele brandstoffen;</w:t>
            </w:r>
            <w:r>
              <w:t xml:space="preserve"> benadrukt dat </w:t>
            </w:r>
            <w:r>
              <w:rPr>
                <w:b/>
                <w:i/>
              </w:rPr>
              <w:t>deze alternatieven</w:t>
            </w:r>
            <w:r>
              <w:t xml:space="preserve"> weliswaar veelbelovend zijn, maar nog niet </w:t>
            </w:r>
            <w:r>
              <w:rPr>
                <w:b/>
                <w:i/>
              </w:rPr>
              <w:t>op grote schaal</w:t>
            </w:r>
            <w:r>
              <w:t xml:space="preserve"> commercieel levensvatbaar zijn</w:t>
            </w:r>
            <w:r>
              <w:rPr>
                <w:b/>
                <w:i/>
              </w:rPr>
              <w:t>, aangezien ze bijna twee keer zo veel kosten als diesel en kampen met</w:t>
            </w:r>
            <w:r>
              <w:t xml:space="preserve"> technische, logistieke en economische belemmeringen </w:t>
            </w:r>
            <w:r>
              <w:rPr>
                <w:b/>
                <w:i/>
              </w:rPr>
              <w:t>die grondig moeten worden beoordeeld</w:t>
            </w:r>
            <w:r>
              <w:t>;</w:t>
            </w:r>
          </w:p>
        </w:tc>
        <w:tc>
          <w:tcPr>
            <w:tcW w:w="4876" w:type="dxa"/>
            <w:tcBorders>
              <w:top w:val="nil"/>
              <w:left w:val="nil"/>
              <w:bottom w:val="nil"/>
              <w:right w:val="nil"/>
            </w:tcBorders>
          </w:tcPr>
          <w:p>
            <w:pPr>
              <w:pStyle w:val="Normal6a"/>
            </w:pPr>
            <w:r>
              <w:t>3.</w:t>
            </w:r>
            <w:r>
              <w:tab/>
            </w:r>
            <w:r>
              <w:t xml:space="preserve">benadrukt dat </w:t>
            </w:r>
            <w:r>
              <w:rPr>
                <w:b/>
                <w:i/>
              </w:rPr>
              <w:t>veel nieuwe alternatieve brandstoffen en aandrijvingssystemen</w:t>
            </w:r>
            <w:r>
              <w:t xml:space="preserve"> weliswaar veelbelovend zijn, maar nog niet </w:t>
            </w:r>
            <w:r>
              <w:rPr>
                <w:b/>
                <w:i/>
              </w:rPr>
              <w:t>volledig</w:t>
            </w:r>
            <w:r>
              <w:t xml:space="preserve"> commercieel levensvatbaar zijn</w:t>
            </w:r>
            <w:r>
              <w:rPr>
                <w:b/>
                <w:i/>
              </w:rPr>
              <w:t>;</w:t>
            </w:r>
            <w:r>
              <w:t xml:space="preserve"> </w:t>
            </w:r>
            <w:r>
              <w:rPr>
                <w:b/>
                <w:i/>
              </w:rPr>
              <w:t>beklemtoont dat moet worden voorzien in steun en investeringen om hogere brandstofkosten te vermijden en</w:t>
            </w:r>
            <w:r>
              <w:t xml:space="preserve"> technische, logistieke en economische belemmeringen </w:t>
            </w:r>
            <w:r>
              <w:rPr>
                <w:b/>
                <w:i/>
              </w:rPr>
              <w:t>weg te nemen, om een rechtvaardige transitie te waarborgen bij het koolstofvrij maken van de vloot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betreurt het</w:t>
            </w:r>
            <w:r>
              <w:t xml:space="preserve"> dat de huidige </w:t>
            </w:r>
            <w:r>
              <w:rPr>
                <w:b/>
                <w:i/>
              </w:rPr>
              <w:t>wetgevingsvoorstellen</w:t>
            </w:r>
            <w:r>
              <w:t xml:space="preserve">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w:t>
            </w:r>
            <w:r>
              <w:rPr>
                <w:b/>
                <w:i/>
              </w:rPr>
              <w:t>die grondig moeten</w:t>
            </w:r>
            <w:r>
              <w:t xml:space="preserve"> worden </w:t>
            </w:r>
            <w:r>
              <w:rPr>
                <w:b/>
                <w:i/>
              </w:rPr>
              <w:t>beoordeeld</w:t>
            </w:r>
            <w:r>
              <w:t>;</w:t>
            </w:r>
          </w:p>
        </w:tc>
        <w:tc>
          <w:tcPr>
            <w:tcW w:w="4876" w:type="dxa"/>
            <w:tcBorders>
              <w:top w:val="nil"/>
              <w:left w:val="nil"/>
              <w:bottom w:val="nil"/>
              <w:right w:val="nil"/>
            </w:tcBorders>
          </w:tcPr>
          <w:p>
            <w:pPr>
              <w:pStyle w:val="Normal6a"/>
            </w:pPr>
            <w:r>
              <w:t>3.</w:t>
            </w:r>
            <w:r>
              <w:tab/>
            </w:r>
            <w:r>
              <w:rPr>
                <w:b/>
                <w:i/>
              </w:rPr>
              <w:t>stelt vast</w:t>
            </w:r>
            <w:r>
              <w:t xml:space="preserve"> dat de huidige </w:t>
            </w:r>
            <w:r>
              <w:rPr>
                <w:b/>
                <w:i/>
              </w:rPr>
              <w:t>prognoses</w:t>
            </w:r>
            <w:r>
              <w:t xml:space="preserve">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w:t>
            </w:r>
            <w:r>
              <w:rPr>
                <w:b/>
                <w:i/>
              </w:rPr>
              <w:t>waarvoor een grondige effectbeoordeling moet</w:t>
            </w:r>
            <w:r>
              <w:t xml:space="preserve"> worden </w:t>
            </w:r>
            <w:r>
              <w:rPr>
                <w:b/>
                <w:i/>
              </w:rPr>
              <w:t>uitgevoerd</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betreurt het dat de huidige wetgevingsvoorstellen gericht zijn op de invoering van hybride motoren en</w:t>
            </w:r>
            <w:r>
              <w:t xml:space="preserve"> het gebruik van waterstof, ammoniak en biobrandstoffen als vervanging voor fossiele brandstoffen</w:t>
            </w:r>
            <w:r>
              <w:rPr>
                <w:b/>
                <w:i/>
              </w:rPr>
              <w:t>;</w:t>
            </w:r>
            <w:r>
              <w:t xml:space="preserve"> </w:t>
            </w:r>
            <w:r>
              <w:rPr>
                <w:b/>
                <w:i/>
              </w:rPr>
              <w:t>benadrukt dat deze alternatieven weliswaar veelbelovend zijn, maar nog niet op grote schaal commercieel levensvatbaar zijn, aangezien ze bijna twee keer zo veel kosten als diesel en kampen met</w:t>
            </w:r>
            <w:r>
              <w:t xml:space="preserve"> technische, logistieke en economische belemmeringen </w:t>
            </w:r>
            <w:r>
              <w:rPr>
                <w:b/>
                <w:i/>
              </w:rPr>
              <w:t>die</w:t>
            </w:r>
            <w:r>
              <w:t xml:space="preserve"> grondig moeten worden </w:t>
            </w:r>
            <w:r>
              <w:rPr>
                <w:b/>
                <w:i/>
              </w:rPr>
              <w:t>beoordeeld</w:t>
            </w:r>
            <w:r>
              <w:t>;</w:t>
            </w:r>
          </w:p>
        </w:tc>
        <w:tc>
          <w:tcPr>
            <w:tcW w:w="4876" w:type="dxa"/>
            <w:tcBorders>
              <w:top w:val="nil"/>
              <w:left w:val="nil"/>
              <w:bottom w:val="nil"/>
              <w:right w:val="nil"/>
            </w:tcBorders>
          </w:tcPr>
          <w:p>
            <w:pPr>
              <w:pStyle w:val="Normal6a"/>
            </w:pPr>
            <w:r>
              <w:t>3.</w:t>
            </w:r>
            <w:r>
              <w:tab/>
            </w:r>
            <w:r>
              <w:rPr>
                <w:b/>
                <w:i/>
              </w:rPr>
              <w:t>benadrukt dat</w:t>
            </w:r>
            <w:r>
              <w:t xml:space="preserve"> het gebruik van waterstof, ammoniak en biobrandstoffen als vervanging voor fossiele brandstoffen </w:t>
            </w:r>
            <w:r>
              <w:rPr>
                <w:b/>
                <w:i/>
              </w:rPr>
              <w:t>noodzakelijk is om de doelstellingen van de sector op het gebied van decarbonisatie te verwezenlijken, en onderstreept dat alle daarmee verband houdende</w:t>
            </w:r>
            <w:r>
              <w:t xml:space="preserve"> technische, logistieke en economische belemmeringen grondig </w:t>
            </w:r>
            <w:r>
              <w:rPr>
                <w:b/>
                <w:i/>
              </w:rPr>
              <w:t>aan de orde</w:t>
            </w:r>
            <w:r>
              <w:t xml:space="preserve"> moeten worden </w:t>
            </w:r>
            <w:r>
              <w:rPr>
                <w:b/>
                <w:i/>
              </w:rPr>
              <w:t>gesteld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betreurt het dat de huidige </w:t>
            </w:r>
            <w:r>
              <w:rPr>
                <w:b/>
                <w:i/>
              </w:rPr>
              <w:t>wetgevingsvoorstellen</w:t>
            </w:r>
            <w:r>
              <w:t xml:space="preserve">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die grondig moeten worden beoordeeld;</w:t>
            </w:r>
          </w:p>
        </w:tc>
        <w:tc>
          <w:tcPr>
            <w:tcW w:w="4876" w:type="dxa"/>
            <w:tcBorders>
              <w:top w:val="nil"/>
              <w:left w:val="nil"/>
              <w:bottom w:val="nil"/>
              <w:right w:val="nil"/>
            </w:tcBorders>
          </w:tcPr>
          <w:p>
            <w:pPr>
              <w:pStyle w:val="Normal6a"/>
            </w:pPr>
            <w:r>
              <w:t>3.</w:t>
            </w:r>
            <w:r>
              <w:tab/>
            </w:r>
            <w:r>
              <w:t xml:space="preserve">betreurt het dat de huidige </w:t>
            </w:r>
            <w:r>
              <w:rPr>
                <w:b/>
                <w:i/>
              </w:rPr>
              <w:t>mededelingen en voorstellen</w:t>
            </w:r>
            <w:r>
              <w:t xml:space="preserve">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die grondig moeten worden beoordeeld;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betreurt het dat de huidige </w:t>
            </w:r>
            <w:r>
              <w:rPr>
                <w:b/>
                <w:i/>
              </w:rPr>
              <w:t>wetgevingsvoorstellen</w:t>
            </w:r>
            <w:r>
              <w:t xml:space="preserve">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die grondig moeten worden beoordeeld;</w:t>
            </w:r>
          </w:p>
        </w:tc>
        <w:tc>
          <w:tcPr>
            <w:tcW w:w="4876" w:type="dxa"/>
            <w:tcBorders>
              <w:top w:val="nil"/>
              <w:left w:val="nil"/>
              <w:bottom w:val="nil"/>
              <w:right w:val="nil"/>
            </w:tcBorders>
          </w:tcPr>
          <w:p>
            <w:pPr>
              <w:pStyle w:val="Normal6a"/>
            </w:pPr>
            <w:r>
              <w:t>3.</w:t>
            </w:r>
            <w:r>
              <w:tab/>
            </w:r>
            <w:r>
              <w:t xml:space="preserve">betreurt het dat de huidige </w:t>
            </w:r>
            <w:r>
              <w:rPr>
                <w:b/>
                <w:i/>
              </w:rPr>
              <w:t>initiatieven</w:t>
            </w:r>
            <w:r>
              <w:t xml:space="preserve"> gericht zijn op de invoering van hybride motoren en het gebruik van waterstof, ammoniak en biobrandstoffen als vervanging voor fossiele brandstoffen; benadrukt dat deze alternatieven weliswaar veelbelovend zijn, maar nog niet op grote schaal commercieel levensvatbaar zijn, aangezien ze bijna twee keer zo veel kosten als diesel en kampen met technische, logistieke en economische belemmeringen die grondig moeten worden beoordeeld;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wijst erop dat geavanceerde biobrandstoffen, waaronder groen biogas, op korte termijn het haalbaarste alternatief voor diesel zijn, aangezien ze compatibel zijn en praktisch bij de overstap;</w:t>
            </w:r>
            <w:r>
              <w:t xml:space="preserve"> </w:t>
            </w:r>
            <w:r>
              <w:rPr>
                <w:b/>
                <w:i/>
              </w:rPr>
              <w:t>dringt erop aan prioritair toegang tot deze brandstoffen te verlenen en specifieke financieringsmechanismen in het leven te roepen om de hogere kosten en beperkte beschikbaarheid ervan te compenseren;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benadrukt dat een verandering in de aandrijving, bovenop een aanpassing van de vaartuigen, ook ingrijpende veranderingen in de haveninfrastructuur en -voorzieningen vereist;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dringt erop aan voorrang te geven aan investeringen in de productie van groene waterstof en elektrische en tankinfrastructuur in havens om de uitrol van aandrijvingssystemen op hernieuwbare energie te ondersteunen;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vestigt de aandacht op het potentieel van hybride oplossingen en windaandrijving als veelbelovende manieren om de broeikasgasuitstoot in de visserijsector te verlagen;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ter.</w:t>
            </w:r>
            <w:r>
              <w:tab/>
            </w:r>
            <w:r>
              <w:rPr>
                <w:b/>
                <w:i/>
              </w:rPr>
              <w:t>merkt op dat door de diversiteit in de Europese vissersvloten verschillende technologische oplossingen moeten worden gevonden die afgestemd zijn op elke visserijsector;</w:t>
            </w:r>
            <w:r>
              <w:t xml:space="preserve"> </w:t>
            </w:r>
            <w:r>
              <w:rPr>
                <w:b/>
                <w:i/>
              </w:rPr>
              <w:t>merkt op dat alternatieve brandstoffen geen oplossing zullen bieden voor de behoeften van alle vloten;</w:t>
            </w:r>
            <w:r>
              <w:t xml:space="preserve"> </w:t>
            </w:r>
            <w:r>
              <w:rPr>
                <w:b/>
                <w:i/>
              </w:rPr>
              <w:t>benadrukt dat de energiesituatie van vissersvaartuigen moet worden beoordeeld om de efficiëntie ervan te optimaliseren;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benadrukt dat de modernisering van de EU-vloot met het oog op koolstofarme technologieën aanzienlijke investeringen </w:t>
            </w:r>
            <w:r>
              <w:rPr>
                <w:b/>
                <w:i/>
              </w:rPr>
              <w:t>en uitdagingen op het vlak van</w:t>
            </w:r>
            <w:r>
              <w:t xml:space="preserve"> ontwerp met zich meebrengt en aanzienlijke ruimte nodig heeft voor opslag en opleiding van de bemanning; merkt op dat de vernieuwing van vaartuigen van meer dan 12 meter 22 à 36 miljard EUR zou kunnen kosten, exclusief extra investeringen in haveninfrastructuur voor alternatieve brandstoffen;</w:t>
            </w:r>
          </w:p>
        </w:tc>
        <w:tc>
          <w:tcPr>
            <w:tcW w:w="4876" w:type="dxa"/>
            <w:tcBorders>
              <w:top w:val="nil"/>
              <w:left w:val="nil"/>
              <w:bottom w:val="nil"/>
              <w:right w:val="nil"/>
            </w:tcBorders>
          </w:tcPr>
          <w:p>
            <w:pPr>
              <w:pStyle w:val="Normal6a"/>
            </w:pPr>
            <w:r>
              <w:t>4.</w:t>
            </w:r>
            <w:r>
              <w:tab/>
            </w:r>
            <w:r>
              <w:t>benadrukt dat de modernisering van de EU-vloot met het oog op koolstofarme technologieën aanzienlijke investeringen</w:t>
            </w:r>
            <w:r>
              <w:rPr>
                <w:b/>
                <w:i/>
              </w:rPr>
              <w:t>, gaande van het</w:t>
            </w:r>
            <w:r>
              <w:t xml:space="preserve"> ontwerp </w:t>
            </w:r>
            <w:r>
              <w:rPr>
                <w:b/>
                <w:i/>
              </w:rPr>
              <w:t>tot de uitvoering,</w:t>
            </w:r>
            <w:r>
              <w:t xml:space="preserve"> met zich meebrengt en aanzienlijke ruimte nodig heeft voor opslag en opleiding van de bemanning; merkt op dat de vernieuwing van vaartuigen van meer dan 12 meter 22 à 36 miljard EUR zou kunnen kosten, exclusief extra investeringen in haveninfrastructuur voor alternatieve brandstoffen; </w:t>
            </w:r>
            <w:r>
              <w:rPr>
                <w:b/>
                <w:i/>
              </w:rPr>
              <w:t>benadrukt dat voor de financieringsbehoeften een grondige studie van de Commissie moet worden uitgevoerd en oplossingen moeten worden gevonden met inbegrip van spaarproducten voor Europeanen en gespecialiseerde banken, zoals maritieme banken, om financiering aan te bieden met de steun van een Europese garantie voor de betrokken financiële producten en steun van de Europese Investeringsbank;</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benadrukt dat de modernisering van de EU-vloot met het oog op koolstofarme technologieën aanzienlijke investeringen en uitdagingen op het vlak van ontwerp met zich meebrengt en aanzienlijke ruimte nodig heeft voor opslag en opleiding van de bemanning; merkt op dat de vernieuwing van vaartuigen van meer dan 12 meter 22 à 36 miljard EUR zou kunnen kosten, exclusief extra investeringen in haveninfrastructuur voor alternatieve brandstoffen;</w:t>
            </w:r>
          </w:p>
        </w:tc>
        <w:tc>
          <w:tcPr>
            <w:tcW w:w="4876" w:type="dxa"/>
            <w:tcBorders>
              <w:top w:val="nil"/>
              <w:left w:val="nil"/>
              <w:bottom w:val="nil"/>
              <w:right w:val="nil"/>
            </w:tcBorders>
          </w:tcPr>
          <w:p>
            <w:pPr>
              <w:pStyle w:val="Normal6a"/>
            </w:pPr>
            <w:r>
              <w:t>4.</w:t>
            </w:r>
            <w:r>
              <w:tab/>
            </w:r>
            <w:r>
              <w:t xml:space="preserve">benadrukt dat de modernisering van de EU-vloot met het oog op koolstofarme technologieën aanzienlijke investeringen en uitdagingen op het vlak van ontwerp met zich meebrengt en aanzienlijke ruimte nodig heeft voor opslag en opleiding van de bemanning; merkt op dat de vernieuwing van vaartuigen van meer dan 12 meter 22 à 36 miljard EUR zou kunnen kosten, exclusief extra investeringen in haveninfrastructuur voor alternatieve brandstoffen; </w:t>
            </w:r>
            <w:r>
              <w:rPr>
                <w:b/>
                <w:i/>
              </w:rPr>
              <w:t>benadrukt dat het van essentieel belang is dat het EFMZVA deze investeringen, in combinatie met staatssteun, kan financieren;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benadrukt dat de modernisering </w:t>
            </w:r>
            <w:r>
              <w:rPr>
                <w:b/>
                <w:i/>
              </w:rPr>
              <w:t>van de EU-vloot met het oog op koolstofarme technologieën aanzienlijke investeringen en uitdagingen op het vlak van ontwerp met zich meebrengt en aanzienlijke ruimte nodig heeft voor opslag en opleiding van de bemanning</w:t>
            </w:r>
            <w:r>
              <w:t xml:space="preserve">; </w:t>
            </w:r>
            <w:r>
              <w:rPr>
                <w:b/>
                <w:i/>
              </w:rPr>
              <w:t>merkt op dat de vernieuwing van vaartuigen van meer dan 12 meter 22 à 36 miljard EUR zou kunnen kosten, exclusief extra investeringen in haveninfrastructuur voor alternatieve brandstoffen;</w:t>
            </w:r>
          </w:p>
        </w:tc>
        <w:tc>
          <w:tcPr>
            <w:tcW w:w="4876" w:type="dxa"/>
            <w:tcBorders>
              <w:top w:val="nil"/>
              <w:left w:val="nil"/>
              <w:bottom w:val="nil"/>
              <w:right w:val="nil"/>
            </w:tcBorders>
          </w:tcPr>
          <w:p>
            <w:pPr>
              <w:pStyle w:val="Normal6a"/>
            </w:pPr>
            <w:r>
              <w:t>4.</w:t>
            </w:r>
            <w:r>
              <w:tab/>
            </w:r>
            <w:r>
              <w:t xml:space="preserve">benadrukt dat de </w:t>
            </w:r>
            <w:r>
              <w:rPr>
                <w:b/>
                <w:i/>
              </w:rPr>
              <w:t>kleinschalige en ambachtelijke visserij over het algemeen een lagere milieu- en koolstofvoetafdruk heeft en dus een essentiële rol speelt in het ecologische en sociale weefsel van kustgebieden;</w:t>
            </w:r>
            <w:r>
              <w:t xml:space="preserve"> </w:t>
            </w:r>
            <w:r>
              <w:rPr>
                <w:b/>
                <w:i/>
              </w:rPr>
              <w:t>beklemtoont dat in decarbonisatiemaatregelen rekening moet worden gehouden met deze realiteit en moet worden voorkomen dat deze exploitanten te maken krijgen met onevenredige lasten;</w:t>
            </w:r>
            <w:r>
              <w:t xml:space="preserve"> </w:t>
            </w:r>
            <w:r>
              <w:rPr>
                <w:b/>
                <w:i/>
              </w:rPr>
              <w:t>onderstreept dat er behoefte is aan gepersonaliseerde en toegankelijke steunregelingen om de levensvatbaarheid,</w:t>
            </w:r>
            <w:r>
              <w:t xml:space="preserve"> modernisering </w:t>
            </w:r>
            <w:r>
              <w:rPr>
                <w:b/>
                <w:i/>
              </w:rPr>
              <w:t>en bijdrage van deze visserijsector aan duurzame mariene systemen te waarborgen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benadrukt dat de </w:t>
            </w:r>
            <w:r>
              <w:rPr>
                <w:b/>
                <w:i/>
              </w:rPr>
              <w:t>modernisering</w:t>
            </w:r>
            <w:r>
              <w:t xml:space="preserve"> van de EU-vloot met het oog op koolstofarme technologieën </w:t>
            </w:r>
            <w:r>
              <w:rPr>
                <w:b/>
                <w:i/>
              </w:rPr>
              <w:t>aanzienlijke investeringen en</w:t>
            </w:r>
            <w:r>
              <w:t xml:space="preserve"> uitdagingen op het vlak van ontwerp </w:t>
            </w:r>
            <w:r>
              <w:rPr>
                <w:b/>
                <w:i/>
              </w:rPr>
              <w:t>met zich meebrengt en</w:t>
            </w:r>
            <w:r>
              <w:t xml:space="preserve"> aanzienlijke ruimte nodig </w:t>
            </w:r>
            <w:r>
              <w:rPr>
                <w:b/>
                <w:i/>
              </w:rPr>
              <w:t>heeft</w:t>
            </w:r>
            <w:r>
              <w:t xml:space="preserve"> voor opslag en opleiding van de bemanning; merkt op dat de vernieuwing van </w:t>
            </w:r>
            <w:r>
              <w:rPr>
                <w:b/>
                <w:i/>
              </w:rPr>
              <w:t>vaartuigen van meer dan 12 meter 22 à 36 miljard EUR zou kunnen</w:t>
            </w:r>
            <w:r>
              <w:t xml:space="preserve"> kosten</w:t>
            </w:r>
            <w:r>
              <w:rPr>
                <w:b/>
                <w:i/>
              </w:rPr>
              <w:t>, exclusief</w:t>
            </w:r>
            <w:r>
              <w:t xml:space="preserve"> extra investeringen in haveninfrastructuur voor alternatieve brandstoffen;</w:t>
            </w:r>
          </w:p>
        </w:tc>
        <w:tc>
          <w:tcPr>
            <w:tcW w:w="4876" w:type="dxa"/>
            <w:tcBorders>
              <w:top w:val="nil"/>
              <w:left w:val="nil"/>
              <w:bottom w:val="nil"/>
              <w:right w:val="nil"/>
            </w:tcBorders>
          </w:tcPr>
          <w:p>
            <w:pPr>
              <w:pStyle w:val="Normal6a"/>
            </w:pPr>
            <w:r>
              <w:t>4.</w:t>
            </w:r>
            <w:r>
              <w:tab/>
            </w:r>
            <w:r>
              <w:t xml:space="preserve">benadrukt dat de </w:t>
            </w:r>
            <w:r>
              <w:rPr>
                <w:b/>
                <w:i/>
              </w:rPr>
              <w:t>decarbonisatie</w:t>
            </w:r>
            <w:r>
              <w:t xml:space="preserve"> van de EU-vloot met het oog op koolstofarme </w:t>
            </w:r>
            <w:r>
              <w:rPr>
                <w:b/>
                <w:i/>
              </w:rPr>
              <w:t>en koolstofvrije</w:t>
            </w:r>
            <w:r>
              <w:t xml:space="preserve"> technologieën </w:t>
            </w:r>
            <w:r>
              <w:rPr>
                <w:b/>
                <w:i/>
              </w:rPr>
              <w:t>gepaard gaat met</w:t>
            </w:r>
            <w:r>
              <w:t xml:space="preserve"> uitdagingen op het vlak van ontwerp</w:t>
            </w:r>
            <w:r>
              <w:rPr>
                <w:b/>
                <w:i/>
              </w:rPr>
              <w:t>, aangezien er</w:t>
            </w:r>
            <w:r>
              <w:t xml:space="preserve"> aanzienlijke ruimte nodig </w:t>
            </w:r>
            <w:r>
              <w:rPr>
                <w:b/>
                <w:i/>
              </w:rPr>
              <w:t>is</w:t>
            </w:r>
            <w:r>
              <w:t xml:space="preserve"> voor opslag en opleiding van de bemanning</w:t>
            </w:r>
            <w:r>
              <w:rPr>
                <w:b/>
                <w:i/>
              </w:rPr>
              <w:t>, wat allemaal een niet geringe investering zal vergen</w:t>
            </w:r>
            <w:r>
              <w:t xml:space="preserve">; merkt op dat de vernieuwing van </w:t>
            </w:r>
            <w:r>
              <w:rPr>
                <w:b/>
                <w:i/>
              </w:rPr>
              <w:t>vissersvaartuigen van uiteenlopende omvang aanzienlijke</w:t>
            </w:r>
            <w:r>
              <w:t xml:space="preserve"> kosten </w:t>
            </w:r>
            <w:r>
              <w:rPr>
                <w:b/>
                <w:i/>
              </w:rPr>
              <w:t>met zich mee zal brengen, alsook</w:t>
            </w:r>
            <w:r>
              <w:t xml:space="preserve"> extra investeringen in haveninfrastructuur voor alternatieve brandstoffen </w:t>
            </w:r>
            <w:r>
              <w:rPr>
                <w:b/>
                <w:i/>
              </w:rPr>
              <w:t>en energiesystemen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benadrukt dat de modernisering van de EU-vloot met het oog op koolstofarme technologieën aanzienlijke investeringen en uitdagingen op het vlak van ontwerp met zich meebrengt en aanzienlijke ruimte nodig heeft voor opslag en opleiding van de bemanning; merkt op dat de vernieuwing van vaartuigen van meer dan 12 meter 22 à 36 miljard EUR zou kunnen kosten, exclusief extra investeringen in haveninfrastructuur voor alternatieve brandstoffen;</w:t>
            </w:r>
          </w:p>
        </w:tc>
        <w:tc>
          <w:tcPr>
            <w:tcW w:w="4876" w:type="dxa"/>
            <w:tcBorders>
              <w:top w:val="nil"/>
              <w:left w:val="nil"/>
              <w:bottom w:val="nil"/>
              <w:right w:val="nil"/>
            </w:tcBorders>
          </w:tcPr>
          <w:p>
            <w:pPr>
              <w:pStyle w:val="Normal6a"/>
            </w:pPr>
            <w:r>
              <w:t>4.</w:t>
            </w:r>
            <w:r>
              <w:tab/>
            </w:r>
            <w:r>
              <w:t xml:space="preserve">benadrukt dat de modernisering van de EU-vloot met het oog op koolstofarme technologieën aanzienlijke investeringen en uitdagingen op het vlak van ontwerp met zich meebrengt en aanzienlijke ruimte nodig heeft voor opslag en opleiding van de bemanning; merkt op dat de vernieuwing van vaartuigen van meer dan 12 meter </w:t>
            </w:r>
            <w:r>
              <w:rPr>
                <w:b/>
                <w:i/>
              </w:rPr>
              <w:t>volgens de adviesraad voor de noordwestelijke wateren</w:t>
            </w:r>
            <w:r>
              <w:t xml:space="preserve"> 22 à 36 miljard EUR zou kunnen kosten, exclusief extra investeringen in haveninfrastructuur voor alternatieve brandstoffen;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merkt op dat verre visserijvloten die nabij ontwikkelingslanden en op volle zee actief zijn, te kampen hebben met het onoverkomelijke obstakel dat infrastructuur zoals havens, scheepswerven en opslagcentra voor nieuwe brandstoffen en aandrijvingssystemen in die landen niet klaar of geschikt zijn voor gedecarboniseerde vaartuigen;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bis.</w:t>
            </w:r>
            <w:r>
              <w:tab/>
            </w:r>
            <w:r>
              <w:rPr>
                <w:b/>
                <w:i/>
              </w:rPr>
              <w:t>verzoekt de Commissie om, in nauwe samenwerking met de lidstaten, steunmechanismen voor de kleinschalige, ambachtelijke en kustvisserij in te richten en toe te passen waarmee specifieke problemen in dit deel van de sector kunnen worden aangepakt;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4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 ter.</w:t>
            </w:r>
            <w:r>
              <w:tab/>
            </w:r>
            <w:r>
              <w:rPr>
                <w:b/>
                <w:i/>
              </w:rPr>
              <w:t>benadrukt dat het belangrijk is aandacht te hebben voor de bijzondere geografische ligging van ultraperifere gebieden en het feit dat hun vloten het lastig hebben om te voldoen aan het decarbonisatie- en moderniseringsproces dat gepaard gaat met de technologische en duurzame transitie;</w:t>
            </w:r>
            <w:r>
              <w:t xml:space="preserve"> </w:t>
            </w:r>
            <w:r>
              <w:rPr>
                <w:b/>
                <w:i/>
              </w:rPr>
              <w:t>pleit er daarom voor om specifieke decarbonisatie- en moderniseringsmaatregelen te bevorderen om aan de behoeften van deze vloten en gebieden tegemoet te komen;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betreurt het</w:t>
            </w:r>
            <w:r>
              <w:t xml:space="preserve"> dat de </w:t>
            </w:r>
            <w:r>
              <w:rPr>
                <w:b/>
                <w:i/>
              </w:rPr>
              <w:t>financiering in sommige gevallen gekoppeld is aan het</w:t>
            </w:r>
            <w:r>
              <w:t xml:space="preserve"> gebruik van </w:t>
            </w:r>
            <w:r>
              <w:rPr>
                <w:b/>
                <w:i/>
              </w:rPr>
              <w:t>specifieke alternatieve brandstoffen die in sommige regio’s nog niet beschikbaar zijn als gevolg van ontoereikende infrastructuur, waardoor obstakels ontstaan voor de modernisering</w:t>
            </w:r>
            <w:r>
              <w:t xml:space="preserve"> van de </w:t>
            </w:r>
            <w:r>
              <w:rPr>
                <w:b/>
                <w:i/>
              </w:rPr>
              <w:t>vloot</w:t>
            </w:r>
            <w:r>
              <w:t>;</w:t>
            </w:r>
          </w:p>
        </w:tc>
        <w:tc>
          <w:tcPr>
            <w:tcW w:w="4876" w:type="dxa"/>
            <w:tcBorders>
              <w:top w:val="nil"/>
              <w:left w:val="nil"/>
              <w:bottom w:val="nil"/>
              <w:right w:val="nil"/>
            </w:tcBorders>
          </w:tcPr>
          <w:p>
            <w:pPr>
              <w:pStyle w:val="Normal6a"/>
            </w:pPr>
            <w:r>
              <w:t>5.</w:t>
            </w:r>
            <w:r>
              <w:tab/>
            </w:r>
            <w:r>
              <w:rPr>
                <w:b/>
                <w:i/>
              </w:rPr>
              <w:t>benadrukt</w:t>
            </w:r>
            <w:r>
              <w:t xml:space="preserve"> dat de </w:t>
            </w:r>
            <w:r>
              <w:rPr>
                <w:b/>
                <w:i/>
              </w:rPr>
              <w:t>groene transitie in de visserijsector moet worden ondersteund door consistente toepassing van het GVB en een strategisch afgestemd</w:t>
            </w:r>
            <w:r>
              <w:t xml:space="preserve"> gebruik van </w:t>
            </w:r>
            <w:r>
              <w:rPr>
                <w:b/>
                <w:i/>
              </w:rPr>
              <w:t>het EFMZVA en andere financieringsinstrumenten;</w:t>
            </w:r>
            <w:r>
              <w:t xml:space="preserve"> </w:t>
            </w:r>
            <w:r>
              <w:rPr>
                <w:b/>
                <w:i/>
              </w:rPr>
              <w:t>is verheugd dat het in het kader van het huidige EFMZVA mogelijk is bij te dragen aan betere arbeids-, leef- en veiligheidsomstandigheden aan boord van EU-vaartuigen, zonder de visserijcapaciteit te verhogen, met bijzondere aandacht voor kleine kustvisserijvaartuigen; benadrukt dat het EFMZVA bijdraagt aan een duurzamere visserij en de blauwe economie, en daarmee aan de uitvoering van duurzameontwikkelingsdoelstelling 14</w:t>
            </w:r>
            <w:r>
              <w:t xml:space="preserve"> van de </w:t>
            </w:r>
            <w:r>
              <w:rPr>
                <w:b/>
                <w:i/>
              </w:rPr>
              <w:t>VN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{Verts/ALE}</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betreurt het dat de financiering in sommige gevallen gekoppeld is aan het gebruik van specifieke alternatieve brandstoffen die in sommige regio’s nog niet beschikbaar zijn als gevolg van ontoereikende infrastructuur</w:t>
            </w:r>
            <w:r>
              <w:rPr>
                <w:b/>
                <w:i/>
              </w:rPr>
              <w:t>, waardoor obstakels ontstaan voor de modernisering van de vloot</w:t>
            </w:r>
            <w:r>
              <w:t>;</w:t>
            </w:r>
          </w:p>
        </w:tc>
        <w:tc>
          <w:tcPr>
            <w:tcW w:w="4876" w:type="dxa"/>
            <w:tcBorders>
              <w:top w:val="nil"/>
              <w:left w:val="nil"/>
              <w:bottom w:val="nil"/>
              <w:right w:val="nil"/>
            </w:tcBorders>
          </w:tcPr>
          <w:p>
            <w:pPr>
              <w:pStyle w:val="Normal6a"/>
            </w:pPr>
            <w:r>
              <w:t>5.</w:t>
            </w:r>
            <w:r>
              <w:tab/>
            </w:r>
            <w:r>
              <w:t>betreurt het dat de financiering in sommige gevallen gekoppeld is aan het gebruik van specifieke alternatieve brandstoffen die in sommige regio’s nog niet beschikbaar zijn als gevolg van ontoereikende infrastructuur</w:t>
            </w:r>
            <w:r>
              <w:rPr>
                <w:b/>
                <w:i/>
              </w:rPr>
              <w:t>;</w:t>
            </w:r>
            <w:r>
              <w:t xml:space="preserve"> </w:t>
            </w:r>
            <w:r>
              <w:rPr>
                <w:b/>
                <w:i/>
              </w:rPr>
              <w:t>beklemtoont daarom dat er passende investeringen en financiering nodig zijn om de productie van hernieuwbare brandstoffen sneller op te schalen en de juiste infrastructuur sneller uit te rollen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betreurt het dat de financiering in sommige gevallen gekoppeld is aan het gebruik van specifieke alternatieve brandstoffen die </w:t>
            </w:r>
            <w:r>
              <w:rPr>
                <w:b/>
                <w:i/>
              </w:rPr>
              <w:t>in sommige regio’s nog niet</w:t>
            </w:r>
            <w:r>
              <w:t xml:space="preserve"> beschikbaar zijn </w:t>
            </w:r>
            <w:r>
              <w:rPr>
                <w:b/>
                <w:i/>
              </w:rPr>
              <w:t>als gevolg van ontoereikende infrastructuur, waardoor obstakels ontstaan voor de modernisering van de vloot</w:t>
            </w:r>
            <w:r>
              <w:t>;</w:t>
            </w:r>
          </w:p>
        </w:tc>
        <w:tc>
          <w:tcPr>
            <w:tcW w:w="4876" w:type="dxa"/>
            <w:tcBorders>
              <w:top w:val="nil"/>
              <w:left w:val="nil"/>
              <w:bottom w:val="nil"/>
              <w:right w:val="nil"/>
            </w:tcBorders>
          </w:tcPr>
          <w:p>
            <w:pPr>
              <w:pStyle w:val="Normal6a"/>
            </w:pPr>
            <w:r>
              <w:t>5.</w:t>
            </w:r>
            <w:r>
              <w:tab/>
            </w:r>
            <w:r>
              <w:t xml:space="preserve">betreurt het dat de financiering in sommige gevallen </w:t>
            </w:r>
            <w:r>
              <w:rPr>
                <w:b/>
                <w:i/>
              </w:rPr>
              <w:t>uitsluitend</w:t>
            </w:r>
            <w:r>
              <w:t xml:space="preserve"> gekoppeld is aan het gebruik van specifieke alternatieve brandstoffen</w:t>
            </w:r>
            <w:r>
              <w:rPr>
                <w:b/>
                <w:i/>
              </w:rPr>
              <w:t>,</w:t>
            </w:r>
            <w:r>
              <w:t xml:space="preserve"> die </w:t>
            </w:r>
            <w:r>
              <w:rPr>
                <w:b/>
                <w:i/>
              </w:rPr>
              <w:t>nog steeds zeer beperkt</w:t>
            </w:r>
            <w:r>
              <w:t> beschikbaar zijn</w:t>
            </w:r>
            <w:r>
              <w:rPr>
                <w:b/>
                <w:i/>
              </w:rPr>
              <w:t>;</w:t>
            </w:r>
            <w:r>
              <w:t xml:space="preserve"> </w:t>
            </w:r>
            <w:r>
              <w:rPr>
                <w:b/>
                <w:i/>
              </w:rPr>
              <w:t>dringt erop aan het prioritaire gebruik van hernieuwbare koolstofarme brandstoffen die compatibel zijn met de huidige motoren te onderzoeken en vraagt om die in de eerste plaats aan de visserijsector toe te wijzen en pas daarna aan andere moeilijk te elektrificeren sectoren</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France Jamet,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betreurt het dat de financiering in sommige gevallen gekoppeld is aan het gebruik van specifieke alternatieve brandstoffen die in sommige regio’s nog niet beschikbaar zijn als gevolg van ontoereikende infrastructuur, waardoor obstakels ontstaan voor de modernisering van de vloot;</w:t>
            </w:r>
          </w:p>
        </w:tc>
        <w:tc>
          <w:tcPr>
            <w:tcW w:w="4876" w:type="dxa"/>
            <w:tcBorders>
              <w:top w:val="nil"/>
              <w:left w:val="nil"/>
              <w:bottom w:val="nil"/>
              <w:right w:val="nil"/>
            </w:tcBorders>
          </w:tcPr>
          <w:p>
            <w:pPr>
              <w:pStyle w:val="Normal6a"/>
            </w:pPr>
            <w:r>
              <w:t>5.</w:t>
            </w:r>
            <w:r>
              <w:tab/>
            </w:r>
            <w:r>
              <w:t xml:space="preserve">betreurt het dat de financiering in sommige gevallen gekoppeld is aan het gebruik van specifieke alternatieve brandstoffen die in sommige regio’s nog niet beschikbaar zijn als gevolg van ontoereikende infrastructuur, waardoor obstakels ontstaan voor de modernisering van de vloot </w:t>
            </w:r>
            <w:r>
              <w:rPr>
                <w:b/>
                <w:i/>
              </w:rPr>
              <w:t>en vissers oneerlijk worden bestraft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betreurt het</w:t>
            </w:r>
            <w:r>
              <w:t xml:space="preserve"> dat de financiering in sommige gevallen gekoppeld is aan het gebruik van specifieke alternatieve brandstoffen die in sommige regio’s nog niet beschikbaar zijn </w:t>
            </w:r>
            <w:r>
              <w:rPr>
                <w:b/>
                <w:i/>
              </w:rPr>
              <w:t>als gevolg van ontoereikende infrastructuur</w:t>
            </w:r>
            <w:r>
              <w:t xml:space="preserve">, waardoor </w:t>
            </w:r>
            <w:r>
              <w:rPr>
                <w:b/>
                <w:i/>
              </w:rPr>
              <w:t>obstakels</w:t>
            </w:r>
            <w:r>
              <w:t xml:space="preserve"> ontstaan voor de modernisering van de vloot;</w:t>
            </w:r>
          </w:p>
        </w:tc>
        <w:tc>
          <w:tcPr>
            <w:tcW w:w="4876" w:type="dxa"/>
            <w:tcBorders>
              <w:top w:val="nil"/>
              <w:left w:val="nil"/>
              <w:bottom w:val="nil"/>
              <w:right w:val="nil"/>
            </w:tcBorders>
          </w:tcPr>
          <w:p>
            <w:pPr>
              <w:pStyle w:val="Normal6a"/>
            </w:pPr>
            <w:r>
              <w:t>5.</w:t>
            </w:r>
            <w:r>
              <w:tab/>
            </w:r>
            <w:r>
              <w:rPr>
                <w:b/>
                <w:i/>
              </w:rPr>
              <w:t>neemt er akte van</w:t>
            </w:r>
            <w:r>
              <w:t xml:space="preserve"> dat de financiering in sommige gevallen gekoppeld is aan het gebruik van specifieke alternatieve brandstoffen die in sommige regio’s nog niet beschikbaar zijn, waardoor </w:t>
            </w:r>
            <w:r>
              <w:rPr>
                <w:b/>
                <w:i/>
              </w:rPr>
              <w:t>er problemen</w:t>
            </w:r>
            <w:r>
              <w:t xml:space="preserve"> ontstaan voor de modernisering van de vloot;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betreurt het</w:t>
            </w:r>
            <w:r>
              <w:t xml:space="preserve"> dat de financiering </w:t>
            </w:r>
            <w:r>
              <w:rPr>
                <w:b/>
                <w:i/>
              </w:rPr>
              <w:t>in sommige gevallen</w:t>
            </w:r>
            <w:r>
              <w:t xml:space="preserve"> gekoppeld </w:t>
            </w:r>
            <w:r>
              <w:rPr>
                <w:b/>
                <w:i/>
              </w:rPr>
              <w:t>is</w:t>
            </w:r>
            <w:r>
              <w:t xml:space="preserve"> aan het gebruik van specifieke alternatieve brandstoffen die in sommige regio’s nog niet beschikbaar zijn als gevolg van ontoereikende infrastructuur, waardoor obstakels ontstaan voor de modernisering van de vloot;</w:t>
            </w:r>
          </w:p>
        </w:tc>
        <w:tc>
          <w:tcPr>
            <w:tcW w:w="4876" w:type="dxa"/>
            <w:tcBorders>
              <w:top w:val="nil"/>
              <w:left w:val="nil"/>
              <w:bottom w:val="nil"/>
              <w:right w:val="nil"/>
            </w:tcBorders>
          </w:tcPr>
          <w:p>
            <w:pPr>
              <w:pStyle w:val="Normal6a"/>
            </w:pPr>
            <w:r>
              <w:t>5.</w:t>
            </w:r>
            <w:r>
              <w:tab/>
            </w:r>
            <w:r>
              <w:rPr>
                <w:b/>
                <w:i/>
              </w:rPr>
              <w:t>is van mening</w:t>
            </w:r>
            <w:r>
              <w:t xml:space="preserve"> dat de financiering </w:t>
            </w:r>
            <w:r>
              <w:rPr>
                <w:b/>
                <w:i/>
              </w:rPr>
              <w:t>niet</w:t>
            </w:r>
            <w:r>
              <w:t xml:space="preserve"> gekoppeld </w:t>
            </w:r>
            <w:r>
              <w:rPr>
                <w:b/>
                <w:i/>
              </w:rPr>
              <w:t>mag zijn</w:t>
            </w:r>
            <w:r>
              <w:t xml:space="preserve"> aan het gebruik van specifieke alternatieve brandstoffen</w:t>
            </w:r>
            <w:r>
              <w:rPr>
                <w:b/>
                <w:i/>
              </w:rPr>
              <w:t>,</w:t>
            </w:r>
            <w:r>
              <w:t xml:space="preserve"> die in sommige regio’s nog niet beschikbaar zijn als gevolg van ontoereikende infrastructuur, waardoor obstakels ontstaan voor de modernisering van de vloot;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dringt erop aan dat het GVB over de hele lijn wordt toegepast op alle vissersvloten van de EU om ervoor te zorgen dat het beheer van visserij- en aquacultuuractiviteiten ertoe leidt dat er sociaal-economische voordelen ontstaan, de beschikbaarheid van levensmiddelen wordt gegarandeerd en de gevolgen van de specifieke activiteiten van die vissersvloten voor habitats en mariene ecosystemen tot een minimum worden beperkt, waarbij de populaties van gevangen soorten boven de niveaus worden gebracht en gehouden die de maximale duurzame opbrengst kunnen opleveren;</w:t>
            </w:r>
            <w:r>
              <w:t xml:space="preserve"> </w:t>
            </w:r>
            <w:r>
              <w:rPr>
                <w:b/>
                <w:i/>
              </w:rPr>
              <w:t>is van mening dat bij de toepassing van het GVB rekening moet worden gehouden met de specifieke kenmerken van de verschillende zeebekkens;</w:t>
            </w:r>
            <w:r>
              <w:t xml:space="preserve"> </w:t>
            </w:r>
            <w:r>
              <w:rPr>
                <w:b/>
                <w:i/>
              </w:rPr>
              <w:t>onderstreept hoe belangrijk het is om het EFMZVA volledig te mobiliseren teneinde de energietransitie en de sociaal-economische en milieudoelstellingen van het GVB te ondersteunen;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benadrukt dat een alomvattende aanpak noodzakelijk is in de hele maritieme waardeketen (reders, havens, energieleveranciers, scheepswerven, adviesbureaus, leveranciers van uitrusting, classificatiebureaus, financiers, onderzoekers enz.) en dat hiervoor moet worden samengewerkt via initiatieven zoals het programma voor emissievrije schepen en havens;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beklemtoont dat onze voedselsystemen moeten veranderen, gezien de uitstoot van de verwerkende sector en alle toeleveringsketens, en dat korte waardeketens, regelingen voor rechtstreekse verkoop en nieuwe modellen voor de productie en consumptie van visserijproducten moeten worden bevorderd;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is van mening dat beleidsmakers in dialoog moeten gaan met de sector op lokaal niveau om samen met hen oplossingen te vinden in plaats van deze van bovenaf op te leggen;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betreurt het feit dat de financiële stimulansen niet volstaan om aan de behoeften te voldoen, en houdt vol dat er nieuwe financiële hefbomen moeten worden ontwikkeld en gebruikt;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benadrukt dat alle belanghebbenden – de visserij- en aquacultuursector, maar ook de scheepswerven en leveranciers van uitrusting, havens, reders, onderzoekscentra enz. – bij de besprekingen moeten worden betrokken om concrete en realistische manieren voor de modernisering van de vloot te vinden;</w:t>
            </w:r>
            <w:r>
              <w:t xml:space="preserve"> </w:t>
            </w:r>
            <w:r>
              <w:rPr>
                <w:b/>
                <w:i/>
              </w:rPr>
              <w:t>is in dit verband ingenomen met de werkzaamheden van het Europees partnerschap voor de energietransitie van de vissersvloot;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wijst erop dat bij de lopende en eventuele toekomstige evaluatie van het GVB de toestand van de EU-vloot en noodzakelijke verbeteringen moeten worden beoordeeld en in aanmerking moeten worden genomen;</w:t>
            </w:r>
            <w:r>
              <w:t xml:space="preserve"> </w:t>
            </w:r>
            <w:r>
              <w:rPr>
                <w:b/>
                <w:i/>
              </w:rPr>
              <w:t>benadrukt dat het belangrijk is via het GVB steun te bieden om de EU-vissersvloot in zijn drie dimensies volledig te verduurzamen en daartoe in de noodzakelijke en passende financiering in het toekomstige EFMZVA te voorzien;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quater.</w:t>
            </w:r>
            <w:r>
              <w:tab/>
            </w:r>
            <w:r>
              <w:rPr>
                <w:b/>
                <w:i/>
              </w:rPr>
              <w:t>beklemtoont dat er een andere aanpak nodig is om de visserijsector van de ultraperifere gebieden decarboniseren, gezien de grote afstand, het insulaire karakter en de kleine oppervlakte ervan;</w:t>
            </w:r>
            <w:r>
              <w:t xml:space="preserve"> </w:t>
            </w:r>
            <w:r>
              <w:rPr>
                <w:b/>
                <w:i/>
              </w:rPr>
              <w:t>onderstreept dat de specifieke kenmerken van deze gebieden, zoals beschreven in artikel 349 VWEU, volledig in aanmerking moeten worden genomen bij het ontwerpen en uitvoeren van financieringsinstrumenten, regelgevingskaders en innovatiestrategieën;</w:t>
            </w:r>
            <w:r>
              <w:t xml:space="preserve"> </w:t>
            </w:r>
            <w:r>
              <w:rPr>
                <w:b/>
                <w:i/>
              </w:rPr>
              <w:t>pleit ervoor de subsidiabiliteitscriteria en investeringsprioriteiten in het kader van het EFMZVA en andere EU-instrumenten aan te passen om rekening te houden met de structurele belemmeringen en ecologische kwetsbaarheden van de ultraperifere gebieden en daarbij te waarborgen dat de ongelijkheid als gevolg van de energietransitie niet verergert en de sociaal-economische duurzaamheid van deze gebieden niet wordt belemmerd;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quater.</w:t>
            </w:r>
            <w:r>
              <w:tab/>
            </w:r>
            <w:r>
              <w:rPr>
                <w:b/>
                <w:i/>
              </w:rPr>
              <w:t>is van mening dat het geen zin heeft om minder afhankelijk te worden van fossiele brandstoffen uit derde landen als dit slechts leidt tot een grotere afhankelijkheid van andere derde landen voor de bouw en modernisering van de Europese vloot;</w:t>
            </w:r>
            <w:r>
              <w:t xml:space="preserve"> </w:t>
            </w:r>
            <w:r>
              <w:rPr>
                <w:b/>
                <w:i/>
              </w:rPr>
              <w:t>dringt erop aan dat de strategische autonomie van de EU systematisch in aanmerking wordt genomen bij elke beleidsmaatregel met betrekking tot de energietransitie of modernisering van de vloot, met name in het kader van de toekomstige strategie voor de maritieme industrie;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quinquies.</w:t>
            </w:r>
            <w:r>
              <w:tab/>
            </w:r>
            <w:r>
              <w:rPr>
                <w:b/>
                <w:i/>
              </w:rPr>
              <w:t>dringt erop aan dat de vissersvloot wordt opgenomen in de doelstelling van de strategie voor de maritieme industrie om de blauwe economie te ondersteunen en het mondiale leiderschap van Europa op het gebied van maritieme technologieën veilig te stellen of te herstellen;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Beperkingen van regelgevende aard</w:t>
            </w:r>
          </w:p>
        </w:tc>
        <w:tc>
          <w:tcPr>
            <w:tcW w:w="4876" w:type="dxa"/>
            <w:tcBorders>
              <w:top w:val="nil"/>
              <w:left w:val="nil"/>
              <w:bottom w:val="nil"/>
              <w:right w:val="nil"/>
            </w:tcBorders>
          </w:tcPr>
          <w:p>
            <w:pPr>
              <w:pStyle w:val="Normal6a"/>
            </w:pPr>
            <w:r>
              <w:rPr>
                <w:b/>
                <w:i/>
              </w:rPr>
              <w:t>Modernisering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5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quinquies.</w:t>
            </w:r>
            <w:r>
              <w:tab/>
            </w:r>
            <w:r>
              <w:rPr>
                <w:b/>
                <w:i/>
              </w:rPr>
              <w:t>onderstreept dat gedeelde zeebekkens bijzonder kwetsbaar zijn voor de milieugevolgen van schadelijke visserijpraktijken, die niet alleen door vaartuigen van de EU worden uitgevoerd;</w:t>
            </w:r>
            <w:r>
              <w:t xml:space="preserve"> </w:t>
            </w:r>
            <w:r>
              <w:rPr>
                <w:b/>
                <w:i/>
              </w:rPr>
              <w:t>pleit voor nauwere samenwerking met derde landen die in dezelfde maritieme regio’s actief zijn, met name in het kader van regionale organisaties voor visserijbeheer (ROVB’s), om optimale werkwijzen uit te wisselen, investeringen te coördineren en gemeenschappelijke doelstellingen vast te leggen voor de decarbonisatie en milieuduurzaamheid van de visserij;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6.</w:t>
            </w:r>
            <w:r>
              <w:tab/>
            </w:r>
            <w:r>
              <w:rPr>
                <w:b/>
                <w:i/>
              </w:rPr>
              <w:t>benadrukt dat het GVB strikte capaciteitsbeperkingen oplegt op basis van brutotonnage, waardoor de installatie van nieuwe aandrijvingssystemen en technologieën voor brandstofopslag wordt beperkt;</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 wordt beperkt;</w:t>
            </w:r>
          </w:p>
        </w:tc>
        <w:tc>
          <w:tcPr>
            <w:tcW w:w="4876" w:type="dxa"/>
            <w:tcBorders>
              <w:top w:val="nil"/>
              <w:left w:val="nil"/>
              <w:bottom w:val="nil"/>
              <w:right w:val="nil"/>
            </w:tcBorders>
          </w:tcPr>
          <w:p>
            <w:pPr>
              <w:pStyle w:val="Normal6a"/>
            </w:pPr>
            <w:r>
              <w:t>6.</w:t>
            </w:r>
            <w:r>
              <w:tab/>
            </w:r>
            <w:r>
              <w:t xml:space="preserve">benadrukt dat het GVB strikte capaciteitsbeperkingen oplegt op basis van brutotonnage, waardoor de installatie van nieuwe aandrijvingssystemen en technologieën voor brandstofopslag wordt beperkt; </w:t>
            </w:r>
            <w:r>
              <w:rPr>
                <w:b/>
                <w:i/>
              </w:rPr>
              <w:t>wijst er in dat verband op hoe belangrijk de GVB-doelstellingen zijn om overcapaciteit en overbevissing te verminderen;</w:t>
            </w:r>
            <w:r>
              <w:t xml:space="preserve"> </w:t>
            </w:r>
            <w:r>
              <w:rPr>
                <w:b/>
                <w:i/>
              </w:rPr>
              <w:t>wijst erop dat overcapaciteit overbevissing aanwakkert en de concurrentie om beperkte mariene hulpbronnen vergroot, wat leidt tot dalende winstgevendheid en bestaansmiddelen voor de visserijsector;</w:t>
            </w:r>
            <w:r>
              <w:t xml:space="preserve"> </w:t>
            </w:r>
            <w:r>
              <w:rPr>
                <w:b/>
                <w:i/>
              </w:rPr>
              <w:t>benadrukt dat de doelstelling van artikel 22 van de GVB-verordening nog steeds niet is gehaald en dat er de afgelopen jaren gevallen van fraude met het motorvermogen zijn gemeld;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 wordt beperkt;</w:t>
            </w:r>
          </w:p>
        </w:tc>
        <w:tc>
          <w:tcPr>
            <w:tcW w:w="4876" w:type="dxa"/>
            <w:tcBorders>
              <w:top w:val="nil"/>
              <w:left w:val="nil"/>
              <w:bottom w:val="nil"/>
              <w:right w:val="nil"/>
            </w:tcBorders>
          </w:tcPr>
          <w:p>
            <w:pPr>
              <w:pStyle w:val="Normal6a"/>
            </w:pPr>
            <w:r>
              <w:t>6.</w:t>
            </w:r>
            <w:r>
              <w:tab/>
            </w:r>
            <w:r>
              <w:t xml:space="preserve">benadrukt dat het GVB strikte capaciteitsbeperkingen oplegt op basis van brutotonnage, waardoor de installatie van nieuwe aandrijvingssystemen en technologieën voor brandstofopslag wordt beperkt; </w:t>
            </w:r>
            <w:r>
              <w:rPr>
                <w:b/>
                <w:i/>
              </w:rPr>
              <w:t>dringt aan op een spoedige herziening van de definitie van vangstcapaciteit in het GVB, zodat woongedeelten (kajuit, toiletten, kombuis enz.) die nodig zijn voor het welzijn van de bemanning niet worden meegeteld, teneinde de installatie van nieuwe technologieën te vergemakkelijken en de arbeidsomstandigheden aan boord te verbeteren;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benadrukt dat het GVB strikte capaciteitsbeperkingen </w:t>
            </w:r>
            <w:r>
              <w:rPr>
                <w:b/>
                <w:i/>
              </w:rPr>
              <w:t>oplegt</w:t>
            </w:r>
            <w:r>
              <w:t xml:space="preserve"> op basis van brutotonnage</w:t>
            </w:r>
            <w:r>
              <w:rPr>
                <w:b/>
                <w:i/>
              </w:rPr>
              <w:t>, waardoor</w:t>
            </w:r>
            <w:r>
              <w:t xml:space="preserve"> de installatie van nieuwe aandrijvingssystemen en technologieën voor brandstofopslag </w:t>
            </w:r>
            <w:r>
              <w:rPr>
                <w:b/>
                <w:i/>
              </w:rPr>
              <w:t>wordt beperkt</w:t>
            </w:r>
            <w:r>
              <w:t>;</w:t>
            </w:r>
          </w:p>
        </w:tc>
        <w:tc>
          <w:tcPr>
            <w:tcW w:w="4876" w:type="dxa"/>
            <w:tcBorders>
              <w:top w:val="nil"/>
              <w:left w:val="nil"/>
              <w:bottom w:val="nil"/>
              <w:right w:val="nil"/>
            </w:tcBorders>
          </w:tcPr>
          <w:p>
            <w:pPr>
              <w:pStyle w:val="Normal6a"/>
            </w:pPr>
            <w:r>
              <w:t>6.</w:t>
            </w:r>
            <w:r>
              <w:tab/>
            </w:r>
            <w:r>
              <w:t xml:space="preserve">benadrukt dat het GVB strikte capaciteitsbeperkingen </w:t>
            </w:r>
            <w:r>
              <w:rPr>
                <w:b/>
                <w:i/>
              </w:rPr>
              <w:t>omvat</w:t>
            </w:r>
            <w:r>
              <w:t xml:space="preserve"> op basis van brutotonnage</w:t>
            </w:r>
            <w:r>
              <w:rPr>
                <w:b/>
                <w:i/>
              </w:rPr>
              <w:t>;</w:t>
            </w:r>
            <w:r>
              <w:t xml:space="preserve"> </w:t>
            </w:r>
            <w:r>
              <w:rPr>
                <w:b/>
                <w:i/>
              </w:rPr>
              <w:t>beklemtoont dat het aan de lidstaten is hun nationale capaciteitsmaxima te beheren;</w:t>
            </w:r>
            <w:r>
              <w:t xml:space="preserve"> </w:t>
            </w:r>
            <w:r>
              <w:rPr>
                <w:b/>
                <w:i/>
              </w:rPr>
              <w:t>wijst erop dat de toepassing van deze grenswaarden in combinatie met de restrictieve benadering van de lidstaten in de visserijsector tot belemmeringen heeft geleid voor</w:t>
            </w:r>
            <w:r>
              <w:t xml:space="preserve"> de installatie van nieuwe aandrijvingssystemen en technologieën voor brandstofopslag;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 wordt beperkt;</w:t>
            </w:r>
          </w:p>
        </w:tc>
        <w:tc>
          <w:tcPr>
            <w:tcW w:w="4876" w:type="dxa"/>
            <w:tcBorders>
              <w:top w:val="nil"/>
              <w:left w:val="nil"/>
              <w:bottom w:val="nil"/>
              <w:right w:val="nil"/>
            </w:tcBorders>
          </w:tcPr>
          <w:p>
            <w:pPr>
              <w:pStyle w:val="Normal6a"/>
            </w:pPr>
            <w:r>
              <w:t>6.</w:t>
            </w:r>
            <w:r>
              <w:tab/>
            </w:r>
            <w:r>
              <w:t xml:space="preserve">benadrukt dat het GVB strikte capaciteitsbeperkingen oplegt op basis van brutotonnage, waardoor de installatie van nieuwe aandrijvingssystemen en technologieën voor brandstofopslag wordt beperkt; </w:t>
            </w:r>
            <w:r>
              <w:rPr>
                <w:b/>
                <w:i/>
              </w:rPr>
              <w:t>merkt op dat veel nieuwe technologieën en motoren meer ruimte nodig hebben, waardoor de bestaande capaciteitslimieten in feite verouderd zijn;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 wordt beperkt;</w:t>
            </w:r>
          </w:p>
        </w:tc>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 wordt beperkt</w:t>
            </w:r>
            <w:r>
              <w:rPr>
                <w:b/>
                <w:i/>
              </w:rPr>
              <w:t>, en een belemmering vormt voor veranderingen wat betreft de veiligheid en de verbetering van de arbeidsomstandigheden en basisvoorzieningen voor vissers</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 wordt beperkt;</w:t>
            </w:r>
          </w:p>
        </w:tc>
        <w:tc>
          <w:tcPr>
            <w:tcW w:w="4876" w:type="dxa"/>
            <w:tcBorders>
              <w:top w:val="nil"/>
              <w:left w:val="nil"/>
              <w:bottom w:val="nil"/>
              <w:right w:val="nil"/>
            </w:tcBorders>
          </w:tcPr>
          <w:p>
            <w:pPr>
              <w:pStyle w:val="Normal6a"/>
            </w:pPr>
            <w:r>
              <w:t>6.</w:t>
            </w:r>
            <w:r>
              <w:tab/>
            </w:r>
            <w:r>
              <w:t>benadrukt dat het GVB strikte capaciteitsbeperkingen oplegt op basis van brutotonnage, waardoor de installatie van nieuwe aandrijvingssystemen en technologieën voor brandstofopslag</w:t>
            </w:r>
            <w:r>
              <w:rPr>
                <w:b/>
                <w:i/>
              </w:rPr>
              <w:t>, alsook sociale ruimten of verbeteringen aan de veiligheid en stabiliteit van vaartuigen,</w:t>
            </w:r>
            <w:r>
              <w:t xml:space="preserve"> wordt beperkt;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is van mening dat een systeem van visserijbeheer, zoals het systeem dat momenteel wordt toegepast in alle geografische deelgebieden – in de Middellandse Zee of elders – op basis van het monitoren van visactiviteit door middel van dagen waarop wordt gevist en maximale vangstquota, hetgeen vanuit het oogpunt van instandhouding en commerciële waarde voor het merendeel van de belangrijkste visbestanden ofwel rechtstreeks door de EU ofwel via de GFCM reeds is ingevoerd, een rechtvaardiging zou kunnen vormen voor een herziening van de benadering die in het gemeenschappelijk visserijbeleid gehanteerd wordt, onder meer op een structureel beleidsniveau;</w:t>
            </w:r>
            <w:r>
              <w:t xml:space="preserve"> </w:t>
            </w:r>
            <w:r>
              <w:rPr>
                <w:b/>
                <w:i/>
              </w:rPr>
              <w:t>is van mening dat een dergelijke herziening ruimte zou moeten scheppen voor een flexibeler inzet van EFMZVA-middelen teneinde steun te bieden aan het vernieuwen van de vloot en daarmee zowel de milieu-efficiëntie als de veiligheid aan boord voor de bemanning te verbeteren;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benadrukt dat de modernisering van de vissersvloot van de EU centraal staat in de transitie naar een duurzamere en veerkrachtigere sector en betrekking moet hebben op zowel technologische als menselijke uitdagingen, zodat wordt gestreefd naar energie-efficiëntie, digitale capaciteit en operationele veiligheid en tegelijk de arbeidsomstandigheden aan boord worden verbeterd;</w:t>
            </w:r>
            <w:r>
              <w:t xml:space="preserve"> </w:t>
            </w:r>
            <w:r>
              <w:rPr>
                <w:b/>
                <w:i/>
              </w:rPr>
              <w:t>pleit ervoor om in eerste plaats overheidssteun te verstrekken voor de modernisering van vaartuigen met het oog op milieuwinst, sociale vooruitgang en, binnen de nationale capaciteitsmaxima, een grotere capaciteit om de vangst aan boord goed te kunnen bewaren, met inbegrip van gekoelde opslag en bewaarsystemen;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herhaalt dat een grotere brutotonnage of een aangepast ontwerp van vaartuigen met het oog op met alternatieve aandrijvingen of grotere veiligheid niet mogen worden gelijkgesteld met overbevissingscapaciteit;</w:t>
            </w:r>
            <w:r>
              <w:t xml:space="preserve"> </w:t>
            </w:r>
            <w:r>
              <w:rPr>
                <w:b/>
                <w:i/>
              </w:rPr>
              <w:t>benadrukt dat het voor een billijk en op feiten gebaseerd beleidskader noodzakelijk is capaciteit en inspanningen van elkaar los te koppelen;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is van mening dat de uitdagingen waar de sector mee kampt als gevolg van de decarbonisatie en modernisering van de vloot moeten worden aangepakt in het kader van een bredere en fundamentele hervorming van het GVB;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ter.</w:t>
            </w:r>
            <w:r>
              <w:tab/>
            </w:r>
            <w:r>
              <w:rPr>
                <w:b/>
                <w:i/>
              </w:rPr>
              <w:t>is van mening dat bij generatievernieuwing rekening moet worden gehouden met de doelstellingen van de Europese Green Deal en de behoefte om ook in de blauwe economie een digitale transitie te bewerkstelligen;</w:t>
            </w:r>
            <w:r>
              <w:t xml:space="preserve"> </w:t>
            </w:r>
            <w:r>
              <w:rPr>
                <w:b/>
                <w:i/>
              </w:rPr>
              <w:t>is daarom van mening dat niet alleen jonge mensen moeten worden aangetrokken om in de visserij te werken, maar dat er ook voor moet worden gezorgd dat zij worden geïnformeerd en naar behoren worden opgeleid, en dat hun aantrekkelijke loopbaanperspectieven worden geboden, alsmede de kans om hun persoonlijke situatie te verbeteren ― vooral door hun inkomen beter en duurzamer te maken ― en bij te dragen aan de cohesie van hun lokale gemeenschappen, met name in de meest afgelegen kustgebieden en gebieden waar minder werk is, zodat zij kunnen bijdragen aan economische, sociale en ecologische veranderingen in deze gebieden; is daarnaast van mening dat de rol van vrouwen in de sector moet worden vergroot door middel van betere mogelijkheden qua mobiliteit en werkgelegenheid in de hele EU, zonder moeilijkheden of beperkingen met betrekking tot de erkenning van hun vaardigheden en opleiding;</w:t>
            </w:r>
            <w:r>
              <w:t xml:space="preserve"> </w:t>
            </w:r>
            <w:r>
              <w:rPr>
                <w:b/>
                <w:i/>
              </w:rPr>
              <w:t>is van mening dat generatievernieuwing niet mag leiden tot een botsing tussen generaties en dat deze vissers van alle leeftijden moet omvatten, zodat er voor een evenwichtige ecologische en digitale transitie wordt gezorgd waarbij geen van generatie op generatie overgedragen ervaring verloren gaat;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quater.</w:t>
            </w:r>
            <w:r>
              <w:tab/>
            </w:r>
            <w:r>
              <w:rPr>
                <w:b/>
                <w:i/>
              </w:rPr>
              <w:t>wijst erop dat digitalisering van strategisch belang is om de operationele efficiëntie, de veiligheid op zee en de arbeidsomstandigheden van vissers te verbeteren;</w:t>
            </w:r>
            <w:r>
              <w:t xml:space="preserve"> </w:t>
            </w:r>
            <w:r>
              <w:rPr>
                <w:b/>
                <w:i/>
              </w:rPr>
              <w:t>onderstreept dat de toepassing van digitale instrumenten en systemen waarmee de navigatie, weersvoorspellingen, communicatie en traceerbaarheid worden verbeterd, moet worden ondersteund, met name bij kleinschalige vloten;</w:t>
            </w:r>
            <w:r>
              <w:t xml:space="preserve"> </w:t>
            </w:r>
            <w:r>
              <w:rPr>
                <w:b/>
                <w:i/>
              </w:rPr>
              <w:t>beklemtoont dat de digitale transitie hand in hand moet gaan met passende opleidingen, capaciteitsopbouw en het ontwerpen van inclusieve technologieën, waarbij rekening wordt gehouden met de diversiteit van de gebruikers en ervoor wordt gezorgd dat digitale oplossingen bijdragen aan een betere arbeidsomgeving en een eerlijkere verdeling van technologische voordelen binnen de sector;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quinquies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quinquies.</w:t>
            </w:r>
            <w:r>
              <w:tab/>
            </w:r>
            <w:r>
              <w:rPr>
                <w:b/>
                <w:i/>
              </w:rPr>
              <w:t>benadrukt dat de prioriteit bij de modernisering van de vissersvloten moet uitgaan naar betere arbeids- en levensomstandigheden aan boord, met name in vloten waar de basisnormen inzake bewoonbaarheid en veiligheid niet worden gehaald;</w:t>
            </w:r>
            <w:r>
              <w:t xml:space="preserve"> </w:t>
            </w:r>
            <w:r>
              <w:rPr>
                <w:b/>
                <w:i/>
              </w:rPr>
              <w:t>onderstreept dat er met spoed iets moet worden gedaan aan het gebrek aan overdekte werkruimten, sanitaire voorzieningen, adequate rustplekken en veiligheidsuitrusting, wat vaak voorkomt bij veel kleine en ambachtelijke vaartuigen;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sexies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sexies.</w:t>
            </w:r>
            <w:r>
              <w:tab/>
            </w:r>
            <w:r>
              <w:rPr>
                <w:b/>
                <w:i/>
              </w:rPr>
              <w:t>pleit ervoor specifieke financiering toe te wijzen als steun om vaartuigen aan te passen zodat ze voldoen aan de minimumnormen voor het welzijn van werknemers, in overeenstemming met de vereisten inzake gezondheid en veiligheid op het werk en internationale maritieme arbeidsverdragen, waaronder toegang tot drinkwater, veilige accommodatie, geschikte voeding, bescherming tegen vermoeidheid en medische zorg;</w:t>
            </w:r>
            <w:r>
              <w:t xml:space="preserve"> </w:t>
            </w:r>
            <w:r>
              <w:rPr>
                <w:b/>
                <w:i/>
              </w:rPr>
              <w:t>is van mening dat deze verbeteringen van essentieel belang zijn om de waardigheid op het werk te garanderen, ongevallen te voorkomen en de sociale duurzaamheid van de sector te bevorderen;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septies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septies.</w:t>
            </w:r>
            <w:r>
              <w:tab/>
            </w:r>
            <w:r>
              <w:rPr>
                <w:b/>
                <w:i/>
              </w:rPr>
              <w:t>beklemtoont dat modernisering ook moet bijdragen aan de economische levensvatbaarheid en het concurrentievermogen van de visserijsector van de EU, met name in kust- en eilandgebieden waar de visserij nog steeds een belangrijke bron van werkgelegenheid en inkomsten is;</w:t>
            </w:r>
            <w:r>
              <w:t xml:space="preserve"> </w:t>
            </w:r>
            <w:r>
              <w:rPr>
                <w:b/>
                <w:i/>
              </w:rPr>
              <w:t>onderstreept dat investeringen in de aanpassing van vaartuigen, digitale instrumenten en bewaartechnieken aan boord kunnen helpen de exploitatiekosten te verlagen, de productkwaliteit te verhogen en de marktwaarde van vangsten te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6 octies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octies.</w:t>
            </w:r>
            <w:r>
              <w:tab/>
            </w:r>
            <w:r>
              <w:rPr>
                <w:b/>
                <w:i/>
              </w:rPr>
              <w:t>verzoekt de lidstaten nationale en Europese financiële steun te gebruiken om in de eerste plaats moderniseringsstrategieën te ondersteunen waarbij de langetermijnduurzaamheid van visserijondernemingen wordt versterkt, lokale waardeketens worden bevorderd en wordt gewaarborgd dat vissers onder billijke, voorspelbare en economisch haalbare omstandigheden kunnen blijven werken;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benadrukt dat </w:t>
            </w:r>
            <w:r>
              <w:rPr>
                <w:b/>
                <w:i/>
              </w:rPr>
              <w:t>te restrictieve</w:t>
            </w:r>
            <w:r>
              <w:t xml:space="preserve"> voorwaarden op grond van de artikelen 17 t/m 19 van EFMZVA </w:t>
            </w:r>
            <w:r>
              <w:rPr>
                <w:b/>
                <w:i/>
              </w:rPr>
              <w:t>de</w:t>
            </w:r>
            <w:r>
              <w:t xml:space="preserve"> steun voor de aankoop van een </w:t>
            </w:r>
            <w:r>
              <w:rPr>
                <w:b/>
                <w:i/>
              </w:rPr>
              <w:t>eerste vaartuig, de</w:t>
            </w:r>
            <w:r>
              <w:t xml:space="preserve"> vervanging van </w:t>
            </w:r>
            <w:r>
              <w:rPr>
                <w:b/>
                <w:i/>
              </w:rPr>
              <w:t>motoren en de verhoging van de tonnage van</w:t>
            </w:r>
            <w:r>
              <w:t xml:space="preserve"> vaartuigen </w:t>
            </w:r>
            <w:r>
              <w:rPr>
                <w:b/>
                <w:i/>
              </w:rPr>
              <w:t>beperken, zelfs wanneer deze gericht zijn</w:t>
            </w:r>
            <w:r>
              <w:t xml:space="preserve"> op het </w:t>
            </w:r>
            <w:r>
              <w:rPr>
                <w:b/>
                <w:i/>
              </w:rPr>
              <w:t>verbeteren van de veiligheid</w:t>
            </w:r>
            <w:r>
              <w:t xml:space="preserve"> of de </w:t>
            </w:r>
            <w:r>
              <w:rPr>
                <w:b/>
                <w:i/>
              </w:rPr>
              <w:t>energie-efficiëntie;</w:t>
            </w:r>
            <w:r>
              <w:t xml:space="preserve"> </w:t>
            </w:r>
            <w:r>
              <w:rPr>
                <w:b/>
                <w:i/>
              </w:rPr>
              <w:t>onderstreept dat het versoepelen van</w:t>
            </w:r>
            <w:r>
              <w:t xml:space="preserve"> deze subsidiabiliteitscriteria de steun in de praktijk toegankelijker en zinvoller </w:t>
            </w:r>
            <w:r>
              <w:rPr>
                <w:b/>
                <w:i/>
              </w:rPr>
              <w:t>kan</w:t>
            </w:r>
            <w:r>
              <w:t xml:space="preserve"> maken zonder de duurzaamheidsdoelstellingen in het gedrang te brengen;</w:t>
            </w:r>
          </w:p>
        </w:tc>
        <w:tc>
          <w:tcPr>
            <w:tcW w:w="4876" w:type="dxa"/>
            <w:tcBorders>
              <w:top w:val="nil"/>
              <w:left w:val="nil"/>
              <w:bottom w:val="nil"/>
              <w:right w:val="nil"/>
            </w:tcBorders>
          </w:tcPr>
          <w:p>
            <w:pPr>
              <w:pStyle w:val="Normal6a"/>
            </w:pPr>
            <w:r>
              <w:t>7.</w:t>
            </w:r>
            <w:r>
              <w:tab/>
            </w:r>
            <w:r>
              <w:t xml:space="preserve">benadrukt dat </w:t>
            </w:r>
            <w:r>
              <w:rPr>
                <w:b/>
                <w:i/>
              </w:rPr>
              <w:t>steun voor modernisering en decarbonisatie onder de</w:t>
            </w:r>
            <w:r>
              <w:t xml:space="preserve"> voorwaarden op grond van de artikelen 17 t/m 19 van </w:t>
            </w:r>
            <w:r>
              <w:rPr>
                <w:b/>
                <w:i/>
              </w:rPr>
              <w:t>het</w:t>
            </w:r>
            <w:r>
              <w:t xml:space="preserve"> EFMZVA </w:t>
            </w:r>
            <w:r>
              <w:rPr>
                <w:b/>
                <w:i/>
              </w:rPr>
              <w:t>mogelijk is;</w:t>
            </w:r>
            <w:r>
              <w:t xml:space="preserve"> </w:t>
            </w:r>
            <w:r>
              <w:rPr>
                <w:b/>
                <w:i/>
              </w:rPr>
              <w:t>wijst erop dat in een recente studie van het Europees Parlement naar voren is gekomen dat bij toekomstige steuninstrumenten voor de visserij moet worden overwogen of de voorwaarden voor</w:t>
            </w:r>
            <w:r>
              <w:t xml:space="preserve"> steun voor de </w:t>
            </w:r>
            <w:r>
              <w:rPr>
                <w:b/>
                <w:i/>
              </w:rPr>
              <w:t>eerste</w:t>
            </w:r>
            <w:r>
              <w:t xml:space="preserve"> aankoop van een </w:t>
            </w:r>
            <w:r>
              <w:rPr>
                <w:b/>
                <w:i/>
              </w:rPr>
              <w:t>vissersvaartuig, voor vernieuwing of</w:t>
            </w:r>
            <w:r>
              <w:t xml:space="preserve"> vervanging van </w:t>
            </w:r>
            <w:r>
              <w:rPr>
                <w:b/>
                <w:i/>
              </w:rPr>
              <w:t>de motor en voor verbeteringen aan</w:t>
            </w:r>
            <w:r>
              <w:t xml:space="preserve"> vaartuigen </w:t>
            </w:r>
            <w:r>
              <w:rPr>
                <w:b/>
                <w:i/>
              </w:rPr>
              <w:t>waar extra tonnage voor nodig is, minder restrictief kunnen worden gemaakt, en daarbij tegelijk beperkingen moeten worden toegepast om overcapaciteit of overbevissing te voorkomen</w:t>
            </w:r>
            <w:r>
              <w:t xml:space="preserve"> op het </w:t>
            </w:r>
            <w:r>
              <w:rPr>
                <w:b/>
                <w:i/>
              </w:rPr>
              <w:t>niveau van individuele segmenten</w:t>
            </w:r>
            <w:r>
              <w:t xml:space="preserve"> of de </w:t>
            </w:r>
            <w:r>
              <w:rPr>
                <w:b/>
                <w:i/>
              </w:rPr>
              <w:t>volledige nationale vloot;</w:t>
            </w:r>
            <w:r>
              <w:t xml:space="preserve"> </w:t>
            </w:r>
            <w:r>
              <w:rPr>
                <w:b/>
                <w:i/>
              </w:rPr>
              <w:t>wijst erop dat individuele vissersvaartuigen tegelijk de mogelijkheid moeten krijgen zich aan te passen aan de economische, ecologische en sociale behoeften;</w:t>
            </w:r>
            <w:r>
              <w:t xml:space="preserve"> </w:t>
            </w:r>
            <w:r>
              <w:rPr>
                <w:b/>
                <w:i/>
              </w:rPr>
              <w:t>is van mening dat moet worden overwogen</w:t>
            </w:r>
            <w:r>
              <w:t xml:space="preserve"> deze subsidiabiliteitscriteria </w:t>
            </w:r>
            <w:r>
              <w:rPr>
                <w:b/>
                <w:i/>
              </w:rPr>
              <w:t>te versoepelen om</w:t>
            </w:r>
            <w:r>
              <w:t xml:space="preserve"> de steun in de praktijk toegankelijker en zinvoller </w:t>
            </w:r>
            <w:r>
              <w:rPr>
                <w:b/>
                <w:i/>
              </w:rPr>
              <w:t>te</w:t>
            </w:r>
            <w:r>
              <w:t xml:space="preserve"> maken zonder de duurzaamheidsdoelstellingen in het gedrang te brengen;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benadrukt dat te restrictieve voorwaarden op grond van de artikelen 17 t/m 19 van</w:t>
            </w:r>
            <w:r>
              <w:t xml:space="preserve"> EFMZVA </w:t>
            </w:r>
            <w:r>
              <w:rPr>
                <w:b/>
                <w:i/>
              </w:rPr>
              <w:t>de steun</w:t>
            </w:r>
            <w:r>
              <w:t xml:space="preserve"> voor de </w:t>
            </w:r>
            <w:r>
              <w:rPr>
                <w:b/>
                <w:i/>
              </w:rPr>
              <w:t>aankoop van een eerste vaartuig, de</w:t>
            </w:r>
            <w:r>
              <w:t xml:space="preserve"> vervanging van </w:t>
            </w:r>
            <w:r>
              <w:rPr>
                <w:b/>
                <w:i/>
              </w:rPr>
              <w:t>motoren en de verhoging van de tonnage van</w:t>
            </w:r>
            <w:r>
              <w:t xml:space="preserve"> vaartuigen </w:t>
            </w:r>
            <w:r>
              <w:rPr>
                <w:b/>
                <w:i/>
              </w:rPr>
              <w:t>beperken, zelfs wanneer deze gericht zijn op het verbeteren van</w:t>
            </w:r>
            <w:r>
              <w:t xml:space="preserve"> de veiligheid </w:t>
            </w:r>
            <w:r>
              <w:rPr>
                <w:b/>
                <w:i/>
              </w:rPr>
              <w:t>of</w:t>
            </w:r>
            <w:r>
              <w:t xml:space="preserve"> de energie-efficiëntie; onderstreept dat </w:t>
            </w:r>
            <w:r>
              <w:rPr>
                <w:b/>
                <w:i/>
              </w:rPr>
              <w:t>het versoepelen van deze subsidiabiliteitscriteria de</w:t>
            </w:r>
            <w:r>
              <w:t xml:space="preserve"> steun </w:t>
            </w:r>
            <w:r>
              <w:rPr>
                <w:b/>
                <w:i/>
              </w:rPr>
              <w:t>in de praktijk toegankelijker en zinvoller kan maken zonder de duurzaamheidsdoelstellingen in het gedrang te brengen</w:t>
            </w:r>
            <w:r>
              <w:t>;</w:t>
            </w:r>
          </w:p>
        </w:tc>
        <w:tc>
          <w:tcPr>
            <w:tcW w:w="4876" w:type="dxa"/>
            <w:tcBorders>
              <w:top w:val="nil"/>
              <w:left w:val="nil"/>
              <w:bottom w:val="nil"/>
              <w:right w:val="nil"/>
            </w:tcBorders>
          </w:tcPr>
          <w:p>
            <w:pPr>
              <w:pStyle w:val="Normal6a"/>
            </w:pPr>
            <w:r>
              <w:t>7.</w:t>
            </w:r>
            <w:r>
              <w:tab/>
            </w:r>
            <w:r>
              <w:rPr>
                <w:b/>
                <w:i/>
              </w:rPr>
              <w:t>pleit ervoor de drempels voor steun in het kader van het</w:t>
            </w:r>
            <w:r>
              <w:t xml:space="preserve"> EFMZVA </w:t>
            </w:r>
            <w:r>
              <w:rPr>
                <w:b/>
                <w:i/>
              </w:rPr>
              <w:t>te herzien, zodat overheidssteun mag worden verstrekt</w:t>
            </w:r>
            <w:r>
              <w:t xml:space="preserve"> voor de </w:t>
            </w:r>
            <w:r>
              <w:rPr>
                <w:b/>
                <w:i/>
              </w:rPr>
              <w:t>modernisering of</w:t>
            </w:r>
            <w:r>
              <w:t xml:space="preserve"> vervanging van vaartuigen </w:t>
            </w:r>
            <w:r>
              <w:rPr>
                <w:b/>
                <w:i/>
              </w:rPr>
              <w:t>die uitsluitend bedoeld is om</w:t>
            </w:r>
            <w:r>
              <w:t xml:space="preserve"> de veiligheid</w:t>
            </w:r>
            <w:r>
              <w:rPr>
                <w:b/>
                <w:i/>
              </w:rPr>
              <w:t>, de arbeids- en levensomstandigheden,</w:t>
            </w:r>
            <w:r>
              <w:t xml:space="preserve"> de energie-efficiëntie </w:t>
            </w:r>
            <w:r>
              <w:rPr>
                <w:b/>
                <w:i/>
              </w:rPr>
              <w:t>en de toepassing van visserijtechnieken met een lage impact te verbeteren</w:t>
            </w:r>
            <w:r>
              <w:t xml:space="preserve">; onderstreept dat </w:t>
            </w:r>
            <w:r>
              <w:rPr>
                <w:b/>
                <w:i/>
              </w:rPr>
              <w:t>dergelijke</w:t>
            </w:r>
            <w:r>
              <w:t xml:space="preserve"> steun </w:t>
            </w:r>
            <w:r>
              <w:rPr>
                <w:b/>
                <w:i/>
              </w:rPr>
              <w:t>niet mag resulteren in een grotere visserijcapaciteit of -inspanning en pas mag worden verstrekt als de begunstigde strenge sociale en milieunormen naleeft, met name in ultraperifere en kustgebieden waar uit de vlootevaluatie blijkt dat de visserij-inspanning in evenwicht is met de beschikbare hulpbronnen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benadrukt dat te restrictieve voorwaarden op grond van de artikelen 17 t/m 19 van EFMZVA de steun voor de aankoop van een eerste vaartuig, de vervanging van motoren en de verhoging van de tonnage van vaartuigen beperken, zelfs wanneer deze gericht zijn op het verbeteren van de veiligheid of de energie-efficiëntie; onderstreept dat het versoepelen van deze subsidiabiliteitscriteria de steun in de praktijk toegankelijker en zinvoller kan maken zonder de duurzaamheidsdoelstellingen in het gedrang te brengen;</w:t>
            </w:r>
          </w:p>
        </w:tc>
        <w:tc>
          <w:tcPr>
            <w:tcW w:w="4876" w:type="dxa"/>
            <w:tcBorders>
              <w:top w:val="nil"/>
              <w:left w:val="nil"/>
              <w:bottom w:val="nil"/>
              <w:right w:val="nil"/>
            </w:tcBorders>
          </w:tcPr>
          <w:p>
            <w:pPr>
              <w:pStyle w:val="Normal6a"/>
            </w:pPr>
            <w:r>
              <w:t>7.</w:t>
            </w:r>
            <w:r>
              <w:tab/>
            </w:r>
            <w:r>
              <w:t xml:space="preserve">benadrukt dat te restrictieve voorwaarden op grond van de artikelen 17 t/m 19 van EFMZVA de steun voor de aankoop van een eerste vaartuig, de vervanging van motoren en de verhoging van de tonnage van vaartuigen beperken, zelfs wanneer deze gericht zijn op het verbeteren van de veiligheid of de energie-efficiëntie; onderstreept dat het versoepelen </w:t>
            </w:r>
            <w:r>
              <w:rPr>
                <w:b/>
                <w:i/>
              </w:rPr>
              <w:t>of afschaffen van een aantal</w:t>
            </w:r>
            <w:r>
              <w:t xml:space="preserve"> van deze subsidiabiliteitscriteria de steun in de praktijk toegankelijker en zinvoller kan maken zonder de duurzaamheidsdoelstellingen in het gedrang te brengen </w:t>
            </w:r>
            <w:r>
              <w:rPr>
                <w:b/>
                <w:i/>
              </w:rPr>
              <w:t>en tegelijkertijd zou bijdragen aan de bevordering van generatievernieuwing</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benadrukt dat te restrictieve</w:t>
            </w:r>
            <w:r>
              <w:t xml:space="preserve"> voorwaarden op grond van de artikelen 17 t/m 19 van EFMZVA de steun voor de aankoop van een eerste vaartuig, de vervanging van motoren en de verhoging van de tonnage van vaartuigen </w:t>
            </w:r>
            <w:r>
              <w:rPr>
                <w:b/>
                <w:i/>
              </w:rPr>
              <w:t>beperken, zelfs</w:t>
            </w:r>
            <w:r>
              <w:t xml:space="preserve"> wanneer deze gericht zijn op het verbeteren van de veiligheid of de energie-efficiëntie; </w:t>
            </w:r>
            <w:r>
              <w:rPr>
                <w:b/>
                <w:i/>
              </w:rPr>
              <w:t>onderstreept dat het versoepelen van</w:t>
            </w:r>
            <w:r>
              <w:t xml:space="preserve"> deze subsidiabiliteitscriteria </w:t>
            </w:r>
            <w:r>
              <w:rPr>
                <w:b/>
                <w:i/>
              </w:rPr>
              <w:t>de</w:t>
            </w:r>
            <w:r>
              <w:t xml:space="preserve"> steun </w:t>
            </w:r>
            <w:r>
              <w:rPr>
                <w:b/>
                <w:i/>
              </w:rPr>
              <w:t>in de praktijk toegankelijker en zinvoller kan maken</w:t>
            </w:r>
            <w:r>
              <w:t xml:space="preserve"> zonder de duurzaamheidsdoelstellingen in het gedrang te brengen;</w:t>
            </w:r>
          </w:p>
        </w:tc>
        <w:tc>
          <w:tcPr>
            <w:tcW w:w="4876" w:type="dxa"/>
            <w:tcBorders>
              <w:top w:val="nil"/>
              <w:left w:val="nil"/>
              <w:bottom w:val="nil"/>
              <w:right w:val="nil"/>
            </w:tcBorders>
          </w:tcPr>
          <w:p>
            <w:pPr>
              <w:pStyle w:val="Normal6a"/>
            </w:pPr>
            <w:r>
              <w:t>7.</w:t>
            </w:r>
            <w:r>
              <w:tab/>
            </w:r>
            <w:r>
              <w:rPr>
                <w:b/>
                <w:i/>
              </w:rPr>
              <w:t>neemt akte van de</w:t>
            </w:r>
            <w:r>
              <w:t xml:space="preserve"> voorwaarden op grond van de artikelen 17 t/m 19 van </w:t>
            </w:r>
            <w:r>
              <w:rPr>
                <w:b/>
                <w:i/>
              </w:rPr>
              <w:t>het</w:t>
            </w:r>
            <w:r>
              <w:t xml:space="preserve"> EFMZVA </w:t>
            </w:r>
            <w:r>
              <w:rPr>
                <w:b/>
                <w:i/>
              </w:rPr>
              <w:t>inzake</w:t>
            </w:r>
            <w:r>
              <w:t xml:space="preserve"> de steun voor de aankoop van een eerste vaartuig, de vervanging van motoren en de verhoging van de tonnage van vaartuigen</w:t>
            </w:r>
            <w:r>
              <w:rPr>
                <w:b/>
                <w:i/>
              </w:rPr>
              <w:t>, ook</w:t>
            </w:r>
            <w:r>
              <w:t xml:space="preserve"> wanneer deze gericht zijn op het verbeteren van de veiligheid of de energie-efficiëntie; </w:t>
            </w:r>
            <w:r>
              <w:rPr>
                <w:b/>
                <w:i/>
              </w:rPr>
              <w:t>wijst erop dat</w:t>
            </w:r>
            <w:r>
              <w:t xml:space="preserve"> deze subsidiabiliteitscriteria </w:t>
            </w:r>
            <w:r>
              <w:rPr>
                <w:b/>
                <w:i/>
              </w:rPr>
              <w:t>bedoeld zijn ervoor te zorgen dat de beschikbare</w:t>
            </w:r>
            <w:r>
              <w:t xml:space="preserve"> steun </w:t>
            </w:r>
            <w:r>
              <w:rPr>
                <w:b/>
                <w:i/>
              </w:rPr>
              <w:t>wordt gebruikt door vlootsegmenten die daadwerkelijk financiële steun nodig hebben,</w:t>
            </w:r>
            <w:r>
              <w:t xml:space="preserve"> zonder de duurzaamheidsdoelstellingen in het gedrang te brengen; </w:t>
            </w:r>
            <w:r>
              <w:rPr>
                <w:b/>
                <w:i/>
              </w:rPr>
              <w:t>verzoekt de lidstaten de toegang tot EU-middelen te vergemakkelijken, met name voor hun kleinschalige vloten;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benadrukt dat te restrictieve voorwaarden op grond van de artikelen 17 t/m 19 van EFMZVA de steun voor de aankoop van een eerste vaartuig, de vervanging van motoren en de verhoging van de tonnage van vaartuigen beperken, zelfs wanneer deze gericht zijn op het verbeteren van de veiligheid of de energie-efficiëntie; onderstreept dat het </w:t>
            </w:r>
            <w:r>
              <w:rPr>
                <w:b/>
                <w:i/>
              </w:rPr>
              <w:t>versoepelen</w:t>
            </w:r>
            <w:r>
              <w:t xml:space="preserve"> van deze subsidiabiliteitscriteria de steun in de praktijk toegankelijker en zinvoller kan maken zonder de duurzaamheidsdoelstellingen in het gedrang te brengen;</w:t>
            </w:r>
          </w:p>
        </w:tc>
        <w:tc>
          <w:tcPr>
            <w:tcW w:w="4876" w:type="dxa"/>
            <w:tcBorders>
              <w:top w:val="nil"/>
              <w:left w:val="nil"/>
              <w:bottom w:val="nil"/>
              <w:right w:val="nil"/>
            </w:tcBorders>
          </w:tcPr>
          <w:p>
            <w:pPr>
              <w:pStyle w:val="Normal6a"/>
            </w:pPr>
            <w:r>
              <w:t>7.</w:t>
            </w:r>
            <w:r>
              <w:tab/>
            </w:r>
            <w:r>
              <w:t xml:space="preserve">benadrukt dat te restrictieve voorwaarden op grond van de artikelen 17 t/m 19 van </w:t>
            </w:r>
            <w:r>
              <w:rPr>
                <w:b/>
                <w:i/>
              </w:rPr>
              <w:t>het</w:t>
            </w:r>
            <w:r>
              <w:t xml:space="preserve"> EFMZVA de steun voor de aankoop van een eerste vaartuig, de vervanging van motoren en de verhoging van de tonnage van vaartuigen beperken, zelfs wanneer deze gericht zijn op het verbeteren van de veiligheid of de energie-efficiëntie; onderstreept dat het </w:t>
            </w:r>
            <w:r>
              <w:rPr>
                <w:b/>
                <w:i/>
              </w:rPr>
              <w:t>evalueren en herzien</w:t>
            </w:r>
            <w:r>
              <w:t xml:space="preserve"> van deze subsidiabiliteitscriteria de steun in de praktijk toegankelijker en zinvoller kan maken zonder de duurzaamheidsdoelstellingen in het gedrang te brengen;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benadrukt dat </w:t>
            </w:r>
            <w:r>
              <w:rPr>
                <w:b/>
                <w:i/>
              </w:rPr>
              <w:t>te restrictieve</w:t>
            </w:r>
            <w:r>
              <w:t xml:space="preserve"> voorwaarden op grond van de artikelen 17 t/m 19 van EFMZVA de steun voor de aankoop van een eerste vaartuig, de vervanging van motoren en de verhoging van de tonnage van vaartuigen beperken</w:t>
            </w:r>
            <w:r>
              <w:rPr>
                <w:b/>
                <w:i/>
              </w:rPr>
              <w:t>, zelfs wanneer deze gericht zijn op het verbeteren van de veiligheid of de energie-efficiëntie</w:t>
            </w:r>
            <w:r>
              <w:t>; onderstreept dat het versoepelen van deze subsidiabiliteitscriteria de steun in de praktijk toegankelijker en zinvoller kan maken zonder de duurzaamheidsdoelstellingen in het gedrang te brengen;</w:t>
            </w:r>
          </w:p>
        </w:tc>
        <w:tc>
          <w:tcPr>
            <w:tcW w:w="4876" w:type="dxa"/>
            <w:tcBorders>
              <w:top w:val="nil"/>
              <w:left w:val="nil"/>
              <w:bottom w:val="nil"/>
              <w:right w:val="nil"/>
            </w:tcBorders>
          </w:tcPr>
          <w:p>
            <w:pPr>
              <w:pStyle w:val="Normal6a"/>
            </w:pPr>
            <w:r>
              <w:t>7.</w:t>
            </w:r>
            <w:r>
              <w:tab/>
            </w:r>
            <w:r>
              <w:t xml:space="preserve">benadrukt dat </w:t>
            </w:r>
            <w:r>
              <w:rPr>
                <w:b/>
                <w:i/>
              </w:rPr>
              <w:t>de</w:t>
            </w:r>
            <w:r>
              <w:t xml:space="preserve"> voorwaarden op grond van de artikelen 17 t/m 19 van </w:t>
            </w:r>
            <w:r>
              <w:rPr>
                <w:b/>
                <w:i/>
              </w:rPr>
              <w:t>het</w:t>
            </w:r>
            <w:r>
              <w:t xml:space="preserve"> EFMZVA de steun voor de aankoop van een eerste vaartuig </w:t>
            </w:r>
            <w:r>
              <w:rPr>
                <w:b/>
                <w:i/>
              </w:rPr>
              <w:t>die in de eerste plaats bedoeld is om jonge nieuwkomers te helpen</w:t>
            </w:r>
            <w:r>
              <w:t>, de vervanging van motoren en de verhoging van de tonnage van vaartuigen beperken; onderstreept dat het versoepelen van deze subsidiabiliteitscriteria de steun in de praktijk toegankelijker en zinvoller kan maken zonder de duurzaamheidsdoelstellingen in het gedrang te brengen;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Marco Falcone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is van mening dat het huidige sanctiesysteem dat werd ingevoerd met Verordening (EU) 2023/2842 nauwlettende monitoring vereist om te waarborgen dat het evenredig is en te voorkomen dat kleine overtredingen leiden tot het verlies van toegang tot EU-middelen of het moeten terugbetalen van reeds ontvangen steun;</w:t>
            </w:r>
            <w:r>
              <w:t xml:space="preserve"> </w:t>
            </w:r>
            <w:r>
              <w:rPr>
                <w:b/>
                <w:i/>
              </w:rPr>
              <w:t>verzoekt de Commissie mogelijke corrigerende maatregelen in overweging te nemen, zodat het systeem een stimulans biedt voor de actieve inzet van ondernemingen ten behoeve van de energie- en digitale transitie van de sector;</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7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ter.</w:t>
            </w:r>
            <w:r>
              <w:tab/>
            </w:r>
            <w:r>
              <w:rPr>
                <w:b/>
                <w:i/>
              </w:rPr>
              <w:t>benadrukt dat voor de energietransitie van de visserijsector aanzienlijke investeringen vereist zijn, die voor kleine ondernemingen met normale middelen niet altijd op te brengen zijn;</w:t>
            </w:r>
            <w:r>
              <w:t xml:space="preserve"> </w:t>
            </w:r>
            <w:r>
              <w:rPr>
                <w:b/>
                <w:i/>
              </w:rPr>
              <w:t>verzoekt de Commissie derhalve na te denken over een tijdelijke en gerichte verhoging van het plafond voor de-minimissteun in de visserij- en aquacultuursector – waarin door Verordening (EU) 2023/2391 wordt voorzien – van EUR 300 000 naar EUR 600 000 per onderneming in een periode van drie jaar, teneinde het gebruik van lage-emissietechnologie, een duurzame vernieuwing en/of aanpassing van de vloot en energie-efficiëntie in de hele toeleveringsketen te bevorderen;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benadrukt dat decarbonisatie risico’s kan opleveren voor het concurrentievermogen van de visserijsector van de EU, aangezien hogere operationele kosten de winstgevendheid van EU-vloten in vergelijking met vloten van buiten de EU teniet zouden kunnen doen;</w:t>
            </w:r>
            <w:r>
              <w:t xml:space="preserve"> </w:t>
            </w:r>
            <w:r>
              <w:rPr>
                <w:b/>
                <w:i/>
              </w:rPr>
              <w:t>benadrukt dat deze onevenwichtigheid zonder de juiste steun kan leiden tot een grotere afhankelijkheid van ingevoerde visserijproducten, waardoor de voedselzekerheid in de EU wordt ondermijnd;</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8.</w:t>
            </w:r>
            <w:r>
              <w:tab/>
            </w:r>
            <w:r>
              <w:rPr>
                <w:b/>
                <w:i/>
              </w:rPr>
              <w:t>benadrukt dat decarbonisatie risico’s kan opleveren voor het concurrentievermogen van de visserijsector van de EU, aangezien hogere operationele kosten de winstgevendheid van EU-vloten in vergelijking met vloten van buiten de EU teniet zouden kunnen doen;</w:t>
            </w:r>
            <w:r>
              <w:t xml:space="preserve"> </w:t>
            </w:r>
            <w:r>
              <w:rPr>
                <w:b/>
                <w:i/>
              </w:rPr>
              <w:t>benadrukt dat deze onevenwichtigheid zonder de juiste steun kan leiden tot een grotere afhankelijkheid van ingevoerde visserijproducten, waardoor de voedselzekerheid in de EU wordt ondermijnd;</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benadrukt dat decarbonisatie </w:t>
            </w:r>
            <w:r>
              <w:rPr>
                <w:b/>
                <w:i/>
              </w:rPr>
              <w:t>risico’s kan opleveren voor</w:t>
            </w:r>
            <w:r>
              <w:t xml:space="preserve"> het concurrentievermogen van de visserijsector van de EU</w:t>
            </w:r>
            <w:r>
              <w:rPr>
                <w:b/>
                <w:i/>
              </w:rPr>
              <w:t>, aangezien</w:t>
            </w:r>
            <w:r>
              <w:t xml:space="preserve"> hogere operationele kosten de winstgevendheid van EU-vloten </w:t>
            </w:r>
            <w:r>
              <w:rPr>
                <w:b/>
                <w:i/>
              </w:rPr>
              <w:t>in vergelijking</w:t>
            </w:r>
            <w:r>
              <w:t xml:space="preserve"> met vloten van buiten de EU </w:t>
            </w:r>
            <w:r>
              <w:rPr>
                <w:b/>
                <w:i/>
              </w:rPr>
              <w:t>teniet zouden kunnen doen</w:t>
            </w:r>
            <w:r>
              <w:t xml:space="preserve">; benadrukt dat </w:t>
            </w:r>
            <w:r>
              <w:rPr>
                <w:b/>
                <w:i/>
              </w:rPr>
              <w:t>deze onevenwichtigheid</w:t>
            </w:r>
            <w:r>
              <w:t xml:space="preserve"> zonder </w:t>
            </w:r>
            <w:r>
              <w:rPr>
                <w:b/>
                <w:i/>
              </w:rPr>
              <w:t>de juiste steun kan leiden tot</w:t>
            </w:r>
            <w:r>
              <w:t xml:space="preserve"> een grotere afhankelijkheid van ingevoerde visserijproducten, waardoor de voedselzekerheid in de EU wordt ondermijnd;</w:t>
            </w:r>
          </w:p>
        </w:tc>
        <w:tc>
          <w:tcPr>
            <w:tcW w:w="4876" w:type="dxa"/>
            <w:tcBorders>
              <w:top w:val="nil"/>
              <w:left w:val="nil"/>
              <w:bottom w:val="nil"/>
              <w:right w:val="nil"/>
            </w:tcBorders>
          </w:tcPr>
          <w:p>
            <w:pPr>
              <w:pStyle w:val="Normal6a"/>
            </w:pPr>
            <w:r>
              <w:t>8.</w:t>
            </w:r>
            <w:r>
              <w:tab/>
            </w:r>
            <w:r>
              <w:t xml:space="preserve">benadrukt dat decarbonisatie </w:t>
            </w:r>
            <w:r>
              <w:rPr>
                <w:b/>
                <w:i/>
              </w:rPr>
              <w:t>en</w:t>
            </w:r>
            <w:r>
              <w:t xml:space="preserve"> het concurrentievermogen van de visserijsector van de EU </w:t>
            </w:r>
            <w:r>
              <w:rPr>
                <w:b/>
                <w:i/>
              </w:rPr>
              <w:t>hand in hand moeten gaan en dat daartoe een rechtvaardige transitie nodig is waarbij</w:t>
            </w:r>
            <w:r>
              <w:t xml:space="preserve"> hogere operationele kosten </w:t>
            </w:r>
            <w:r>
              <w:rPr>
                <w:b/>
                <w:i/>
              </w:rPr>
              <w:t>worden voorkomen,</w:t>
            </w:r>
            <w:r>
              <w:t xml:space="preserve"> de winstgevendheid van EU-vloten </w:t>
            </w:r>
            <w:r>
              <w:rPr>
                <w:b/>
                <w:i/>
              </w:rPr>
              <w:t>wordt verzekerd en een gelijk speelveld</w:t>
            </w:r>
            <w:r>
              <w:t xml:space="preserve"> met vloten van buiten de EU </w:t>
            </w:r>
            <w:r>
              <w:rPr>
                <w:b/>
                <w:i/>
              </w:rPr>
              <w:t>wordt gewaarborgd</w:t>
            </w:r>
            <w:r>
              <w:t>; benadrukt dat</w:t>
            </w:r>
            <w:r>
              <w:rPr>
                <w:b/>
                <w:i/>
              </w:rPr>
              <w:t>,</w:t>
            </w:r>
            <w:r>
              <w:t xml:space="preserve"> zonder een </w:t>
            </w:r>
            <w:r>
              <w:rPr>
                <w:b/>
                <w:i/>
              </w:rPr>
              <w:t>terdege gefinancierde rechtvaardige transitie en zonder naar behoren gewaarborgde winstgevendheid van de sector, het risico op</w:t>
            </w:r>
            <w:r>
              <w:t xml:space="preserve"> grotere afhankelijkheid van ingevoerde visserijproducten </w:t>
            </w:r>
            <w:r>
              <w:rPr>
                <w:b/>
                <w:i/>
              </w:rPr>
              <w:t>kan toenemen</w:t>
            </w:r>
            <w:r>
              <w:t>, waardoor de voedselzekerheid in de EU wordt ondermijnd;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 xml:space="preserve">benadrukt dat decarbonisatie </w:t>
            </w:r>
            <w:r>
              <w:rPr>
                <w:b/>
                <w:i/>
              </w:rPr>
              <w:t>risico’s kan opleveren voor</w:t>
            </w:r>
            <w:r>
              <w:t xml:space="preserve"> het concurrentievermogen van de visserijsector van de EU</w:t>
            </w:r>
            <w:r>
              <w:rPr>
                <w:b/>
                <w:i/>
              </w:rPr>
              <w:t>, aangezien hogere operationele kosten de winstgevendheid van</w:t>
            </w:r>
            <w:r>
              <w:t xml:space="preserve"> EU-vloten </w:t>
            </w:r>
            <w:r>
              <w:rPr>
                <w:b/>
                <w:i/>
              </w:rPr>
              <w:t>in vergelijking met</w:t>
            </w:r>
            <w:r>
              <w:t xml:space="preserve"> vloten van buiten de EU </w:t>
            </w:r>
            <w:r>
              <w:rPr>
                <w:b/>
                <w:i/>
              </w:rPr>
              <w:t>teniet zouden kunnen doen</w:t>
            </w:r>
            <w:r>
              <w:t xml:space="preserve">; benadrukt dat </w:t>
            </w:r>
            <w:r>
              <w:rPr>
                <w:b/>
                <w:i/>
              </w:rPr>
              <w:t>deze onevenwichtigheid zonder de juiste</w:t>
            </w:r>
            <w:r>
              <w:t xml:space="preserve"> steun </w:t>
            </w:r>
            <w:r>
              <w:rPr>
                <w:b/>
                <w:i/>
              </w:rPr>
              <w:t>kan leiden tot een grotere afhankelijkheid van ingevoerde visserijproducten, waardoor de voedselzekerheid in de EU wordt ondermijnd</w:t>
            </w:r>
            <w:r>
              <w:t>;</w:t>
            </w:r>
          </w:p>
        </w:tc>
        <w:tc>
          <w:tcPr>
            <w:tcW w:w="4876" w:type="dxa"/>
            <w:tcBorders>
              <w:top w:val="nil"/>
              <w:left w:val="nil"/>
              <w:bottom w:val="nil"/>
              <w:right w:val="nil"/>
            </w:tcBorders>
          </w:tcPr>
          <w:p>
            <w:pPr>
              <w:pStyle w:val="Normal6a"/>
            </w:pPr>
            <w:r>
              <w:t>8.</w:t>
            </w:r>
            <w:r>
              <w:tab/>
            </w:r>
            <w:r>
              <w:t xml:space="preserve">benadrukt dat decarbonisatie het concurrentievermogen van de visserijsector van de EU </w:t>
            </w:r>
            <w:r>
              <w:rPr>
                <w:b/>
                <w:i/>
              </w:rPr>
              <w:t>zal verbeteren als de inspanningen om de vastgelegde streefdoelen te halen, wetenschappelijk worden onderbouwd en ook in regio’s buiten de EU worden gecoördineerd en als die inspanningen worden ondersteund met overheidsmiddelen en strikt gehandhaafde marktinstrumenten, die de</w:t>
            </w:r>
            <w:r>
              <w:t xml:space="preserve"> EU-vloten </w:t>
            </w:r>
            <w:r>
              <w:rPr>
                <w:b/>
                <w:i/>
              </w:rPr>
              <w:t>een voordeel zullen bieden ten opzichte van</w:t>
            </w:r>
            <w:r>
              <w:t xml:space="preserve"> vloten van buiten de EU </w:t>
            </w:r>
            <w:r>
              <w:rPr>
                <w:b/>
                <w:i/>
              </w:rPr>
              <w:t>in tijden van stijgende kosten voor fossiele brandstoffen en voor de uitstoot van broeikasgassen</w:t>
            </w:r>
            <w:r>
              <w:t xml:space="preserve">; benadrukt dat </w:t>
            </w:r>
            <w:r>
              <w:rPr>
                <w:b/>
                <w:i/>
              </w:rPr>
              <w:t>er passende</w:t>
            </w:r>
            <w:r>
              <w:t xml:space="preserve"> steun </w:t>
            </w:r>
            <w:r>
              <w:rPr>
                <w:b/>
                <w:i/>
              </w:rPr>
              <w:t>nodig is om te waarborgen dat de transitie eerlijk en sociaal 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benadrukt dat decarbonisatie risico’s kan opleveren voor het concurrentievermogen van de visserijsector van de EU, aangezien hogere operationele kosten de winstgevendheid van EU-vloten in vergelijking met vloten van buiten de EU teniet zouden kunnen doen; benadrukt dat deze onevenwichtigheid zonder de juiste steun kan leiden tot een grotere afhankelijkheid van ingevoerde visserijproducten, waardoor de voedselzekerheid in de EU wordt ondermijnd;</w:t>
            </w:r>
          </w:p>
        </w:tc>
        <w:tc>
          <w:tcPr>
            <w:tcW w:w="4876" w:type="dxa"/>
            <w:tcBorders>
              <w:top w:val="nil"/>
              <w:left w:val="nil"/>
              <w:bottom w:val="nil"/>
              <w:right w:val="nil"/>
            </w:tcBorders>
          </w:tcPr>
          <w:p>
            <w:pPr>
              <w:pStyle w:val="Normal6a"/>
            </w:pPr>
            <w:r>
              <w:t>8.</w:t>
            </w:r>
            <w:r>
              <w:tab/>
            </w:r>
            <w:r>
              <w:t xml:space="preserve">benadrukt dat decarbonisatie risico’s kan opleveren voor het concurrentievermogen van de visserijsector van de EU </w:t>
            </w:r>
            <w:r>
              <w:rPr>
                <w:b/>
                <w:i/>
              </w:rPr>
              <w:t>en de kansen op een baan in de sector verder kan verkleinen</w:t>
            </w:r>
            <w:r>
              <w:t xml:space="preserve">, aangezien hogere operationele kosten de winstgevendheid van EU-vloten in vergelijking met vloten van buiten de EU teniet zouden kunnen doen; benadrukt dat deze onevenwichtigheid zonder de juiste steun kan leiden tot een grotere afhankelijkheid van ingevoerde visserijproducten, waardoor de voedselzekerheid </w:t>
            </w:r>
            <w:r>
              <w:rPr>
                <w:b/>
                <w:i/>
              </w:rPr>
              <w:t>en strategische voedselautonomie</w:t>
            </w:r>
            <w:r>
              <w:t xml:space="preserve"> in de EU wordt ondermijnd;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benadrukt dat decarbonisatie risico’s kan opleveren voor het concurrentievermogen van de visserijsector van de EU, aangezien hogere operationele kosten de winstgevendheid van EU-vloten in vergelijking met vloten van buiten de EU teniet zouden kunnen doen; benadrukt dat deze onevenwichtigheid zonder de juiste steun kan leiden tot een grotere afhankelijkheid van ingevoerde visserijproducten, waardoor de voedselzekerheid in de EU wordt ondermijnd;</w:t>
            </w:r>
          </w:p>
        </w:tc>
        <w:tc>
          <w:tcPr>
            <w:tcW w:w="4876" w:type="dxa"/>
            <w:tcBorders>
              <w:top w:val="nil"/>
              <w:left w:val="nil"/>
              <w:bottom w:val="nil"/>
              <w:right w:val="nil"/>
            </w:tcBorders>
          </w:tcPr>
          <w:p>
            <w:pPr>
              <w:pStyle w:val="Normal6a"/>
            </w:pPr>
            <w:r>
              <w:t>8.</w:t>
            </w:r>
            <w:r>
              <w:tab/>
            </w:r>
            <w:r>
              <w:t xml:space="preserve">benadrukt dat </w:t>
            </w:r>
            <w:r>
              <w:rPr>
                <w:b/>
                <w:i/>
              </w:rPr>
              <w:t>slecht uitgevoerde</w:t>
            </w:r>
            <w:r>
              <w:t xml:space="preserve"> decarbonisatie risico’s kan opleveren voor het concurrentievermogen van de visserijsector van de EU, aangezien hogere operationele kosten de winstgevendheid van EU-vloten in vergelijking met vloten van buiten de EU teniet zouden kunnen doen; benadrukt dat deze onevenwichtigheid zonder de juiste steun kan leiden tot een grotere afhankelijkheid van ingevoerde visserijproducten, waardoor de voedselzekerheid in de EU wordt ondermijnd;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benadrukt dat het Europese beleid op het vlak van duurzaamheid en het koolstofvrij maken van de visserijsector – met name in gedeelde zeebekkens zoals de Mediterrane Zee – slechts werkelijk doeltreffend kan zijn indien het wordt ondersteund door doeltreffende actie in internationale fora die erop gericht is dat derde kuststaten gemeenschappelijke regels toepassen, het wederkerigheidsbeginsel naleven en eerlijke voorwaarden voor Europese marktdeelnemers hanteren;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8 bis.</w:t>
            </w:r>
            <w:r>
              <w:tab/>
            </w:r>
            <w:r>
              <w:rPr>
                <w:b/>
                <w:i/>
              </w:rPr>
              <w:t>neemt kennis van het partnerschap voor de energietransitie dat de Commissie in 2023 heeft gelanceerd, dat een collaboratief platform moet vormen om de energietransitie in de visserij- en aquacultuursector van de EU te versnellen;</w:t>
            </w:r>
            <w:r>
              <w:t xml:space="preserve"> </w:t>
            </w:r>
            <w:r>
              <w:rPr>
                <w:b/>
                <w:i/>
              </w:rPr>
              <w:t>benadrukt dat samenwerking en overleg in het kader van dit partnerschap belangrijk zijn, maar beklemtoont ook dat dit moet leiden tot concrete verbeteringen in de voorwaarden voor decarbonisatie zodat andere streefdoelen kunnen worden gehaald;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Beleidsaanbevelingen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Beleidsaanbevelingen</w:t>
            </w:r>
          </w:p>
        </w:tc>
        <w:tc>
          <w:tcPr>
            <w:tcW w:w="4876" w:type="dxa"/>
            <w:tcBorders>
              <w:top w:val="nil"/>
              <w:left w:val="nil"/>
              <w:bottom w:val="nil"/>
              <w:right w:val="nil"/>
            </w:tcBorders>
          </w:tcPr>
          <w:p>
            <w:pPr>
              <w:pStyle w:val="Normal6a"/>
            </w:pPr>
            <w:r>
              <w:t xml:space="preserve">Beleidsaanbevelingen </w:t>
            </w:r>
            <w:r>
              <w:rPr>
                <w:b/>
                <w:i/>
              </w:rPr>
              <w:t>voor een rechtvaardige transitie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verzoekt de Commissie de definities van de capaciteit van vaartuigen in het kader van het GVB te herzien om rekening te houden met de ruimte- en ontwerpvereisten van opslag- en aandrijvingssystemen voor alternatieve brandstoffen;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verzoekt de Commissie de definities van de capaciteit van vaartuigen in het kader van het GVB te herzien om rekening te houden met de ruimte- en ontwerpvereisten van opslag- en aandrijvingssystemen voor alternatieve brandstoffen;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9.</w:t>
            </w:r>
            <w:r>
              <w:tab/>
            </w:r>
            <w:r>
              <w:rPr>
                <w:b/>
                <w:i/>
              </w:rPr>
              <w:t>verzoekt de Commissie de definities van de capaciteit van vaartuigen in het kader van het GVB te herzien om rekening te houden met de ruimte- en ontwerpvereisten van opslag- en aandrijvingssystemen voor alternatieve brandstoffen;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verzoekt de Commissie </w:t>
            </w:r>
            <w:r>
              <w:rPr>
                <w:b/>
                <w:i/>
              </w:rPr>
              <w:t>de definities</w:t>
            </w:r>
            <w:r>
              <w:t xml:space="preserve"> van de </w:t>
            </w:r>
            <w:r>
              <w:rPr>
                <w:b/>
                <w:i/>
              </w:rPr>
              <w:t>capaciteit van vaartuigen in het kader van het GVB te herzien om rekening te houden met de ruimte- en ontwerpvereisten van opslag- en aandrijvingssystemen voor alternatieve brandstoffen</w:t>
            </w:r>
            <w:r>
              <w:t>;</w:t>
            </w:r>
          </w:p>
        </w:tc>
        <w:tc>
          <w:tcPr>
            <w:tcW w:w="4876" w:type="dxa"/>
            <w:tcBorders>
              <w:top w:val="nil"/>
              <w:left w:val="nil"/>
              <w:bottom w:val="nil"/>
              <w:right w:val="nil"/>
            </w:tcBorders>
          </w:tcPr>
          <w:p>
            <w:pPr>
              <w:pStyle w:val="Normal6a"/>
            </w:pPr>
            <w:r>
              <w:t>9.</w:t>
            </w:r>
            <w:r>
              <w:tab/>
            </w:r>
            <w:r>
              <w:rPr>
                <w:b/>
                <w:i/>
              </w:rPr>
              <w:t>wijst erop dat in de criteria van de brutotonnage die bedoeld zijn om de vangstcapaciteit te meten, ook ruimten worden meegerekend die worden gebruikt voor faciliteiten en het comfort voor de bemanning, wat de modernisering van vissersvaartuigen en de broodnodige verbetering van de werkomstandigheden van de visserijvloot kan belemmeren;</w:t>
            </w:r>
            <w:r>
              <w:t xml:space="preserve"> verzoekt de Commissie </w:t>
            </w:r>
            <w:r>
              <w:rPr>
                <w:b/>
                <w:i/>
              </w:rPr>
              <w:t>in dat verband deze criteria en hieraan gerelateerde voorschriften te evalueren om een oplossing te vinden waarbij het evenwicht wordt bewaard tussen de behoeften van werknemers in de visserij en de noodzaak om de vangstcapaciteit</w:t>
            </w:r>
            <w:r>
              <w:t xml:space="preserve"> van de </w:t>
            </w:r>
            <w:r>
              <w:rPr>
                <w:b/>
                <w:i/>
              </w:rPr>
              <w:t>EU-vloot niet te vergroten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verzoekt de Commissie </w:t>
            </w:r>
            <w:r>
              <w:rPr>
                <w:b/>
                <w:i/>
              </w:rPr>
              <w:t>de definities</w:t>
            </w:r>
            <w:r>
              <w:t xml:space="preserve"> van de </w:t>
            </w:r>
            <w:r>
              <w:rPr>
                <w:b/>
                <w:i/>
              </w:rPr>
              <w:t>capaciteit van vaartuigen</w:t>
            </w:r>
            <w:r>
              <w:t xml:space="preserve"> in het kader van het GVB </w:t>
            </w:r>
            <w:r>
              <w:rPr>
                <w:b/>
                <w:i/>
              </w:rPr>
              <w:t>te herzien</w:t>
            </w:r>
            <w:r>
              <w:t xml:space="preserve"> om rekening te houden met de </w:t>
            </w:r>
            <w:r>
              <w:rPr>
                <w:b/>
                <w:i/>
              </w:rPr>
              <w:t>ruimte- en ontwerpvereisten</w:t>
            </w:r>
            <w:r>
              <w:t xml:space="preserve"> van opslag- en aandrijvingssystemen voor alternatieve brandstoffen;</w:t>
            </w:r>
          </w:p>
        </w:tc>
        <w:tc>
          <w:tcPr>
            <w:tcW w:w="4876" w:type="dxa"/>
            <w:tcBorders>
              <w:top w:val="nil"/>
              <w:left w:val="nil"/>
              <w:bottom w:val="nil"/>
              <w:right w:val="nil"/>
            </w:tcBorders>
          </w:tcPr>
          <w:p>
            <w:pPr>
              <w:pStyle w:val="Normal6a"/>
            </w:pPr>
            <w:r>
              <w:t>9.</w:t>
            </w:r>
            <w:r>
              <w:tab/>
            </w:r>
            <w:r>
              <w:t>verzoekt de Commissie </w:t>
            </w:r>
            <w:r>
              <w:rPr>
                <w:b/>
                <w:i/>
              </w:rPr>
              <w:t>een kader en beperkingen in stand te houden om overbevissing te voorkomen en tegelijkertijd een diepgaande beoordeling uit te voeren</w:t>
            </w:r>
            <w:r>
              <w:t xml:space="preserve"> van de </w:t>
            </w:r>
            <w:r>
              <w:rPr>
                <w:b/>
                <w:i/>
              </w:rPr>
              <w:t>indicatoren voor het meten van de vangstcapaciteit en de gevolgen van de visserij, met name het tonnage, vermogen en de lengtelimiet van schepen</w:t>
            </w:r>
            <w:r>
              <w:t xml:space="preserve"> in het kader van het GVB </w:t>
            </w:r>
            <w:r>
              <w:rPr>
                <w:b/>
                <w:i/>
              </w:rPr>
              <w:t>en het EFMZVA</w:t>
            </w:r>
            <w:r>
              <w:t xml:space="preserve"> om rekening te houden met de </w:t>
            </w:r>
            <w:r>
              <w:rPr>
                <w:b/>
                <w:i/>
              </w:rPr>
              <w:t>vereisten op het gebied van veiligheid, leefruimte aan boord en ontwerp</w:t>
            </w:r>
            <w:r>
              <w:t xml:space="preserve"> van opslag- en aandrijvingssystemen voor alternatieve brandstoffen;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verzoekt de Commissie de definities van de capaciteit van vaartuigen in het kader van het GVB te herzien om rekening te houden met de ruimte- en ontwerpvereisten van opslag- en aandrijvingssystemen voor alternatieve brandstoffen;</w:t>
            </w:r>
          </w:p>
        </w:tc>
        <w:tc>
          <w:tcPr>
            <w:tcW w:w="4876" w:type="dxa"/>
            <w:tcBorders>
              <w:top w:val="nil"/>
              <w:left w:val="nil"/>
              <w:bottom w:val="nil"/>
              <w:right w:val="nil"/>
            </w:tcBorders>
          </w:tcPr>
          <w:p>
            <w:pPr>
              <w:pStyle w:val="Normal6a"/>
            </w:pPr>
            <w:r>
              <w:t>9.</w:t>
            </w:r>
            <w:r>
              <w:tab/>
            </w:r>
            <w:r>
              <w:t>verzoekt de Commissie de definities van de capaciteit van vaartuigen in het kader van het GVB te herzien om rekening te houden met de ruimte- en ontwerpvereisten van opslag- en aandrijvingssystemen voor alternatieve brandstoffen</w:t>
            </w:r>
            <w:r>
              <w:rPr>
                <w:b/>
                <w:i/>
              </w:rPr>
              <w:t>, met name door de “sociale en veiligheidsgerelateerde” tonnage uit te sluiten van de berekening van de vangstcapaciteit en door de vangstcapaciteitsbeperkingen te verhogen wat betreft brutotonnage en motorvermogen, zonder dat de vaartuigen meer vis kunnen vangen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verzoekt de Commissie de definities van de capaciteit van vaartuigen in het kader van het GVB te herzien om rekening te houden met de ruimte- en ontwerpvereisten van opslag- en aandrijvingssystemen voor alternatieve brandstoffen;</w:t>
            </w:r>
          </w:p>
        </w:tc>
        <w:tc>
          <w:tcPr>
            <w:tcW w:w="4876" w:type="dxa"/>
            <w:tcBorders>
              <w:top w:val="nil"/>
              <w:left w:val="nil"/>
              <w:bottom w:val="nil"/>
              <w:right w:val="nil"/>
            </w:tcBorders>
          </w:tcPr>
          <w:p>
            <w:pPr>
              <w:pStyle w:val="Normal6a"/>
            </w:pPr>
            <w:r>
              <w:t>9.</w:t>
            </w:r>
            <w:r>
              <w:tab/>
            </w:r>
            <w:r>
              <w:t xml:space="preserve">verzoekt de Commissie de definities van de capaciteit van vaartuigen in het kader van het GVB te herzien om rekening te houden met de ruimte- en ontwerpvereisten van opslag- en aandrijvingssystemen voor alternatieve brandstoffen; </w:t>
            </w:r>
            <w:r>
              <w:rPr>
                <w:b/>
                <w:i/>
              </w:rPr>
              <w:t>bijvoorbeeld door de extra brutotonnage en het motorvermogen uit te sluiten van de berekening van de vangstcapaciteit of door de vangstcapaciteitsbeperkingen te verhogen, zonder het vermogen van vaartuigen om meer vis te vangen, te vergroten;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verzoekt de Commissie de definities van de capaciteit van vaartuigen in het kader van het GVB te herzien om rekening te houden met de ruimte- en ontwerpvereisten van opslag- en aandrijvingssystemen voor alternatieve brandstoffen;</w:t>
            </w:r>
          </w:p>
        </w:tc>
        <w:tc>
          <w:tcPr>
            <w:tcW w:w="4876" w:type="dxa"/>
            <w:tcBorders>
              <w:top w:val="nil"/>
              <w:left w:val="nil"/>
              <w:bottom w:val="nil"/>
              <w:right w:val="nil"/>
            </w:tcBorders>
          </w:tcPr>
          <w:p>
            <w:pPr>
              <w:pStyle w:val="Normal6a"/>
            </w:pPr>
            <w:r>
              <w:t>9.</w:t>
            </w:r>
            <w:r>
              <w:tab/>
            </w:r>
            <w:r>
              <w:t xml:space="preserve">verzoekt de Commissie de definities van de capaciteit van vaartuigen in het kader van het GVB te </w:t>
            </w:r>
            <w:r>
              <w:rPr>
                <w:b/>
                <w:i/>
              </w:rPr>
              <w:t>evalueren en te</w:t>
            </w:r>
            <w:r>
              <w:t xml:space="preserve"> herzien </w:t>
            </w:r>
            <w:r>
              <w:rPr>
                <w:b/>
                <w:i/>
              </w:rPr>
              <w:t>als onderdeel van een bredere, meer fundamentele hervorming van het GVB,</w:t>
            </w:r>
            <w:r>
              <w:t xml:space="preserve"> om rekening te houden met de ruimte- en ontwerpvereisten van opslag- en aandrijvingssystemen voor alternatieve brandstoffen; </w:t>
            </w:r>
            <w:r>
              <w:rPr>
                <w:b/>
                <w:i/>
              </w:rPr>
              <w:t>dringt erop aan dat bij een dergelijke evaluatie de visserijsector volledig wordt betrokken en rekening wordt gehouden met de specifieke regionale kenmerken;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merkt op dat in de huidige EU-definities van vangstcapaciteit geen onderscheid wordt gemaakt tussen de operationele gebieden van het vaartuig en de gebieden die bedoeld zijn om de sociale en veiligheidsomstandigheden aan boord te verbeteren;</w:t>
            </w:r>
            <w:r>
              <w:t xml:space="preserve"> </w:t>
            </w:r>
            <w:r>
              <w:rPr>
                <w:b/>
                <w:i/>
              </w:rPr>
              <w:t>benadrukt dat dit een ontmoedigend effect heeft op investeringen in essentiële verbeteringen zoals beschutte werkruimten, rustplaatsen en sanitaire voorzieningen, die essentieel zijn voor het waarborgen van fatsoenlijke arbeids- en levensomstandigheden;</w:t>
            </w:r>
            <w:r>
              <w:t xml:space="preserve"> </w:t>
            </w:r>
            <w:r>
              <w:rPr>
                <w:b/>
                <w:i/>
              </w:rPr>
              <w:t>verzoekt de Commissie deze kwestie aan te pakken door een nieuwe methode voor capaciteitsberekeningen voor te stellen, zodat sociale en veiligheidsgerelateerde tonnage van de totale capaciteitsbeperkingen kan worden uitgesloten;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benadrukt dat de lidstaten hun capaciteitsmaxima niet hebben overschreden;</w:t>
            </w:r>
            <w:r>
              <w:t xml:space="preserve"> </w:t>
            </w:r>
            <w:r>
              <w:rPr>
                <w:b/>
                <w:i/>
              </w:rPr>
              <w:t>verzoekt de Commissie en de lidstaten de mogelijkheden voor decarbonisatie verder te onderzoeken en de veiligheid onder de huidige capaciteitsmaxima te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10.</w:t>
            </w:r>
            <w:r>
              <w:tab/>
            </w:r>
            <w:r>
              <w:rPr>
                <w:b/>
                <w:i/>
              </w:rPr>
              <w:t>dringt aan op de herziening van de artikelen 17 t/m 19 van het EFMZVA om de subsidiabiliteitscriteria te vereenvoudigen, met name door de drempel van 24 meter en de huidige maximale leeftijd van 40 jaar voor vaartuigen te herzien, om ervoor te zorgen dat alle essentiële vaartuigen doeltreffend kunnen overschakelen op duurzaamheid, de energie-efficiëntie kunnen opschalen en de veiligheid kunnen verbeteren;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dringt aan op de</w:t>
            </w:r>
            <w:r>
              <w:t xml:space="preserve"> herziening van de artikelen 17 t/m 19 van het EFMZVA om de subsidiabiliteitscriteria te vereenvoudigen</w:t>
            </w:r>
            <w:r>
              <w:rPr>
                <w:b/>
                <w:i/>
              </w:rPr>
              <w:t>, met name door de drempel van 24 meter en de huidige maximale leeftijd van 40 jaar voor</w:t>
            </w:r>
            <w:r>
              <w:t xml:space="preserve"> vaartuigen </w:t>
            </w:r>
            <w:r>
              <w:rPr>
                <w:b/>
                <w:i/>
              </w:rPr>
              <w:t>te herzien</w:t>
            </w:r>
            <w:r>
              <w:t xml:space="preserve">, om ervoor te zorgen dat alle </w:t>
            </w:r>
            <w:r>
              <w:rPr>
                <w:b/>
                <w:i/>
              </w:rPr>
              <w:t>essentiële</w:t>
            </w:r>
            <w:r>
              <w:t xml:space="preserve"> vaartuigen doeltreffend kunnen overschakelen op duurzaamheid, de energie-efficiëntie kunnen opschalen en de veiligheid kunnen verbeteren;</w:t>
            </w:r>
          </w:p>
        </w:tc>
        <w:tc>
          <w:tcPr>
            <w:tcW w:w="4876" w:type="dxa"/>
            <w:tcBorders>
              <w:top w:val="nil"/>
              <w:left w:val="nil"/>
              <w:bottom w:val="nil"/>
              <w:right w:val="nil"/>
            </w:tcBorders>
          </w:tcPr>
          <w:p>
            <w:pPr>
              <w:pStyle w:val="Normal6a"/>
            </w:pPr>
            <w:r>
              <w:t>10.</w:t>
            </w:r>
            <w:r>
              <w:tab/>
            </w:r>
            <w:r>
              <w:rPr>
                <w:b/>
                <w:i/>
              </w:rPr>
              <w:t>benadrukt de noodzaak van een tussentijdse evaluatie van het EFMZVA en van een gerichte herziening van de GVB-regels en relevante richtsnoeren om het kader voor staatssteun flexibeler te maken met betrekking tot de bouw en modernisering van schepen;</w:t>
            </w:r>
            <w:r>
              <w:t xml:space="preserve"> </w:t>
            </w:r>
            <w:r>
              <w:rPr>
                <w:b/>
                <w:i/>
              </w:rPr>
              <w:t>beklemtoont met name de noodzaak van een</w:t>
            </w:r>
            <w:r>
              <w:t xml:space="preserve"> herziening van de artikelen 17 t/m 19 van het EFMZVA om de subsidiabiliteitscriteria te vereenvoudigen</w:t>
            </w:r>
            <w:r>
              <w:rPr>
                <w:b/>
                <w:i/>
              </w:rPr>
              <w:t>;</w:t>
            </w:r>
            <w:r>
              <w:t xml:space="preserve"> </w:t>
            </w:r>
            <w:r>
              <w:rPr>
                <w:b/>
                <w:i/>
              </w:rPr>
              <w:t>is van mening dat drempelwaarden voor de lengte van</w:t>
            </w:r>
            <w:r>
              <w:t xml:space="preserve"> vaartuigen </w:t>
            </w:r>
            <w:r>
              <w:rPr>
                <w:b/>
                <w:i/>
              </w:rPr>
              <w:t>aanleiding kunnen geven tot verschillende soorten financiële steun, zoals leningen, garanties of overheidssteun</w:t>
            </w:r>
            <w:r>
              <w:t xml:space="preserve">, om ervoor te zorgen dat alle vaartuigen doeltreffend kunnen overschakelen op duurzaamheid, de energie-efficiëntie kunnen opschalen en de veiligheid kunnen verbeteren; </w:t>
            </w:r>
            <w:r>
              <w:rPr>
                <w:b/>
                <w:i/>
              </w:rPr>
              <w:t>is van mening dat de huidige leeftijdsgrens van 40 jaar om in aanmerking te komen voor vestigingssteun ongepast is en niet strookt met het profiel van vissers die een bedrijf willen opzetten, met name wanneer mensen van loopbaan veranderen;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dringt aan op de herziening van de artikelen 17 t/m 19 van het EFMZVA om de subsidiabiliteitscriteria te vereenvoudigen, met name door de drempel van 24 meter en de huidige maximale leeftijd van 40 jaar voor vaartuigen te </w:t>
            </w:r>
            <w:r>
              <w:rPr>
                <w:b/>
                <w:i/>
              </w:rPr>
              <w:t>herzien</w:t>
            </w:r>
            <w:r>
              <w:t>, om ervoor te zorgen dat alle essentiële vaartuigen doeltreffend kunnen overschakelen op duurzaamheid, de energie-efficiëntie kunnen opschalen en de veiligheid kunnen verbeteren;</w:t>
            </w:r>
          </w:p>
        </w:tc>
        <w:tc>
          <w:tcPr>
            <w:tcW w:w="4876" w:type="dxa"/>
            <w:tcBorders>
              <w:top w:val="nil"/>
              <w:left w:val="nil"/>
              <w:bottom w:val="nil"/>
              <w:right w:val="nil"/>
            </w:tcBorders>
          </w:tcPr>
          <w:p>
            <w:pPr>
              <w:pStyle w:val="Normal6a"/>
            </w:pPr>
            <w:r>
              <w:t>10.</w:t>
            </w:r>
            <w:r>
              <w:tab/>
            </w:r>
            <w:r>
              <w:t xml:space="preserve">dringt aan op de herziening van de artikelen 17 t/m 19 van het EFMZVA om de subsidiabiliteitscriteria te vereenvoudigen, met name door de drempel van 24 meter en de huidige maximale leeftijd van 40 jaar voor vaartuigen te </w:t>
            </w:r>
            <w:r>
              <w:rPr>
                <w:b/>
                <w:i/>
              </w:rPr>
              <w:t>schrappen</w:t>
            </w:r>
            <w:r>
              <w:t xml:space="preserve">, om ervoor te zorgen dat alle essentiële vaartuigen doeltreffend kunnen overschakelen op duurzaamheid, de energie-efficiëntie kunnen opschalen en de veiligheid kunnen verbeteren; </w:t>
            </w:r>
            <w:r>
              <w:rPr>
                <w:b/>
                <w:i/>
              </w:rPr>
              <w:t>benadrukt in dit verband dat de huidige drempel van 24 meter vaartuigen uitsluit die voor meer dan de helft van alle aanlandingen in de EU in waarde en ongeveer 70 % van de aanlandingen in gewicht zorgen;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dringt aan op de herziening van de artikelen 17 t/m 19 van het EFMZVA om de subsidiabiliteitscriteria te vereenvoudigen, met name door de drempel van 24 meter en de huidige maximale leeftijd van 40 jaar voor vaartuigen te herzien, om ervoor te zorgen dat alle essentiële vaartuigen doeltreffend kunnen overschakelen op duurzaamheid, de energie-efficiëntie kunnen opschalen en de veiligheid kunnen verbeteren;</w:t>
            </w:r>
          </w:p>
        </w:tc>
        <w:tc>
          <w:tcPr>
            <w:tcW w:w="4876" w:type="dxa"/>
            <w:tcBorders>
              <w:top w:val="nil"/>
              <w:left w:val="nil"/>
              <w:bottom w:val="nil"/>
              <w:right w:val="nil"/>
            </w:tcBorders>
          </w:tcPr>
          <w:p>
            <w:pPr>
              <w:pStyle w:val="Normal6a"/>
            </w:pPr>
            <w:r>
              <w:t>10.</w:t>
            </w:r>
            <w:r>
              <w:tab/>
            </w:r>
            <w:r>
              <w:t xml:space="preserve">dringt aan op de herziening van de artikelen 17 t/m 19 van het EFMZVA om de subsidiabiliteitscriteria te vereenvoudigen, met name door de drempel van 24 meter en de huidige maximale leeftijd van 40 jaar voor vaartuigen te herzien, om ervoor te zorgen dat alle essentiële vaartuigen doeltreffend kunnen overschakelen op duurzaamheid, de energie-efficiëntie kunnen opschalen en de veiligheid kunnen verbeteren; </w:t>
            </w:r>
            <w:r>
              <w:rPr>
                <w:b/>
                <w:i/>
              </w:rPr>
              <w:t>beklemtoont dat er ook een specifiek noodfonds moet worden opgericht om de vernieuwing van de vloot te bespoedigen, zodat een realistische overgang naar schone energietechnologieën mogelijk wordt;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dringt aan op de herziening van de artikelen 17 t/m 19 van het EFMZVA om de subsidiabiliteitscriteria te vereenvoudigen, met name door de drempel van 24 meter en de huidige maximale leeftijd van 40 jaar voor vaartuigen te herzien, om ervoor te zorgen dat alle essentiële vaartuigen doeltreffend kunnen overschakelen op duurzaamheid, de energie-efficiëntie kunnen opschalen en de veiligheid kunnen verbeteren;</w:t>
            </w:r>
          </w:p>
        </w:tc>
        <w:tc>
          <w:tcPr>
            <w:tcW w:w="4876" w:type="dxa"/>
            <w:tcBorders>
              <w:top w:val="nil"/>
              <w:left w:val="nil"/>
              <w:bottom w:val="nil"/>
              <w:right w:val="nil"/>
            </w:tcBorders>
          </w:tcPr>
          <w:p>
            <w:pPr>
              <w:pStyle w:val="Normal6a"/>
            </w:pPr>
            <w:r>
              <w:t>10.</w:t>
            </w:r>
            <w:r>
              <w:tab/>
            </w:r>
            <w:r>
              <w:t xml:space="preserve">dringt aan op de herziening van de artikelen 17 t/m 19 van het EFMZVA om de subsidiabiliteitscriteria te vereenvoudigen, met name door de drempel van 24 meter en de huidige maximale leeftijd van 40 jaar voor vaartuigen te herzien, om ervoor te zorgen dat alle essentiële vaartuigen doeltreffend kunnen overschakelen op duurzaamheid, de energie-efficiëntie kunnen opschalen en de veiligheid kunnen verbeteren; </w:t>
            </w:r>
            <w:r>
              <w:rPr>
                <w:b/>
                <w:i/>
              </w:rPr>
              <w:t>wijst op de noodzaak om in het kader voor de periode na 2027 flexibelere financieringsregels op te nemen om onnodige beperkingen te vermijden;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dringt aan op de herziening van de artikelen 17 t/m 19 van het EFMZVA om de subsidiabiliteitscriteria te vereenvoudigen</w:t>
            </w:r>
            <w:r>
              <w:rPr>
                <w:b/>
                <w:i/>
              </w:rPr>
              <w:t>, met name door de drempel van 24 meter en de huidige maximale leeftijd van 40 jaar voor vaartuigen te herzien</w:t>
            </w:r>
            <w:r>
              <w:t xml:space="preserve">, </w:t>
            </w:r>
            <w:r>
              <w:rPr>
                <w:b/>
                <w:i/>
              </w:rPr>
              <w:t>om ervoor</w:t>
            </w:r>
            <w:r>
              <w:t xml:space="preserve"> te zorgen </w:t>
            </w:r>
            <w:r>
              <w:rPr>
                <w:b/>
                <w:i/>
              </w:rPr>
              <w:t>dat alle essentiële vaartuigen doeltreffend kunnen overschakelen</w:t>
            </w:r>
            <w:r>
              <w:t xml:space="preserve"> op duurzaamheid</w:t>
            </w:r>
            <w:r>
              <w:rPr>
                <w:b/>
                <w:i/>
              </w:rPr>
              <w:t>,</w:t>
            </w:r>
            <w:r>
              <w:t xml:space="preserve"> de energie-efficiëntie </w:t>
            </w:r>
            <w:r>
              <w:rPr>
                <w:b/>
                <w:i/>
              </w:rPr>
              <w:t>kunnen opschalen</w:t>
            </w:r>
            <w:r>
              <w:t xml:space="preserve"> en de veiligheid </w:t>
            </w:r>
            <w:r>
              <w:rPr>
                <w:b/>
                <w:i/>
              </w:rPr>
              <w:t>kunnen verbeteren</w:t>
            </w:r>
            <w:r>
              <w:t>;</w:t>
            </w:r>
          </w:p>
        </w:tc>
        <w:tc>
          <w:tcPr>
            <w:tcW w:w="4876" w:type="dxa"/>
            <w:tcBorders>
              <w:top w:val="nil"/>
              <w:left w:val="nil"/>
              <w:bottom w:val="nil"/>
              <w:right w:val="nil"/>
            </w:tcBorders>
          </w:tcPr>
          <w:p>
            <w:pPr>
              <w:pStyle w:val="Normal6a"/>
            </w:pPr>
            <w:r>
              <w:t>10.</w:t>
            </w:r>
            <w:r>
              <w:tab/>
            </w:r>
            <w:r>
              <w:t xml:space="preserve">dringt aan op de herziening van de artikelen 17 t/m 19 van het EFMZVA om de subsidiabiliteitscriteria te vereenvoudigen </w:t>
            </w:r>
            <w:r>
              <w:rPr>
                <w:b/>
                <w:i/>
              </w:rPr>
              <w:t>teneinde de toegang te verbeteren en prioriteit te geven aan het reserveren van financiering voor kleinschalige vissers die passief vistuig gebruiken</w:t>
            </w:r>
            <w:r>
              <w:t xml:space="preserve">, </w:t>
            </w:r>
            <w:r>
              <w:rPr>
                <w:b/>
                <w:i/>
              </w:rPr>
              <w:t>en om een specifiek actieplan te ontwikkelen voor het koolstofvrij maken en moderniseren van de kleinschalige visserij, teneinde</w:t>
            </w:r>
            <w:r>
              <w:t xml:space="preserve"> te zorgen </w:t>
            </w:r>
            <w:r>
              <w:rPr>
                <w:b/>
                <w:i/>
              </w:rPr>
              <w:t>voor een doeltreffende overschakeling</w:t>
            </w:r>
            <w:r>
              <w:t xml:space="preserve"> op duurzaamheid </w:t>
            </w:r>
            <w:r>
              <w:rPr>
                <w:b/>
                <w:i/>
              </w:rPr>
              <w:t>en tegelijkertijd</w:t>
            </w:r>
            <w:r>
              <w:t xml:space="preserve"> de energie-efficiëntie </w:t>
            </w:r>
            <w:r>
              <w:rPr>
                <w:b/>
                <w:i/>
              </w:rPr>
              <w:t>te verbeteren</w:t>
            </w:r>
            <w:r>
              <w:t xml:space="preserve"> en de veiligheid </w:t>
            </w:r>
            <w:r>
              <w:rPr>
                <w:b/>
                <w:i/>
              </w:rPr>
              <w:t>te verhogen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244</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dringt </w:t>
            </w:r>
            <w:r>
              <w:rPr>
                <w:b/>
                <w:i/>
              </w:rPr>
              <w:t>aan op de herziening van de artikelen 17 t/m 19 van het</w:t>
            </w:r>
            <w:r>
              <w:t xml:space="preserve"> EFMZVA </w:t>
            </w:r>
            <w:r>
              <w:rPr>
                <w:b/>
                <w:i/>
              </w:rPr>
              <w:t>om</w:t>
            </w:r>
            <w:r>
              <w:t xml:space="preserve"> de subsidiabiliteitscriteria </w:t>
            </w:r>
            <w:r>
              <w:rPr>
                <w:b/>
                <w:i/>
              </w:rPr>
              <w:t>te vereenvoudigen</w:t>
            </w:r>
            <w:r>
              <w:t xml:space="preserve">, met </w:t>
            </w:r>
            <w:r>
              <w:rPr>
                <w:b/>
                <w:i/>
              </w:rPr>
              <w:t>name door de drempel van 24 meter en de huidige maximale leeftijd van 40 jaar voor vaartuigen te herzien</w:t>
            </w:r>
            <w:r>
              <w:t xml:space="preserve">, om ervoor te zorgen dat alle essentiële vaartuigen doeltreffend kunnen overschakelen op </w:t>
            </w:r>
            <w:r>
              <w:rPr>
                <w:b/>
                <w:i/>
              </w:rPr>
              <w:t>duurzaamheid</w:t>
            </w:r>
            <w:r>
              <w:t>, de energie-efficiëntie kunnen opschalen en de veiligheid kunnen verbeteren;</w:t>
            </w:r>
          </w:p>
        </w:tc>
        <w:tc>
          <w:tcPr>
            <w:tcW w:w="4876" w:type="dxa"/>
            <w:tcBorders>
              <w:top w:val="nil"/>
              <w:left w:val="nil"/>
              <w:bottom w:val="nil"/>
              <w:right w:val="nil"/>
            </w:tcBorders>
          </w:tcPr>
          <w:p>
            <w:pPr>
              <w:pStyle w:val="Normal6a"/>
            </w:pPr>
            <w:r>
              <w:t>10.</w:t>
            </w:r>
            <w:r>
              <w:tab/>
            </w:r>
            <w:r>
              <w:t xml:space="preserve">dringt </w:t>
            </w:r>
            <w:r>
              <w:rPr>
                <w:b/>
                <w:i/>
              </w:rPr>
              <w:t>erop aan dat in het komende</w:t>
            </w:r>
            <w:r>
              <w:t xml:space="preserve"> EFMZVA de subsidiabiliteitscriteria </w:t>
            </w:r>
            <w:r>
              <w:rPr>
                <w:b/>
                <w:i/>
              </w:rPr>
              <w:t>worden vereenvoudigd</w:t>
            </w:r>
            <w:r>
              <w:t xml:space="preserve">, </w:t>
            </w:r>
            <w:r>
              <w:rPr>
                <w:b/>
                <w:i/>
              </w:rPr>
              <w:t>rekening wordt gehouden</w:t>
            </w:r>
            <w:r>
              <w:t xml:space="preserve"> met </w:t>
            </w:r>
            <w:r>
              <w:rPr>
                <w:b/>
                <w:i/>
              </w:rPr>
              <w:t>de ruimte- en ontwerpvereisten voor opslag-, energie- en aandrijfsystemen voor alternatieve brandstoffen</w:t>
            </w:r>
            <w:r>
              <w:t xml:space="preserve">, om ervoor te zorgen dat alle essentiële vaartuigen doeltreffend kunnen overschakelen op </w:t>
            </w:r>
            <w:r>
              <w:rPr>
                <w:b/>
                <w:i/>
              </w:rPr>
              <w:t>koolstofvrije energiesystemen</w:t>
            </w:r>
            <w:r>
              <w:t>, de energie-efficiëntie kunnen opschalen en de veiligheid kunnen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245</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dringt aan op </w:t>
            </w:r>
            <w:r>
              <w:rPr>
                <w:b/>
                <w:i/>
              </w:rPr>
              <w:t>de herziening</w:t>
            </w:r>
            <w:r>
              <w:t xml:space="preserve"> van de artikelen 17 </w:t>
            </w:r>
            <w:r>
              <w:rPr>
                <w:b/>
                <w:i/>
              </w:rPr>
              <w:t>t/m</w:t>
            </w:r>
            <w:r>
              <w:t xml:space="preserve"> 19 van het EFMZVA </w:t>
            </w:r>
            <w:r>
              <w:rPr>
                <w:b/>
                <w:i/>
              </w:rPr>
              <w:t>om de subsidiabiliteitscriteria te vereenvoudigen, met name door de drempel van 24 meter en de huidige maximale leeftijd van 40 jaar voor vaartuigen te herzien,</w:t>
            </w:r>
            <w:r>
              <w:t xml:space="preserve"> om ervoor te zorgen dat alle essentiële vaartuigen doeltreffend kunnen overschakelen op duurzaamheid, de energie-efficiëntie kunnen </w:t>
            </w:r>
            <w:r>
              <w:rPr>
                <w:b/>
                <w:i/>
              </w:rPr>
              <w:t>opschalen</w:t>
            </w:r>
            <w:r>
              <w:t xml:space="preserve"> en de veiligheid kunnen verbeteren;</w:t>
            </w:r>
          </w:p>
        </w:tc>
        <w:tc>
          <w:tcPr>
            <w:tcW w:w="4876" w:type="dxa"/>
            <w:tcBorders>
              <w:top w:val="nil"/>
              <w:left w:val="nil"/>
              <w:bottom w:val="nil"/>
              <w:right w:val="nil"/>
            </w:tcBorders>
          </w:tcPr>
          <w:p>
            <w:pPr>
              <w:pStyle w:val="Normal6a"/>
            </w:pPr>
            <w:r>
              <w:t>10.</w:t>
            </w:r>
            <w:r>
              <w:tab/>
            </w:r>
            <w:r>
              <w:t xml:space="preserve">dringt aan op </w:t>
            </w:r>
            <w:r>
              <w:rPr>
                <w:b/>
                <w:i/>
              </w:rPr>
              <w:t>meer coördinatie en facilitering door de Commissie en de lidstaten bij de uitvoering</w:t>
            </w:r>
            <w:r>
              <w:t xml:space="preserve"> van de artikelen 17 </w:t>
            </w:r>
            <w:r>
              <w:rPr>
                <w:b/>
                <w:i/>
              </w:rPr>
              <w:t>tot en met</w:t>
            </w:r>
            <w:r>
              <w:t xml:space="preserve"> 19 van het EFMZVA om ervoor te zorgen dat alle essentiële vaartuigen doeltreffend kunnen overschakelen op duurzaamheid, de energie-efficiëntie kunnen </w:t>
            </w:r>
            <w:r>
              <w:rPr>
                <w:b/>
                <w:i/>
              </w:rPr>
              <w:t>verbeteren</w:t>
            </w:r>
            <w:r>
              <w:t xml:space="preserve"> en de veiligheid kunnen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246</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onderstreept het belang van een realistische en duurzame energietransitie, ook voor de visserijsector, en verzoekt de Commissie de mogelijkheid van een herziening van de wettelijke beperkingen te overwegen die momenteel de vernieuwing van motoren voor de meer energie-intensieve vloten in de weg staan;</w:t>
            </w:r>
            <w:r>
              <w:t xml:space="preserve"> </w:t>
            </w:r>
            <w:r>
              <w:rPr>
                <w:b/>
                <w:i/>
              </w:rPr>
              <w:t>wijst erop dat het gebruik van nieuwe generatie motoren, waaronder verbrandingsmotoren, een doeltreffende en duurzame manier kan zijn om het verbruik en schadelijke uitstoot te reduceren, en daarmee een concrete oplossing vormt voor het verbeteren van de milieu-efficiëntie zonder dat dit ten koste gaat van het rendement van ondernemingen;</w:t>
            </w:r>
            <w:r>
              <w:t xml:space="preserve"> </w:t>
            </w:r>
            <w:r>
              <w:rPr>
                <w:b/>
                <w:i/>
              </w:rPr>
              <w:t>herinnert eraan dat de impact van de visserijsector op het totaal aan mondiale uitstoot slechts marginaal is, en dat bij het koolstofvrij maken van de vloot van de EU tegelijkertijd de economische, sociale en ecologische duurzaamheid van de sector gewaarborgd moeten worden;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benadrukt de noodzaak om door middel van het EFMZVA energieaudits van vissersvaartuigen uit te voeren;</w:t>
            </w:r>
            <w:r>
              <w:t xml:space="preserve"> </w:t>
            </w:r>
            <w:r>
              <w:rPr>
                <w:b/>
                <w:i/>
              </w:rPr>
              <w:t>dringt erop aan dat acties voor optimalisering en aanpassing waar mogelijk moeten worden aangemoedigd om de energie-efficiëntie van vaartuigen te verbeteren en het gebruik van technologieën voor het optimaliseren van visserijroutes te bevorderen, met name door middel van AI, teneinde de visserijsector op een meer betaalbare manier koolstofvrij te maken;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248</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benadrukt dat de leeftijd van een aanzienlijk deel van de vloot een belemmering vormt voor investeringen in modernisering, energie-efficiëntie en duurzaamheid;</w:t>
            </w:r>
            <w:r>
              <w:t xml:space="preserve"> </w:t>
            </w:r>
            <w:r>
              <w:rPr>
                <w:b/>
                <w:i/>
              </w:rPr>
              <w:t>stelt daarom voor een vernieuwingsregeling in het leven te roepen, die in samenwerking met particuliere exploitanten wordt aangestuurd, om de vervanging van de vloot door modernere, veiligere en milieuvriendelijkere vaartuigen te vergemakkelijken;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249</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verzoekt de Commissie aanvullende financieringsinstrumenten vast te stellen die verder gaan dan het EFMZVA, met inbegrip van innovatieve financieringsmodellen, om de enorme investeringsbehoeften van de sector op het gebied van decarbonisatie en energie-efficiëntie te ondersteunen;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250</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verzoekt de Commissie om in de structuur van het nieuwe meerjarig financieel kader 2028-2035 het EFMZVA te behouden als een specifiek voor visserij bestemd fonds met voldoende middelen;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benadrukt dat overheidsfinanciering moet worden ingezet als hefboom om particuliere investeringen aan te trekken en investeringen van particuliere actoren aan te moedigen door een plan voor de vernieuwing en modernisering van vaartuigen op te stellen en door een vertrouwensrelatie op te bouwen tussen de visserijsector, de overheidsinstellingen, autoriteiten en investeerders;</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252</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verzoekt de Commissie en de lidstaten om binnen het volgende meerjarig financieel kader (MFK) te voorzien in een adequaat financieringsniveau voor het gemeenschappelijk visserijbeleid (GVB) via het Europees Fonds voor maritieme zaken, visserij en aquacultuur (EFMZVA);</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253</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pleit ervoor dat de Commissie onderzoek ondersteunt naar innovaties op het gebied van het ontwerp van vaartuigen die verder gaan dan aandrijfsystemen, verbeterde romphydrodynamica, lichte composietmaterialen en de vervanging van hydraulisch-mechanische systemen door elektrische aandrijving;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254</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10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quater.</w:t>
            </w:r>
            <w:r>
              <w:tab/>
            </w:r>
            <w:r>
              <w:rPr>
                <w:b/>
                <w:i/>
              </w:rPr>
              <w:t>benadrukt de noodzaak om tegelijkertijd in te zetten op de ontwikkeling en financiering van de beroepsopleiding die nodig is voor de toepassing en het gebruik van nieuwe technologieën en motoren;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11.</w:t>
            </w:r>
            <w:r>
              <w:tab/>
            </w:r>
            <w:r>
              <w:rPr>
                <w:b/>
                <w:i/>
              </w:rPr>
              <w:t>benadrukt dat de modernisering van de vloot ook verbeteringen van de arbeids- en levensomstandigheden aan boord met zich mee moet brengen;</w:t>
            </w:r>
            <w:r>
              <w:t xml:space="preserve"> </w:t>
            </w:r>
            <w:r>
              <w:rPr>
                <w:b/>
                <w:i/>
              </w:rPr>
              <w:t>merkt op dat betere accommodatie en faciliteiten bijdragen tot het welzijn van de bemanning en het beroep toegankelijker maken voor vrouwen en jongere generaties;</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w:t>
            </w:r>
          </w:p>
        </w:tc>
        <w:tc>
          <w:tcPr>
            <w:tcW w:w="4876" w:type="dxa"/>
            <w:tcBorders>
              <w:top w:val="nil"/>
              <w:left w:val="nil"/>
              <w:bottom w:val="nil"/>
              <w:right w:val="nil"/>
            </w:tcBorders>
          </w:tcPr>
          <w:p>
            <w:pPr>
              <w:pStyle w:val="Normal6a"/>
            </w:pPr>
            <w:r>
              <w:t>11.</w:t>
            </w:r>
            <w:r>
              <w:tab/>
            </w:r>
            <w:r>
              <w:t>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w:t>
            </w:r>
            <w:r>
              <w:rPr>
                <w:b/>
                <w:i/>
              </w:rPr>
              <w:t>, wat zou helpen het imago en de aantrekkelijkheid van de sector te verbeteren en zo in grote mate bij te dragen aan de generatievernieuwing van het beroep</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257</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w:t>
            </w:r>
          </w:p>
        </w:tc>
        <w:tc>
          <w:tcPr>
            <w:tcW w:w="4876" w:type="dxa"/>
            <w:tcBorders>
              <w:top w:val="nil"/>
              <w:left w:val="nil"/>
              <w:bottom w:val="nil"/>
              <w:right w:val="nil"/>
            </w:tcBorders>
          </w:tcPr>
          <w:p>
            <w:pPr>
              <w:pStyle w:val="Normal6a"/>
            </w:pPr>
            <w:r>
              <w:t>11.</w:t>
            </w:r>
            <w:r>
              <w:tab/>
            </w:r>
            <w:r>
              <w:t xml:space="preserve">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 </w:t>
            </w:r>
            <w:r>
              <w:rPr>
                <w:b/>
                <w:i/>
              </w:rPr>
              <w:t>benadrukt dat het EFMZVA voorziet in steun voor dergelijke verbeteringen;</w:t>
            </w:r>
            <w:r>
              <w:t xml:space="preserve"> </w:t>
            </w:r>
            <w:r>
              <w:rPr>
                <w:b/>
                <w:i/>
              </w:rPr>
              <w:t>verzoekt de lidstaten toegang tot gerelateerde middelen te vergemakkelijken, met name voor kleinschalige vissers;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258</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w:t>
            </w:r>
          </w:p>
        </w:tc>
        <w:tc>
          <w:tcPr>
            <w:tcW w:w="4876" w:type="dxa"/>
            <w:tcBorders>
              <w:top w:val="nil"/>
              <w:left w:val="nil"/>
              <w:bottom w:val="nil"/>
              <w:right w:val="nil"/>
            </w:tcBorders>
          </w:tcPr>
          <w:p>
            <w:pPr>
              <w:pStyle w:val="Normal6a"/>
            </w:pPr>
            <w:r>
              <w:t>11.</w:t>
            </w:r>
            <w:r>
              <w:tab/>
            </w:r>
            <w:r>
              <w:t xml:space="preserve">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 </w:t>
            </w:r>
            <w:r>
              <w:rPr>
                <w:b/>
                <w:i/>
              </w:rPr>
              <w:t>herhaalt dat bij de berekening van de vangstcapaciteit de “sociale en veiligheidsgerelateerde tonnage” buiten beschouwing moet worden gelaten;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259</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benadrukt dat de modernisering van de vloot ook verbeteringen van de arbeids- en levensomstandigheden aan boord met zich mee moet brengen; merkt op dat betere accommodatie en faciliteiten bijdragen tot het welzijn van de bemanning en het beroep toegankelijker maken voor vrouwen en jongere generaties;</w:t>
            </w:r>
          </w:p>
        </w:tc>
        <w:tc>
          <w:tcPr>
            <w:tcW w:w="4876" w:type="dxa"/>
            <w:tcBorders>
              <w:top w:val="nil"/>
              <w:left w:val="nil"/>
              <w:bottom w:val="nil"/>
              <w:right w:val="nil"/>
            </w:tcBorders>
          </w:tcPr>
          <w:p>
            <w:pPr>
              <w:pStyle w:val="Normal6a"/>
            </w:pPr>
            <w:r>
              <w:t>11.</w:t>
            </w:r>
            <w:r>
              <w:tab/>
            </w:r>
            <w:r>
              <w:t xml:space="preserve">benadrukt dat de modernisering van de vloot ook verbeteringen van de arbeids- en levensomstandigheden aan boord met zich mee moet brengen </w:t>
            </w:r>
            <w:r>
              <w:rPr>
                <w:b/>
                <w:i/>
              </w:rPr>
              <w:t>overeenkomstig het IAO-Verdrag nr. 188</w:t>
            </w:r>
            <w:r>
              <w:t>; merkt op dat betere accommodatie en faciliteiten bijdragen tot het welzijn van de bemanning en het beroep toegankelijker maken voor vrouwen en jongere generaties;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260</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rPr>
                <w:b/>
                <w:i/>
              </w:rPr>
              <w:t>benadrukt dat de modernisering van de vloot ook verbeteringen van de arbeids- en levensomstandigheden aan boord met zich mee moet brengen;</w:t>
            </w:r>
            <w:r>
              <w:t xml:space="preserve"> merkt op dat betere accommodatie en faciliteiten bijdragen tot het welzijn van de bemanning </w:t>
            </w:r>
            <w:r>
              <w:rPr>
                <w:b/>
                <w:i/>
              </w:rPr>
              <w:t>en het beroep</w:t>
            </w:r>
            <w:r>
              <w:t xml:space="preserve"> toegankelijker maken voor vrouwen en jongere generaties;</w:t>
            </w:r>
          </w:p>
        </w:tc>
        <w:tc>
          <w:tcPr>
            <w:tcW w:w="4876" w:type="dxa"/>
            <w:tcBorders>
              <w:top w:val="nil"/>
              <w:left w:val="nil"/>
              <w:bottom w:val="nil"/>
              <w:right w:val="nil"/>
            </w:tcBorders>
          </w:tcPr>
          <w:p>
            <w:pPr>
              <w:pStyle w:val="Normal6a"/>
            </w:pPr>
            <w:r>
              <w:t>11.</w:t>
            </w:r>
            <w:r>
              <w:tab/>
            </w:r>
            <w:r>
              <w:t xml:space="preserve">merkt op dat betere accommodatie en faciliteiten </w:t>
            </w:r>
            <w:r>
              <w:rPr>
                <w:b/>
                <w:i/>
              </w:rPr>
              <w:t>die</w:t>
            </w:r>
            <w:r>
              <w:t xml:space="preserve"> bijdragen tot het welzijn van de bemanning </w:t>
            </w:r>
            <w:r>
              <w:rPr>
                <w:b/>
                <w:i/>
              </w:rPr>
              <w:t>bijdragen aan het</w:t>
            </w:r>
            <w:r>
              <w:t xml:space="preserve"> toegankelijker </w:t>
            </w:r>
            <w:r>
              <w:rPr>
                <w:b/>
                <w:i/>
              </w:rPr>
              <w:t>en aantrekkelijker</w:t>
            </w:r>
            <w:r>
              <w:t xml:space="preserve"> maken </w:t>
            </w:r>
            <w:r>
              <w:rPr>
                <w:b/>
                <w:i/>
              </w:rPr>
              <w:t>van het beroep</w:t>
            </w:r>
            <w:r>
              <w:t xml:space="preserve"> voor vrouwen en jongere generaties;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verzoekt de Commissie en de lidstaten om, als noodzakelijke kortetermijndoelstelling, inspanningen en maatregelen te ondersteunen om de intensiteit van het brandstofgebruik aanzienlijk te verminderen en energie-efficiëntie te bevorderen, teneinde een algemene vermindering van het energieverbruik in de visserijsector te bereiken, met name door energieaudits in te voeren en te financieren en het energieverbruik van vissersvaartuigen te monitoren;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262</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ter.</w:t>
            </w:r>
            <w:r>
              <w:tab/>
            </w:r>
            <w:r>
              <w:rPr>
                <w:b/>
                <w:i/>
              </w:rPr>
              <w:t>verzoekt de Commissie en de lidstaten de benaderingen van het visserijbeheer aan te passen om broeikasgasemissies te integreren en bij te dragen tot de vermindering van het brandstofverbruik door overcapaciteit weg te werken en de vispopulaties en mariene ecosystemen te herstellen;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11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quater.</w:t>
            </w:r>
            <w:r>
              <w:tab/>
            </w:r>
            <w:r>
              <w:rPr>
                <w:b/>
                <w:i/>
              </w:rPr>
              <w:t>verzoekt de lidstaten artikel 17 van het GVB uit te voeren en vangstmogelijkheden toe te wijzen op basis van milieuprestaties, teneinde stimulansen te creëren voor het koolstofvrij maken van de visserij en de overschakeling naar visserij met een lage 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12.</w:t>
            </w:r>
            <w:r>
              <w:tab/>
            </w:r>
            <w:r>
              <w:rPr>
                <w:b/>
                <w:i/>
              </w:rPr>
              <w:t>verzoekt de Commissie erop toe te zien dat het decarbonisatiebeleid het concurrentievermogen van de visserijsector van de EU niet in gevaar brengt;</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rPr>
                <w:b/>
                <w:i/>
              </w:rPr>
              <w:t>verzoekt de Commissie erop toe te zien dat het decarbonisatiebeleid het concurrentievermogen</w:t>
            </w:r>
            <w:r>
              <w:t xml:space="preserve"> van de </w:t>
            </w:r>
            <w:r>
              <w:rPr>
                <w:b/>
                <w:i/>
              </w:rPr>
              <w:t>visserijsector</w:t>
            </w:r>
            <w:r>
              <w:t xml:space="preserve"> van de </w:t>
            </w:r>
            <w:r>
              <w:rPr>
                <w:b/>
                <w:i/>
              </w:rPr>
              <w:t>EU niet</w:t>
            </w:r>
            <w:r>
              <w:t xml:space="preserve"> in gevaar </w:t>
            </w:r>
            <w:r>
              <w:rPr>
                <w:b/>
                <w:i/>
              </w:rPr>
              <w:t>brengt</w:t>
            </w:r>
            <w:r>
              <w:t>;</w:t>
            </w:r>
          </w:p>
        </w:tc>
        <w:tc>
          <w:tcPr>
            <w:tcW w:w="4876" w:type="dxa"/>
            <w:tcBorders>
              <w:top w:val="nil"/>
              <w:left w:val="nil"/>
              <w:bottom w:val="nil"/>
              <w:right w:val="nil"/>
            </w:tcBorders>
          </w:tcPr>
          <w:p>
            <w:pPr>
              <w:pStyle w:val="Normal6a"/>
            </w:pPr>
            <w:r>
              <w:t>12.</w:t>
            </w:r>
            <w:r>
              <w:tab/>
            </w:r>
            <w:r>
              <w:rPr>
                <w:b/>
                <w:i/>
              </w:rPr>
              <w:t>wijst met name op de zeer slechte toestand</w:t>
            </w:r>
            <w:r>
              <w:t xml:space="preserve"> van de </w:t>
            </w:r>
            <w:r>
              <w:rPr>
                <w:b/>
                <w:i/>
              </w:rPr>
              <w:t>vissersvloten in de ultraperifere gebieden, waar de vaartuigen extreem oud zijn, meestal minder dan 12 meter lang zijn en steeds moeilijkere weersomstandigheden moeten trotseren;</w:t>
            </w:r>
            <w:r>
              <w:t xml:space="preserve"> </w:t>
            </w:r>
            <w:r>
              <w:rPr>
                <w:b/>
                <w:i/>
              </w:rPr>
              <w:t>benadrukt dat, bovenop de veiligheidsrisico’s en de verslechtering</w:t>
            </w:r>
            <w:r>
              <w:t xml:space="preserve"> van de </w:t>
            </w:r>
            <w:r>
              <w:rPr>
                <w:b/>
                <w:i/>
              </w:rPr>
              <w:t>arbeids- en levensomstandigheden aan boord, het gebrek aan mogelijkheden om de vaartuigen te vernieuwen of te moderniseren ook ertoe leidt dat de toegang tot hulpbronnen wordt beperkt, waardoor de voedselzekerheid en de lokale economieën van deze gebieden</w:t>
            </w:r>
            <w:r>
              <w:t xml:space="preserve"> in gevaar </w:t>
            </w:r>
            <w:r>
              <w:rPr>
                <w:b/>
                <w:i/>
              </w:rPr>
              <w:t>komen</w:t>
            </w:r>
            <w:r>
              <w:t xml:space="preserve">; </w:t>
            </w:r>
            <w:r>
              <w:rPr>
                <w:b/>
                <w:i/>
              </w:rPr>
              <w:t>merkt op dat de vissersvloten van de ultraperifere gebieden, ondanks de in het EFMZVA vastgestelde specifieke bepalingen, te kampen hebben met structurele beperkingen en extra kosten vanwege hun afgelegen ligging, wat betekent dat er een programma van speciaal op een afgelegen en insulair karakter afgestemde maatregelen (Posei) moet worden opgezet, naar het voorbeeld van het programma voor landbouw;</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verzoekt de Commissie erop toe te zien dat het decarbonisatiebeleid </w:t>
            </w:r>
            <w:r>
              <w:rPr>
                <w:b/>
                <w:i/>
              </w:rPr>
              <w:t>het concurrentievermogen van de visserijsector van de EU</w:t>
            </w:r>
            <w:r>
              <w:t xml:space="preserve"> niet in gevaar </w:t>
            </w:r>
            <w:r>
              <w:rPr>
                <w:b/>
                <w:i/>
              </w:rPr>
              <w:t>brengt</w:t>
            </w:r>
            <w:r>
              <w:t>;</w:t>
            </w:r>
          </w:p>
        </w:tc>
        <w:tc>
          <w:tcPr>
            <w:tcW w:w="4876" w:type="dxa"/>
            <w:tcBorders>
              <w:top w:val="nil"/>
              <w:left w:val="nil"/>
              <w:bottom w:val="nil"/>
              <w:right w:val="nil"/>
            </w:tcBorders>
          </w:tcPr>
          <w:p>
            <w:pPr>
              <w:pStyle w:val="Normal6a"/>
            </w:pPr>
            <w:r>
              <w:t>12.</w:t>
            </w:r>
            <w:r>
              <w:tab/>
            </w:r>
            <w:r>
              <w:t xml:space="preserve">verzoekt de Commissie erop toe te zien dat het decarbonisatiebeleid </w:t>
            </w:r>
            <w:r>
              <w:rPr>
                <w:b/>
                <w:i/>
              </w:rPr>
              <w:t>zodanig wordt uitgevoerd dat een rechtvaardige transitie en fatsoenlijke arbeidsomstandigheden worden gewaarborgd, kleinschalige kustvissers worden ondersteund en rekening wordt gehouden met hun specifieke uitdagingen, het economisch en sociaal nut wordt gemaximaliseerd en de doelstellingen op het gebied van visserijbeheer en mariene biodiversiteit</w:t>
            </w:r>
            <w:r>
              <w:t xml:space="preserve"> niet in gevaar </w:t>
            </w:r>
            <w:r>
              <w:rPr>
                <w:b/>
                <w:i/>
              </w:rPr>
              <w:t>worden gebracht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267</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verzoekt de Commissie erop toe te zien dat het decarbonisatiebeleid </w:t>
            </w:r>
            <w:r>
              <w:rPr>
                <w:b/>
                <w:i/>
              </w:rPr>
              <w:t>het concurrentievermogen</w:t>
            </w:r>
            <w:r>
              <w:t xml:space="preserve"> van de visserijsector van de EU niet in gevaar brengt;</w:t>
            </w:r>
          </w:p>
        </w:tc>
        <w:tc>
          <w:tcPr>
            <w:tcW w:w="4876" w:type="dxa"/>
            <w:tcBorders>
              <w:top w:val="nil"/>
              <w:left w:val="nil"/>
              <w:bottom w:val="nil"/>
              <w:right w:val="nil"/>
            </w:tcBorders>
          </w:tcPr>
          <w:p>
            <w:pPr>
              <w:pStyle w:val="Normal6a"/>
            </w:pPr>
            <w:r>
              <w:t>12.</w:t>
            </w:r>
            <w:r>
              <w:tab/>
            </w:r>
            <w:r>
              <w:t xml:space="preserve">verzoekt de Commissie erop toe te zien dat het decarbonisatiebeleid </w:t>
            </w:r>
            <w:r>
              <w:rPr>
                <w:b/>
                <w:i/>
              </w:rPr>
              <w:t>hand in hand gaat met concurrentiedoelstellingen en dat een succesvol decarbonisatieproces</w:t>
            </w:r>
            <w:r>
              <w:t xml:space="preserve"> van de visserijsector van de EU </w:t>
            </w:r>
            <w:r>
              <w:rPr>
                <w:b/>
                <w:i/>
              </w:rPr>
              <w:t>de winstgevendheid van de sector</w:t>
            </w:r>
            <w:r>
              <w:t xml:space="preserve"> niet in gevaar brengt;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268</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verzoekt de Commissie erop toe te zien dat het decarbonisatiebeleid het concurrentievermogen van de visserijsector van de EU niet in gevaar brengt;</w:t>
            </w:r>
          </w:p>
        </w:tc>
        <w:tc>
          <w:tcPr>
            <w:tcW w:w="4876" w:type="dxa"/>
            <w:tcBorders>
              <w:top w:val="nil"/>
              <w:left w:val="nil"/>
              <w:bottom w:val="nil"/>
              <w:right w:val="nil"/>
            </w:tcBorders>
          </w:tcPr>
          <w:p>
            <w:pPr>
              <w:pStyle w:val="Normal6a"/>
            </w:pPr>
            <w:r>
              <w:t>12.</w:t>
            </w:r>
            <w:r>
              <w:tab/>
            </w:r>
            <w:r>
              <w:t xml:space="preserve">verzoekt de Commissie erop toe te zien dat het decarbonisatiebeleid het concurrentievermogen van de visserijsector van de EU niet in gevaar brengt </w:t>
            </w:r>
            <w:r>
              <w:rPr>
                <w:b/>
                <w:i/>
              </w:rPr>
              <w:t>en voldoende financiële en regelgevende steun te verlenen om te voorkomen dat de afhankelijkheid van de invoer van vis uit derde landen met lagere milieunormen toeneemt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269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verzoekt de Commissie erop toe te zien dat het decarbonisatiebeleid het concurrentievermogen van de visserijsector van de EU niet in gevaar brengt;</w:t>
            </w:r>
          </w:p>
        </w:tc>
        <w:tc>
          <w:tcPr>
            <w:tcW w:w="4876" w:type="dxa"/>
            <w:tcBorders>
              <w:top w:val="nil"/>
              <w:left w:val="nil"/>
              <w:bottom w:val="nil"/>
              <w:right w:val="nil"/>
            </w:tcBorders>
          </w:tcPr>
          <w:p>
            <w:pPr>
              <w:pStyle w:val="Normal6a"/>
            </w:pPr>
            <w:r>
              <w:t>12.</w:t>
            </w:r>
            <w:r>
              <w:tab/>
            </w:r>
            <w:r>
              <w:t xml:space="preserve">verzoekt de Commissie erop toe te zien dat het decarbonisatiebeleid het concurrentievermogen van de visserijsector van de EU niet in gevaar brengt </w:t>
            </w:r>
            <w:r>
              <w:rPr>
                <w:b/>
                <w:i/>
              </w:rPr>
              <w:t>ten opzichte van oneerlijke mondiale concurrenten die niet aan even strenge regelgevingskaders zijn onderworpen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270</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verzoekt de Commissie erop toe te zien dat het decarbonisatiebeleid het concurrentievermogen van de visserijsector van de EU niet in gevaar brengt;</w:t>
            </w:r>
          </w:p>
        </w:tc>
        <w:tc>
          <w:tcPr>
            <w:tcW w:w="4876" w:type="dxa"/>
            <w:tcBorders>
              <w:top w:val="nil"/>
              <w:left w:val="nil"/>
              <w:bottom w:val="nil"/>
              <w:right w:val="nil"/>
            </w:tcBorders>
          </w:tcPr>
          <w:p>
            <w:pPr>
              <w:pStyle w:val="Normal6a"/>
            </w:pPr>
            <w:r>
              <w:t>12.</w:t>
            </w:r>
            <w:r>
              <w:tab/>
            </w:r>
            <w:r>
              <w:t xml:space="preserve">verzoekt de Commissie erop toe te zien dat het decarbonisatiebeleid het concurrentievermogen van de visserijsector van de EU niet in gevaar brengt; </w:t>
            </w:r>
            <w:r>
              <w:rPr>
                <w:b/>
                <w:i/>
              </w:rPr>
              <w:t>stelt voor dat de Commissie de koolstof- en milieueffecten van alle visserij- en aquacultuurinvoer evalueert;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271</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verzoekt de Commissie erop toe te zien dat </w:t>
            </w:r>
            <w:r>
              <w:rPr>
                <w:b/>
                <w:i/>
              </w:rPr>
              <w:t>het decarbonisatiebeleid</w:t>
            </w:r>
            <w:r>
              <w:t xml:space="preserve"> het concurrentievermogen van de visserijsector van de EU niet in gevaar brengt;</w:t>
            </w:r>
          </w:p>
        </w:tc>
        <w:tc>
          <w:tcPr>
            <w:tcW w:w="4876" w:type="dxa"/>
            <w:tcBorders>
              <w:top w:val="nil"/>
              <w:left w:val="nil"/>
              <w:bottom w:val="nil"/>
              <w:right w:val="nil"/>
            </w:tcBorders>
          </w:tcPr>
          <w:p>
            <w:pPr>
              <w:pStyle w:val="Normal6a"/>
            </w:pPr>
            <w:r>
              <w:t>12.</w:t>
            </w:r>
            <w:r>
              <w:tab/>
            </w:r>
            <w:r>
              <w:t xml:space="preserve">verzoekt de Commissie erop toe te zien dat </w:t>
            </w:r>
            <w:r>
              <w:rPr>
                <w:b/>
                <w:i/>
              </w:rPr>
              <w:t>de decarbonisatiedoelstellingen worden gehandhaafd en ondersteund door financieringsmaatregelen om ervoor te zorgen dat het beleid</w:t>
            </w:r>
            <w:r>
              <w:t xml:space="preserve"> het concurrentievermogen van de visserijsector van de EU </w:t>
            </w:r>
            <w:r>
              <w:rPr>
                <w:b/>
                <w:i/>
              </w:rPr>
              <w:t>en de klimaatdoelstellingen van de EU voor 2050</w:t>
            </w:r>
            <w:r>
              <w:t xml:space="preserve"> niet in gevaar brengt;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272</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verzoekt de Commissie erop toe te zien dat het decarbonisatiebeleid het concurrentievermogen van de visserijsector van de EU niet in gevaar brengt;</w:t>
            </w:r>
          </w:p>
        </w:tc>
        <w:tc>
          <w:tcPr>
            <w:tcW w:w="4876" w:type="dxa"/>
            <w:tcBorders>
              <w:top w:val="nil"/>
              <w:left w:val="nil"/>
              <w:bottom w:val="nil"/>
              <w:right w:val="nil"/>
            </w:tcBorders>
          </w:tcPr>
          <w:p>
            <w:pPr>
              <w:pStyle w:val="Normal6a"/>
            </w:pPr>
            <w:r>
              <w:t>12.</w:t>
            </w:r>
            <w:r>
              <w:tab/>
            </w:r>
            <w:r>
              <w:t xml:space="preserve">verzoekt de Commissie erop toe te zien dat het decarbonisatiebeleid het concurrentievermogen van de visserijsector van de EU niet in gevaar brengt </w:t>
            </w:r>
            <w:r>
              <w:rPr>
                <w:b/>
                <w:i/>
              </w:rPr>
              <w:t>en niet bijdraagt aan een ongelijk speelveld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273</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Herinnert eraan dat de visserij, met uitzondering van enkele ambachtelijke vormen, volledig afhankelijk is van fossiele brandstoffen, en dat brandstofgebruik de belangrijkste variabele kostenpost is voor visserijbedrijven, die vaak bepalend zijn voor hun algehele winstgevendheid;</w:t>
            </w:r>
            <w:r>
              <w:t xml:space="preserve"> </w:t>
            </w:r>
            <w:r>
              <w:rPr>
                <w:b/>
                <w:i/>
              </w:rPr>
              <w:t>merkt tegelijkertijd op dat brandstofgebruik de belangrijkste aanjager is van broeikasgasemissies van de visvangst, die de emissies van de hele toeleveringsketen tot de consument domineert;</w:t>
            </w:r>
            <w:r>
              <w:t xml:space="preserve"> </w:t>
            </w:r>
            <w:r>
              <w:rPr>
                <w:b/>
                <w:i/>
              </w:rPr>
              <w:t>benadrukt dat decarbonisatiebeleid, mits goed ontworpen en goed uitgevoerd, met name met het beginsel “energie-efficiëntie eerst”, aanzienlijk bijdraagt aan de economische zekerheid en de blootstelling aan de volatiliteit van de markt voor fossiele brandstoffen vermindert, en dus van vitaal belang is voor het duurzame concurrentievermogen van de visserijsector van de EU op lange termijn;</w:t>
            </w:r>
            <w:r>
              <w:t xml:space="preserve"> </w:t>
            </w:r>
            <w:r>
              <w:rPr>
                <w:b/>
                <w:i/>
              </w:rPr>
              <w:t>benadrukt dat prioriteit moet worden gegeven aan de vermindering van de intensiteit van het brandstofverbruik per vangsteenheid en aan de verschuiving naar alternatieve volledig hernieuwbare brandstoffen, alsook aan het volledige faciliterende kader, met inachtneming van de sociale en economische aspecten, met inbegrip van de eis om het gebrek aan evenwicht tussen de verschillende soorten brandstoffen aan te pakken door belastingvrijstellingen voor fossiele brandstoffen af te schaffen, waardoor de visserij bijzonder kwetsbaar is voor de wereldwijde marktvolatiliteit;</w:t>
            </w:r>
            <w:r>
              <w:t xml:space="preserve"> </w:t>
            </w:r>
            <w:r>
              <w:rPr>
                <w:b/>
                <w:i/>
              </w:rPr>
              <w:t>verzoekt de Commissie deze kernoverweging mee te nemen in de uitvoering van artikel 17 van het GVB, door energie-efficiëntie en nuluitstoot op te nemen als expliciete doelstelling van het visserijbeheer die moet worden gemeten, gecontroleerd, gerapporteerd en verbeterd, naast het waarborgen van de doelstellingen inzake de bescherming van de biodiversiteit;</w:t>
            </w:r>
            <w:r>
              <w:t xml:space="preserve"> </w:t>
            </w:r>
            <w:r>
              <w:rPr>
                <w:b/>
                <w:i/>
              </w:rPr>
              <w:t>merkt ook op dat de visserij momenteel een relatief voordeel heeft ten opzichte van de landbouwsector, omdat zij koolstofarme, voedzame levensmiddelen produceert;</w:t>
            </w:r>
            <w:r>
              <w:t xml:space="preserve"> </w:t>
            </w:r>
            <w:r>
              <w:rPr>
                <w:b/>
                <w:i/>
              </w:rPr>
              <w:t>is bezorgd over het feit dat de visserij dit relatieve voordeel in korte tijd zou kunnen verliezen als de overschakeling niet wordt versneld;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274</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onderstreept dat de kleinschalige kustvisserij, met name in eilandregio's en in ultraperifere regio's, als steunpilaar fungeert voor het economisch, sociaal en cultureel weefsel van een groot aantal lokale gemeenschappen;</w:t>
            </w:r>
            <w:r>
              <w:t xml:space="preserve"> </w:t>
            </w:r>
            <w:r>
              <w:rPr>
                <w:b/>
                <w:i/>
              </w:rPr>
              <w:t>verzoekt de Commissie ervoor te zorgen dat de milieudoelen volledig verenigbaar zijn met de economische duurzaamheid van ondernemingen in de ambachtelijke kustvisserij, ook vanuit toeristisch en recreatief oogpunt;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275</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herhaalt dat de EU geen belastingen mag invoeren op brandstof die wordt gebruikt voor visserijactiviteiten, noch visserij mag opnemen in het emissiehandelssysteem (ETS2), dat de sector zou kunnen belasten met CO2-gerelateerde belastingen en de sociaal-economische uitdagingen voor visserijbedrijven die al worden getroffen door hoge energieprijzen en inflatie, nog verder zou kunnen verergeren;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276</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verzoekt de Commissie decarbonisatie in te zetten als een middel om de levensvatbaarheid van de kustvisserij in de EU te ondersteunen;</w:t>
            </w:r>
            <w:r>
              <w:t xml:space="preserve"> </w:t>
            </w:r>
            <w:r>
              <w:rPr>
                <w:b/>
                <w:i/>
              </w:rPr>
              <w:t>dringt er voorts op aan om het systeem van staatssteun en de-minimissteun in samenwerking met professionals in dit segment van de vloot te herzien, teneinde deze investeringen te stimuleren;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277</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verzoekt de Commissie een realistisch en haalbaar tijdschema voor decarbonisatie vast te stellen dat spoort met de technologische evolutie en de logistieke beschikbaarheid van schone brandstoffen en technologieën, om onevenredige sociaal-economische gevolgen voor de sector te voorkomen;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278</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is gekant tegen de invoering van nieuwe brandstofbelastingen op vissersvaartuigen voordat kosteneffectieve koolstofarme alternatieven commercieel beschikbaar zijn;</w:t>
            </w:r>
            <w:r>
              <w:t xml:space="preserve"> </w:t>
            </w:r>
            <w:r>
              <w:rPr>
                <w:b/>
                <w:i/>
              </w:rPr>
              <w:t>verwerpt voorts de mogelijke integratie van de visserijsector in het EU-emissiehandelssysteem;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279</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verzoekt de EU ervoor te zorgen dat de productienormen voor ingevoerde visserijproducten voldoen aan de sociale, duurzaamheids- en decarboniseringsnormen van de EU om een gelijk speelveld in de transitie te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280</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ter.</w:t>
            </w:r>
            <w:r>
              <w:tab/>
            </w:r>
            <w:r>
              <w:rPr>
                <w:b/>
                <w:i/>
              </w:rPr>
              <w:t>benadrukt dat er behoefte is aan een nieuw strategisch pact tussen de Europese Unie en de visserij- en aquacultuursector, met als doel het concurrentievermogen van de sector een nieuwe stimulans te geven, de duurzame transitie te steunen en de toekomstige groei en ontwikkeling voor ondernemingen en gemeenschappen in kustgebieden te waarborgen;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ter.</w:t>
            </w:r>
            <w:r>
              <w:tab/>
            </w:r>
            <w:r>
              <w:rPr>
                <w:b/>
                <w:i/>
              </w:rPr>
              <w:t>is van mening dat de geleidelijke afschaffing van belastingvrijstellingen voor fossiele brandstoffen in de visserij gepaard moet gaan met aanzienlijke financiële steun en stimulansen ter ondersteuning van een rechtvaardige transitie om decarbonisatie tot stand te brengen en de sociaal-economische gevolgen ervan te verzachten;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282</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ter.</w:t>
            </w:r>
            <w:r>
              <w:tab/>
            </w:r>
            <w:r>
              <w:rPr>
                <w:b/>
                <w:i/>
              </w:rPr>
              <w:t>benadrukt dat er geen belastingen op door de vissersvloot gebruikte diesel mogen worden ingevoerd zolang er op commerciële schaal geen schone aandrijftechnologieën beschikbaar zijn en zolang het wetgevingskader niet is aangepast aan de invoering daarvan;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283</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quater.</w:t>
            </w:r>
            <w:r>
              <w:tab/>
            </w:r>
            <w:r>
              <w:rPr>
                <w:b/>
                <w:i/>
              </w:rPr>
              <w:t>benadrukt dat het noodzakelijk is toegepast onderzoek en technologische innovatie op het vlak van de circulaire economie in de visserijsector te stimuleren door proefprojecten en lokale initiatieven te steunen die de synergie tussen bedrijven in de visserijsector, plaatselijke actiegroepen visserij (FLAG's), exploitanten in de afvalverwerkingssector, recyclingbedrijven en andere economische actoren te bevorderen, met als doel te zorgen voor een efficiënter gebruik van hulpbronnen, een beter concurrentievermogen van de sector en nieuwe werkgelegenheid op plaatselijk niveau;</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De rol van innovatie</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12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verzoekt de Commissie de capaciteitsmaxima aan te passen om rekening te houden met nieuwe vereisten met betrekking tot veiligheid, decarbonisatie en de aantrekkelijkheid van de sector.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benadrukt dat innovatie in vistuig </w:t>
            </w:r>
            <w:r>
              <w:rPr>
                <w:b/>
                <w:i/>
              </w:rPr>
              <w:t>een belangrijke aanjager van duurzaamheid is en de koolstofvoetafdruk van de visserijsector aanzienlijk kan verkleinen;</w:t>
            </w:r>
            <w:r>
              <w:t xml:space="preserve"> </w:t>
            </w:r>
            <w:r>
              <w:rPr>
                <w:b/>
                <w:i/>
              </w:rPr>
              <w:t>onderstreept</w:t>
            </w:r>
            <w:r>
              <w:t xml:space="preserve"> dat moderne technologie van vistuigen </w:t>
            </w:r>
            <w:r>
              <w:rPr>
                <w:b/>
                <w:i/>
              </w:rPr>
              <w:t>bijvangst tot een minimum kan beperken</w:t>
            </w:r>
            <w:r>
              <w:t xml:space="preserve">, de operationele </w:t>
            </w:r>
            <w:r>
              <w:rPr>
                <w:b/>
                <w:i/>
              </w:rPr>
              <w:t>efficiëntie kan verhogen en het brandstofverbruik kan verminderen, waardoor visserijactiviteiten zowel duurzamer als winstgevender worden</w:t>
            </w:r>
            <w:r>
              <w:t>;</w:t>
            </w:r>
          </w:p>
        </w:tc>
        <w:tc>
          <w:tcPr>
            <w:tcW w:w="4876" w:type="dxa"/>
            <w:tcBorders>
              <w:top w:val="nil"/>
              <w:left w:val="nil"/>
              <w:bottom w:val="nil"/>
              <w:right w:val="nil"/>
            </w:tcBorders>
          </w:tcPr>
          <w:p>
            <w:pPr>
              <w:pStyle w:val="Normal6a"/>
            </w:pPr>
            <w:r>
              <w:t>13.</w:t>
            </w:r>
            <w:r>
              <w:tab/>
            </w:r>
            <w:r>
              <w:t xml:space="preserve">benadrukt dat innovatie in vistuig </w:t>
            </w:r>
            <w:r>
              <w:rPr>
                <w:b/>
                <w:i/>
              </w:rPr>
              <w:t>aangejaagd moet worden door wetenschappelijk bewijs en milieudoelstellingen, en moet bijdragen tot een betere selectiviteit, minder bijvangsten en een geringere impact op mariene habitats;</w:t>
            </w:r>
            <w:r>
              <w:t xml:space="preserve"> </w:t>
            </w:r>
            <w:r>
              <w:rPr>
                <w:b/>
                <w:i/>
              </w:rPr>
              <w:t>benadrukt</w:t>
            </w:r>
            <w:r>
              <w:t xml:space="preserve"> dat moderne technologie van vistuigen </w:t>
            </w:r>
            <w:r>
              <w:rPr>
                <w:b/>
                <w:i/>
              </w:rPr>
              <w:t>de economische duurzaamheid van de activiteit moet ondersteunen zonder de milieudruk van de ene ecosysteemcomponent naar het andere te verschuiven, en moet worden onderworpen aan een grondige evaluatie voordat deze op grote schaal wordt ingevoerd;</w:t>
            </w:r>
            <w:r>
              <w:t xml:space="preserve"> </w:t>
            </w:r>
            <w:r>
              <w:rPr>
                <w:b/>
                <w:i/>
              </w:rPr>
              <w:t>onderstreept de noodzaak van gerichte overheidsinvesteringen en regelgevingssteun ter bevordering van de ontwikkeling</w:t>
            </w:r>
            <w:r>
              <w:t xml:space="preserve">, </w:t>
            </w:r>
            <w:r>
              <w:rPr>
                <w:b/>
                <w:i/>
              </w:rPr>
              <w:t>het testen en het opschalen van vistuig dat zowel de milieuresultaten als</w:t>
            </w:r>
            <w:r>
              <w:t xml:space="preserve"> de operationele </w:t>
            </w:r>
            <w:r>
              <w:rPr>
                <w:b/>
                <w:i/>
              </w:rPr>
              <w:t>levensvatbaarheid van vloten met een lage impact verbetert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benadrukt dat innovatie in vistuig een belangrijke aanjager van duurzaamheid is en de koolstofvoetafdruk van de visserijsector aanzienlijk kan verkleinen; onderstreept dat moderne technologie van vistuigen bijvangst tot een minimum kan beperken, de operationele efficiëntie kan verhogen en het brandstofverbruik kan verminderen, waardoor visserijactiviteiten zowel duurzamer als winstgevender worden;</w:t>
            </w:r>
          </w:p>
        </w:tc>
        <w:tc>
          <w:tcPr>
            <w:tcW w:w="4876" w:type="dxa"/>
            <w:tcBorders>
              <w:top w:val="nil"/>
              <w:left w:val="nil"/>
              <w:bottom w:val="nil"/>
              <w:right w:val="nil"/>
            </w:tcBorders>
          </w:tcPr>
          <w:p>
            <w:pPr>
              <w:pStyle w:val="Normal6a"/>
            </w:pPr>
            <w:r>
              <w:t>13.</w:t>
            </w:r>
            <w:r>
              <w:tab/>
            </w:r>
            <w:r>
              <w:t xml:space="preserve">benadrukt dat innovatie in vistuig een belangrijke aanjager van duurzaamheid is en de koolstofvoetafdruk van de visserijsector aanzienlijk kan verkleinen; onderstreept dat moderne technologie van vistuigen bijvangst tot een minimum kan beperken, de operationele efficiëntie kan verhogen en het brandstofverbruik kan verminderen, waardoor visserijactiviteiten zowel duurzamer als winstgevender worden; </w:t>
            </w:r>
            <w:r>
              <w:rPr>
                <w:b/>
                <w:i/>
              </w:rPr>
              <w:t>benadrukt het belang van een open, inclusieve en technologieneutrale aanpak, waarbij vistuig op verantwoorde wijze wordt gereguleerd;</w:t>
            </w:r>
            <w:r>
              <w:t xml:space="preserve"> </w:t>
            </w:r>
            <w:r>
              <w:rPr>
                <w:b/>
                <w:i/>
              </w:rPr>
              <w:t>verzoekt de Commissie daarom de aanpak van artikel 7 van Verordening (EU) 2019/1241 te heroverwegen;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benadrukt dat innovatie in vistuig een belangrijke aanjager van duurzaamheid is en de koolstofvoetafdruk van de visserijsector aanzienlijk kan verkleinen; onderstreept dat moderne </w:t>
            </w:r>
            <w:r>
              <w:rPr>
                <w:b/>
                <w:i/>
              </w:rPr>
              <w:t>technologie van vistuigen</w:t>
            </w:r>
            <w:r>
              <w:t xml:space="preserve"> bijvangst tot een minimum </w:t>
            </w:r>
            <w:r>
              <w:rPr>
                <w:b/>
                <w:i/>
              </w:rPr>
              <w:t>kan</w:t>
            </w:r>
            <w:r>
              <w:t xml:space="preserve"> beperken, de operationele efficiëntie kan verhogen en het brandstofverbruik kan verminderen, waardoor visserijactiviteiten zowel duurzamer als winstgevender worden;</w:t>
            </w:r>
          </w:p>
        </w:tc>
        <w:tc>
          <w:tcPr>
            <w:tcW w:w="4876" w:type="dxa"/>
            <w:tcBorders>
              <w:top w:val="nil"/>
              <w:left w:val="nil"/>
              <w:bottom w:val="nil"/>
              <w:right w:val="nil"/>
            </w:tcBorders>
          </w:tcPr>
          <w:p>
            <w:pPr>
              <w:pStyle w:val="Normal6a"/>
            </w:pPr>
            <w:r>
              <w:t>13.</w:t>
            </w:r>
            <w:r>
              <w:tab/>
            </w:r>
            <w:r>
              <w:t xml:space="preserve">benadrukt dat innovatie in vistuig </w:t>
            </w:r>
            <w:r>
              <w:rPr>
                <w:b/>
                <w:i/>
              </w:rPr>
              <w:t>of technieken</w:t>
            </w:r>
            <w:r>
              <w:t xml:space="preserve"> een belangrijke aanjager van duurzaamheid is en de koolstofvoetafdruk van de visserijsector aanzienlijk kan verkleinen; onderstreept dat moderne </w:t>
            </w:r>
            <w:r>
              <w:rPr>
                <w:b/>
                <w:i/>
              </w:rPr>
              <w:t>vistuigtechnologieën en technieken</w:t>
            </w:r>
            <w:r>
              <w:t xml:space="preserve"> bijvangst tot een minimum </w:t>
            </w:r>
            <w:r>
              <w:rPr>
                <w:b/>
                <w:i/>
              </w:rPr>
              <w:t>kunnen</w:t>
            </w:r>
            <w:r>
              <w:t xml:space="preserve"> beperken, de operationele efficiëntie kan verhogen en het brandstofverbruik kan verminderen, </w:t>
            </w:r>
            <w:r>
              <w:rPr>
                <w:b/>
                <w:i/>
              </w:rPr>
              <w:t>met name door scheepvaartroutes te optimaliseren,</w:t>
            </w:r>
            <w:r>
              <w:t xml:space="preserve"> waardoor visserijactiviteiten zowel duurzamer als winstgevender worden;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benadrukt dat innovatie in vistuig een </w:t>
            </w:r>
            <w:r>
              <w:rPr>
                <w:b/>
                <w:i/>
              </w:rPr>
              <w:t>belangrijke</w:t>
            </w:r>
            <w:r>
              <w:t xml:space="preserve"> aanjager van duurzaamheid is en de koolstofvoetafdruk van de visserijsector aanzienlijk kan verkleinen; onderstreept dat moderne </w:t>
            </w:r>
            <w:r>
              <w:rPr>
                <w:b/>
                <w:i/>
              </w:rPr>
              <w:t>technologie van vistuigen</w:t>
            </w:r>
            <w:r>
              <w:t xml:space="preserve"> bijvangst tot een minimum </w:t>
            </w:r>
            <w:r>
              <w:rPr>
                <w:b/>
                <w:i/>
              </w:rPr>
              <w:t>kan</w:t>
            </w:r>
            <w:r>
              <w:t xml:space="preserve"> beperken, de operationele efficiëntie </w:t>
            </w:r>
            <w:r>
              <w:rPr>
                <w:b/>
                <w:i/>
              </w:rPr>
              <w:t>kan</w:t>
            </w:r>
            <w:r>
              <w:t xml:space="preserve"> verhogen en het brandstofverbruik </w:t>
            </w:r>
            <w:r>
              <w:rPr>
                <w:b/>
                <w:i/>
              </w:rPr>
              <w:t>kan</w:t>
            </w:r>
            <w:r>
              <w:t xml:space="preserve"> verminderen</w:t>
            </w:r>
            <w:r>
              <w:rPr>
                <w:b/>
                <w:i/>
              </w:rPr>
              <w:t>, waardoor visserijactiviteiten zowel duurzamer als winstgevender worden</w:t>
            </w:r>
            <w:r>
              <w:t>;</w:t>
            </w:r>
          </w:p>
        </w:tc>
        <w:tc>
          <w:tcPr>
            <w:tcW w:w="4876" w:type="dxa"/>
            <w:tcBorders>
              <w:top w:val="nil"/>
              <w:left w:val="nil"/>
              <w:bottom w:val="nil"/>
              <w:right w:val="nil"/>
            </w:tcBorders>
          </w:tcPr>
          <w:p>
            <w:pPr>
              <w:pStyle w:val="Normal6a"/>
            </w:pPr>
            <w:r>
              <w:t>13.</w:t>
            </w:r>
            <w:r>
              <w:tab/>
            </w:r>
            <w:r>
              <w:t xml:space="preserve">benadrukt dat innovatie in vistuig een aanjager van duurzaamheid is en de koolstofvoetafdruk van de visserijsector aanzienlijk kan verkleinen; onderstreept dat moderne </w:t>
            </w:r>
            <w:r>
              <w:rPr>
                <w:b/>
                <w:i/>
              </w:rPr>
              <w:t>vistuigtechnologieën</w:t>
            </w:r>
            <w:r>
              <w:t xml:space="preserve"> bijvangst tot een minimum </w:t>
            </w:r>
            <w:r>
              <w:rPr>
                <w:b/>
                <w:i/>
              </w:rPr>
              <w:t>kunnen</w:t>
            </w:r>
            <w:r>
              <w:t xml:space="preserve"> beperken, de operationele efficiëntie </w:t>
            </w:r>
            <w:r>
              <w:rPr>
                <w:b/>
                <w:i/>
              </w:rPr>
              <w:t>kunnen</w:t>
            </w:r>
            <w:r>
              <w:t xml:space="preserve"> verhogen en het brandstofverbruik </w:t>
            </w:r>
            <w:r>
              <w:rPr>
                <w:b/>
                <w:i/>
              </w:rPr>
              <w:t>kunnen</w:t>
            </w:r>
            <w:r>
              <w:t xml:space="preserve"> verminderen;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benadrukt dat innovatie in </w:t>
            </w:r>
            <w:r>
              <w:rPr>
                <w:b/>
                <w:i/>
              </w:rPr>
              <w:t>vistuig</w:t>
            </w:r>
            <w:r>
              <w:t xml:space="preserve"> een belangrijke aanjager van duurzaamheid is en de koolstofvoetafdruk van de </w:t>
            </w:r>
            <w:r>
              <w:rPr>
                <w:b/>
                <w:i/>
              </w:rPr>
              <w:t>visserijsector</w:t>
            </w:r>
            <w:r>
              <w:t xml:space="preserve"> aanzienlijk kan verkleinen; onderstreept dat moderne technologie van vistuigen bijvangst tot een minimum kan beperken, de operationele efficiëntie kan verhogen en het brandstofverbruik kan verminderen, waardoor visserijactiviteiten zowel duurzamer als winstgevender worden;</w:t>
            </w:r>
          </w:p>
        </w:tc>
        <w:tc>
          <w:tcPr>
            <w:tcW w:w="4876" w:type="dxa"/>
            <w:tcBorders>
              <w:top w:val="nil"/>
              <w:left w:val="nil"/>
              <w:bottom w:val="nil"/>
              <w:right w:val="nil"/>
            </w:tcBorders>
          </w:tcPr>
          <w:p>
            <w:pPr>
              <w:pStyle w:val="Normal6a"/>
            </w:pPr>
            <w:r>
              <w:t>13.</w:t>
            </w:r>
            <w:r>
              <w:tab/>
            </w:r>
            <w:r>
              <w:t xml:space="preserve">benadrukt dat innovatie in </w:t>
            </w:r>
            <w:r>
              <w:rPr>
                <w:b/>
                <w:i/>
              </w:rPr>
              <w:t>de visserijsector</w:t>
            </w:r>
            <w:r>
              <w:t xml:space="preserve"> een belangrijke aanjager van duurzaamheid is en de koolstofvoetafdruk van de </w:t>
            </w:r>
            <w:r>
              <w:rPr>
                <w:b/>
                <w:i/>
              </w:rPr>
              <w:t>sector</w:t>
            </w:r>
            <w:r>
              <w:t xml:space="preserve"> aanzienlijk kan verkleinen; onderstreept dat moderne technologie van vistuigen </w:t>
            </w:r>
            <w:r>
              <w:rPr>
                <w:b/>
                <w:i/>
              </w:rPr>
              <w:t>en visserijmethoden</w:t>
            </w:r>
            <w:r>
              <w:t xml:space="preserve"> bijvangst tot een minimum kan beperken, de operationele efficiëntie kan verhogen en het brandstofverbruik kan verminderen, waardoor visserijactiviteiten zowel duurzamer als winstgevender worden;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wijst op de dringende noodzaak om te investeren in en gebruik te maken van visserijtechnologieën die ongewenste vangsten verminderen, de selectiviteit verbeteren en verstoring van ecosystemen tot een minimum beperken;</w:t>
            </w:r>
            <w:r>
              <w:t xml:space="preserve"> </w:t>
            </w:r>
            <w:r>
              <w:rPr>
                <w:b/>
                <w:i/>
              </w:rPr>
              <w:t>benadrukt dat de technologische transities in de sector gebaseerd moeten zijn op degelijk wetenschappelijk bewijs, met inbegrip van, indien van toepassing, milieueffectbeoordelingen en levenscyclusanalyses;</w:t>
            </w:r>
            <w:r>
              <w:t xml:space="preserve"> </w:t>
            </w:r>
            <w:r>
              <w:rPr>
                <w:b/>
                <w:i/>
              </w:rPr>
              <w:t>dringt erop aan dat het besluitvormingsproces over de goedkeuring van vistuig, de subsidiabiliteit en flexibiliteit van de regelgeving wordt gebaseerd op de beste beschikbare wetenschappelijke kennis en wordt afgestemd op de doelstellingen van het herstel van mariene ecosystemen en de bescherming van de biodiversiteit;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benadrukt echter dat bepaalde recente innovatieve vistuigtechnologieën ernstige risico’s inhouden voor de vispopulaties, het mariene milieu en de kustvisserij;</w:t>
            </w:r>
            <w:r>
              <w:t xml:space="preserve"> </w:t>
            </w:r>
            <w:r>
              <w:rPr>
                <w:b/>
                <w:i/>
              </w:rPr>
              <w:t>herinnert in dit verband aan zijn standpunt over een verbod op het gebruik van demersale zegens in de Franse kustwateren;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Is van mening dat, gezien de enorme regionale verschillen in de visserij in de EU, steun voor innovatie in vistuig een beleidsterrein is waarop samenwerking met en betrokkenheid van lokale vloten absoluut noodzakelijk zijn;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benadrukt echter dat innovatie en decarbonisatie niet als argument mogen worden gebruikt om visserijmethoden of vistuig met bijzonder destructieve effecten op ecosystemen te rechtvaardigen;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ter.</w:t>
            </w:r>
            <w:r>
              <w:tab/>
            </w:r>
            <w:r>
              <w:rPr>
                <w:b/>
                <w:i/>
              </w:rPr>
              <w:t>onderstreept dat het koolstofvrij maken van de visserij op gecoördineerde wijze moet plaatsvinden met een omschakeling naar visserij met een lage 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13 quater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quater.</w:t>
            </w:r>
            <w:r>
              <w:tab/>
            </w:r>
            <w:r>
              <w:rPr>
                <w:b/>
                <w:i/>
              </w:rPr>
              <w:t>benadrukt het belang van een geleidelijke vermindering van het gebruik van bodemtrawls, gezien de hoge brandstofintensiteit en de schadelijke gevolgen ervan voor zeebodemhabitats, waarbij vissers langetermijnperspectieven en alternatieven moeten worden geboden;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benadrukt dat het goedkeuringsproces van de EU voor nieuw vistuig, ondanks duidelijke voordelen, veel tijd in beslag neemt, waardoor de ecologische, innovatieve en economische voordelen aanzienlijke vertraging oplopen;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14.</w:t>
            </w:r>
            <w:r>
              <w:tab/>
            </w:r>
            <w:r>
              <w:rPr>
                <w:b/>
                <w:i/>
              </w:rPr>
              <w:t>benadrukt dat het goedkeuringsproces van de EU voor nieuw vistuig, ondanks duidelijke voordelen, veel tijd in beslag neemt, waardoor de ecologische, innovatieve en economische voordelen aanzienlijke vertraging oplopen;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benadrukt dat </w:t>
            </w:r>
            <w:r>
              <w:rPr>
                <w:b/>
                <w:i/>
              </w:rPr>
              <w:t>het goedkeuringsproces van de EU</w:t>
            </w:r>
            <w:r>
              <w:t xml:space="preserve"> voor nieuw vistuig</w:t>
            </w:r>
            <w:r>
              <w:rPr>
                <w:b/>
                <w:i/>
              </w:rPr>
              <w:t>, ondanks duidelijke voordelen,</w:t>
            </w:r>
            <w:r>
              <w:t xml:space="preserve"> veel tijd in beslag </w:t>
            </w:r>
            <w:r>
              <w:rPr>
                <w:b/>
                <w:i/>
              </w:rPr>
              <w:t>neemt</w:t>
            </w:r>
            <w:r>
              <w:t>, waardoor de ecologische, innovatieve en economische voordelen aanzienlijke vertraging oplopen;</w:t>
            </w:r>
          </w:p>
        </w:tc>
        <w:tc>
          <w:tcPr>
            <w:tcW w:w="4876" w:type="dxa"/>
            <w:tcBorders>
              <w:top w:val="nil"/>
              <w:left w:val="nil"/>
              <w:bottom w:val="nil"/>
              <w:right w:val="nil"/>
            </w:tcBorders>
          </w:tcPr>
          <w:p>
            <w:pPr>
              <w:pStyle w:val="Normal6a"/>
            </w:pPr>
            <w:r>
              <w:t>14.</w:t>
            </w:r>
            <w:r>
              <w:tab/>
            </w:r>
            <w:r>
              <w:t xml:space="preserve">benadrukt dat </w:t>
            </w:r>
            <w:r>
              <w:rPr>
                <w:b/>
                <w:i/>
              </w:rPr>
              <w:t>er nog steeds belemmeringen zijn voor de invoering van nieuwe innovaties in de visserijsector en dat de goedkeuringsprocessen</w:t>
            </w:r>
            <w:r>
              <w:t xml:space="preserve"> voor nieuw vistuig </w:t>
            </w:r>
            <w:r>
              <w:rPr>
                <w:b/>
                <w:i/>
              </w:rPr>
              <w:t>en nieuwe visserijmethoden</w:t>
            </w:r>
            <w:r>
              <w:t xml:space="preserve"> veel tijd in beslag </w:t>
            </w:r>
            <w:r>
              <w:rPr>
                <w:b/>
                <w:i/>
              </w:rPr>
              <w:t>nemen</w:t>
            </w:r>
            <w:r>
              <w:t>, waardoor de ecologische, innovatieve en economische voordelen aanzienlijke vertraging oplopen;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benadrukt dat het goedkeuringsproces van de EU voor nieuw vistuig, ondanks duidelijke voordelen, veel tijd in beslag neemt, waardoor de ecologische, innovatieve en economische voordelen aanzienlijke vertraging oplopen;</w:t>
            </w:r>
          </w:p>
        </w:tc>
        <w:tc>
          <w:tcPr>
            <w:tcW w:w="4876" w:type="dxa"/>
            <w:tcBorders>
              <w:top w:val="nil"/>
              <w:left w:val="nil"/>
              <w:bottom w:val="nil"/>
              <w:right w:val="nil"/>
            </w:tcBorders>
          </w:tcPr>
          <w:p>
            <w:pPr>
              <w:pStyle w:val="Normal6a"/>
            </w:pPr>
            <w:r>
              <w:t>14.</w:t>
            </w:r>
            <w:r>
              <w:tab/>
            </w:r>
            <w:r>
              <w:t xml:space="preserve">benadrukt dat het goedkeuringsproces van de EU voor nieuw vistuig, ondanks duidelijke voordelen, veel tijd in beslag neemt, waardoor de ecologische, innovatieve en economische voordelen aanzienlijke vertraging oplopen; </w:t>
            </w:r>
            <w:r>
              <w:rPr>
                <w:b/>
                <w:i/>
              </w:rPr>
              <w:t>is van mening dat autoriteiten onder het niveau van de lidstaten die verantwoordelijkheden hebben op het gebied van visserij een rol moeten spelen in dit proces;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benadrukt dat </w:t>
            </w:r>
            <w:r>
              <w:rPr>
                <w:b/>
                <w:i/>
              </w:rPr>
              <w:t>het goedkeuringsproces van de EU voor</w:t>
            </w:r>
            <w:r>
              <w:t xml:space="preserve"> nieuw vistuig</w:t>
            </w:r>
            <w:r>
              <w:rPr>
                <w:b/>
                <w:i/>
              </w:rPr>
              <w:t>, ondanks duidelijke voordelen, veel tijd in beslag neemt, waardoor de</w:t>
            </w:r>
            <w:r>
              <w:t xml:space="preserve"> ecologische, innovatieve en economische voordelen </w:t>
            </w:r>
            <w:r>
              <w:rPr>
                <w:b/>
                <w:i/>
              </w:rPr>
              <w:t>aanzienlijke vertraging oplopen</w:t>
            </w:r>
            <w:r>
              <w:t>;</w:t>
            </w:r>
          </w:p>
        </w:tc>
        <w:tc>
          <w:tcPr>
            <w:tcW w:w="4876" w:type="dxa"/>
            <w:tcBorders>
              <w:top w:val="nil"/>
              <w:left w:val="nil"/>
              <w:bottom w:val="nil"/>
              <w:right w:val="nil"/>
            </w:tcBorders>
          </w:tcPr>
          <w:p>
            <w:pPr>
              <w:pStyle w:val="Normal6a"/>
            </w:pPr>
            <w:r>
              <w:t>14.</w:t>
            </w:r>
            <w:r>
              <w:tab/>
            </w:r>
            <w:r>
              <w:t xml:space="preserve">benadrukt dat </w:t>
            </w:r>
            <w:r>
              <w:rPr>
                <w:b/>
                <w:i/>
              </w:rPr>
              <w:t>de goedkeuring van</w:t>
            </w:r>
            <w:r>
              <w:t xml:space="preserve"> nieuw vistuig </w:t>
            </w:r>
            <w:r>
              <w:rPr>
                <w:b/>
                <w:i/>
              </w:rPr>
              <w:t>door de EU</w:t>
            </w:r>
            <w:r>
              <w:t xml:space="preserve"> ecologische, innovatieve en economische voordelen </w:t>
            </w:r>
            <w:r>
              <w:rPr>
                <w:b/>
                <w:i/>
              </w:rPr>
              <w:t>kan opleveren, bijvoorbeeld een vermindering van de incidentele vangsten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 bis.</w:t>
            </w:r>
            <w:r>
              <w:tab/>
            </w:r>
            <w:r>
              <w:rPr>
                <w:b/>
                <w:i/>
              </w:rPr>
              <w:t>erkent de toenemende bijdrage van vissers aan milieubescherming door activiteiten zoals het verzamelen van zwerfvuil op zee, waaronder verloren of achtergelaten vistuig;</w:t>
            </w:r>
            <w:r>
              <w:t xml:space="preserve"> </w:t>
            </w:r>
            <w:r>
              <w:rPr>
                <w:b/>
                <w:i/>
              </w:rPr>
              <w:t>benadrukt dat deze rol moet worden aangemoedigd en ondersteund door middel van gerichte stimulansen, adequate haveninfrastructuur en het creëren van aanvullende inkomstenstromen in verband met de doelstellingen van de circulaire economie;</w:t>
            </w:r>
            <w:r>
              <w:t xml:space="preserve"> </w:t>
            </w:r>
            <w:r>
              <w:rPr>
                <w:b/>
                <w:i/>
              </w:rPr>
              <w:t>benadrukt dat het bevorderen van de bijdrage van vissers aan het milieu de maatschappelijke aanvaardbaarheid van het beroep helpt versterken, hun rol als beheerders van de zee versterkt en bijdraagt tot bredere duurzaamheids- en marienehersteldoelstellingen;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14 bis.</w:t>
            </w:r>
            <w:r>
              <w:tab/>
            </w:r>
            <w:r>
              <w:rPr>
                <w:b/>
                <w:i/>
              </w:rPr>
              <w:t>benadrukt dat de uitvoering van het EFMZVA een meer functionele benadering behoeft die niet uitgaat van het huidige niet-gecodificeerde criterium van "vangstvermogen" – dat niet in de Uniewetgeving is opgenomen en dat er de facto de oorzaak van is dat veel economische actoren geen financiële steun uit het EFMZVA kunnen ontvangen – en die ruimte biedt voor maatregelen die de selectiviteit van vistuig kunnen verbeteren, die ervoor zorgen dat minder onbedoelde schade wordt berokkend aan visbestanden en mariene ecosystemen en dat de gezondheid en veiligheid aan boord worden verbeterd;</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Beleidsaanbevelingen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rPr>
                <w:b/>
                <w:i/>
              </w:rPr>
              <w:t>is van mening</w:t>
            </w:r>
            <w:r>
              <w:t xml:space="preserve"> dat het van essentieel belang is </w:t>
            </w:r>
            <w:r>
              <w:rPr>
                <w:b/>
                <w:i/>
              </w:rPr>
              <w:t>een duidelijke definitie van “innovatief en duurzaam” vistuig vast te stellen en dat een dergelijke definitie meetbare criteria moet omvatten, zoals minder bijvangst, een lagere impact op de zeebodem</w:t>
            </w:r>
            <w:r>
              <w:t xml:space="preserve"> en een </w:t>
            </w:r>
            <w:r>
              <w:rPr>
                <w:b/>
                <w:i/>
              </w:rPr>
              <w:t>betere brandstofefficiëntie</w:t>
            </w:r>
            <w:r>
              <w:t>;</w:t>
            </w:r>
          </w:p>
        </w:tc>
        <w:tc>
          <w:tcPr>
            <w:tcW w:w="4876" w:type="dxa"/>
            <w:tcBorders>
              <w:top w:val="nil"/>
              <w:left w:val="nil"/>
              <w:bottom w:val="nil"/>
              <w:right w:val="nil"/>
            </w:tcBorders>
          </w:tcPr>
          <w:p>
            <w:pPr>
              <w:pStyle w:val="Normal6a"/>
            </w:pPr>
            <w:r>
              <w:t>15.</w:t>
            </w:r>
            <w:r>
              <w:tab/>
            </w:r>
            <w:r>
              <w:rPr>
                <w:b/>
                <w:i/>
              </w:rPr>
              <w:t>benadrukt dat kleinschalige, ambachtelijke en traditionele visserijpraktijken met een lage ecologische impact duidelijk moeten worden onderscheiden van intensievere of minder selectieve methoden;</w:t>
            </w:r>
            <w:r>
              <w:t xml:space="preserve"> </w:t>
            </w:r>
            <w:r>
              <w:rPr>
                <w:b/>
                <w:i/>
              </w:rPr>
              <w:t>dringt erop aan dat in overheidsbeleid en financieringsinstrumenten prioriteit wordt gegeven aan steun voor vissers en gemeenschappen die duurzaam vistuig en duurzame praktijken hanteren welke bijdragen tot het behoud van de biodiversiteit, het herstel van ecosystemen en de stabiliteit van hulpbronnen op lange termijn;</w:t>
            </w:r>
            <w:r>
              <w:t xml:space="preserve"> </w:t>
            </w:r>
            <w:r>
              <w:rPr>
                <w:b/>
                <w:i/>
              </w:rPr>
              <w:t>wijst erop</w:t>
            </w:r>
            <w:r>
              <w:t xml:space="preserve"> dat het </w:t>
            </w:r>
            <w:r>
              <w:rPr>
                <w:b/>
                <w:i/>
              </w:rPr>
              <w:t>erkennen en ondersteunen van visserij met een lage impact</w:t>
            </w:r>
            <w:r>
              <w:t xml:space="preserve"> van essentieel belang is </w:t>
            </w:r>
            <w:r>
              <w:rPr>
                <w:b/>
                <w:i/>
              </w:rPr>
              <w:t>om de veerkracht van kustgemeenschappen te waarborgen, traditionele kennis in stand te houden</w:t>
            </w:r>
            <w:r>
              <w:t xml:space="preserve"> en een </w:t>
            </w:r>
            <w:r>
              <w:rPr>
                <w:b/>
                <w:i/>
              </w:rPr>
              <w:t>eerlijke en inclusieve transitie in de sector te bevorderen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is van mening dat het van essentieel belang is een duidelijke definitie van “innovatief en duurzaam” vistuig vast te stellen en dat een dergelijke definitie meetbare criteria moet omvatten, zoals minder bijvangst, een lagere impact op de zeebodem en een betere brandstofefficiëntie;</w:t>
            </w:r>
          </w:p>
        </w:tc>
        <w:tc>
          <w:tcPr>
            <w:tcW w:w="4876" w:type="dxa"/>
            <w:tcBorders>
              <w:top w:val="nil"/>
              <w:left w:val="nil"/>
              <w:bottom w:val="nil"/>
              <w:right w:val="nil"/>
            </w:tcBorders>
          </w:tcPr>
          <w:p>
            <w:pPr>
              <w:pStyle w:val="Normal6a"/>
            </w:pPr>
            <w:r>
              <w:t>15.</w:t>
            </w:r>
            <w:r>
              <w:tab/>
            </w:r>
            <w:r>
              <w:t xml:space="preserve">is van mening dat het van essentieel belang is een duidelijke definitie van “innovatief en duurzaam” vistuig vast te stellen en dat een dergelijke definitie meetbare criteria moet omvatten, zoals minder bijvangst, een lagere impact op de zeebodem en een betere brandstofefficiëntie; </w:t>
            </w:r>
            <w:r>
              <w:rPr>
                <w:b/>
                <w:i/>
              </w:rPr>
              <w:t>is van mening dat een dergelijke definitie waar nodig ten volle rekening moet houden met regionale verschillen en specifieke kenmerken;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is van mening dat het van essentieel belang is </w:t>
            </w:r>
            <w:r>
              <w:rPr>
                <w:b/>
                <w:i/>
              </w:rPr>
              <w:t>een duidelijke definitie van “innovatief en duurzaam” vistuig vast te stellen en dat een dergelijke</w:t>
            </w:r>
            <w:r>
              <w:t xml:space="preserve"> definitie meetbare criteria moet omvatten, zoals minder bijvangst, een lagere impact op de zeebodem en een betere brandstofefficiëntie;</w:t>
            </w:r>
          </w:p>
        </w:tc>
        <w:tc>
          <w:tcPr>
            <w:tcW w:w="4876" w:type="dxa"/>
            <w:tcBorders>
              <w:top w:val="nil"/>
              <w:left w:val="nil"/>
              <w:bottom w:val="nil"/>
              <w:right w:val="nil"/>
            </w:tcBorders>
          </w:tcPr>
          <w:p>
            <w:pPr>
              <w:pStyle w:val="Normal6a"/>
            </w:pPr>
            <w:r>
              <w:t>15.</w:t>
            </w:r>
            <w:r>
              <w:tab/>
            </w:r>
            <w:r>
              <w:t xml:space="preserve">is van mening dat het van essentieel belang is </w:t>
            </w:r>
            <w:r>
              <w:rPr>
                <w:b/>
                <w:i/>
              </w:rPr>
              <w:t>“innovatieve en duurzame” vistuigen en visserijtechnieken te ontwikkelen waarvan de</w:t>
            </w:r>
            <w:r>
              <w:t xml:space="preserve"> definitie meetbare criteria moet omvatten, zoals minder bijvangst</w:t>
            </w:r>
            <w:r>
              <w:rPr>
                <w:b/>
                <w:i/>
              </w:rPr>
              <w:t>, minder incidentele vangsten</w:t>
            </w:r>
            <w:r>
              <w:t>, een lagere impact op de zeebodem en een betere brandstofefficiëntie</w:t>
            </w:r>
            <w:r>
              <w:rPr>
                <w:b/>
                <w:i/>
              </w:rPr>
              <w:t>, vooral om binnen de visserij een aanpak te bevorderen die rekening houdt met ecosystemen</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is van mening dat </w:t>
            </w:r>
            <w:r>
              <w:rPr>
                <w:b/>
                <w:i/>
              </w:rPr>
              <w:t>het van essentieel belang is een duidelijke definitie van “innovatief en duurzaam”</w:t>
            </w:r>
            <w:r>
              <w:t xml:space="preserve"> vistuig </w:t>
            </w:r>
            <w:r>
              <w:rPr>
                <w:b/>
                <w:i/>
              </w:rPr>
              <w:t>vast te stellen en dat een dergelijke definitie meetbare criteria moet omvatten, zoals minder bijvangst, een lagere impact op de zeebodem en een betere brandstofefficiëntie</w:t>
            </w:r>
            <w:r>
              <w:t>;</w:t>
            </w:r>
          </w:p>
        </w:tc>
        <w:tc>
          <w:tcPr>
            <w:tcW w:w="4876" w:type="dxa"/>
            <w:tcBorders>
              <w:top w:val="nil"/>
              <w:left w:val="nil"/>
              <w:bottom w:val="nil"/>
              <w:right w:val="nil"/>
            </w:tcBorders>
          </w:tcPr>
          <w:p>
            <w:pPr>
              <w:pStyle w:val="Normal6a"/>
            </w:pPr>
            <w:r>
              <w:t>15.</w:t>
            </w:r>
            <w:r>
              <w:tab/>
            </w:r>
            <w:r>
              <w:t xml:space="preserve">is van mening dat </w:t>
            </w:r>
            <w:r>
              <w:rPr>
                <w:b/>
                <w:i/>
              </w:rPr>
              <w:t>er meer moet worden gedaan om het gebruik van nieuw</w:t>
            </w:r>
            <w:r>
              <w:t xml:space="preserve"> vistuig </w:t>
            </w:r>
            <w:r>
              <w:rPr>
                <w:b/>
                <w:i/>
              </w:rPr>
              <w:t>en nieuwe visserijmethoden te versnellen en te vergemakkelijken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is van mening dat het van essentieel belang is een duidelijke definitie van “innovatief en duurzaam” vistuig vast te stellen en dat een dergelijke definitie meetbare criteria moet omvatten, zoals minder bijvangst, een lagere impact op de zeebodem en een betere brandstofefficiëntie;</w:t>
            </w:r>
          </w:p>
        </w:tc>
        <w:tc>
          <w:tcPr>
            <w:tcW w:w="4876" w:type="dxa"/>
            <w:tcBorders>
              <w:top w:val="nil"/>
              <w:left w:val="nil"/>
              <w:bottom w:val="nil"/>
              <w:right w:val="nil"/>
            </w:tcBorders>
          </w:tcPr>
          <w:p>
            <w:pPr>
              <w:pStyle w:val="Normal6a"/>
            </w:pPr>
            <w:r>
              <w:t>15.</w:t>
            </w:r>
            <w:r>
              <w:tab/>
            </w:r>
            <w:r>
              <w:t>is van mening dat het van essentieel belang is een duidelijke definitie van “innovatief en duurzaam” vistuig vast te stellen en dat een dergelijke definitie meetbare criteria moet omvatten, zoals minder bijvangst, een lagere impact op de zeebodem</w:t>
            </w:r>
            <w:r>
              <w:rPr>
                <w:b/>
                <w:i/>
              </w:rPr>
              <w:t>, verbeterde selectiviteit, minimale kans op verlies en achterlaten van vistuig,</w:t>
            </w:r>
            <w:r>
              <w:t> en een betere brandstofefficiëntie;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is van mening dat het van essentieel belang is een </w:t>
            </w:r>
            <w:r>
              <w:rPr>
                <w:b/>
                <w:i/>
              </w:rPr>
              <w:t>duidelijke definitie</w:t>
            </w:r>
            <w:r>
              <w:t xml:space="preserve"> van “innovatief en duurzaam” vistuig vast te stellen </w:t>
            </w:r>
            <w:r>
              <w:rPr>
                <w:b/>
                <w:i/>
              </w:rPr>
              <w:t>en dat een dergelijke definitie</w:t>
            </w:r>
            <w:r>
              <w:t xml:space="preserve"> meetbare criteria moet omvatten, zoals minder bijvangst, een lagere impact op de zeebodem en een betere brandstofefficiëntie;</w:t>
            </w:r>
          </w:p>
        </w:tc>
        <w:tc>
          <w:tcPr>
            <w:tcW w:w="4876" w:type="dxa"/>
            <w:tcBorders>
              <w:top w:val="nil"/>
              <w:left w:val="nil"/>
              <w:bottom w:val="nil"/>
              <w:right w:val="nil"/>
            </w:tcBorders>
          </w:tcPr>
          <w:p>
            <w:pPr>
              <w:pStyle w:val="Normal6a"/>
            </w:pPr>
            <w:r>
              <w:t>15.</w:t>
            </w:r>
            <w:r>
              <w:tab/>
            </w:r>
            <w:r>
              <w:t xml:space="preserve">is van mening dat het van essentieel belang is een </w:t>
            </w:r>
            <w:r>
              <w:rPr>
                <w:b/>
                <w:i/>
              </w:rPr>
              <w:t>duidelijk begrip</w:t>
            </w:r>
            <w:r>
              <w:t xml:space="preserve"> van “innovatief en duurzaam” vistuig vast te stellen</w:t>
            </w:r>
            <w:r>
              <w:rPr>
                <w:b/>
                <w:i/>
              </w:rPr>
              <w:t>, dat, in overeenstemming met de drie in artikel 2, lid 1, van Verordening (EU) nr. 1380/2013 genoemde duurzaamheidspijlers,</w:t>
            </w:r>
            <w:r>
              <w:t xml:space="preserve"> meetbare criteria moet omvatten, zoals minder bijvangst, een lagere impact op de zeebodem en een betere brandstofefficiëntie;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is van mening dat het van essentieel belang is een duidelijke definitie van “innovatief en duurzaam” vistuig vast te stellen en dat een dergelijke definitie meetbare criteria moet omvatten, zoals minder bijvangst, een lagere impact op de zeebodem en een betere brandstofefficiëntie;</w:t>
            </w:r>
          </w:p>
        </w:tc>
        <w:tc>
          <w:tcPr>
            <w:tcW w:w="4876" w:type="dxa"/>
            <w:tcBorders>
              <w:top w:val="nil"/>
              <w:left w:val="nil"/>
              <w:bottom w:val="nil"/>
              <w:right w:val="nil"/>
            </w:tcBorders>
          </w:tcPr>
          <w:p>
            <w:pPr>
              <w:pStyle w:val="Normal6a"/>
            </w:pPr>
            <w:r>
              <w:t>15.</w:t>
            </w:r>
            <w:r>
              <w:tab/>
            </w:r>
            <w:r>
              <w:t>is van mening dat het van essentieel belang is een duidelijke definitie van "innovatief en duurzaam" vistuig vast te stellen en dat een dergelijke definitie meetbare criteria moet omvatten, zoals minder bijvangst, een lagere impact op de zeebodem</w:t>
            </w:r>
            <w:r>
              <w:rPr>
                <w:b/>
                <w:i/>
              </w:rPr>
              <w:t>, verbeterde selectiviteit</w:t>
            </w:r>
            <w:r>
              <w:t xml:space="preserve"> en een betere brandstofefficiëntie;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15 bis.</w:t>
            </w:r>
            <w:r>
              <w:tab/>
            </w:r>
            <w:r>
              <w:rPr>
                <w:b/>
                <w:i/>
              </w:rPr>
              <w:t>verzoekt de Commissie rekening te houden met de specifieke kenmerken van elk zeebekken, meer in te zetten op de regionalisering en aanpassing van meerjarige beheersplannen in overeenstemming met deze selectiviteitsdoelstellingen en prioriteit te geven aan het gebruik van vistuig dat een geringere impact heeft op ecosystemen, in samenwerking met de raadgevende comités en rekening houdend met de sociaal-economische gevolgen en de klimaatverandering;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16.</w:t>
            </w:r>
            <w:r>
              <w:tab/>
            </w:r>
            <w:r>
              <w:rPr>
                <w:b/>
                <w:i/>
              </w:rPr>
              <w:t>wijst erop dat spelers in de visserijketen op het gebied van innovatie moeten kunnen vertrouwen op een gestandaardiseerd kader, zoals de innovatiematrix van de Internationale Raad voor het onderzoek van de zee, om de objectieve en consistente evaluatie van nieuw vistuig te waarborgen;</w:t>
            </w:r>
            <w:r>
              <w:t xml:space="preserve"> </w:t>
            </w:r>
            <w:r>
              <w:rPr>
                <w:b/>
                <w:i/>
              </w:rPr>
              <w:t>verzoekt de Commissie de goedkeuringsprocedure voor de innovatie van vistuig te stroomlijnen door een versnelde procedure in te voeren;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wijst erop dat spelers in de visserijketen op het gebied van innovatie moeten kunnen vertrouwen op een gestandaardiseerd kader, zoals de innovatiematrix van de Internationale Raad voor het onderzoek van de zee, om de objectieve en consistente evaluatie van nieuw vistuig te waarborgen; verzoekt de Commissie de goedkeuringsprocedure voor de innovatie van vistuig te stroomlijnen door </w:t>
            </w:r>
            <w:r>
              <w:rPr>
                <w:b/>
                <w:i/>
              </w:rPr>
              <w:t>een versnelde procedure</w:t>
            </w:r>
            <w:r>
              <w:t xml:space="preserve"> in te voeren;</w:t>
            </w:r>
          </w:p>
        </w:tc>
        <w:tc>
          <w:tcPr>
            <w:tcW w:w="4876" w:type="dxa"/>
            <w:tcBorders>
              <w:top w:val="nil"/>
              <w:left w:val="nil"/>
              <w:bottom w:val="nil"/>
              <w:right w:val="nil"/>
            </w:tcBorders>
          </w:tcPr>
          <w:p>
            <w:pPr>
              <w:pStyle w:val="Normal6a"/>
            </w:pPr>
            <w:r>
              <w:t>16.</w:t>
            </w:r>
            <w:r>
              <w:tab/>
            </w:r>
            <w:r>
              <w:t xml:space="preserve">wijst erop dat spelers in de visserijketen op het gebied van innovatie moeten kunnen vertrouwen op een gestandaardiseerd kader, zoals de innovatiematrix van de Internationale Raad voor het onderzoek van de zee, om de objectieve en consistente evaluatie van nieuw vistuig te waarborgen; verzoekt de Commissie de goedkeuringsprocedure voor de innovatie van vistuig te stroomlijnen door </w:t>
            </w:r>
            <w:r>
              <w:rPr>
                <w:b/>
                <w:i/>
              </w:rPr>
              <w:t>duidelijke doelstellingen</w:t>
            </w:r>
            <w:r>
              <w:t xml:space="preserve"> in te voeren</w:t>
            </w:r>
            <w:r>
              <w:rPr>
                <w:b/>
                <w:i/>
              </w:rPr>
              <w:t>, gebaseerd op het beste beschikbare wetenschappelijke advies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wijst erop dat spelers in de visserijketen op het gebied van innovatie </w:t>
            </w:r>
            <w:r>
              <w:rPr>
                <w:b/>
                <w:i/>
              </w:rPr>
              <w:t>moeten kunnen vertrouwen op een gestandaardiseerd kader,</w:t>
            </w:r>
            <w:r>
              <w:t xml:space="preserve"> zoals de innovatiematrix van de Internationale Raad voor het onderzoek van de zee</w:t>
            </w:r>
            <w:r>
              <w:rPr>
                <w:b/>
                <w:i/>
              </w:rPr>
              <w:t>, om de objectieve en consistente evaluatie van nieuw vistuig te waarborgen</w:t>
            </w:r>
            <w:r>
              <w:t xml:space="preserve">; verzoekt de Commissie de goedkeuringsprocedure voor </w:t>
            </w:r>
            <w:r>
              <w:rPr>
                <w:b/>
                <w:i/>
              </w:rPr>
              <w:t>de innovatie van</w:t>
            </w:r>
            <w:r>
              <w:t xml:space="preserve"> vistuig te stroomlijnen door </w:t>
            </w:r>
            <w:r>
              <w:rPr>
                <w:b/>
                <w:i/>
              </w:rPr>
              <w:t>een versnelde</w:t>
            </w:r>
            <w:r>
              <w:t xml:space="preserve"> procedure </w:t>
            </w:r>
            <w:r>
              <w:rPr>
                <w:b/>
                <w:i/>
              </w:rPr>
              <w:t>in te voeren</w:t>
            </w:r>
            <w:r>
              <w:t>;</w:t>
            </w:r>
          </w:p>
        </w:tc>
        <w:tc>
          <w:tcPr>
            <w:tcW w:w="4876" w:type="dxa"/>
            <w:tcBorders>
              <w:top w:val="nil"/>
              <w:left w:val="nil"/>
              <w:bottom w:val="nil"/>
              <w:right w:val="nil"/>
            </w:tcBorders>
          </w:tcPr>
          <w:p>
            <w:pPr>
              <w:pStyle w:val="Normal6a"/>
            </w:pPr>
            <w:r>
              <w:t>16.</w:t>
            </w:r>
            <w:r>
              <w:tab/>
            </w:r>
            <w:r>
              <w:t xml:space="preserve">wijst erop dat </w:t>
            </w:r>
            <w:r>
              <w:rPr>
                <w:b/>
                <w:i/>
              </w:rPr>
              <w:t>een voorspelbaar regelgevingskader van groot belang is, evenals duidelijke beleidsdoelstellingen voor de lange termijn voor</w:t>
            </w:r>
            <w:r>
              <w:t xml:space="preserve"> spelers in de visserijketen op het gebied van innovatie</w:t>
            </w:r>
            <w:r>
              <w:rPr>
                <w:b/>
                <w:i/>
              </w:rPr>
              <w:t>;</w:t>
            </w:r>
            <w:r>
              <w:t xml:space="preserve"> </w:t>
            </w:r>
            <w:r>
              <w:rPr>
                <w:b/>
                <w:i/>
              </w:rPr>
              <w:t>is van mening dat voorbeelden</w:t>
            </w:r>
            <w:r>
              <w:t xml:space="preserve"> zoals de innovatiematrix van de Internationale Raad voor het onderzoek van de zee </w:t>
            </w:r>
            <w:r>
              <w:rPr>
                <w:b/>
                <w:i/>
              </w:rPr>
              <w:t>in dit verband van belang zijn</w:t>
            </w:r>
            <w:r>
              <w:t xml:space="preserve">; verzoekt de Commissie de goedkeuringsprocedure voor </w:t>
            </w:r>
            <w:r>
              <w:rPr>
                <w:b/>
                <w:i/>
              </w:rPr>
              <w:t>nieuw</w:t>
            </w:r>
            <w:r>
              <w:t xml:space="preserve"> vistuig </w:t>
            </w:r>
            <w:r>
              <w:rPr>
                <w:b/>
                <w:i/>
              </w:rPr>
              <w:t>en nieuwe visserijmethoden</w:t>
            </w:r>
            <w:r>
              <w:t xml:space="preserve"> te stroomlijnen door </w:t>
            </w:r>
            <w:r>
              <w:rPr>
                <w:b/>
                <w:i/>
              </w:rPr>
              <w:t>de</w:t>
            </w:r>
            <w:r>
              <w:t xml:space="preserve"> procedure </w:t>
            </w:r>
            <w:r>
              <w:rPr>
                <w:b/>
                <w:i/>
              </w:rPr>
              <w:t>te versnellen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wijst erop dat spelers in de visserijketen op het gebied van innovatie moeten kunnen vertrouwen op een gestandaardiseerd kader, zoals de innovatiematrix van de Internationale Raad voor het onderzoek van de zee, om de objectieve en consistente evaluatie van nieuw vistuig te waarborgen; verzoekt de Commissie de goedkeuringsprocedure voor de innovatie van vistuig te stroomlijnen door een versnelde procedure in te voeren;</w:t>
            </w:r>
          </w:p>
        </w:tc>
        <w:tc>
          <w:tcPr>
            <w:tcW w:w="4876" w:type="dxa"/>
            <w:tcBorders>
              <w:top w:val="nil"/>
              <w:left w:val="nil"/>
              <w:bottom w:val="nil"/>
              <w:right w:val="nil"/>
            </w:tcBorders>
          </w:tcPr>
          <w:p>
            <w:pPr>
              <w:pStyle w:val="Normal6a"/>
            </w:pPr>
            <w:r>
              <w:t>16.</w:t>
            </w:r>
            <w:r>
              <w:tab/>
            </w:r>
            <w:r>
              <w:t xml:space="preserve">wijst erop dat spelers in de visserijketen op het gebied van innovatie moeten kunnen vertrouwen op een gestandaardiseerd kader, zoals de innovatiematrix van de Internationale Raad voor het onderzoek van de zee, om de objectieve en consistente evaluatie van nieuw vistuig </w:t>
            </w:r>
            <w:r>
              <w:rPr>
                <w:b/>
                <w:i/>
              </w:rPr>
              <w:t>en technieken</w:t>
            </w:r>
            <w:r>
              <w:t xml:space="preserve"> te waarborgen; verzoekt de Commissie de goedkeuringsprocedure voor de innovatie van vistuig te stroomlijnen door een versnelde procedure in te voeren;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 xml:space="preserve">wijst erop dat spelers in de visserijketen op het gebied van innovatie moeten kunnen vertrouwen op een gestandaardiseerd kader, zoals de innovatiematrix van de Internationale Raad voor het onderzoek van de zee, om de objectieve en consistente evaluatie van nieuw vistuig te waarborgen; verzoekt de Commissie de goedkeuringsprocedure voor de innovatie van vistuig te stroomlijnen </w:t>
            </w:r>
            <w:r>
              <w:rPr>
                <w:b/>
                <w:i/>
              </w:rPr>
              <w:t>door een versnelde procedure in te voeren</w:t>
            </w:r>
            <w:r>
              <w:t>;</w:t>
            </w:r>
          </w:p>
        </w:tc>
        <w:tc>
          <w:tcPr>
            <w:tcW w:w="4876" w:type="dxa"/>
            <w:tcBorders>
              <w:top w:val="nil"/>
              <w:left w:val="nil"/>
              <w:bottom w:val="nil"/>
              <w:right w:val="nil"/>
            </w:tcBorders>
          </w:tcPr>
          <w:p>
            <w:pPr>
              <w:pStyle w:val="Normal6a"/>
            </w:pPr>
            <w:r>
              <w:t>16.</w:t>
            </w:r>
            <w:r>
              <w:tab/>
            </w:r>
            <w:r>
              <w:t>wijst erop dat spelers in de visserijketen op het gebied van innovatie moeten kunnen vertrouwen op een gestandaardiseerd kader, zoals de innovatiematrix van de Internationale Raad voor het onderzoek van de zee, om de objectieve en consistente evaluatie van nieuw vistuig te waarborgen; verzoekt de Commissie de goedkeuringsprocedure voor de innovatie van vistuig te stroomlijnen;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bis.</w:t>
            </w:r>
            <w:r>
              <w:tab/>
            </w:r>
            <w:r>
              <w:rPr>
                <w:b/>
                <w:i/>
              </w:rPr>
              <w:t>merkt op dat de huidige procedure voor de goedkeuring van innovatief vistuig in het kader van Verordening (EU) 2019/1241 inzake technische maatregelen te rigide is, met name wanneer er wijzigingen van de bijlagen V tot en met XIII nodig zijn;</w:t>
            </w:r>
            <w:r>
              <w:t xml:space="preserve"> </w:t>
            </w:r>
            <w:r>
              <w:rPr>
                <w:b/>
                <w:i/>
              </w:rPr>
              <w:t>wijst erop dat deze bijlagen weliswaar kunnen worden gewijzigd via de regionaliseringsprocedure (artikel 15, lid 2), maar dat dit proces vaak lang duurt omdat er coördinatie tussen de lidstaten nodig is en er procedurele termijnen gelden voor de wetenschappelijke beoordeling;</w:t>
            </w:r>
            <w:r>
              <w:t xml:space="preserve"> </w:t>
            </w:r>
            <w:r>
              <w:rPr>
                <w:b/>
                <w:i/>
              </w:rPr>
              <w:t>merkt voorts op dat in artikel 20 van dezelfde verordening is bepaald dat elk alternatief vistuig dat overeenkomstig gedelegeerde handelingen wordt gebruikt nog steeds volledig moet voldoen aan alle andere technische voorschriften, waardoor wordt ingeboet aan flexibiliteit en het gebruik van gedelegeerde bevoegdheden voor innovatieve oplossingen wordt beperkt;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16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bis.</w:t>
            </w:r>
            <w:r>
              <w:tab/>
            </w:r>
            <w:r>
              <w:rPr>
                <w:b/>
                <w:i/>
              </w:rPr>
              <w:t>wijst erop dat het bij de ontwikkeling en het gebruik van innovatief nieuw vistuig nodig is het voorzorgsbeginsel te hanteren door te waarborgen dat er geen sprake kan zijn van grootschalig gebruik voordat de milieu-, sociale en economische effecten van het vistuig wetenschappelijk, onafhankelijk en volledig zijn beoordeeld en is aangetoond dat het veilig en duurzaam 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rPr>
                <w:b/>
                <w:i/>
              </w:rPr>
              <w:t>dringt aan op investeringen in het onderzoek naar en de ontwikkeling</w:t>
            </w:r>
            <w:r>
              <w:t xml:space="preserve"> van vistuig </w:t>
            </w:r>
            <w:r>
              <w:rPr>
                <w:b/>
                <w:i/>
              </w:rPr>
              <w:t>met een lage impact en digitale instrumenten om duurzame en efficiënte</w:t>
            </w:r>
            <w:r>
              <w:t xml:space="preserve"> visserijpraktijken </w:t>
            </w:r>
            <w:r>
              <w:rPr>
                <w:b/>
                <w:i/>
              </w:rPr>
              <w:t>te ondersteunen</w:t>
            </w:r>
            <w:r>
              <w:t xml:space="preserve">; wijst op </w:t>
            </w:r>
            <w:r>
              <w:rPr>
                <w:b/>
                <w:i/>
              </w:rPr>
              <w:t>het belang van gerichte stimulansen om de invoering van bewezen</w:t>
            </w:r>
            <w:r>
              <w:t xml:space="preserve"> duurzame </w:t>
            </w:r>
            <w:r>
              <w:rPr>
                <w:b/>
                <w:i/>
              </w:rPr>
              <w:t>technologieën te versnellen</w:t>
            </w:r>
            <w:r>
              <w:t>;</w:t>
            </w:r>
          </w:p>
        </w:tc>
        <w:tc>
          <w:tcPr>
            <w:tcW w:w="4876" w:type="dxa"/>
            <w:tcBorders>
              <w:top w:val="nil"/>
              <w:left w:val="nil"/>
              <w:bottom w:val="nil"/>
              <w:right w:val="nil"/>
            </w:tcBorders>
          </w:tcPr>
          <w:p>
            <w:pPr>
              <w:pStyle w:val="Normal6a"/>
            </w:pPr>
            <w:r>
              <w:t>17.</w:t>
            </w:r>
            <w:r>
              <w:tab/>
            </w:r>
            <w:r>
              <w:rPr>
                <w:b/>
                <w:i/>
              </w:rPr>
              <w:t>benadrukt dat het beheer</w:t>
            </w:r>
            <w:r>
              <w:t xml:space="preserve"> van vistuig </w:t>
            </w:r>
            <w:r>
              <w:rPr>
                <w:b/>
                <w:i/>
              </w:rPr>
              <w:t>en visserijtechnieken gebaseerd moet zijn op inclusieve en adaptieve governancekaders die de diversiteit van vloten, zeebekkens en</w:t>
            </w:r>
            <w:r>
              <w:t xml:space="preserve"> visserijpraktijken </w:t>
            </w:r>
            <w:r>
              <w:rPr>
                <w:b/>
                <w:i/>
              </w:rPr>
              <w:t>in de EU weerspiegelen</w:t>
            </w:r>
            <w:r>
              <w:t xml:space="preserve">; wijst op </w:t>
            </w:r>
            <w:r>
              <w:rPr>
                <w:b/>
                <w:i/>
              </w:rPr>
              <w:t>de noodzaak van nauwere samenwerking tussen wetenschappers, vissers en autoriteiten bij het ontwikkelen, testen en evalueren van nieuw vistuig, met aandacht voor het stimuleren van wederzijds vertrouwen en medeverantwoordelijkheid wat</w:t>
            </w:r>
            <w:r>
              <w:t xml:space="preserve"> duurzame </w:t>
            </w:r>
            <w:r>
              <w:rPr>
                <w:b/>
                <w:i/>
              </w:rPr>
              <w:t>resultaten betreft;</w:t>
            </w:r>
            <w:r>
              <w:t xml:space="preserve"> </w:t>
            </w:r>
            <w:r>
              <w:rPr>
                <w:b/>
                <w:i/>
              </w:rPr>
              <w:t>dringt aan op transparante en participatieve besluitvormingsprocessen die de mogelijkheid bieden rekening te houden met de veranderende sociaal-ecologische realiteit op het terrein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dringt aan op investeringen in het onderzoek naar en de ontwikkeling van vistuig met een lage impact en digitale instrumenten om duurzame en efficiënte visserijpraktijken te ondersteunen; wijst op het belang van gerichte stimulansen om de invoering van bewezen duurzame technologieën te versnellen;</w:t>
            </w:r>
          </w:p>
        </w:tc>
        <w:tc>
          <w:tcPr>
            <w:tcW w:w="4876" w:type="dxa"/>
            <w:tcBorders>
              <w:top w:val="nil"/>
              <w:left w:val="nil"/>
              <w:bottom w:val="nil"/>
              <w:right w:val="nil"/>
            </w:tcBorders>
          </w:tcPr>
          <w:p>
            <w:pPr>
              <w:pStyle w:val="Normal6a"/>
            </w:pPr>
            <w:r>
              <w:t>17.</w:t>
            </w:r>
            <w:r>
              <w:tab/>
            </w:r>
            <w:r>
              <w:t xml:space="preserve">dringt aan op investeringen in het onderzoek naar en de ontwikkeling van vistuig met een lage impact en digitale instrumenten om duurzame en efficiënte visserijpraktijken te ondersteunen; wijst op het belang van gerichte stimulansen om de invoering van bewezen duurzame technologieën te versnellen; </w:t>
            </w:r>
            <w:r>
              <w:rPr>
                <w:b/>
                <w:i/>
              </w:rPr>
              <w:t>verzoekt de Commissie te waarborgen dat alle relevante belanghebbenden, met inbegrip van kleinschalige vissers, op inclusieve wijze worden betrokken bij de ontwikkeling en beoordeling van innovatief vistuig;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dringt aan op investeringen in het onderzoek naar en de ontwikkeling van vistuig met een lage impact en digitale instrumenten om duurzame en efficiënte visserijpraktijken te ondersteunen; wijst op het belang van gerichte stimulansen om de invoering van bewezen duurzame technologieën te versnellen;</w:t>
            </w:r>
          </w:p>
        </w:tc>
        <w:tc>
          <w:tcPr>
            <w:tcW w:w="4876" w:type="dxa"/>
            <w:tcBorders>
              <w:top w:val="nil"/>
              <w:left w:val="nil"/>
              <w:bottom w:val="nil"/>
              <w:right w:val="nil"/>
            </w:tcBorders>
          </w:tcPr>
          <w:p>
            <w:pPr>
              <w:pStyle w:val="Normal6a"/>
            </w:pPr>
            <w:r>
              <w:t>17.</w:t>
            </w:r>
            <w:r>
              <w:tab/>
            </w:r>
            <w:r>
              <w:t xml:space="preserve">dringt aan op investeringen in het onderzoek naar en de ontwikkeling van vistuig met een lage impact en digitale instrumenten om duurzame en efficiënte visserijpraktijken te ondersteunen; wijst op het belang van gerichte stimulansen om de invoering van bewezen duurzame technologieën te versnellen; </w:t>
            </w:r>
            <w:r>
              <w:rPr>
                <w:b/>
                <w:i/>
              </w:rPr>
              <w:t>is van mening dat innovatie op dit gebied het best kan worden gestimuleerd door op lokaal niveau samen te werken met de industrie, en niet door een uniforme aanpak voor de hele EU te hanteren;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dringt aan op investeringen in </w:t>
            </w:r>
            <w:r>
              <w:rPr>
                <w:b/>
                <w:i/>
              </w:rPr>
              <w:t>het</w:t>
            </w:r>
            <w:r>
              <w:t xml:space="preserve"> onderzoek </w:t>
            </w:r>
            <w:r>
              <w:rPr>
                <w:b/>
                <w:i/>
              </w:rPr>
              <w:t>naar en de</w:t>
            </w:r>
            <w:r>
              <w:t xml:space="preserve"> ontwikkeling </w:t>
            </w:r>
            <w:r>
              <w:rPr>
                <w:b/>
                <w:i/>
              </w:rPr>
              <w:t>van</w:t>
            </w:r>
            <w:r>
              <w:t xml:space="preserve"> vistuig met een lage impact en digitale instrumenten om duurzame en efficiënte visserijpraktijken te ondersteunen; wijst op het belang van gerichte stimulansen om de invoering van bewezen duurzame technologieën te versnellen;</w:t>
            </w:r>
          </w:p>
        </w:tc>
        <w:tc>
          <w:tcPr>
            <w:tcW w:w="4876" w:type="dxa"/>
            <w:tcBorders>
              <w:top w:val="nil"/>
              <w:left w:val="nil"/>
              <w:bottom w:val="nil"/>
              <w:right w:val="nil"/>
            </w:tcBorders>
          </w:tcPr>
          <w:p>
            <w:pPr>
              <w:pStyle w:val="Normal6a"/>
            </w:pPr>
            <w:r>
              <w:t>17.</w:t>
            </w:r>
            <w:r>
              <w:tab/>
            </w:r>
            <w:r>
              <w:t xml:space="preserve">dringt aan op investeringen in onderzoek </w:t>
            </w:r>
            <w:r>
              <w:rPr>
                <w:b/>
                <w:i/>
              </w:rPr>
              <w:t>en</w:t>
            </w:r>
            <w:r>
              <w:t xml:space="preserve"> ontwikkeling</w:t>
            </w:r>
            <w:r>
              <w:rPr>
                <w:b/>
                <w:i/>
              </w:rPr>
              <w:t>, onder meer met betrekking tot</w:t>
            </w:r>
            <w:r>
              <w:t xml:space="preserve"> vistuig met een lage impact en digitale instrumenten om duurzame en efficiënte visserijpraktijken te ondersteunen; wijst op het belang van gerichte stimulansen om de invoering van bewezen duurzame technologieën te versnellen; </w:t>
            </w:r>
            <w:r>
              <w:rPr>
                <w:b/>
                <w:i/>
              </w:rPr>
              <w:t>benadrukt de noodzaak van specifieke begrotingslijnen voor de financiering van onderzoek naar decarbonisatie, bijvoorbeeld in het kader van Horizon Europa;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Oihane Agirregoitia Martínez, Emma Wiesner,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dringt aan op investeringen in het onderzoek naar en de ontwikkeling van vistuig met een lage impact en digitale instrumenten om duurzame en efficiënte visserijpraktijken te ondersteunen; wijst op het belang van gerichte stimulansen om de invoering van </w:t>
            </w:r>
            <w:r>
              <w:rPr>
                <w:b/>
                <w:i/>
              </w:rPr>
              <w:t>bewezen</w:t>
            </w:r>
            <w:r>
              <w:t xml:space="preserve"> duurzame technologieën te versnellen;</w:t>
            </w:r>
          </w:p>
        </w:tc>
        <w:tc>
          <w:tcPr>
            <w:tcW w:w="4876" w:type="dxa"/>
            <w:tcBorders>
              <w:top w:val="nil"/>
              <w:left w:val="nil"/>
              <w:bottom w:val="nil"/>
              <w:right w:val="nil"/>
            </w:tcBorders>
          </w:tcPr>
          <w:p>
            <w:pPr>
              <w:pStyle w:val="Normal6a"/>
            </w:pPr>
            <w:r>
              <w:t>17.</w:t>
            </w:r>
            <w:r>
              <w:tab/>
            </w:r>
            <w:r>
              <w:t xml:space="preserve">dringt aan op investeringen in het onderzoek naar en de ontwikkeling van </w:t>
            </w:r>
            <w:r>
              <w:rPr>
                <w:b/>
                <w:i/>
              </w:rPr>
              <w:t>nieuw vistuig en nieuwe visserijmethoden, onder meer met betrekking tot</w:t>
            </w:r>
            <w:r>
              <w:t xml:space="preserve"> vistuig met een lage impact en digitale instrumenten om duurzame en efficiënte visserijpraktijken te ondersteunen; wijst op het belang van gerichte stimulansen om </w:t>
            </w:r>
            <w:r>
              <w:rPr>
                <w:b/>
                <w:i/>
              </w:rPr>
              <w:t>het gebruik en</w:t>
            </w:r>
            <w:r>
              <w:t xml:space="preserve"> de invoering van </w:t>
            </w:r>
            <w:r>
              <w:rPr>
                <w:b/>
                <w:i/>
              </w:rPr>
              <w:t>goedgekeurde</w:t>
            </w:r>
            <w:r>
              <w:t xml:space="preserve"> duurzame technologieën te versnellen;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dringt aan op investeringen in het onderzoek naar en de ontwikkeling van vistuig met een lage impact en digitale instrumenten om duurzame en efficiënte visserijpraktijken te ondersteunen; wijst op het belang van gerichte stimulansen om de invoering van bewezen duurzame technologieën te versnellen;</w:t>
            </w:r>
          </w:p>
        </w:tc>
        <w:tc>
          <w:tcPr>
            <w:tcW w:w="4876" w:type="dxa"/>
            <w:tcBorders>
              <w:top w:val="nil"/>
              <w:left w:val="nil"/>
              <w:bottom w:val="nil"/>
              <w:right w:val="nil"/>
            </w:tcBorders>
          </w:tcPr>
          <w:p>
            <w:pPr>
              <w:pStyle w:val="Normal6a"/>
            </w:pPr>
            <w:r>
              <w:t>17.</w:t>
            </w:r>
            <w:r>
              <w:tab/>
            </w:r>
            <w:r>
              <w:t xml:space="preserve">dringt aan op investeringen in het onderzoek naar en de ontwikkeling van vistuig </w:t>
            </w:r>
            <w:r>
              <w:rPr>
                <w:b/>
                <w:i/>
              </w:rPr>
              <w:t>en technieken</w:t>
            </w:r>
            <w:r>
              <w:t xml:space="preserve"> met een lage impact en digitale instrumenten om duurzame en efficiënte visserijpraktijken te ondersteunen; wijst op het belang van gerichte stimulansen om de invoering van bewezen duurzame technologieën te versnellen;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benadrukt in dit verband dat het noodzakelijk is het meten van visactiviteit te verbeteren door middel van beheersinstrumenten die verder gaan dan een simpele telling van het aantal dagen op zee, en die ook rekening houden met het werkelijke tijdsbestek waarin het vistuig voor de vangst wordt ingezet – ook wel aangeduid met "uitzettijd" of "actief vissen"; verzoekt derhalve in voorkomend geval een herziening van de definities van "visserijactiviteit" in de Uniewetgeving te overwegen met het oog op een nauwkeuriger weerspiegeling in de definities van de verschillende operationele kenmerken van de vismethoden en een billijker en doeltreffender beheersing van visactiviteit;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benadrukt dat wetenschappelijke innovaties mogelijk minder kunnen worden doorgegeven aan vissers doordat professionals het risico lopen op inkomensverlies tijdens experimentele fasen;</w:t>
            </w:r>
            <w:r>
              <w:t xml:space="preserve"> </w:t>
            </w:r>
            <w:r>
              <w:rPr>
                <w:b/>
                <w:i/>
              </w:rPr>
              <w:t>verzoekt de Commissie financiële steun te overwegen om dit risico te beperken en vaart te zetten achter de uitrol van selectiever vistuig met een geringere impact;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17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17 bis.</w:t>
            </w:r>
            <w:r>
              <w:tab/>
            </w:r>
            <w:r>
              <w:rPr>
                <w:b/>
                <w:i/>
              </w:rPr>
              <w:t>benadrukt het belang van een technologieneutrale benadering ten aanzien van de ontwikkeling van vistuig;</w:t>
            </w:r>
            <w:r>
              <w:t xml:space="preserve"> </w:t>
            </w:r>
            <w:r>
              <w:rPr>
                <w:b/>
                <w:i/>
              </w:rPr>
              <w:t>beklemtoont dat geen enkel type vistuig a priori mag worden uitgesloten en dat de gebruikscontext en de milieueffecten als leidraad moeten dienen bij de beoordeling;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18.</w:t>
            </w:r>
            <w:r>
              <w:tab/>
            </w:r>
            <w:r>
              <w:rPr>
                <w:b/>
                <w:i/>
              </w:rPr>
              <w:t>is ingenomen met proefprojecten en experimentele visserijactiviteiten als praktische instrumenten om nieuw vistuig en nieuwe aandrijvingstechnologieën te testen, waardoor innovatie mogelijk wordt zonder de hele sector voortijdig veranderingen op te leggen;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is ingenomen met proefprojecten en experimentele visserijactiviteiten als praktische instrumenten om nieuw vistuig en nieuwe aandrijvingstechnologieën te testen, waardoor innovatie mogelijk wordt zonder de hele sector voortijdig veranderingen op te leggen;</w:t>
            </w:r>
          </w:p>
        </w:tc>
        <w:tc>
          <w:tcPr>
            <w:tcW w:w="4876" w:type="dxa"/>
            <w:tcBorders>
              <w:top w:val="nil"/>
              <w:left w:val="nil"/>
              <w:bottom w:val="nil"/>
              <w:right w:val="nil"/>
            </w:tcBorders>
          </w:tcPr>
          <w:p>
            <w:pPr>
              <w:pStyle w:val="Normal6a"/>
            </w:pPr>
            <w:r>
              <w:t>18.</w:t>
            </w:r>
            <w:r>
              <w:tab/>
            </w:r>
            <w:r>
              <w:t xml:space="preserve">is ingenomen met </w:t>
            </w:r>
            <w:r>
              <w:rPr>
                <w:b/>
                <w:i/>
              </w:rPr>
              <w:t>kleinschalige en tijdelijke</w:t>
            </w:r>
            <w:r>
              <w:t xml:space="preserve"> proefprojecten en experimentele visserijactiviteiten als praktische instrumenten om nieuw vistuig en nieuwe aandrijvingstechnologieën te testen, waardoor innovatie mogelijk wordt zonder de hele sector voortijdig veranderingen op te leggen; </w:t>
            </w:r>
            <w:r>
              <w:rPr>
                <w:b/>
                <w:i/>
              </w:rPr>
              <w:t>benadrukt dat deze projecten kunnen worden gebruikt om innovatie te demonstreren teneinde een niveau van technologische rijpheid te bereiken dat geavanceerd genoeg is om de actoren te overtuigen en commercialisering mogelijk te maken;</w:t>
            </w:r>
            <w:r>
              <w:t xml:space="preserve"> </w:t>
            </w:r>
            <w:r>
              <w:rPr>
                <w:b/>
                <w:i/>
              </w:rPr>
              <w:t>dringt erop aan dat de meest succesvolle proefprojecten worden gemonitord om een overlapping van ingediende projecten te voorkomen of om te verhinderen dat projecten mislukken hoewel ze doeltreffend zijn;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Bert-Jan Ruissen, Stephen Nikola Bartulica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is ingenomen met proefprojecten en experimentele visserijactiviteiten als praktische instrumenten om nieuw vistuig en nieuwe aandrijvingstechnologieën te testen, waardoor innovatie mogelijk wordt zonder de hele sector voortijdig veranderingen op te leggen;</w:t>
            </w:r>
          </w:p>
        </w:tc>
        <w:tc>
          <w:tcPr>
            <w:tcW w:w="4876" w:type="dxa"/>
            <w:tcBorders>
              <w:top w:val="nil"/>
              <w:left w:val="nil"/>
              <w:bottom w:val="nil"/>
              <w:right w:val="nil"/>
            </w:tcBorders>
          </w:tcPr>
          <w:p>
            <w:pPr>
              <w:pStyle w:val="Normal6a"/>
            </w:pPr>
            <w:r>
              <w:t>18.</w:t>
            </w:r>
            <w:r>
              <w:tab/>
            </w:r>
            <w:r>
              <w:t xml:space="preserve">is ingenomen met proefprojecten en experimentele visserijactiviteiten als praktische instrumenten om nieuw vistuig en nieuwe aandrijvingstechnologieën te testen, waardoor innovatie mogelijk wordt zonder de hele sector voortijdig veranderingen op te leggen; </w:t>
            </w:r>
            <w:r>
              <w:rPr>
                <w:b/>
                <w:i/>
              </w:rPr>
              <w:t>wijst erop dat vissers bij deelname aan proefprojecten te maken kunnen krijgen met een verlies aan vangsten en inkomsten, wat hen ervan kan weerhouden deel te nemen aan proefprojecten;</w:t>
            </w:r>
            <w:r>
              <w:t xml:space="preserve"> </w:t>
            </w:r>
            <w:r>
              <w:rPr>
                <w:b/>
                <w:i/>
              </w:rPr>
              <w:t>verzoekt de Commissie en de lidstaten daarom een maximaal medefinancieringspercentage van 100 % te overwegen om vissers te compenseren voor gederfde inkomsten en gemaakte kosten en proefprojecten toegankelijker en aantrekkelijker te maken voor vissers;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is ingenomen met proefprojecten en experimentele visserijactiviteiten als praktische instrumenten om nieuw vistuig en nieuwe aandrijvingstechnologieën te testen, waardoor </w:t>
            </w:r>
            <w:r>
              <w:rPr>
                <w:b/>
                <w:i/>
              </w:rPr>
              <w:t>innovatie mogelijk wordt zonder de hele</w:t>
            </w:r>
            <w:r>
              <w:t xml:space="preserve"> sector </w:t>
            </w:r>
            <w:r>
              <w:rPr>
                <w:b/>
                <w:i/>
              </w:rPr>
              <w:t>voortijdig veranderingen op te leggen</w:t>
            </w:r>
            <w:r>
              <w:t>;</w:t>
            </w:r>
          </w:p>
        </w:tc>
        <w:tc>
          <w:tcPr>
            <w:tcW w:w="4876" w:type="dxa"/>
            <w:tcBorders>
              <w:top w:val="nil"/>
              <w:left w:val="nil"/>
              <w:bottom w:val="nil"/>
              <w:right w:val="nil"/>
            </w:tcBorders>
          </w:tcPr>
          <w:p>
            <w:pPr>
              <w:pStyle w:val="Normal6a"/>
            </w:pPr>
            <w:r>
              <w:t>18.</w:t>
            </w:r>
            <w:r>
              <w:tab/>
            </w:r>
            <w:r>
              <w:t xml:space="preserve">is ingenomen met proefprojecten en experimentele visserijactiviteiten als praktische instrumenten om nieuw vistuig en nieuwe </w:t>
            </w:r>
            <w:r>
              <w:rPr>
                <w:b/>
                <w:i/>
              </w:rPr>
              <w:t>visserijmethoden en</w:t>
            </w:r>
            <w:r>
              <w:t xml:space="preserve"> aandrijvingstechnologieën te testen, waardoor </w:t>
            </w:r>
            <w:r>
              <w:rPr>
                <w:b/>
                <w:i/>
              </w:rPr>
              <w:t>er praktische tests kunnen plaatsvinden om te waarborgen dat nieuwe innovaties ook in de praktijk zullen werken en de</w:t>
            </w:r>
            <w:r>
              <w:t xml:space="preserve"> sector </w:t>
            </w:r>
            <w:r>
              <w:rPr>
                <w:b/>
                <w:i/>
              </w:rPr>
              <w:t>niet met onnodige lasten zullen opzadelen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is ingenomen met proefprojecten en experimentele visserijactiviteiten als praktische instrumenten om nieuw vistuig en nieuwe aandrijvingstechnologieën te testen, waardoor innovatie mogelijk wordt zonder de hele sector voortijdig veranderingen op te leggen;</w:t>
            </w:r>
          </w:p>
        </w:tc>
        <w:tc>
          <w:tcPr>
            <w:tcW w:w="4876" w:type="dxa"/>
            <w:tcBorders>
              <w:top w:val="nil"/>
              <w:left w:val="nil"/>
              <w:bottom w:val="nil"/>
              <w:right w:val="nil"/>
            </w:tcBorders>
          </w:tcPr>
          <w:p>
            <w:pPr>
              <w:pStyle w:val="Normal6a"/>
            </w:pPr>
            <w:r>
              <w:t>18.</w:t>
            </w:r>
            <w:r>
              <w:tab/>
            </w:r>
            <w:r>
              <w:t xml:space="preserve">is ingenomen met </w:t>
            </w:r>
            <w:r>
              <w:rPr>
                <w:b/>
                <w:i/>
              </w:rPr>
              <w:t>op passende wijze gelokaliseerde</w:t>
            </w:r>
            <w:r>
              <w:t xml:space="preserve"> proefprojecten en experimentele visserijactiviteiten als praktische instrumenten om nieuw vistuig en nieuwe aandrijvingstechnologieën te testen, waardoor innovatie mogelijk wordt zonder de hele sector voortijdig veranderingen op te leggen;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verzoekt de Commissie te overwegen de technologie "diesel dualfuel" (diesel en methaan) in aanmerking te laten komen voor steun uit het EFMZVA, als zijnde een bewezen oplossing voor het verminderen van de energiekosten en het verbeteren van de duurzaamheid in de visserijsector;</w:t>
            </w:r>
            <w:r>
              <w:t xml:space="preserve"> </w:t>
            </w:r>
            <w:r>
              <w:rPr>
                <w:b/>
                <w:i/>
              </w:rPr>
              <w:t>moedigt aan dat proefprojecten worden opgestart in de scheepvaart in kustgebieden, waarbij met name aandacht wordt besteed aan eilandregio's en gebieden die geen verbinding hebben met netwerken voor methaanvoorziening, vanuit het oogpunt van de energietransitie en duurzame ontwikkeling;</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Carmen Crespo Díaz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dringt er bij de Commissie op aan specifieke proefprojecten te bevorderen voor de beoordeling van geavanceerde alternatieve brandstoffen (zoals elektrodiesel of niet op voedingsmiddelen gebaseerde biobrandstoffen), en specifieke middelen toe te wijzen om bemanningen aan boord veilig te leren omgaan met nieuwe technologieën;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benadrukt dat de toepassing van de EFMZVA-regels op proefprojecten in de praktijk een belemmering vormen voor bepaalde experimenten en verzoekt de Commissie, de lidstaten en de regionale autoriteiten in te zetten op het gebruik van “levende laboratoria” zodat lokale initiatieven hand in hand gaan met innovatie;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dringt aan op de integratie van AI-gestuurde detectiesystemen om selectieve visserijpraktijken te ondersteunen en ongewenste vangsten te beperken;</w:t>
            </w:r>
            <w:r>
              <w:t xml:space="preserve"> </w:t>
            </w:r>
            <w:r>
              <w:rPr>
                <w:b/>
                <w:i/>
              </w:rPr>
              <w:t>is ervan overtuigd dat selectiviteit en milieuprestaties door een combinatie van slimme technologieën en innovatief vistuig aanzienlijk kunnen worden verbeterd;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Aquacultuur als aanvullende pijler</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Aquacultuur </w:t>
            </w:r>
            <w:r>
              <w:rPr>
                <w:b/>
                <w:i/>
              </w:rPr>
              <w:t>als aanvullende pijler</w:t>
            </w:r>
          </w:p>
        </w:tc>
        <w:tc>
          <w:tcPr>
            <w:tcW w:w="4876" w:type="dxa"/>
            <w:tcBorders>
              <w:top w:val="nil"/>
              <w:left w:val="nil"/>
              <w:bottom w:val="nil"/>
              <w:right w:val="nil"/>
            </w:tcBorders>
          </w:tcPr>
          <w:p>
            <w:pPr>
              <w:pStyle w:val="Normal6a"/>
            </w:pPr>
            <w:r>
              <w:rPr>
                <w:b/>
                <w:i/>
              </w:rPr>
              <w:t>Decarbonisatie van de</w:t>
            </w:r>
            <w:r>
              <w:t xml:space="preserve"> aquacultuur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18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verzoekt de Commissie innovatie te ondersteunen door middel van investeringen in de selectiviteit van vistuig, verbetering van de haveninfrastructuur en modernisering van vissersvaartuigen met als doel de gezondheid, veiligheid en arbeidsomstandigheden te verbeteren, de energie-efficiëntie te verhogen en de kwaliteit van de vangsten te verbeteren;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19.</w:t>
            </w:r>
            <w:r>
              <w:tab/>
            </w:r>
            <w:r>
              <w:rPr>
                <w:b/>
                <w:i/>
              </w:rPr>
              <w:t>onderkent dat de ontwikkeling van de aquacultuur in de EU een aanvulling kan vormen op de traditionele visserij door bij te dragen tot de decarbonisatie van de sector;</w:t>
            </w:r>
            <w:r>
              <w:t xml:space="preserve"> </w:t>
            </w:r>
            <w:r>
              <w:rPr>
                <w:b/>
                <w:i/>
              </w:rPr>
              <w:t>benadrukt dat aquacultuur een duurzame, koolstofarme bron van eiwitten is, met name in het geval van schaal- en schelpdieren en de zeewierteelt, die extra milieuvoordelen oplevert, zoals koolstofafvang en waterzuivering;</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onderkent dat de ontwikkeling van de aquacultuur in de EU een aanvulling kan vormen op de traditionele visserij door bij te dragen tot de decarbonisatie van de sector; benadrukt dat aquacultuur een duurzame, koolstofarme bron van eiwitten is, met name in het geval van schaal- en schelpdieren en de zeewierteelt, die extra milieuvoordelen oplevert, zoals koolstofafvang en waterzuivering;</w:t>
            </w:r>
          </w:p>
        </w:tc>
        <w:tc>
          <w:tcPr>
            <w:tcW w:w="4876" w:type="dxa"/>
            <w:tcBorders>
              <w:top w:val="nil"/>
              <w:left w:val="nil"/>
              <w:bottom w:val="nil"/>
              <w:right w:val="nil"/>
            </w:tcBorders>
          </w:tcPr>
          <w:p>
            <w:pPr>
              <w:pStyle w:val="Normal6a"/>
            </w:pPr>
            <w:r>
              <w:t>19.</w:t>
            </w:r>
            <w:r>
              <w:tab/>
            </w:r>
            <w:r>
              <w:t xml:space="preserve">onderkent dat de ontwikkeling van de aquacultuur in de EU een aanvulling kan vormen op de traditionele visserij door bij te dragen tot de decarbonisatie van de sector; benadrukt dat aquacultuur een duurzame, koolstofarme bron van eiwitten is, met name in het geval van schaal- en schelpdieren en de zeewierteelt, die extra milieuvoordelen oplevert, zoals koolstofafvang en waterzuivering; </w:t>
            </w:r>
            <w:r>
              <w:rPr>
                <w:b/>
                <w:i/>
              </w:rPr>
              <w:t>benadrukt dat het ook voordelen op het gebied van dierenwelzijn oplevert als vis niet voor gebruik als diervoeder wordt betrokken;</w:t>
            </w:r>
            <w:r>
              <w:t xml:space="preserve"> </w:t>
            </w:r>
            <w:r>
              <w:rPr>
                <w:b/>
                <w:i/>
              </w:rPr>
              <w:t>beklemtoont dat bij toekomstige ontwikkelingen prioriteit moet worden gegeven aan aquacultuurbedrijven met een geringe impact die de mariene biodiversiteit geen schade toebrengen en sociaal-economische voordelen voor kustgemeenschappen waarborgen;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onderkent dat de ontwikkeling van de aquacultuur in de EU een aanvulling kan vormen op </w:t>
            </w:r>
            <w:r>
              <w:rPr>
                <w:b/>
                <w:i/>
              </w:rPr>
              <w:t>de</w:t>
            </w:r>
            <w:r>
              <w:t xml:space="preserve"> traditionele </w:t>
            </w:r>
            <w:r>
              <w:rPr>
                <w:b/>
                <w:i/>
              </w:rPr>
              <w:t>visserij</w:t>
            </w:r>
            <w:r>
              <w:t xml:space="preserve"> door bij te dragen tot de decarbonisatie van de </w:t>
            </w:r>
            <w:r>
              <w:rPr>
                <w:b/>
                <w:i/>
              </w:rPr>
              <w:t>sector</w:t>
            </w:r>
            <w:r>
              <w:t>; benadrukt dat aquacultuur een duurzame, koolstofarme bron van eiwitten is, met name in het geval van schaal- en schelpdieren en de zeewierteelt, die extra milieuvoordelen oplevert, zoals koolstofafvang en waterzuivering;</w:t>
            </w:r>
          </w:p>
        </w:tc>
        <w:tc>
          <w:tcPr>
            <w:tcW w:w="4876" w:type="dxa"/>
            <w:tcBorders>
              <w:top w:val="nil"/>
              <w:left w:val="nil"/>
              <w:bottom w:val="nil"/>
              <w:right w:val="nil"/>
            </w:tcBorders>
          </w:tcPr>
          <w:p>
            <w:pPr>
              <w:pStyle w:val="Normal6a"/>
            </w:pPr>
            <w:r>
              <w:t>19.</w:t>
            </w:r>
            <w:r>
              <w:tab/>
            </w:r>
            <w:r>
              <w:t xml:space="preserve">onderkent dat de ontwikkeling van de aquacultuur in de EU een aanvulling kan vormen op traditionele </w:t>
            </w:r>
            <w:r>
              <w:rPr>
                <w:b/>
                <w:i/>
              </w:rPr>
              <w:t>visserijactiviteiten</w:t>
            </w:r>
            <w:r>
              <w:t xml:space="preserve"> door bij te dragen tot de decarbonisatie van de </w:t>
            </w:r>
            <w:r>
              <w:rPr>
                <w:b/>
                <w:i/>
              </w:rPr>
              <w:t>EU-sector voor aquatische levensmiddelen</w:t>
            </w:r>
            <w:r>
              <w:t>; benadrukt dat aquacultuur een duurzame, koolstofarme bron van eiwitten is, met name in het geval van schaal- en schelpdieren en de zeewierteelt, die extra milieuvoordelen oplevert, zoals koolstofafvang en waterzuivering;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 xml:space="preserve">onderkent dat de ontwikkeling van de aquacultuur in de EU een aanvulling </w:t>
            </w:r>
            <w:r>
              <w:rPr>
                <w:b/>
                <w:i/>
              </w:rPr>
              <w:t>kan vormen</w:t>
            </w:r>
            <w:r>
              <w:t xml:space="preserve"> op de traditionele visserij door bij te dragen tot de decarbonisatie van de sector; benadrukt dat aquacultuur een duurzame, koolstofarme bron van eiwitten is, met name in het geval van schaal- en schelpdieren en de zeewierteelt, die extra milieuvoordelen oplevert, zoals koolstofafvang en waterzuivering;</w:t>
            </w:r>
          </w:p>
        </w:tc>
        <w:tc>
          <w:tcPr>
            <w:tcW w:w="4876" w:type="dxa"/>
            <w:tcBorders>
              <w:top w:val="nil"/>
              <w:left w:val="nil"/>
              <w:bottom w:val="nil"/>
              <w:right w:val="nil"/>
            </w:tcBorders>
          </w:tcPr>
          <w:p>
            <w:pPr>
              <w:pStyle w:val="Normal6a"/>
            </w:pPr>
            <w:r>
              <w:t>19.</w:t>
            </w:r>
            <w:r>
              <w:tab/>
            </w:r>
            <w:r>
              <w:t xml:space="preserve">onderkent dat de ontwikkeling van de aquacultuur in de EU een aanvulling </w:t>
            </w:r>
            <w:r>
              <w:rPr>
                <w:b/>
                <w:i/>
              </w:rPr>
              <w:t>vormt</w:t>
            </w:r>
            <w:r>
              <w:t xml:space="preserve"> op de traditionele visserij door bij te dragen tot de decarbonisatie van de sector; benadrukt dat aquacultuur een duurzame, koolstofarme bron van eiwitten is, met name in het geval van schaal- en schelpdieren en de zeewierteelt, die extra milieuvoordelen oplevert, zoals koolstofafvang en waterzuivering;</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onderkent dat de ontwikkeling van de aquacultuur in de EU een aanvulling kan vormen op de traditionele visserij door bij te dragen tot de decarbonisatie van de sector; benadrukt dat aquacultuur een duurzame, koolstofarme bron van eiwitten is</w:t>
            </w:r>
            <w:r>
              <w:rPr>
                <w:b/>
                <w:i/>
              </w:rPr>
              <w:t>, met name</w:t>
            </w:r>
            <w:r>
              <w:t xml:space="preserve"> in het geval van schaal- en schelpdieren en de zeewierteelt, die extra milieuvoordelen oplevert, zoals koolstofafvang en waterzuivering;</w:t>
            </w:r>
          </w:p>
        </w:tc>
        <w:tc>
          <w:tcPr>
            <w:tcW w:w="4876" w:type="dxa"/>
            <w:tcBorders>
              <w:top w:val="nil"/>
              <w:left w:val="nil"/>
              <w:bottom w:val="nil"/>
              <w:right w:val="nil"/>
            </w:tcBorders>
          </w:tcPr>
          <w:p>
            <w:pPr>
              <w:pStyle w:val="Normal6a"/>
            </w:pPr>
            <w:r>
              <w:t>19.</w:t>
            </w:r>
            <w:r>
              <w:tab/>
            </w:r>
            <w:r>
              <w:t>onderkent dat de ontwikkeling van de aquacultuur in de EU een aanvulling kan vormen op de traditionele visserij door bij te dragen tot de decarbonisatie van de sector; benadrukt dat aquacultuur een duurzame, koolstofarme bron van eiwitten is in het geval van schaal- en schelpdieren en de zeewierteelt, die extra milieuvoordelen oplevert, zoals koolstofafvang en waterzuivering;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19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bis.</w:t>
            </w:r>
            <w:r>
              <w:tab/>
            </w:r>
            <w:r>
              <w:rPr>
                <w:b/>
                <w:i/>
              </w:rPr>
              <w:t>is van mening dat in dit verband een bijzonder belangrijke rol is weggelegd voor extensieve aquacultuur, in tegenstelling tot intensieve aquacultuur;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benadrukt dat verdere steun voor de algenteelt een aanvulling kan vormen op de traditionele visserij door te voorzien in duurzame eiwitbronnen en door bij te dragen tot milieuvoordelen;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benadrukt dat verdere steun voor de algenteelt een aanvulling kan vormen op de traditionele visserij door te voorzien in duurzame eiwitbronnen en door bij te dragen tot milieuvoordelen;</w:t>
            </w:r>
          </w:p>
        </w:tc>
        <w:tc>
          <w:tcPr>
            <w:tcW w:w="4876" w:type="dxa"/>
            <w:tcBorders>
              <w:top w:val="nil"/>
              <w:left w:val="nil"/>
              <w:bottom w:val="nil"/>
              <w:right w:val="nil"/>
            </w:tcBorders>
          </w:tcPr>
          <w:p>
            <w:pPr>
              <w:pStyle w:val="Normal6a"/>
            </w:pPr>
            <w:r>
              <w:t>20.</w:t>
            </w:r>
            <w:r>
              <w:tab/>
            </w:r>
            <w:r>
              <w:t xml:space="preserve">benadrukt dat verdere steun voor </w:t>
            </w:r>
            <w:r>
              <w:rPr>
                <w:b/>
                <w:i/>
              </w:rPr>
              <w:t>de visteelt in stromend water en vijvers, aquacultuur in zoet water, viskwekerijen en</w:t>
            </w:r>
            <w:r>
              <w:t xml:space="preserve"> de algenteelt een aanvulling kan vormen op de traditionele visserij door te voorzien in duurzame eiwitbronnen en door bij te dragen tot milieuvoordelen;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 xml:space="preserve">benadrukt dat verdere steun voor de algenteelt een aanvulling kan vormen op de traditionele visserij door te voorzien in duurzame eiwitbronnen en door bij te dragen tot </w:t>
            </w:r>
            <w:r>
              <w:rPr>
                <w:b/>
                <w:i/>
              </w:rPr>
              <w:t>milieuvoordelen</w:t>
            </w:r>
            <w:r>
              <w:t>;</w:t>
            </w:r>
          </w:p>
        </w:tc>
        <w:tc>
          <w:tcPr>
            <w:tcW w:w="4876" w:type="dxa"/>
            <w:tcBorders>
              <w:top w:val="nil"/>
              <w:left w:val="nil"/>
              <w:bottom w:val="nil"/>
              <w:right w:val="nil"/>
            </w:tcBorders>
          </w:tcPr>
          <w:p>
            <w:pPr>
              <w:pStyle w:val="Normal6a"/>
            </w:pPr>
            <w:r>
              <w:t>20.</w:t>
            </w:r>
            <w:r>
              <w:tab/>
            </w:r>
            <w:r>
              <w:t xml:space="preserve">benadrukt dat verdere steun voor de algenteelt een aanvulling kan vormen op de traditionele visserij door te voorzien in duurzame eiwitbronnen en door bij te dragen tot </w:t>
            </w:r>
            <w:r>
              <w:rPr>
                <w:b/>
                <w:i/>
              </w:rPr>
              <w:t>een kleinere koolstofvoetafdruk van de bredere sector, bijvoorbeeld door te voorzien in diervoeders met een kleinere koolstofvoetafdruk</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Marco Falcone, Flavio Tosi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onderstreept de strategische rol van de schaal- en schelpdierencultuur als sector met een sleutelfunctie voor het koolstofvrij maken van de Europese visserijsector;</w:t>
            </w:r>
            <w:r>
              <w:t xml:space="preserve"> </w:t>
            </w:r>
            <w:r>
              <w:rPr>
                <w:b/>
                <w:i/>
              </w:rPr>
              <w:t>wijst erop dat de duurzame kweek van tweekleppige weekdieren zoals mosselen, kokkels en oesters niet alleen een bron van eiwit met een lage koolstofuitstoot oplevert maar tevens bijdraagt aan een betere kwaliteit van het zeewater dankzij de natuurlijke filterwerking, hetgeen de biodiversiteit ten goede komt en de inzet van energetische en chemische productiemiddelen minder noodzakelijk maakt;</w:t>
            </w:r>
            <w:r>
              <w:t xml:space="preserve"> </w:t>
            </w:r>
            <w:r>
              <w:rPr>
                <w:b/>
                <w:i/>
              </w:rPr>
              <w:t>verzoekt derhalve, in het kader van de strategie voor een blauwe economie met een lage uitstoot die bestand is tegen klimaatverandering, de investeringen en steunmaatregelen ten behoeve van de schaal- en schelpdierencultuur en de extensieve aquacultuur in binnenlandse wetlands en estuaria en lagunes op te voeren;</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France Jamet, Ton Diepeveen,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benadrukt het belang van geïntegreerde multitrofische aquacultuur, om het pad te effenen voor het herstel van beschadigde ecosystemen, energiebesparing en een gunstige productie om de voedselsoevereiniteit van de EU-lidstaten veilig te stellen;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20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stelt met belangstelling vast dat in de schelpdierenteelt steeds vaker gebruik wordt gemaakt van koolstofvrije binnenschepen en merkt op dat dergelijke technologieën op grotere schaal zouden moeten worden ontwikkeld in bedrijven die hiervoor in aanmerking komen;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Belemmeringen voor groei</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Belemmeringen voor groei</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onderstreept dat buitensporige administratieve lasten, langdurige vergunningsprocedures en toenemende concurrentie om de maritieme ruimte van industriële projecten investeringen in nieuwe aquacultuurprojecten kunnen ontmoedigen en de duurzame ontwikkeling van de sector kunnen belemmeren;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21.</w:t>
            </w:r>
            <w:r>
              <w:tab/>
            </w:r>
            <w:r>
              <w:rPr>
                <w:b/>
                <w:i/>
              </w:rPr>
              <w:t>onderstreept dat buitensporige administratieve lasten, langdurige vergunningsprocedures en toenemende concurrentie om de maritieme ruimte van industriële projecten investeringen in nieuwe aquacultuurprojecten kunnen ontmoedigen en de duurzame ontwikkeling van de sector kunnen belemmeren;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onderstreept dat buitensporige administratieve lasten, langdurige vergunningsprocedures </w:t>
            </w:r>
            <w:r>
              <w:rPr>
                <w:b/>
                <w:i/>
              </w:rPr>
              <w:t>en toenemende</w:t>
            </w:r>
            <w:r>
              <w:t xml:space="preserve"> concurrentie </w:t>
            </w:r>
            <w:r>
              <w:rPr>
                <w:b/>
                <w:i/>
              </w:rPr>
              <w:t>om de</w:t>
            </w:r>
            <w:r>
              <w:t xml:space="preserve"> maritieme </w:t>
            </w:r>
            <w:r>
              <w:rPr>
                <w:b/>
                <w:i/>
              </w:rPr>
              <w:t>ruimte van industriële projecten</w:t>
            </w:r>
            <w:r>
              <w:t xml:space="preserve"> investeringen in </w:t>
            </w:r>
            <w:r>
              <w:rPr>
                <w:b/>
                <w:i/>
              </w:rPr>
              <w:t>nieuwe aquacultuurprojecten kunnen ontmoedigen en de duurzame ontwikkeling van</w:t>
            </w:r>
            <w:r>
              <w:t xml:space="preserve"> de sector </w:t>
            </w:r>
            <w:r>
              <w:rPr>
                <w:b/>
                <w:i/>
              </w:rPr>
              <w:t>kunnen belemmeren</w:t>
            </w:r>
            <w:r>
              <w:t>;</w:t>
            </w:r>
          </w:p>
        </w:tc>
        <w:tc>
          <w:tcPr>
            <w:tcW w:w="4876" w:type="dxa"/>
            <w:tcBorders>
              <w:top w:val="nil"/>
              <w:left w:val="nil"/>
              <w:bottom w:val="nil"/>
              <w:right w:val="nil"/>
            </w:tcBorders>
          </w:tcPr>
          <w:p>
            <w:pPr>
              <w:pStyle w:val="Normal6a"/>
            </w:pPr>
            <w:r>
              <w:t>21.</w:t>
            </w:r>
            <w:r>
              <w:tab/>
            </w:r>
            <w:r>
              <w:rPr>
                <w:b/>
                <w:i/>
              </w:rPr>
              <w:t>benadrukt dat de aquacultuursector potentieel biedt om de koolstofvoetafdruk van ons voedselsysteem te verkleinen;</w:t>
            </w:r>
            <w:r>
              <w:t xml:space="preserve"> onderstreept dat buitensporige administratieve lasten, langdurige vergunningsprocedures</w:t>
            </w:r>
            <w:r>
              <w:rPr>
                <w:b/>
                <w:i/>
              </w:rPr>
              <w:t>, oneerlijke</w:t>
            </w:r>
            <w:r>
              <w:t xml:space="preserve"> concurrentie </w:t>
            </w:r>
            <w:r>
              <w:rPr>
                <w:b/>
                <w:i/>
              </w:rPr>
              <w:t>van producenten uit derde landen en ontoereikende</w:t>
            </w:r>
            <w:r>
              <w:t xml:space="preserve"> maritieme </w:t>
            </w:r>
            <w:r>
              <w:rPr>
                <w:b/>
                <w:i/>
              </w:rPr>
              <w:t>ruimtelijke ordening belemmeringen vormen voor</w:t>
            </w:r>
            <w:r>
              <w:t xml:space="preserve"> investeringen in </w:t>
            </w:r>
            <w:r>
              <w:rPr>
                <w:b/>
                <w:i/>
              </w:rPr>
              <w:t>de sector, waardoor wordt verhinderd dat</w:t>
            </w:r>
            <w:r>
              <w:t xml:space="preserve"> de sector </w:t>
            </w:r>
            <w:r>
              <w:rPr>
                <w:b/>
                <w:i/>
              </w:rPr>
              <w:t>groeit en verder bijdraagt tot een kleinere koolstofvoetafdruk van de EU-sector voor aquatische levensmiddelen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onderstreept dat buitensporige administratieve lasten, langdurige vergunningsprocedures en toenemende concurrentie om de maritieme ruimte van industriële projecten investeringen in nieuwe aquacultuurprojecten kunnen ontmoedigen en de duurzame ontwikkeling van de sector kunnen belemmeren;</w:t>
            </w:r>
          </w:p>
        </w:tc>
        <w:tc>
          <w:tcPr>
            <w:tcW w:w="4876" w:type="dxa"/>
            <w:tcBorders>
              <w:top w:val="nil"/>
              <w:left w:val="nil"/>
              <w:bottom w:val="nil"/>
              <w:right w:val="nil"/>
            </w:tcBorders>
          </w:tcPr>
          <w:p>
            <w:pPr>
              <w:pStyle w:val="Normal6a"/>
            </w:pPr>
            <w:r>
              <w:t>21.</w:t>
            </w:r>
            <w:r>
              <w:tab/>
            </w:r>
            <w:r>
              <w:t xml:space="preserve">onderstreept dat buitensporige administratieve lasten, langdurige vergunningsprocedures en toenemende concurrentie om de maritieme ruimte </w:t>
            </w:r>
            <w:r>
              <w:rPr>
                <w:b/>
                <w:i/>
              </w:rPr>
              <w:t>en het vasteland</w:t>
            </w:r>
            <w:r>
              <w:t xml:space="preserve"> van industriële projecten investeringen in nieuwe aquacultuurprojecten kunnen ontmoedigen en de duurzame ontwikkeling van de sector kunnen belemmeren; </w:t>
            </w:r>
            <w:r>
              <w:rPr>
                <w:b/>
                <w:i/>
              </w:rPr>
              <w:t>verzoekt de Commissie de normen en voorschriften met betrekking tot de energietransitie te vereenvoudigen;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onderstreept </w:t>
            </w:r>
            <w:r>
              <w:rPr>
                <w:b/>
                <w:i/>
              </w:rPr>
              <w:t>dat buitensporige administratieve lasten, langdurige vergunningsprocedures en toenemende concurrentie om de maritieme ruimte van industriële projecten investeringen in nieuwe aquacultuurprojecten kunnen ontmoedigen en</w:t>
            </w:r>
            <w:r>
              <w:t xml:space="preserve"> de </w:t>
            </w:r>
            <w:r>
              <w:rPr>
                <w:b/>
                <w:i/>
              </w:rPr>
              <w:t>duurzame</w:t>
            </w:r>
            <w:r>
              <w:t xml:space="preserve"> ontwikkeling van de sector </w:t>
            </w:r>
            <w:r>
              <w:rPr>
                <w:b/>
                <w:i/>
              </w:rPr>
              <w:t>kunnen belemmeren</w:t>
            </w:r>
            <w:r>
              <w:t>;</w:t>
            </w:r>
          </w:p>
        </w:tc>
        <w:tc>
          <w:tcPr>
            <w:tcW w:w="4876" w:type="dxa"/>
            <w:tcBorders>
              <w:top w:val="nil"/>
              <w:left w:val="nil"/>
              <w:bottom w:val="nil"/>
              <w:right w:val="nil"/>
            </w:tcBorders>
          </w:tcPr>
          <w:p>
            <w:pPr>
              <w:pStyle w:val="Normal6a"/>
            </w:pPr>
            <w:r>
              <w:t>21.</w:t>
            </w:r>
            <w:r>
              <w:tab/>
            </w:r>
            <w:r>
              <w:t xml:space="preserve">onderstreept </w:t>
            </w:r>
            <w:r>
              <w:rPr>
                <w:b/>
                <w:i/>
              </w:rPr>
              <w:t>het belang van een duidelijk en samenhangend rechtskader met meetbare duurzaamheidscriteria als leidraad voor</w:t>
            </w:r>
            <w:r>
              <w:t xml:space="preserve"> de ontwikkeling van de </w:t>
            </w:r>
            <w:r>
              <w:rPr>
                <w:b/>
                <w:i/>
              </w:rPr>
              <w:t>aquacultuur in de EU, alsook het belang van betrouwbare indicatoren om de duurzaamheid van de</w:t>
            </w:r>
            <w:r>
              <w:t xml:space="preserve"> sector </w:t>
            </w:r>
            <w:r>
              <w:rPr>
                <w:b/>
                <w:i/>
              </w:rPr>
              <w:t>en de bijdrage van verhoogde EU-financiering aan de ontwikkeling van de aquacultuur in de EU te volgen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benadrukt dat de concurrentie van ingevoerde visserijproducten, die vaak tegen lagere kosten en onder minder strenge milieunormen worden geproduceerd, een grote uitdaging vormt voor de aquacultuursector;</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benadrukt dat de concurrentie van ingevoerde visserijproducten, die vaak tegen lagere kosten en onder minder strenge milieunormen worden geproduceerd, een grote uitdaging vormt voor de aquacultuursector;</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benadrukt dat de concurrentie van ingevoerde visserijproducten</w:t>
            </w:r>
            <w:r>
              <w:rPr>
                <w:b/>
                <w:i/>
              </w:rPr>
              <w:t>, die vaak tegen</w:t>
            </w:r>
            <w:r>
              <w:t xml:space="preserve"> lagere </w:t>
            </w:r>
            <w:r>
              <w:rPr>
                <w:b/>
                <w:i/>
              </w:rPr>
              <w:t>kosten en onder minder strenge milieunormen worden</w:t>
            </w:r>
            <w:r>
              <w:t xml:space="preserve"> geproduceerd</w:t>
            </w:r>
            <w:r>
              <w:rPr>
                <w:b/>
                <w:i/>
              </w:rPr>
              <w:t>, een grote</w:t>
            </w:r>
            <w:r>
              <w:t xml:space="preserve"> uitdaging </w:t>
            </w:r>
            <w:r>
              <w:rPr>
                <w:b/>
                <w:i/>
              </w:rPr>
              <w:t>vormt</w:t>
            </w:r>
            <w:r>
              <w:t xml:space="preserve"> voor de </w:t>
            </w:r>
            <w:r>
              <w:rPr>
                <w:b/>
                <w:i/>
              </w:rPr>
              <w:t>aquacultuursector</w:t>
            </w:r>
            <w:r>
              <w:t>;</w:t>
            </w:r>
          </w:p>
        </w:tc>
        <w:tc>
          <w:tcPr>
            <w:tcW w:w="4876" w:type="dxa"/>
            <w:tcBorders>
              <w:top w:val="nil"/>
              <w:left w:val="nil"/>
              <w:bottom w:val="nil"/>
              <w:right w:val="nil"/>
            </w:tcBorders>
          </w:tcPr>
          <w:p>
            <w:pPr>
              <w:pStyle w:val="Normal6a"/>
            </w:pPr>
            <w:r>
              <w:t>22.</w:t>
            </w:r>
            <w:r>
              <w:tab/>
            </w:r>
            <w:r>
              <w:t xml:space="preserve">benadrukt dat de concurrentie van ingevoerde visserijproducten </w:t>
            </w:r>
            <w:r>
              <w:rPr>
                <w:b/>
                <w:i/>
              </w:rPr>
              <w:t>die volgens</w:t>
            </w:r>
            <w:r>
              <w:t xml:space="preserve"> lagere </w:t>
            </w:r>
            <w:r>
              <w:rPr>
                <w:b/>
                <w:i/>
              </w:rPr>
              <w:t>milieu-, sociale en dierenwelzijnsnormen zijn</w:t>
            </w:r>
            <w:r>
              <w:t xml:space="preserve"> geproduceerd </w:t>
            </w:r>
            <w:r>
              <w:rPr>
                <w:b/>
                <w:i/>
              </w:rPr>
              <w:t>een</w:t>
            </w:r>
            <w:r>
              <w:t xml:space="preserve"> uitdaging </w:t>
            </w:r>
            <w:r>
              <w:rPr>
                <w:b/>
                <w:i/>
              </w:rPr>
              <w:t>kan vormen</w:t>
            </w:r>
            <w:r>
              <w:t xml:space="preserve"> voor de </w:t>
            </w:r>
            <w:r>
              <w:rPr>
                <w:b/>
                <w:i/>
              </w:rPr>
              <w:t>aquacultuur in de EU</w:t>
            </w:r>
            <w:r>
              <w:t xml:space="preserve">; </w:t>
            </w:r>
            <w:r>
              <w:rPr>
                <w:b/>
                <w:i/>
              </w:rPr>
              <w:t>dringt aan op een krachtige handhaving van dergelijke vereisten voor alle visserijproducten die de EU-markt binnenkomen;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363</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benadrukt dat de concurrentie van ingevoerde visserijproducten, die vaak tegen lagere kosten en onder minder strenge milieunormen worden geproduceerd, een grote uitdaging vormt voor de aquacultuursector;</w:t>
            </w:r>
          </w:p>
        </w:tc>
        <w:tc>
          <w:tcPr>
            <w:tcW w:w="4876" w:type="dxa"/>
            <w:tcBorders>
              <w:top w:val="nil"/>
              <w:left w:val="nil"/>
              <w:bottom w:val="nil"/>
              <w:right w:val="nil"/>
            </w:tcBorders>
          </w:tcPr>
          <w:p>
            <w:pPr>
              <w:pStyle w:val="Normal6a"/>
            </w:pPr>
            <w:r>
              <w:t>22.</w:t>
            </w:r>
            <w:r>
              <w:tab/>
            </w:r>
            <w:r>
              <w:t>benadrukt dat de concurrentie van ingevoerde visserijproducten, die vaak tegen lagere kosten</w:t>
            </w:r>
            <w:r>
              <w:rPr>
                <w:b/>
                <w:i/>
              </w:rPr>
              <w:t>, met een aanzienlijk hogere koolstofvoetafdruk</w:t>
            </w:r>
            <w:r>
              <w:t xml:space="preserve"> en onder minder strenge milieunormen worden geproduceerd, een grote uitdaging vormt voor de aquacultuursector;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364</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benadrukt dat de concurrentie van ingevoerde visserijproducten, die vaak tegen lagere kosten en onder minder strenge </w:t>
            </w:r>
            <w:r>
              <w:rPr>
                <w:b/>
                <w:i/>
              </w:rPr>
              <w:t>milieunormen</w:t>
            </w:r>
            <w:r>
              <w:t xml:space="preserve"> worden geproduceerd, een grote uitdaging vormt voor de aquacultuursector;</w:t>
            </w:r>
          </w:p>
        </w:tc>
        <w:tc>
          <w:tcPr>
            <w:tcW w:w="4876" w:type="dxa"/>
            <w:tcBorders>
              <w:top w:val="nil"/>
              <w:left w:val="nil"/>
              <w:bottom w:val="nil"/>
              <w:right w:val="nil"/>
            </w:tcBorders>
          </w:tcPr>
          <w:p>
            <w:pPr>
              <w:pStyle w:val="Normal6a"/>
            </w:pPr>
            <w:r>
              <w:t>22.</w:t>
            </w:r>
            <w:r>
              <w:tab/>
            </w:r>
            <w:r>
              <w:t xml:space="preserve">benadrukt dat de concurrentie van ingevoerde visserijproducten, die vaak tegen lagere kosten en onder minder strenge </w:t>
            </w:r>
            <w:r>
              <w:rPr>
                <w:b/>
                <w:i/>
              </w:rPr>
              <w:t>milieu-, gezondheids- en sociale normen</w:t>
            </w:r>
            <w:r>
              <w:t xml:space="preserve"> worden geproduceerd, een grote uitdaging vormt voor de aquacultuursector;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365</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Beleidsaanbevelingen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Kopje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Beleidsaanbevelingen</w:t>
            </w:r>
          </w:p>
        </w:tc>
        <w:tc>
          <w:tcPr>
            <w:tcW w:w="4876" w:type="dxa"/>
            <w:tcBorders>
              <w:top w:val="nil"/>
              <w:left w:val="nil"/>
              <w:bottom w:val="nil"/>
              <w:right w:val="nil"/>
            </w:tcBorders>
          </w:tcPr>
          <w:p>
            <w:pPr>
              <w:pStyle w:val="Normal6a"/>
            </w:pPr>
            <w:r>
              <w:rPr>
                <w:b/>
                <w:i/>
              </w:rPr>
              <w:t>Slotoverwegingen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verzoekt de Commissie duidelijke richtsnoeren te verstrekken en gerichte technische ondersteuning te bieden aan de lidstaten om de vergunningsprocedures voor aquacultuur te vereenvoudigen en te stroomlijnen;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368</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verzoekt de Commissie duidelijke richtsnoeren te verstrekken en gerichte technische ondersteuning te bieden aan de lidstaten om de vergunningsprocedures voor aquacultuur te vereenvoudigen en te stroomlijnen;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369</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23.</w:t>
            </w:r>
            <w:r>
              <w:tab/>
            </w:r>
            <w:r>
              <w:rPr>
                <w:b/>
                <w:i/>
              </w:rPr>
              <w:t>verzoekt de Commissie duidelijke richtsnoeren te verstrekken en gerichte technische ondersteuning te bieden aan de lidstaten om de vergunningsprocedures voor aquacultuur te vereenvoudigen en te stroomlijnen;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370</w:t>
      </w:r>
      <w:r>
        <w:rPr>
          <w:rStyle w:val="HideTWBExt"/>
        </w:rPr>
        <w:t>&lt;/NumAm&gt;</w:t>
      </w:r>
    </w:p>
    <w:p>
      <w:pPr>
        <w:pStyle w:val="NormalBold"/>
      </w:pPr>
      <w:r>
        <w:rPr>
          <w:rStyle w:val="HideTWBExt"/>
          <w:b w:val="0"/>
        </w:rPr>
        <w:t>&lt;RepeatBlock-By&gt;</w:t>
      </w:r>
      <w:r>
        <w:rPr>
          <w:rStyle w:val="HideTWBExt"/>
          <w:b w:val="0"/>
        </w:rPr>
        <w:t>&lt;Members&gt;</w:t>
      </w:r>
      <w:r>
        <w:t>Ana Miranda Paz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verzoekt de Commissie duidelijke richtsnoeren te verstrekken en gerichte technische ondersteuning te bieden aan de lidstaten om de vergunningsprocedures voor aquacultuur te vereenvoudigen en te stroomlijnen;</w:t>
            </w:r>
          </w:p>
        </w:tc>
        <w:tc>
          <w:tcPr>
            <w:tcW w:w="4876" w:type="dxa"/>
            <w:tcBorders>
              <w:top w:val="nil"/>
              <w:left w:val="nil"/>
              <w:bottom w:val="nil"/>
              <w:right w:val="nil"/>
            </w:tcBorders>
          </w:tcPr>
          <w:p>
            <w:pPr>
              <w:pStyle w:val="Normal6a"/>
            </w:pPr>
            <w:r>
              <w:t>23.</w:t>
            </w:r>
            <w:r>
              <w:tab/>
            </w:r>
            <w:r>
              <w:t xml:space="preserve">verzoekt de Commissie duidelijke richtsnoeren te verstrekken en gerichte technische ondersteuning te bieden aan de lidstaten </w:t>
            </w:r>
            <w:r>
              <w:rPr>
                <w:b/>
                <w:i/>
              </w:rPr>
              <w:t>en aan autoriteiten op een lager niveau dan dat van de lidstaten die verantwoordelijkheden hebben op het gebied van aquacultuurbeheer</w:t>
            </w:r>
            <w:r>
              <w:t xml:space="preserve"> om de vergunningsprocedures voor aquacultuur te vereenvoudigen en te stroomlijnen;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371</w:t>
      </w:r>
      <w:r>
        <w:rPr>
          <w:rStyle w:val="HideTWBExt"/>
        </w:rPr>
        <w:t>&lt;/NumAm&gt;</w:t>
      </w:r>
    </w:p>
    <w:p>
      <w:pPr>
        <w:pStyle w:val="NormalBold"/>
      </w:pPr>
      <w:r>
        <w:rPr>
          <w:rStyle w:val="HideTWBExt"/>
          <w:b w:val="0"/>
        </w:rPr>
        <w:t>&lt;RepeatBlock-By&gt;</w:t>
      </w:r>
      <w:r>
        <w:rPr>
          <w:rStyle w:val="HideTWBExt"/>
          <w:b w:val="0"/>
        </w:rPr>
        <w:t>&lt;Members&gt;</w:t>
      </w:r>
      <w:r>
        <w:t>Ton Diepeveen, 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verzoekt de Commissie duidelijke richtsnoeren te verstrekken en gerichte technische ondersteuning te bieden aan de lidstaten om de vergunningsprocedures voor aquacultuur te vereenvoudigen en te stroomlijnen;</w:t>
            </w:r>
          </w:p>
        </w:tc>
        <w:tc>
          <w:tcPr>
            <w:tcW w:w="4876" w:type="dxa"/>
            <w:tcBorders>
              <w:top w:val="nil"/>
              <w:left w:val="nil"/>
              <w:bottom w:val="nil"/>
              <w:right w:val="nil"/>
            </w:tcBorders>
          </w:tcPr>
          <w:p>
            <w:pPr>
              <w:pStyle w:val="Normal6a"/>
            </w:pPr>
            <w:r>
              <w:t>23.</w:t>
            </w:r>
            <w:r>
              <w:tab/>
            </w:r>
            <w:r>
              <w:t>verzoekt de Commissie duidelijke richtsnoeren te verstrekken en gerichte technische ondersteuning te bieden aan de lidstaten om de vergunningsprocedures voor aquacultuur te vereenvoudigen en te stroomlijnen</w:t>
            </w:r>
            <w:r>
              <w:rPr>
                <w:b/>
                <w:i/>
              </w:rPr>
              <w:t>, zodat investeringen in duurzame aquacultuur aantrekkelijker worden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verzoekt de Commissie duidelijke richtsnoeren te verstrekken en gerichte technische ondersteuning te bieden aan de lidstaten om de vergunningsprocedures voor aquacultuur te vereenvoudigen en te stroomlijnen;</w:t>
            </w:r>
          </w:p>
        </w:tc>
        <w:tc>
          <w:tcPr>
            <w:tcW w:w="4876" w:type="dxa"/>
            <w:tcBorders>
              <w:top w:val="nil"/>
              <w:left w:val="nil"/>
              <w:bottom w:val="nil"/>
              <w:right w:val="nil"/>
            </w:tcBorders>
          </w:tcPr>
          <w:p>
            <w:pPr>
              <w:pStyle w:val="Normal6a"/>
            </w:pPr>
            <w:r>
              <w:t>23.</w:t>
            </w:r>
            <w:r>
              <w:tab/>
            </w:r>
            <w:r>
              <w:t xml:space="preserve">verzoekt de Commissie duidelijke richtsnoeren te verstrekken en gerichte technische ondersteuning te bieden aan de lidstaten om de vergunningsprocedures voor aquacultuur </w:t>
            </w:r>
            <w:r>
              <w:rPr>
                <w:b/>
                <w:i/>
              </w:rPr>
              <w:t>op zee of op land</w:t>
            </w:r>
            <w:r>
              <w:t xml:space="preserve"> te vereenvoudigen en te stroomlijnen;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373</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beklemtoont dat het succes van de ecologische en de digitale transitie in de visserijsector afhangt van de beschikbaarheid van geschoolde en goed opgeleide werknemers;</w:t>
            </w:r>
            <w:r>
              <w:t xml:space="preserve"> </w:t>
            </w:r>
            <w:r>
              <w:rPr>
                <w:b/>
                <w:i/>
              </w:rPr>
              <w:t>dringt aan op een beter gebruik van bestaande EU-programma’s, zoals Erasmus+, het Europees Sociaal Fonds Plus (ESF+) en het EFMZVA, ter ondersteuning van formele en informele opleidingen op het gebied van veiligheid op het werk, digitale instrumenten, milieubewustzijn en duurzame visserijtechnieken;</w:t>
            </w:r>
            <w:r>
              <w:t xml:space="preserve"> </w:t>
            </w:r>
            <w:r>
              <w:rPr>
                <w:b/>
                <w:i/>
              </w:rPr>
              <w:t>wijst erop dat het van belang is praktische vaardigheden die door ervaring zijn opgedaan te erkennen en kennisoverdracht tussen de generaties te faciliteren;</w:t>
            </w:r>
            <w:r>
              <w:t xml:space="preserve"> </w:t>
            </w:r>
            <w:r>
              <w:rPr>
                <w:b/>
                <w:i/>
              </w:rPr>
              <w:t>benadrukt dat opleiding continu en inclusief moet zijn en moet worden afgestemd op de veranderende behoeften van vissers en kustgemeenschappen, met name in afgelegen en structureel achtergestelde gebieden;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374</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23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herinnert aan de noodzaak om uitgebreide, onafhankelijke en transparante effectbeoordelingen van aquacultuurprojecten te ontwikkelen en te voldoen aan de milieuregelgeving en de vereisten inzake mariene ruimtelijke ordening;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375</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24.</w:t>
            </w:r>
            <w:r>
              <w:tab/>
            </w:r>
            <w:r>
              <w:rPr>
                <w:b/>
                <w:i/>
              </w:rPr>
              <w:t>wijst op de noodzaak van een evenwichtige en coherente benadering van maritieme ruimtelijke ordening waarmee de toegang tot nutriëntenrijke kustgebieden wordt gewaarborgd voor essentiële voedselproducerende activiteiten, zoals visserij en aquacultuur;</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wijst op </w:t>
            </w:r>
            <w:r>
              <w:rPr>
                <w:b/>
                <w:i/>
              </w:rPr>
              <w:t>de noodzaak van een evenwichtige en coherente benadering van maritieme ruimtelijke ordening waarmee de toegang tot nutriëntenrijke kustgebieden wordt gewaarborgd voor essentiële voedselproducerende activiteiten, zoals visserij en aquacultuur</w:t>
            </w:r>
            <w:r>
              <w:t>;</w:t>
            </w:r>
          </w:p>
        </w:tc>
        <w:tc>
          <w:tcPr>
            <w:tcW w:w="4876" w:type="dxa"/>
            <w:tcBorders>
              <w:top w:val="nil"/>
              <w:left w:val="nil"/>
              <w:bottom w:val="nil"/>
              <w:right w:val="nil"/>
            </w:tcBorders>
          </w:tcPr>
          <w:p>
            <w:pPr>
              <w:pStyle w:val="Normal6a"/>
            </w:pPr>
            <w:r>
              <w:t>24.</w:t>
            </w:r>
            <w:r>
              <w:tab/>
            </w:r>
            <w:r>
              <w:t xml:space="preserve">wijst op </w:t>
            </w:r>
            <w:r>
              <w:rPr>
                <w:b/>
                <w:i/>
              </w:rPr>
              <w:t>het belang van het actief betrekken van vissers, producentenorganisaties en kustgemeenschappen bij het ontwerp, de uitvoering en de evaluatie van visserijbeleid en beheersmaatregelen;</w:t>
            </w:r>
            <w:r>
              <w:t xml:space="preserve"> </w:t>
            </w:r>
            <w:r>
              <w:rPr>
                <w:b/>
                <w:i/>
              </w:rPr>
              <w:t>beklemtoont dat participatieve governance de legitimiteit, praktische uitvoerbaarheid en aanvaarding van regels versterkt en tegelijkertijd toelaat rekening te houden met lokale ecologische kennis en praktische ervaring;</w:t>
            </w:r>
            <w:r>
              <w:t xml:space="preserve"> </w:t>
            </w:r>
            <w:r>
              <w:rPr>
                <w:b/>
                <w:i/>
              </w:rPr>
              <w:t>dringt aan op gestructureerde mechanismen om te zorgen voor een permanente dialoog tussen autoriteiten, wetenschappers en de sector, ook op regionaal niveau en op het niveau van zeebekkens, en wijst erop dat benaderingen die gezamenlijke governance inhouden van essentieel belang zijn om een duurzaam, adaptief en sociaal rechtvaardig visserijbeheer tot stand te brengen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24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24 bis.</w:t>
            </w:r>
            <w:r>
              <w:tab/>
            </w:r>
            <w:r>
              <w:rPr>
                <w:b/>
                <w:i/>
              </w:rPr>
              <w:t>dringt aan op de ontwikkeling van een gemeenschappelijk EU-etiketterings- en traceerbaarheidskader dat consumenten en kopers in staat stelt visserijproducten te identificeren die afkomstig zijn van ecologisch duurzame en maatschappelijk verantwoorde praktijken met een geringe impact;</w:t>
            </w:r>
            <w:r>
              <w:t xml:space="preserve"> </w:t>
            </w:r>
            <w:r>
              <w:rPr>
                <w:b/>
                <w:i/>
              </w:rPr>
              <w:t>beklemtoont dat een dergelijk systeem volledige transparantie met betrekking tot visserijmethoden, selectiviteit van het vistuig, arbeidsomstandigheden en regionale oorsprong moet waarborgen en eerlijke concurrentie met de interne markt moet bevorderen;</w:t>
            </w:r>
            <w:r>
              <w:t xml:space="preserve"> </w:t>
            </w:r>
            <w:r>
              <w:rPr>
                <w:b/>
                <w:i/>
              </w:rPr>
              <w:t>is van mening dat een gedifferentieerde marktbenadering zou helpen om vissers en exploitanten te belonen die duurzame praktijken toepassen, de economie in kustgebieden versterken en aanzetten tot innovatie en investeringen in de transitie naar visserij met een geringe 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378</w:t>
      </w:r>
      <w:r>
        <w:rPr>
          <w:rStyle w:val="HideTWBExt"/>
        </w:rPr>
        <w:t>&lt;/NumAm&gt;</w:t>
      </w:r>
    </w:p>
    <w:p>
      <w:pPr>
        <w:pStyle w:val="NormalBold"/>
      </w:pPr>
      <w:r>
        <w:rPr>
          <w:rStyle w:val="HideTWBExt"/>
          <w:b w:val="0"/>
        </w:rPr>
        <w:t>&lt;RepeatBlock-By&gt;</w:t>
      </w:r>
      <w:r>
        <w:rPr>
          <w:rStyle w:val="HideTWBExt"/>
          <w:b w:val="0"/>
        </w:rPr>
        <w:t>&lt;Members&gt;</w:t>
      </w:r>
      <w:r>
        <w:t>Oihane Agirregoitia Martínez, Karin Karlsbro, Stéphanie Yon-Courtin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25.</w:t>
            </w:r>
            <w:r>
              <w:tab/>
            </w:r>
            <w:r>
              <w:rPr>
                <w:b/>
                <w:i/>
              </w:rPr>
              <w:t>herhaalt dat er een gelijk speelveld moet worden gewaarborgd door de regeldruk te verminderen en oneerlijke concurrentie als gevolg van invoer die volgens lagere milieunormen wordt geproduceerd aan te pakken;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379</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herhaalt dat er een gelijk speelveld</w:t>
            </w:r>
            <w:r>
              <w:t xml:space="preserve"> moet worden </w:t>
            </w:r>
            <w:r>
              <w:rPr>
                <w:b/>
                <w:i/>
              </w:rPr>
              <w:t>gewaarborgd door de regeldruk te verminderen en oneerlijke concurrentie als gevolg van invoer die volgens lagere milieunormen</w:t>
            </w:r>
            <w:r>
              <w:t xml:space="preserve"> wordt </w:t>
            </w:r>
            <w:r>
              <w:rPr>
                <w:b/>
                <w:i/>
              </w:rPr>
              <w:t>geproduceerd aan te pakken</w:t>
            </w:r>
            <w:r>
              <w:t>;</w:t>
            </w:r>
          </w:p>
        </w:tc>
        <w:tc>
          <w:tcPr>
            <w:tcW w:w="4876" w:type="dxa"/>
            <w:tcBorders>
              <w:top w:val="nil"/>
              <w:left w:val="nil"/>
              <w:bottom w:val="nil"/>
              <w:right w:val="nil"/>
            </w:tcBorders>
          </w:tcPr>
          <w:p>
            <w:pPr>
              <w:pStyle w:val="Normal6a"/>
            </w:pPr>
            <w:r>
              <w:t>25.</w:t>
            </w:r>
            <w:r>
              <w:tab/>
            </w:r>
            <w:r>
              <w:rPr>
                <w:b/>
                <w:i/>
              </w:rPr>
              <w:t>beklemtoont dat de visserij volledig</w:t>
            </w:r>
            <w:r>
              <w:t xml:space="preserve"> moet worden </w:t>
            </w:r>
            <w:r>
              <w:rPr>
                <w:b/>
                <w:i/>
              </w:rPr>
              <w:t>geïntegreerd in bredere strategieën voor kust- en maritieme ontwikkeling, met inbegrip van mariene ruimtelijke ordening, behoud van de biodiversiteit en het inzetten van hernieuwbare energie;</w:t>
            </w:r>
            <w:r>
              <w:t xml:space="preserve"> </w:t>
            </w:r>
            <w:r>
              <w:rPr>
                <w:b/>
                <w:i/>
              </w:rPr>
              <w:t>benadrukt dat een evenwichtige en gecoördineerde benadering nodig is om te voorkomen dat visserijgemeenschappen worden gemarginaliseerd en om ervoor te zorgen dat in besluitvormingsprocessen naar behoren rekening</w:t>
            </w:r>
            <w:r>
              <w:t xml:space="preserve"> wordt </w:t>
            </w:r>
            <w:r>
              <w:rPr>
                <w:b/>
                <w:i/>
              </w:rPr>
              <w:t>gehouden met hun kennis, behoeften en economische functie</w:t>
            </w:r>
            <w:r>
              <w:t xml:space="preserve">; </w:t>
            </w:r>
            <w:r>
              <w:rPr>
                <w:b/>
                <w:i/>
              </w:rPr>
              <w:t>wijst erop dat er positieve synergieën tussen duurzame visserij, oceaanbehoud, schone energie en lokale ontwikkeling mogelijk zijn als het beheer plaatsvindt binnen holistische, inclusieve, wetenschappelijk onderbouwde en territoriaal aangepaste kaders;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380</w:t>
      </w:r>
      <w:r>
        <w:rPr>
          <w:rStyle w:val="HideTWBExt"/>
        </w:rPr>
        <w:t>&lt;/NumAm&gt;</w:t>
      </w:r>
    </w:p>
    <w:p>
      <w:pPr>
        <w:pStyle w:val="NormalBold"/>
      </w:pPr>
      <w:r>
        <w:rPr>
          <w:rStyle w:val="HideTWBExt"/>
          <w:b w:val="0"/>
        </w:rPr>
        <w:t>&lt;RepeatBlock-By&gt;</w:t>
      </w:r>
      <w:r>
        <w:rPr>
          <w:rStyle w:val="HideTWBExt"/>
          <w:b w:val="0"/>
        </w:rPr>
        <w:t>&lt;Members&gt;</w:t>
      </w:r>
      <w:r>
        <w:t>Rasmus Nordqvist</w:t>
      </w:r>
      <w:r>
        <w:rPr>
          <w:rStyle w:val="HideTWBExt"/>
          <w:b w:val="0"/>
        </w:rPr>
        <w:t>&lt;/Members&gt;</w:t>
      </w:r>
    </w:p>
    <w:p>
      <w:r>
        <w:rPr>
          <w:rStyle w:val="HideTWBExt"/>
          <w:b w:val="0"/>
        </w:rPr>
        <w:t>&lt;AuNomDe&gt;</w:t>
      </w:r>
      <w:r>
        <w:rPr>
          <w:rStyle w:val="HideTWBInt"/>
        </w:rPr>
        <w:t>{Greens/EFA}</w:t>
      </w:r>
      <w:r>
        <w:t>namens de Verts/ALE-Fractie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herhaalt dat er een gelijk speelveld moet worden gewaarborgd door de </w:t>
            </w:r>
            <w:r>
              <w:rPr>
                <w:b/>
                <w:i/>
              </w:rPr>
              <w:t>regeldruk te verminderen en</w:t>
            </w:r>
            <w:r>
              <w:t xml:space="preserve"> oneerlijke concurrentie als gevolg van invoer die volgens lagere </w:t>
            </w:r>
            <w:r>
              <w:rPr>
                <w:b/>
                <w:i/>
              </w:rPr>
              <w:t>milieunormen</w:t>
            </w:r>
            <w:r>
              <w:t xml:space="preserve"> wordt geproduceerd aan te pakken;</w:t>
            </w:r>
          </w:p>
        </w:tc>
        <w:tc>
          <w:tcPr>
            <w:tcW w:w="4876" w:type="dxa"/>
            <w:tcBorders>
              <w:top w:val="nil"/>
              <w:left w:val="nil"/>
              <w:bottom w:val="nil"/>
              <w:right w:val="nil"/>
            </w:tcBorders>
          </w:tcPr>
          <w:p>
            <w:pPr>
              <w:pStyle w:val="Normal6a"/>
            </w:pPr>
            <w:r>
              <w:t>25.</w:t>
            </w:r>
            <w:r>
              <w:tab/>
            </w:r>
            <w:r>
              <w:t xml:space="preserve">herhaalt dat er een gelijk speelveld moet worden gewaarborgd door de </w:t>
            </w:r>
            <w:r>
              <w:rPr>
                <w:b/>
                <w:i/>
              </w:rPr>
              <w:t>uitvoering en toepassing van bepalingen te vergemakkelijken en door</w:t>
            </w:r>
            <w:r>
              <w:t xml:space="preserve"> oneerlijke concurrentie als gevolg van invoer die volgens lagere </w:t>
            </w:r>
            <w:r>
              <w:rPr>
                <w:b/>
                <w:i/>
              </w:rPr>
              <w:t>milieu-, sociale en dierenwelzijnsnormen</w:t>
            </w:r>
            <w:r>
              <w:t xml:space="preserve"> wordt geproduceerd aan te pakken</w:t>
            </w:r>
            <w:r>
              <w:rPr>
                <w:b/>
                <w:i/>
              </w:rPr>
              <w:t>, waarbij ervoor wordt gezorgd dat de EU het goede voorbeeld geeft door haar eigen strenge normen te handhaven en strengere mondiale normen actief te bevorderen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381</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herhaalt dat er een gelijk speelveld moet worden gewaarborgd door de regeldruk te verminderen en oneerlijke concurrentie als gevolg van invoer die volgens lagere </w:t>
            </w:r>
            <w:r>
              <w:rPr>
                <w:b/>
                <w:i/>
              </w:rPr>
              <w:t>milieunormen</w:t>
            </w:r>
            <w:r>
              <w:t xml:space="preserve"> wordt geproduceerd aan te pakken;</w:t>
            </w:r>
          </w:p>
        </w:tc>
        <w:tc>
          <w:tcPr>
            <w:tcW w:w="4876" w:type="dxa"/>
            <w:tcBorders>
              <w:top w:val="nil"/>
              <w:left w:val="nil"/>
              <w:bottom w:val="nil"/>
              <w:right w:val="nil"/>
            </w:tcBorders>
          </w:tcPr>
          <w:p>
            <w:pPr>
              <w:pStyle w:val="Normal6a"/>
            </w:pPr>
            <w:r>
              <w:t>25.</w:t>
            </w:r>
            <w:r>
              <w:tab/>
            </w:r>
            <w:r>
              <w:t xml:space="preserve">herhaalt dat er een gelijk speelveld moet worden gewaarborgd door de regeldruk te verminderen en oneerlijke concurrentie als gevolg van invoer die volgens lagere </w:t>
            </w:r>
            <w:r>
              <w:rPr>
                <w:b/>
                <w:i/>
              </w:rPr>
              <w:t>milieu-, gezondheids- en sociale normen</w:t>
            </w:r>
            <w:r>
              <w:t xml:space="preserve"> wordt geproduceerd aan te pakken;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382</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herhaalt dat er een gelijk speelveld moet worden gewaarborgd door de regeldruk te verminderen en oneerlijke concurrentie </w:t>
            </w:r>
            <w:r>
              <w:rPr>
                <w:b/>
                <w:i/>
              </w:rPr>
              <w:t>als gevolg van invoer die volgens lagere milieunormen wordt geproduceerd</w:t>
            </w:r>
            <w:r>
              <w:t xml:space="preserve"> aan te pakken;</w:t>
            </w:r>
          </w:p>
        </w:tc>
        <w:tc>
          <w:tcPr>
            <w:tcW w:w="4876" w:type="dxa"/>
            <w:tcBorders>
              <w:top w:val="nil"/>
              <w:left w:val="nil"/>
              <w:bottom w:val="nil"/>
              <w:right w:val="nil"/>
            </w:tcBorders>
          </w:tcPr>
          <w:p>
            <w:pPr>
              <w:pStyle w:val="Normal6a"/>
            </w:pPr>
            <w:r>
              <w:t>25.</w:t>
            </w:r>
            <w:r>
              <w:tab/>
            </w:r>
            <w:r>
              <w:t xml:space="preserve">herhaalt dat er een gelijk speelveld moet worden gewaarborgd door de regeldruk te verminderen en </w:t>
            </w:r>
            <w:r>
              <w:rPr>
                <w:b/>
                <w:i/>
              </w:rPr>
              <w:t>invoer op basis van</w:t>
            </w:r>
            <w:r>
              <w:t xml:space="preserve"> oneerlijke concurrentie aan te pakken;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 xml:space="preserve">herhaalt dat er een gelijk speelveld moet worden gewaarborgd door </w:t>
            </w:r>
            <w:r>
              <w:rPr>
                <w:b/>
                <w:i/>
              </w:rPr>
              <w:t>de regeldruk te verminderen en</w:t>
            </w:r>
            <w:r>
              <w:t xml:space="preserve"> oneerlijke concurrentie als gevolg van invoer die volgens lagere milieunormen wordt geproduceerd aan te pakken;</w:t>
            </w:r>
          </w:p>
        </w:tc>
        <w:tc>
          <w:tcPr>
            <w:tcW w:w="4876" w:type="dxa"/>
            <w:tcBorders>
              <w:top w:val="nil"/>
              <w:left w:val="nil"/>
              <w:bottom w:val="nil"/>
              <w:right w:val="nil"/>
            </w:tcBorders>
          </w:tcPr>
          <w:p>
            <w:pPr>
              <w:pStyle w:val="Normal6a"/>
            </w:pPr>
            <w:r>
              <w:t>25.</w:t>
            </w:r>
            <w:r>
              <w:tab/>
            </w:r>
            <w:r>
              <w:t>herhaalt dat er een gelijk speelveld moet worden gewaarborgd door oneerlijke concurrentie als gevolg van invoer die volgens lagere milieunormen wordt geproduceerd aan te pakken;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384</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benadrukt dat het belangrijk is de verzameling, de toegankelijkheid en het gebruik van milieu-, sociaal-economische en operationele gegevens in de visserijsector te verbeteren, onder meer door middel van digitale instrumenten en benaderingen voor gezamenlijke monitoring;</w:t>
            </w:r>
            <w:r>
              <w:t xml:space="preserve"> </w:t>
            </w:r>
            <w:r>
              <w:rPr>
                <w:b/>
                <w:i/>
              </w:rPr>
              <w:t>beklemtoont dat doeltreffende en tijdige gegevens van essentieel belang zijn voor wetenschappelijk onderbouwde besluitvorming en voor de aanpassing van het beleid aan veranderende ecologische en economische omstandigheden;</w:t>
            </w:r>
            <w:r>
              <w:t xml:space="preserve"> </w:t>
            </w:r>
            <w:r>
              <w:rPr>
                <w:b/>
                <w:i/>
              </w:rPr>
              <w:t>dringt aan op een nauwere integratie tussen kennissystemen, waaronder wetenschappelijk onderzoek, traditionele ecologische kennis en realtime operationele gegevens, ter ondersteuning van een responsievere, billijkere en duurzamere governance van visserijactiviteiten;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385</w:t>
      </w:r>
      <w:r>
        <w:rPr>
          <w:rStyle w:val="HideTWBExt"/>
        </w:rPr>
        <w:t>&lt;/NumAm&gt;</w:t>
      </w:r>
    </w:p>
    <w:p>
      <w:pPr>
        <w:pStyle w:val="NormalBold"/>
      </w:pPr>
      <w:r>
        <w:rPr>
          <w:rStyle w:val="HideTWBExt"/>
          <w:b w:val="0"/>
        </w:rPr>
        <w:t>&lt;RepeatBlock-By&gt;</w:t>
      </w:r>
      <w:r>
        <w:rPr>
          <w:rStyle w:val="HideTWBExt"/>
          <w:b w:val="0"/>
        </w:rPr>
        <w:t>&lt;Members&gt;</w:t>
      </w:r>
      <w:r>
        <w:t>Eric Sargiacomo, Sérgio Gonçalves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bis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verzoekt de Commissie om samen met de lidstaten een fiscale stimuleringsregeling voor schone energie te overwegen om de energietransitie te bevorderen;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386</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25 ter (nieuw)</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ter.</w:t>
            </w:r>
            <w:r>
              <w:tab/>
            </w:r>
            <w:r>
              <w:rPr>
                <w:b/>
                <w:i/>
              </w:rPr>
              <w:t>beklemtoont de essentiële rol van de visserij bij het waarborgen van voedselzekerheid en voeding, met name in kust-, eiland- en afgelegen gemeenschappen waar de toegang tot verse en gezonde eiwitbronnen nauw verbonden is met de levensvatbaarheid van lokale visserijactiviteiten;</w:t>
            </w:r>
            <w:r>
              <w:t xml:space="preserve"> </w:t>
            </w:r>
            <w:r>
              <w:rPr>
                <w:b/>
                <w:i/>
              </w:rPr>
              <w:t>herinnert eraan dat de visserijsector niet alleen onbewerkte producten levert, maar ook een breder ecosysteem van werkgelegenheid en economische activiteit op het gebied van verwerking, afzet en distributie ondersteunt;</w:t>
            </w:r>
            <w:r>
              <w:t xml:space="preserve"> </w:t>
            </w:r>
            <w:r>
              <w:rPr>
                <w:b/>
                <w:i/>
              </w:rPr>
              <w:t>dringt aan op overheidsbeleid dat de bijdrage van duurzame visserij aan regionale voedselsystemen versterkt en korte toeleveringsketens bevordert en dat ervoor zorgt dat sociale, ecologische en economische duurzaamheid hand in hand gaan;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387</w:t>
      </w:r>
      <w:r>
        <w:rPr>
          <w:rStyle w:val="HideTWBExt"/>
        </w:rPr>
        <w:t>&lt;/NumAm&gt;</w:t>
      </w:r>
    </w:p>
    <w:p>
      <w:pPr>
        <w:pStyle w:val="NormalBold"/>
      </w:pPr>
      <w:r>
        <w:rPr>
          <w:rStyle w:val="HideTWBExt"/>
          <w:b w:val="0"/>
        </w:rPr>
        <w:t>&lt;RepeatBlock-By&gt;</w:t>
      </w:r>
      <w:r>
        <w:rPr>
          <w:rStyle w:val="HideTWBExt"/>
          <w:b w:val="0"/>
        </w:rPr>
        <w:t>&lt;Members&gt;</w:t>
      </w:r>
      <w:r>
        <w:t>Sérgio Gonçalves, Idoia Mendia, Nicolás González Casares, Thomas Bajada, André Rodrigues, Eric Sargiacomo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26.</w:t>
            </w:r>
            <w:r>
              <w:tab/>
            </w:r>
            <w:r>
              <w:rPr>
                <w:b/>
                <w:i/>
              </w:rPr>
              <w:t>verzoekt de Commissie een alomvattend en ambitieus plan voor de ontwikkeling van aquacultuur op te stellen, met inbegrip van de vaststelling van duidelijke groeidoelstellingen om strategische sturing te geven;</w:t>
            </w:r>
          </w:p>
        </w:tc>
        <w:tc>
          <w:tcPr>
            <w:tcW w:w="4876" w:type="dxa"/>
            <w:tcBorders>
              <w:top w:val="nil"/>
              <w:left w:val="nil"/>
              <w:bottom w:val="nil"/>
              <w:right w:val="nil"/>
            </w:tcBorders>
          </w:tcPr>
          <w:p>
            <w:pPr>
              <w:pStyle w:val="Normal6a"/>
            </w:pPr>
            <w:r>
              <w:rPr>
                <w:b/>
                <w:i/>
              </w:rPr>
              <w:t>Schrappen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388</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verzoekt de Commissie een alomvattend en ambitieus plan voor de ontwikkeling van aquacultuur op te stellen, </w:t>
            </w:r>
            <w:r>
              <w:rPr>
                <w:b/>
                <w:i/>
              </w:rPr>
              <w:t>met inbegrip</w:t>
            </w:r>
            <w:r>
              <w:t xml:space="preserve"> van de </w:t>
            </w:r>
            <w:r>
              <w:rPr>
                <w:b/>
                <w:i/>
              </w:rPr>
              <w:t>vaststelling van duidelijke groeidoelstellingen om strategische sturing te geven</w:t>
            </w:r>
            <w:r>
              <w:t>;</w:t>
            </w:r>
          </w:p>
        </w:tc>
        <w:tc>
          <w:tcPr>
            <w:tcW w:w="4876" w:type="dxa"/>
            <w:tcBorders>
              <w:top w:val="nil"/>
              <w:left w:val="nil"/>
              <w:bottom w:val="nil"/>
              <w:right w:val="nil"/>
            </w:tcBorders>
          </w:tcPr>
          <w:p>
            <w:pPr>
              <w:pStyle w:val="Normal6a"/>
            </w:pPr>
            <w:r>
              <w:t>26.</w:t>
            </w:r>
            <w:r>
              <w:tab/>
            </w:r>
            <w:r>
              <w:t>verzoekt de Commissie een alomvattend</w:t>
            </w:r>
            <w:r>
              <w:rPr>
                <w:b/>
                <w:i/>
              </w:rPr>
              <w:t>, duurzaam</w:t>
            </w:r>
            <w:r>
              <w:t xml:space="preserve"> en ambitieus plan voor de ontwikkeling van </w:t>
            </w:r>
            <w:r>
              <w:rPr>
                <w:b/>
                <w:i/>
              </w:rPr>
              <w:t>regeneratieve </w:t>
            </w:r>
            <w:r>
              <w:t xml:space="preserve">aquacultuur </w:t>
            </w:r>
            <w:r>
              <w:rPr>
                <w:b/>
                <w:i/>
              </w:rPr>
              <w:t>met een geringe impact</w:t>
            </w:r>
            <w:r>
              <w:t xml:space="preserve"> op te stellen, </w:t>
            </w:r>
            <w:r>
              <w:rPr>
                <w:b/>
                <w:i/>
              </w:rPr>
              <w:t>door milieu-, sociale en dierenwelzijnscriteria te ontwikkelen, de koolstofvoetafdruk</w:t>
            </w:r>
            <w:r>
              <w:t xml:space="preserve"> van de </w:t>
            </w:r>
            <w:r>
              <w:rPr>
                <w:b/>
                <w:i/>
              </w:rPr>
              <w:t>hele toeleveringsketen te beoordelen en regeneratieve en laagtrofische aquacultuuractiviteiten zoals de kweek van schaal- en schelpdiersoorten of algen te bevorderen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389</w:t>
      </w:r>
      <w:r>
        <w:rPr>
          <w:rStyle w:val="HideTWBExt"/>
        </w:rPr>
        <w:t>&lt;/NumAm&gt;</w:t>
      </w:r>
    </w:p>
    <w:p>
      <w:pPr>
        <w:pStyle w:val="NormalBold"/>
      </w:pPr>
      <w:r>
        <w:rPr>
          <w:rStyle w:val="HideTWBExt"/>
          <w:b w:val="0"/>
        </w:rPr>
        <w:t>&lt;RepeatBlock-By&gt;</w:t>
      </w:r>
      <w:r>
        <w:rPr>
          <w:rStyle w:val="HideTWBExt"/>
          <w:b w:val="0"/>
        </w:rPr>
        <w:t>&lt;Members&gt;</w:t>
      </w:r>
      <w:r>
        <w:t>Oihane Agirregoitia Martínez, Stéphanie Yon-Courtin, 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verzoekt de Commissie een alomvattend en ambitieus plan voor de ontwikkeling van aquacultuur op te stellen, met inbegrip van de vaststelling van duidelijke </w:t>
            </w:r>
            <w:r>
              <w:rPr>
                <w:b/>
                <w:i/>
              </w:rPr>
              <w:t>groeidoelstellingen om strategische sturing te geven</w:t>
            </w:r>
            <w:r>
              <w:t>;</w:t>
            </w:r>
          </w:p>
        </w:tc>
        <w:tc>
          <w:tcPr>
            <w:tcW w:w="4876" w:type="dxa"/>
            <w:tcBorders>
              <w:top w:val="nil"/>
              <w:left w:val="nil"/>
              <w:bottom w:val="nil"/>
              <w:right w:val="nil"/>
            </w:tcBorders>
          </w:tcPr>
          <w:p>
            <w:pPr>
              <w:pStyle w:val="Normal6a"/>
            </w:pPr>
            <w:r>
              <w:t>26.</w:t>
            </w:r>
            <w:r>
              <w:tab/>
            </w:r>
            <w:r>
              <w:t xml:space="preserve">verzoekt de Commissie een alomvattend en ambitieus plan voor de ontwikkeling van aquacultuur op te stellen </w:t>
            </w:r>
            <w:r>
              <w:rPr>
                <w:b/>
                <w:i/>
              </w:rPr>
              <w:t>met als doel het potentieel van de sector om bij te dragen aan de decarbonisatie van de EU-sector voor aquatische levensmiddelen aan te boren</w:t>
            </w:r>
            <w:r>
              <w:t xml:space="preserve">, met inbegrip van de vaststelling van duidelijke </w:t>
            </w:r>
            <w:r>
              <w:rPr>
                <w:b/>
                <w:i/>
              </w:rPr>
              <w:t>doelstellingen voor de verkleining van de koolstofvoetafdruk en doelstellingen voor de groei van de sector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390</w:t>
      </w:r>
      <w:r>
        <w:rPr>
          <w:rStyle w:val="HideTWBExt"/>
        </w:rPr>
        <w:t>&lt;/NumAm&gt;</w:t>
      </w:r>
    </w:p>
    <w:p>
      <w:pPr>
        <w:pStyle w:val="NormalBold"/>
      </w:pPr>
      <w:r>
        <w:rPr>
          <w:rStyle w:val="HideTWBExt"/>
          <w:b w:val="0"/>
        </w:rPr>
        <w:t>&lt;RepeatBlock-By&gt;</w:t>
      </w:r>
      <w:r>
        <w:rPr>
          <w:rStyle w:val="HideTWBExt"/>
          <w:b w:val="0"/>
        </w:rPr>
        <w:t>&lt;Members&gt;</w:t>
      </w:r>
      <w:r>
        <w:t>Francisco José Millán Mon, Gabriel Mato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verzoekt de Commissie een alomvattend en ambitieus plan voor de ontwikkeling van aquacultuur op te stellen, met inbegrip van de vaststelling van duidelijke groeidoelstellingen om strategische sturing te geven;</w:t>
            </w:r>
          </w:p>
        </w:tc>
        <w:tc>
          <w:tcPr>
            <w:tcW w:w="4876" w:type="dxa"/>
            <w:tcBorders>
              <w:top w:val="nil"/>
              <w:left w:val="nil"/>
              <w:bottom w:val="nil"/>
              <w:right w:val="nil"/>
            </w:tcBorders>
          </w:tcPr>
          <w:p>
            <w:pPr>
              <w:pStyle w:val="Normal6a"/>
            </w:pPr>
            <w:r>
              <w:t>26.</w:t>
            </w:r>
            <w:r>
              <w:tab/>
            </w:r>
            <w:r>
              <w:t>verzoekt de Commissie een alomvattend en ambitieus plan voor de ontwikkeling van aquacultuur op te stellen, met inbegrip van de vaststelling van duidelijke groeidoelstellingen om strategische sturing te geven</w:t>
            </w:r>
            <w:r>
              <w:rPr>
                <w:b/>
                <w:i/>
              </w:rPr>
              <w:t>, door middel van een gemeenschappelijk aquacultuurbeleid van de EU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Amendement</w:t>
      </w:r>
      <w:r>
        <w:tab/>
      </w:r>
      <w:r>
        <w:tab/>
      </w:r>
      <w:r>
        <w:rPr>
          <w:rStyle w:val="HideTWBExt"/>
        </w:rPr>
        <w:t>&lt;NumAm&gt;</w:t>
      </w:r>
      <w:r>
        <w:t>391</w:t>
      </w:r>
      <w:r>
        <w:rPr>
          <w:rStyle w:val="HideTWBExt"/>
        </w:rPr>
        <w:t>&lt;/NumAm&gt;</w:t>
      </w:r>
    </w:p>
    <w:p>
      <w:pPr>
        <w:pStyle w:val="NormalBold"/>
      </w:pPr>
      <w:r>
        <w:rPr>
          <w:rStyle w:val="HideTWBExt"/>
          <w:b w:val="0"/>
        </w:rPr>
        <w:t>&lt;RepeatBlock-By&gt;</w:t>
      </w:r>
      <w:r>
        <w:rPr>
          <w:rStyle w:val="HideTWBExt"/>
          <w:b w:val="0"/>
        </w:rPr>
        <w:t>&lt;Members&gt;</w:t>
      </w:r>
      <w:r>
        <w:t>Isabelle Le Callennec</w:t>
      </w:r>
      <w:r>
        <w:rPr>
          <w:rStyle w:val="HideTWBExt"/>
          <w:b w:val="0"/>
        </w:rPr>
        <w:t>&lt;/Members&gt;</w:t>
      </w:r>
    </w:p>
    <w:p>
      <w:pPr>
        <w:pStyle w:val="NormalBold"/>
      </w:pPr>
      <w:r>
        <w:rPr>
          <w:rStyle w:val="HideTWBExt"/>
          <w:b w:val="0"/>
        </w:rPr>
        <w:t>&lt;/RepeatBlock-By&gt;</w:t>
      </w:r>
    </w:p>
    <w:p>
      <w:pPr>
        <w:pStyle w:val="NormalBold"/>
      </w:pPr>
      <w:r>
        <w:rPr>
          <w:rStyle w:val="HideTWBExt"/>
        </w:rPr>
        <w:t>&lt;DocAmend&gt;</w:t>
      </w:r>
      <w:r>
        <w:t>Ontwerpresolutie</w:t>
      </w:r>
      <w:r>
        <w:rPr>
          <w:rStyle w:val="HideTWBExt"/>
        </w:rPr>
        <w:t>&lt;/DocAmend&gt;</w:t>
      </w:r>
    </w:p>
    <w:p>
      <w:pPr>
        <w:pStyle w:val="NormalBold"/>
      </w:pPr>
      <w:r>
        <w:rPr>
          <w:rStyle w:val="HideTWBExt"/>
        </w:rPr>
        <w:t>&lt;Article&gt;</w:t>
      </w:r>
      <w:r>
        <w:t>Paragraaf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Ontwerpresolutie</w:t>
            </w:r>
          </w:p>
        </w:tc>
        <w:tc>
          <w:tcPr>
            <w:tcW w:w="4876" w:type="dxa"/>
            <w:tcBorders>
              <w:top w:val="nil"/>
              <w:left w:val="nil"/>
              <w:bottom w:val="nil"/>
              <w:right w:val="nil"/>
            </w:tcBorders>
          </w:tcPr>
          <w:p>
            <w:pPr>
              <w:pStyle w:val="AmColumnHeading"/>
            </w:pPr>
            <w:r>
              <w:t>Amendement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verzoekt de Commissie een alomvattend en ambitieus plan voor de ontwikkeling van aquacultuur op te stellen, met inbegrip van de vaststelling van duidelijke groeidoelstellingen om strategische sturing te geven;</w:t>
            </w:r>
          </w:p>
        </w:tc>
        <w:tc>
          <w:tcPr>
            <w:tcW w:w="4876" w:type="dxa"/>
            <w:tcBorders>
              <w:top w:val="nil"/>
              <w:left w:val="nil"/>
              <w:bottom w:val="nil"/>
              <w:right w:val="nil"/>
            </w:tcBorders>
          </w:tcPr>
          <w:p>
            <w:pPr>
              <w:pStyle w:val="Normal6a"/>
            </w:pPr>
            <w:r>
              <w:t>26.</w:t>
            </w:r>
            <w:r>
              <w:tab/>
            </w:r>
            <w:r>
              <w:t xml:space="preserve">verzoekt de Commissie een alomvattend en ambitieus plan voor de ontwikkeling van aquacultuur </w:t>
            </w:r>
            <w:r>
              <w:rPr>
                <w:b/>
                <w:i/>
              </w:rPr>
              <w:t>op zee of op land</w:t>
            </w:r>
            <w:r>
              <w:t xml:space="preserve"> op te stellen, met inbegrip van de vaststelling van duidelijke groeidoelstellingen om strategische sturing te geven;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773.315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186</w:t>
    </w:r>
    <w:r>
      <w:fldChar w:fldCharType="end"/>
    </w:r>
    <w:r>
      <w:t>/</w:t>
    </w:r>
    <w:r>
      <w:fldChar w:fldCharType="begin"/>
    </w:r>
    <w:r>
      <w:instrText xml:space="preserve"> NUMPAGES </w:instrText>
    </w:r>
    <w:r>
      <w:fldChar w:fldCharType="separate"/>
    </w:r>
    <w:r>
      <w:t>187</w:t>
    </w:r>
    <w:r>
      <w:fldChar w:fldCharType="end"/>
    </w:r>
    <w:r>
      <w:tab/>
    </w:r>
    <w:r>
      <w:rPr>
        <w:rStyle w:val="HideTWBExt"/>
      </w:rPr>
      <w:t>&lt;PathFdR&gt;</w:t>
    </w:r>
    <w:r>
      <w:t>AM\1321109NL.docx</w:t>
    </w:r>
    <w:r>
      <w:rPr>
        <w:rStyle w:val="HideTWBExt"/>
      </w:rPr>
      <w:t>&lt;/PathFdR&gt;</w:t>
    </w:r>
  </w:p>
  <w:p>
    <w:pPr>
      <w:pStyle w:val="EPFooter2"/>
    </w:pPr>
    <w:r>
      <w:t>NL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AM\1321109NL.docx</w:t>
    </w:r>
    <w:r>
      <w:rPr>
        <w:rStyle w:val="HideTWBExt"/>
      </w:rPr>
      <w:t>&lt;/PathFdR&gt;</w:t>
    </w:r>
    <w:r>
      <w:tab/>
    </w:r>
    <w:r>
      <w:fldChar w:fldCharType="begin"/>
    </w:r>
    <w:r>
      <w:instrText xml:space="preserve"> PAGE </w:instrText>
    </w:r>
    <w:r>
      <w:fldChar w:fldCharType="separate"/>
    </w:r>
    <w:r>
      <w:t>187</w:t>
    </w:r>
    <w:r>
      <w:fldChar w:fldCharType="end"/>
    </w:r>
    <w:r>
      <w:t>/</w:t>
    </w:r>
    <w:r>
      <w:fldChar w:fldCharType="begin"/>
    </w:r>
    <w:r>
      <w:instrText xml:space="preserve"> NUMPAGES </w:instrText>
    </w:r>
    <w:r>
      <w:fldChar w:fldCharType="separate"/>
    </w:r>
    <w:r>
      <w:t>187</w:t>
    </w:r>
    <w:r>
      <w:fldChar w:fldCharType="end"/>
    </w:r>
    <w:r>
      <w:tab/>
    </w:r>
    <w:r>
      <w:t>PE</w:t>
    </w:r>
    <w:r>
      <w:rPr>
        <w:rStyle w:val="HideTWBExt"/>
      </w:rPr>
      <w:t>&lt;NoPE&gt;</w:t>
    </w:r>
    <w:r>
      <w:t>773.315</w:t>
    </w:r>
    <w:r>
      <w:rPr>
        <w:rStyle w:val="HideTWBExt"/>
      </w:rPr>
      <w:t>&lt;/NoPE&gt;</w:t>
    </w:r>
    <w:r>
      <w:rPr>
        <w:rStyle w:val="HideTWBExt"/>
      </w:rPr>
      <w:t>&lt;Version&gt;</w:t>
    </w:r>
    <w:r>
      <w:t>v01-00</w:t>
    </w:r>
    <w:r>
      <w:rPr>
        <w:rStyle w:val="HideTWBExt"/>
      </w:rPr>
      <w:t>&lt;/Version&gt;</w:t>
    </w:r>
  </w:p>
  <w:p>
    <w:pPr>
      <w:pStyle w:val="EPFooter2"/>
    </w:pPr>
    <w:r>
      <w:tab/>
    </w:r>
    <w:r>
      <w:tab/>
    </w:r>
    <w:r>
      <w:t>NL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AM\1321109NL.docx</w:t>
    </w:r>
    <w:r>
      <w:rPr>
        <w:rStyle w:val="HideTWBExt"/>
      </w:rPr>
      <w:t>&lt;/PathFdR&gt;</w:t>
    </w:r>
    <w:r>
      <w:tab/>
    </w:r>
    <w:r>
      <w:tab/>
    </w:r>
    <w:r>
      <w:t>PE</w:t>
    </w:r>
    <w:r>
      <w:rPr>
        <w:rStyle w:val="HideTWBExt"/>
      </w:rPr>
      <w:t>&lt;NoPE&gt;</w:t>
    </w:r>
    <w:r>
      <w:t>773.315</w:t>
    </w:r>
    <w:r>
      <w:rPr>
        <w:rStyle w:val="HideTWBExt"/>
      </w:rPr>
      <w:t>&lt;/NoPE&gt;</w:t>
    </w:r>
    <w:r>
      <w:rPr>
        <w:rStyle w:val="HideTWBExt"/>
      </w:rPr>
      <w:t>&lt;Version&gt;</w:t>
    </w:r>
    <w:r>
      <w:t>v01-00</w:t>
    </w:r>
    <w:r>
      <w:rPr>
        <w:rStyle w:val="HideTWBExt"/>
      </w:rPr>
      <w:t>&lt;/Version&gt;</w:t>
    </w:r>
  </w:p>
  <w:p>
    <w:pPr>
      <w:pStyle w:val="EPFooter2"/>
    </w:pPr>
    <w:r>
      <w:t>NL</w:t>
    </w:r>
    <w:r>
      <w:tab/>
    </w:r>
    <w:r>
      <w:rPr>
        <w:rStyle w:val="EPFooter2Motto"/>
      </w:rPr>
      <w:t>In verscheidenheid verenigd</w:t>
    </w:r>
    <w:r>
      <w:tab/>
    </w:r>
    <w:r>
      <w:t>NL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Logo">
    <w:name w:val="EPLogo"/>
    <w:basedOn w:val="Normal"/>
    <w:pPr>
      <w:widowControl w:val="0"/>
      <w:jc w:val="right"/>
    </w:pPr>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187</Pages>
  <Words>33505</Words>
  <Characters>212649</Characters>
  <Application>Microsoft Office Word</Application>
  <DocSecurity>0</DocSecurity>
  <Lines>1</Lines>
  <Paragraphs>3387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1321109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202497</vt:lpwstr>
  </property>
  <property fmtid="{D5CDD505-2E9C-101B-9397-08002B2CF9AE}" pid="7" name="dmxml.render.traceId">
    <vt:lpwstr>685c1515d4262c7d6d3f99eb85ee3440</vt:lpwstr>
  </property>
  <property fmtid="{D5CDD505-2E9C-101B-9397-08002B2CF9AE}" pid="8" name="FooterPath">
    <vt:lpwstr>AM\1321109NL.docx</vt:lpwstr>
  </property>
  <property fmtid="{D5CDD505-2E9C-101B-9397-08002B2CF9AE}" pid="9" name="PE Number">
    <vt:lpwstr>773.315</vt:lpwstr>
  </property>
  <property fmtid="{D5CDD505-2E9C-101B-9397-08002B2CF9AE}" pid="10" name="UID">
    <vt:lpwstr>eu.europa.europarl-DIN1-2025-0000118955_01.00-nl-01.00_text-xml</vt:lpwstr>
  </property>
</Properties>
</file>