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Fischereiausschuss</w:t>
      </w:r>
      <w:r>
        <w:rPr>
          <w:rStyle w:val="HideTWBExt"/>
        </w:rPr>
        <w:t>&lt;/Commission&gt;</w:t>
      </w:r>
    </w:p>
    <w:p>
      <w:pPr>
        <w:pStyle w:val="LineBottom"/>
      </w:pPr>
      <w:r>
        <w:t xml:space="preserve"> </w:t>
      </w:r>
    </w:p>
    <w:p>
      <w:pPr>
        <w:pStyle w:val="CoverReference"/>
      </w:pPr>
      <w:r>
        <w:rPr>
          <w:rStyle w:val="HideTWBExt"/>
        </w:rPr>
        <w:t>&lt;RefProc&gt;</w:t>
      </w:r>
      <w:r>
        <w:t>2024/2127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{19/11/2025}</w:t>
      </w:r>
      <w:r>
        <w:t>19.11.2025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216</w:t>
      </w:r>
      <w:r>
        <w:t xml:space="preserve"> - </w:t>
      </w:r>
      <w:r>
        <w:t>417</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Isabella Lövin</w:t>
      </w:r>
      <w:r>
        <w:rPr>
          <w:rStyle w:val="HideTWBExt"/>
        </w:rPr>
        <w:t>&lt;/Rapporteur&gt;</w:t>
      </w:r>
    </w:p>
    <w:p>
      <w:pPr>
        <w:pStyle w:val="CoverNormal24a"/>
      </w:pPr>
      <w:r>
        <w:rPr>
          <w:rStyle w:val="HideTWBExt"/>
        </w:rPr>
        <w:t>&lt;DocRefPE&gt;</w:t>
      </w:r>
      <w:r>
        <w:t>(PE778.399v01-00)</w:t>
      </w:r>
      <w:r>
        <w:rPr>
          <w:rStyle w:val="HideTWBExt"/>
        </w:rPr>
        <w:t>&lt;/DocRefPE&gt;</w:t>
      </w:r>
    </w:p>
    <w:p>
      <w:pPr>
        <w:pStyle w:val="CoverNormal"/>
      </w:pPr>
      <w:r>
        <w:rPr>
          <w:rStyle w:val="HideTWBExt"/>
        </w:rPr>
        <w:t>&lt;Titre&gt;</w:t>
      </w:r>
      <w:r>
        <w:t>Der Mehrjahresplan für die Ostsee und künftiges Vorgehen</w:t>
      </w:r>
      <w:r>
        <w:rPr>
          <w:rStyle w:val="HideTWBExt"/>
        </w:rPr>
        <w:t>&lt;/Titre&gt;</w:t>
      </w:r>
    </w:p>
    <w:p>
      <w:pPr>
        <w:pStyle w:val="CoverNormal24a"/>
      </w:pPr>
      <w:r>
        <w:rPr>
          <w:rStyle w:val="HideTWBExt"/>
        </w:rPr>
        <w:t>&lt;DocRef&gt;</w:t>
      </w:r>
      <w:r>
        <w:t>(2024/2127(INI))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fordert die dringende Einführung von Vorsorgepuffern als Reaktion auf die jüngste, wiederholte und strukturelle Überschätzung der Bestandsgröße und -produktivität der meisten Fischarten in der Ostsee, die zu jahrelanger unentdeckter Überfischung geführt hat;</w:t>
            </w:r>
            <w:r>
              <w:t xml:space="preserve"> </w:t>
            </w:r>
            <w:r>
              <w:rPr>
                <w:b/>
                <w:i/>
              </w:rPr>
              <w:t>fordert den Rat nachdrücklich auf, die zulässigen Gesamtfangmengen für alle Bestände, die unter die in dem Mehrjahresplan für die Ostsee festgelegten Grenzwerte fallen, mindestens 50 % unter dem Wert für die fischereiliche Sterblichkeit, die mit dem Ziel des höchstmöglichen Dauerertrags (F</w:t>
            </w:r>
            <w:r>
              <w:rPr>
                <w:b/>
                <w:i/>
                <w:vertAlign w:val="subscript"/>
              </w:rPr>
              <w:t>MSY</w:t>
            </w:r>
            <w:r>
              <w:rPr>
                <w:b/>
                <w:i/>
              </w:rPr>
              <w:t>) vereinbar ist, festzusetzen;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fordert die dringende Einführung von Vorsorgepuffern als Reaktion auf die jüngste, wiederholte und strukturelle Überschätzung der Bestandsgröße und -produktivität der meisten Fischarten in der Ostsee, die zu jahrelanger unentdeckter Überfischung geführt hat;</w:t>
            </w:r>
            <w:r>
              <w:t xml:space="preserve"> fordert den Rat nachdrücklich auf, die zulässigen Gesamtfangmengen für alle Bestände, die unter die in dem Mehrjahresplan für die Ostsee festgelegten Grenzwerte fallen, </w:t>
            </w:r>
            <w:r>
              <w:rPr>
                <w:b/>
                <w:i/>
              </w:rPr>
              <w:t>mindestens 50 % unter dem Wert für die fischereiliche Sterblichkeit, die mit dem Ziel des höchstmöglichen Dauerertrags (F</w:t>
            </w:r>
            <w:r>
              <w:rPr>
                <w:b/>
                <w:i/>
                <w:vertAlign w:val="subscript"/>
              </w:rPr>
              <w:t>MSY</w:t>
            </w:r>
            <w:r>
              <w:rPr>
                <w:b/>
                <w:i/>
              </w:rPr>
              <w:t>) vereinbar ist,</w:t>
            </w:r>
            <w:r>
              <w:t xml:space="preserve"> festzusetzen;</w:t>
            </w:r>
          </w:p>
        </w:tc>
        <w:tc>
          <w:tcPr>
            <w:tcW w:w="4876" w:type="dxa"/>
            <w:tcBorders>
              <w:top w:val="nil"/>
              <w:left w:val="nil"/>
              <w:bottom w:val="nil"/>
              <w:right w:val="nil"/>
            </w:tcBorders>
          </w:tcPr>
          <w:p>
            <w:pPr>
              <w:pStyle w:val="Normal6a"/>
            </w:pPr>
            <w:r>
              <w:t>3.</w:t>
            </w:r>
            <w:r>
              <w:tab/>
            </w:r>
            <w:r>
              <w:t xml:space="preserve">fordert den Rat nachdrücklich auf, die zulässigen Gesamtfangmengen für alle Bestände, die </w:t>
            </w:r>
            <w:r>
              <w:rPr>
                <w:b/>
                <w:i/>
              </w:rPr>
              <w:t>kurz davor stehen,</w:t>
            </w:r>
            <w:r>
              <w:t xml:space="preserve"> unter die in dem Mehrjahresplan für die Ostsee festgelegten Grenzwerte </w:t>
            </w:r>
            <w:r>
              <w:rPr>
                <w:b/>
                <w:i/>
              </w:rPr>
              <w:t>zu</w:t>
            </w:r>
            <w:r>
              <w:t xml:space="preserve"> fallen, </w:t>
            </w:r>
            <w:r>
              <w:rPr>
                <w:b/>
                <w:i/>
              </w:rPr>
              <w:t>auf die untere Spanne von F</w:t>
            </w:r>
            <w:r>
              <w:rPr>
                <w:b/>
                <w:i/>
                <w:vertAlign w:val="subscript"/>
              </w:rPr>
              <w:t>MSY</w:t>
            </w:r>
            <w:r>
              <w:t xml:space="preserve"> festzusetzen;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die dringende Einführung von Vorsorgepuffern als Reaktion auf die jüngste, wiederholte und strukturelle Überschätzung der Bestandsgröße und -produktivität der meisten Fischarten in der Ostsee, die zu </w:t>
            </w:r>
            <w:r>
              <w:rPr>
                <w:b/>
                <w:i/>
              </w:rPr>
              <w:t>jahrelanger unentdeckter</w:t>
            </w:r>
            <w:r>
              <w:t xml:space="preserve"> Überfischung </w:t>
            </w:r>
            <w:r>
              <w:rPr>
                <w:b/>
                <w:i/>
              </w:rPr>
              <w:t>geführt hat</w:t>
            </w:r>
            <w:r>
              <w:t xml:space="preserve">; fordert </w:t>
            </w:r>
            <w:r>
              <w:rPr>
                <w:b/>
                <w:i/>
              </w:rPr>
              <w:t>den Rat</w:t>
            </w:r>
            <w:r>
              <w:t xml:space="preserve"> nachdrücklich auf, </w:t>
            </w:r>
            <w:r>
              <w:rPr>
                <w:b/>
                <w:i/>
              </w:rPr>
              <w:t>die zulässigen</w:t>
            </w:r>
            <w:r>
              <w:t xml:space="preserve"> Gesamtfangmengen für alle Bestände, die unter die in dem Mehrjahresplan für die Ostsee festgelegten Grenzwerte fallen, mindestens 50 % unter dem Wert für die fischereiliche Sterblichkeit, die mit dem Ziel des höchstmöglichen Dauerertrags (F</w:t>
            </w:r>
            <w:r>
              <w:rPr>
                <w:vertAlign w:val="subscript"/>
              </w:rPr>
              <w:t>MSY</w:t>
            </w:r>
            <w:r>
              <w:t>) vereinbar ist, festzusetzen;</w:t>
            </w:r>
          </w:p>
        </w:tc>
        <w:tc>
          <w:tcPr>
            <w:tcW w:w="4876" w:type="dxa"/>
            <w:tcBorders>
              <w:top w:val="nil"/>
              <w:left w:val="nil"/>
              <w:bottom w:val="nil"/>
              <w:right w:val="nil"/>
            </w:tcBorders>
          </w:tcPr>
          <w:p>
            <w:pPr>
              <w:pStyle w:val="Normal6a"/>
            </w:pPr>
            <w:r>
              <w:t>3.</w:t>
            </w:r>
            <w:r>
              <w:tab/>
            </w:r>
            <w:r>
              <w:t>fordert die dringende Einführung von Vorsorgepuffern als Reaktion auf die jüngste, wiederholte und strukturelle Überschätzung der Bestandsgröße und -produktivität der meisten Fischarten in der Ostsee</w:t>
            </w:r>
            <w:r>
              <w:rPr>
                <w:b/>
                <w:i/>
              </w:rPr>
              <w:t> – eine Überschätzung</w:t>
            </w:r>
            <w:r>
              <w:t xml:space="preserve">, die zu </w:t>
            </w:r>
            <w:r>
              <w:rPr>
                <w:b/>
                <w:i/>
              </w:rPr>
              <w:t>auf übertriebenem Optimismus beruhenden Entscheidungen in Bezug auf die zulässige Gesamtfangmenge geführt hat, was in der Praxis eine</w:t>
            </w:r>
            <w:r>
              <w:t xml:space="preserve"> Überfischung </w:t>
            </w:r>
            <w:r>
              <w:rPr>
                <w:b/>
                <w:i/>
              </w:rPr>
              <w:t>zur Folge hatte</w:t>
            </w:r>
            <w:r>
              <w:t xml:space="preserve">; fordert </w:t>
            </w:r>
            <w:r>
              <w:rPr>
                <w:b/>
                <w:i/>
              </w:rPr>
              <w:t>in diesem Zusammenhang die Kommission</w:t>
            </w:r>
            <w:r>
              <w:t xml:space="preserve"> nachdrücklich auf, </w:t>
            </w:r>
            <w:r>
              <w:rPr>
                <w:b/>
                <w:i/>
              </w:rPr>
              <w:t>als Vorsorgepuffer zulässige</w:t>
            </w:r>
            <w:r>
              <w:t xml:space="preserve"> Gesamtfangmengen für alle Bestände, die unter die in dem Mehrjahresplan für die Ostsee festgelegten Grenzwerte fallen, mindestens 50 % unter dem Wert für die fischereiliche Sterblichkeit, die mit dem Ziel des höchstmöglichen Dauerertrags (F</w:t>
            </w:r>
            <w:r>
              <w:rPr>
                <w:vertAlign w:val="subscript"/>
              </w:rPr>
              <w:t>MSY</w:t>
            </w:r>
            <w:r>
              <w:t xml:space="preserve">) vereinbar ist, </w:t>
            </w:r>
            <w:r>
              <w:rPr>
                <w:b/>
                <w:i/>
              </w:rPr>
              <w:t>vorzuschlagen, und fordert den Rat nachdrücklich auf, diese</w:t>
            </w:r>
            <w:r>
              <w:t xml:space="preserve"> festzusetzen;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w:t>
            </w:r>
            <w:r>
              <w:rPr>
                <w:b/>
                <w:i/>
              </w:rPr>
              <w:t>die dringende Einführung von Vorsorgepuffern als Reaktion auf die jüngste, wiederholte und strukturelle</w:t>
            </w:r>
            <w:r>
              <w:t xml:space="preserve"> Überschätzung der Bestandsgröße und -produktivität </w:t>
            </w:r>
            <w:r>
              <w:rPr>
                <w:b/>
                <w:i/>
              </w:rPr>
              <w:t>der meisten Fischarten in der Ostsee, die zu jahrelanger unentdeckter Überfischung geführt</w:t>
            </w:r>
            <w:r>
              <w:t xml:space="preserve"> hat; fordert den Rat </w:t>
            </w:r>
            <w:r>
              <w:rPr>
                <w:b/>
                <w:i/>
              </w:rPr>
              <w:t>nachdrücklich</w:t>
            </w:r>
            <w:r>
              <w:t xml:space="preserve"> auf, die zulässigen Gesamtfangmengen </w:t>
            </w:r>
            <w:r>
              <w:rPr>
                <w:b/>
                <w:i/>
              </w:rPr>
              <w:t>für alle Bestände, die unter die in dem Mehrjahresplan für die Ostsee festgelegten Grenzwerte fallen, mindestens 50 % unter dem Wert für die fischereiliche Sterblichkeit, die mit dem Ziel des</w:t>
            </w:r>
            <w:r>
              <w:t xml:space="preserve"> höchstmöglichen </w:t>
            </w:r>
            <w:r>
              <w:rPr>
                <w:b/>
                <w:i/>
              </w:rPr>
              <w:t>Dauerertrags (F</w:t>
            </w:r>
            <w:r>
              <w:rPr>
                <w:b/>
                <w:i/>
                <w:vertAlign w:val="subscript"/>
              </w:rPr>
              <w:t>MSY</w:t>
            </w:r>
            <w:r>
              <w:rPr>
                <w:b/>
                <w:i/>
              </w:rPr>
              <w:t>) vereinbar ist,</w:t>
            </w:r>
            <w:r>
              <w:t xml:space="preserve"> festzusetzen;</w:t>
            </w:r>
          </w:p>
        </w:tc>
        <w:tc>
          <w:tcPr>
            <w:tcW w:w="4876" w:type="dxa"/>
            <w:tcBorders>
              <w:top w:val="nil"/>
              <w:left w:val="nil"/>
              <w:bottom w:val="nil"/>
              <w:right w:val="nil"/>
            </w:tcBorders>
          </w:tcPr>
          <w:p>
            <w:pPr>
              <w:pStyle w:val="Normal6a"/>
            </w:pPr>
            <w:r>
              <w:t>3.</w:t>
            </w:r>
            <w:r>
              <w:tab/>
            </w:r>
            <w:r>
              <w:t xml:space="preserve">fordert </w:t>
            </w:r>
            <w:r>
              <w:rPr>
                <w:b/>
                <w:i/>
              </w:rPr>
              <w:t>genauere wissenschaftliche Gutachten, um eine</w:t>
            </w:r>
            <w:r>
              <w:t xml:space="preserve"> Überschätzung der Bestandsgröße und -produktivität </w:t>
            </w:r>
            <w:r>
              <w:rPr>
                <w:b/>
                <w:i/>
              </w:rPr>
              <w:t>zu vermeiden, was unverhältnismäßige Fangbeschränkungen und Unsicherheit bei Unternehmen zur Folge</w:t>
            </w:r>
            <w:r>
              <w:t xml:space="preserve"> hat; fordert den Rat auf, die zulässigen Gesamtfangmengen </w:t>
            </w:r>
            <w:r>
              <w:rPr>
                <w:b/>
                <w:i/>
              </w:rPr>
              <w:t>auf dem Niveau der</w:t>
            </w:r>
            <w:r>
              <w:t xml:space="preserve"> höchstmöglichen </w:t>
            </w:r>
            <w:r>
              <w:rPr>
                <w:b/>
                <w:i/>
              </w:rPr>
              <w:t>Dauererträge</w:t>
            </w:r>
            <w:r>
              <w:t xml:space="preserve"> festzusetzen;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w:t>
            </w:r>
            <w:r>
              <w:rPr>
                <w:b/>
                <w:i/>
              </w:rPr>
              <w:t>die dringende Einführung von Vorsorgepuffern als Reaktion auf die jüngste, wiederholte und strukturelle</w:t>
            </w:r>
            <w:r>
              <w:t xml:space="preserve"> Überschätzung der </w:t>
            </w:r>
            <w:r>
              <w:rPr>
                <w:b/>
                <w:i/>
              </w:rPr>
              <w:t>Bestandsgröße und -</w:t>
            </w:r>
            <w:r>
              <w:t xml:space="preserve">produktivität der </w:t>
            </w:r>
            <w:r>
              <w:rPr>
                <w:b/>
                <w:i/>
              </w:rPr>
              <w:t>meisten Fischarten</w:t>
            </w:r>
            <w:r>
              <w:t xml:space="preserve"> in der Ostsee</w:t>
            </w:r>
            <w:r>
              <w:rPr>
                <w:b/>
                <w:i/>
              </w:rPr>
              <w:t>, die zu jahrelanger unentdeckter Überfischung geführt hat</w:t>
            </w:r>
            <w:r>
              <w:t xml:space="preserve">; fordert den Rat </w:t>
            </w:r>
            <w:r>
              <w:rPr>
                <w:b/>
                <w:i/>
              </w:rPr>
              <w:t>nachdrücklich</w:t>
            </w:r>
            <w:r>
              <w:t xml:space="preserve"> auf, die zulässigen Gesamtfangmengen </w:t>
            </w:r>
            <w:r>
              <w:rPr>
                <w:b/>
                <w:i/>
              </w:rPr>
              <w:t>für alle Bestände, die unter die in dem Mehrjahresplan für die Ostsee festgelegten Grenzwerte fallen, mindestens 50 % unter dem Wert für die fischereiliche Sterblichkeit, die mit dem Ziel des</w:t>
            </w:r>
            <w:r>
              <w:t xml:space="preserve"> höchstmöglichen </w:t>
            </w:r>
            <w:r>
              <w:rPr>
                <w:b/>
                <w:i/>
              </w:rPr>
              <w:t>Dauerertrags (F</w:t>
            </w:r>
            <w:r>
              <w:rPr>
                <w:b/>
                <w:i/>
                <w:vertAlign w:val="subscript"/>
              </w:rPr>
              <w:t>MSY</w:t>
            </w:r>
            <w:r>
              <w:rPr>
                <w:b/>
                <w:i/>
              </w:rPr>
              <w:t>) vereinbar ist,</w:t>
            </w:r>
            <w:r>
              <w:t xml:space="preserve"> festzusetzen;</w:t>
            </w:r>
          </w:p>
        </w:tc>
        <w:tc>
          <w:tcPr>
            <w:tcW w:w="4876" w:type="dxa"/>
            <w:tcBorders>
              <w:top w:val="nil"/>
              <w:left w:val="nil"/>
              <w:bottom w:val="nil"/>
              <w:right w:val="nil"/>
            </w:tcBorders>
          </w:tcPr>
          <w:p>
            <w:pPr>
              <w:pStyle w:val="Normal6a"/>
            </w:pPr>
            <w:r>
              <w:t>3.</w:t>
            </w:r>
            <w:r>
              <w:tab/>
            </w:r>
            <w:r>
              <w:t xml:space="preserve">fordert </w:t>
            </w:r>
            <w:r>
              <w:rPr>
                <w:b/>
                <w:i/>
              </w:rPr>
              <w:t>genauere wissenschaftliche Gutachten, um eine</w:t>
            </w:r>
            <w:r>
              <w:t xml:space="preserve"> Überschätzung der </w:t>
            </w:r>
            <w:r>
              <w:rPr>
                <w:b/>
                <w:i/>
              </w:rPr>
              <w:t>Größe und</w:t>
            </w:r>
            <w:r>
              <w:t xml:space="preserve"> Produktivität der </w:t>
            </w:r>
            <w:r>
              <w:rPr>
                <w:b/>
                <w:i/>
              </w:rPr>
              <w:t>Fischbestände</w:t>
            </w:r>
            <w:r>
              <w:t xml:space="preserve"> in der Ostsee </w:t>
            </w:r>
            <w:r>
              <w:rPr>
                <w:b/>
                <w:i/>
              </w:rPr>
              <w:t>zu vermeiden</w:t>
            </w:r>
            <w:r>
              <w:t xml:space="preserve">; fordert den Rat auf, die zulässigen Gesamtfangmengen </w:t>
            </w:r>
            <w:r>
              <w:rPr>
                <w:b/>
                <w:i/>
              </w:rPr>
              <w:t>auf dem Niveau der</w:t>
            </w:r>
            <w:r>
              <w:t xml:space="preserve"> höchstmöglichen </w:t>
            </w:r>
            <w:r>
              <w:rPr>
                <w:b/>
                <w:i/>
              </w:rPr>
              <w:t>Dauererträge</w:t>
            </w:r>
            <w:r>
              <w:t xml:space="preserve"> festzusetzen </w:t>
            </w:r>
            <w:r>
              <w:rPr>
                <w:b/>
                <w:i/>
              </w:rPr>
              <w:t>und dabei umfassend sozioökonomische Erwägungen zu berücksichtigen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fordert die dringende Einführung von Vorsorgepuffern als Reaktion auf die jüngste, wiederholte und strukturelle Überschätzung der Bestandsgröße und -produktivität der meisten Fischarten in der Ostsee, die zu jahrelanger unentdeckter Überfischung geführt hat; fordert den Rat nachdrücklich auf, die zulässigen Gesamtfangmengen für alle Bestände</w:t>
            </w:r>
            <w:r>
              <w:rPr>
                <w:b/>
                <w:i/>
              </w:rPr>
              <w:t>, die unter die in dem Mehrjahresplan für die Ostsee festgelegten Grenzwerte fallen, mindestens</w:t>
            </w:r>
            <w:r>
              <w:t xml:space="preserve"> 50 % unter </w:t>
            </w:r>
            <w:r>
              <w:rPr>
                <w:b/>
                <w:i/>
              </w:rPr>
              <w:t>dem Wert für die fischereiliche Sterblichkeit, die mit dem Ziel des höchstmöglichen Dauerertrags (F</w:t>
            </w:r>
            <w:r>
              <w:rPr>
                <w:b/>
                <w:i/>
                <w:vertAlign w:val="subscript"/>
              </w:rPr>
              <w:t>MSY</w:t>
            </w:r>
            <w:r>
              <w:rPr>
                <w:b/>
                <w:i/>
              </w:rPr>
              <w:t>) vereinbar ist, festzusetzen</w:t>
            </w:r>
            <w:r>
              <w:t>;</w:t>
            </w:r>
          </w:p>
        </w:tc>
        <w:tc>
          <w:tcPr>
            <w:tcW w:w="4876" w:type="dxa"/>
            <w:tcBorders>
              <w:top w:val="nil"/>
              <w:left w:val="nil"/>
              <w:bottom w:val="nil"/>
              <w:right w:val="nil"/>
            </w:tcBorders>
          </w:tcPr>
          <w:p>
            <w:pPr>
              <w:pStyle w:val="Normal6a"/>
            </w:pPr>
            <w:r>
              <w:t>3.</w:t>
            </w:r>
            <w:r>
              <w:tab/>
            </w:r>
            <w:r>
              <w:t xml:space="preserve">fordert die dringende Einführung von Vorsorgepuffern als Reaktion auf die jüngste, wiederholte und strukturelle Überschätzung der Bestandsgröße und -produktivität der meisten Fischarten in der Ostsee, die zu jahrelanger unentdeckter Überfischung geführt hat; fordert den Rat nachdrücklich auf, die zulässigen Gesamtfangmengen </w:t>
            </w:r>
            <w:r>
              <w:rPr>
                <w:b/>
                <w:i/>
              </w:rPr>
              <w:t>auf der Grundlage der besten verfügbaren wissenschaftlichen Gutachten festzusetzen, wodurch Nachhaltigkeit sichergestellt wird und gleichzeitig die sozioökonomische Tragfähigkeit erhalten bleibt, und Anpassungsmaßnahmen festzulegen, anstatt</w:t>
            </w:r>
            <w:r>
              <w:t xml:space="preserve"> für alle Bestände </w:t>
            </w:r>
            <w:r>
              <w:rPr>
                <w:b/>
                <w:i/>
              </w:rPr>
              <w:t>eine einheitlichen Senkung um</w:t>
            </w:r>
            <w:r>
              <w:t xml:space="preserve"> 50 % unter </w:t>
            </w:r>
            <w:r>
              <w:rPr>
                <w:b/>
                <w:i/>
              </w:rPr>
              <w:t>F</w:t>
            </w:r>
            <w:r>
              <w:rPr>
                <w:b/>
                <w:i/>
                <w:vertAlign w:val="subscript"/>
              </w:rPr>
              <w:t>MSY</w:t>
            </w:r>
            <w:r>
              <w:t xml:space="preserve"> </w:t>
            </w:r>
            <w:r>
              <w:rPr>
                <w:b/>
                <w:i/>
              </w:rPr>
              <w:t>vorzuschreiben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w:t>
            </w:r>
            <w:r>
              <w:rPr>
                <w:b/>
                <w:i/>
              </w:rPr>
              <w:t>die dringende Einführung von Vorsorgepuffern als Reaktion auf die jüngste, wiederholte und strukturelle</w:t>
            </w:r>
            <w:r>
              <w:t xml:space="preserve"> Überschätzung der Bestandsgröße und -produktivität </w:t>
            </w:r>
            <w:r>
              <w:rPr>
                <w:b/>
                <w:i/>
              </w:rPr>
              <w:t>der meisten Fischarten in der Ostsee, die zu jahrelanger unentdeckter Überfischung geführt</w:t>
            </w:r>
            <w:r>
              <w:t xml:space="preserve"> hat; fordert den Rat </w:t>
            </w:r>
            <w:r>
              <w:rPr>
                <w:b/>
                <w:i/>
              </w:rPr>
              <w:t>nachdrücklich</w:t>
            </w:r>
            <w:r>
              <w:t xml:space="preserve"> auf, die zulässigen Gesamtfangmengen </w:t>
            </w:r>
            <w:r>
              <w:rPr>
                <w:b/>
                <w:i/>
              </w:rPr>
              <w:t>für alle Bestände, die unter die in dem Mehrjahresplan für die Ostsee festgelegten Grenzwerte fallen, mindestens 50 % unter dem Wert für die fischereiliche Sterblichkeit, die mit dem Ziel des</w:t>
            </w:r>
            <w:r>
              <w:t xml:space="preserve"> höchstmöglichen </w:t>
            </w:r>
            <w:r>
              <w:rPr>
                <w:b/>
                <w:i/>
              </w:rPr>
              <w:t>Dauerertrags (F</w:t>
            </w:r>
            <w:r>
              <w:rPr>
                <w:b/>
                <w:i/>
                <w:vertAlign w:val="subscript"/>
              </w:rPr>
              <w:t>MSY</w:t>
            </w:r>
            <w:r>
              <w:rPr>
                <w:b/>
                <w:i/>
              </w:rPr>
              <w:t>) vereinbar ist,</w:t>
            </w:r>
            <w:r>
              <w:t xml:space="preserve"> festzusetzen;</w:t>
            </w:r>
          </w:p>
        </w:tc>
        <w:tc>
          <w:tcPr>
            <w:tcW w:w="4876" w:type="dxa"/>
            <w:tcBorders>
              <w:top w:val="nil"/>
              <w:left w:val="nil"/>
              <w:bottom w:val="nil"/>
              <w:right w:val="nil"/>
            </w:tcBorders>
          </w:tcPr>
          <w:p>
            <w:pPr>
              <w:pStyle w:val="Normal6a"/>
            </w:pPr>
            <w:r>
              <w:t>3.</w:t>
            </w:r>
            <w:r>
              <w:tab/>
            </w:r>
            <w:r>
              <w:t xml:space="preserve">fordert </w:t>
            </w:r>
            <w:r>
              <w:rPr>
                <w:b/>
                <w:i/>
              </w:rPr>
              <w:t>genauere wissenschaftliche Gutachten, um eine</w:t>
            </w:r>
            <w:r>
              <w:t xml:space="preserve"> Überschätzung der Bestandsgröße und -produktivität </w:t>
            </w:r>
            <w:r>
              <w:rPr>
                <w:b/>
                <w:i/>
              </w:rPr>
              <w:t>zu vermeiden, was unverhältnismäßige Fangbeschränkungen und Unsicherheit bei Unternehmen zur Folge</w:t>
            </w:r>
            <w:r>
              <w:t xml:space="preserve"> hat; fordert den Rat auf, die zulässigen Gesamtfangmengen </w:t>
            </w:r>
            <w:r>
              <w:rPr>
                <w:b/>
                <w:i/>
              </w:rPr>
              <w:t>auf dem Niveau der</w:t>
            </w:r>
            <w:r>
              <w:t xml:space="preserve"> höchstmöglichen </w:t>
            </w:r>
            <w:r>
              <w:rPr>
                <w:b/>
                <w:i/>
              </w:rPr>
              <w:t>Dauererträge</w:t>
            </w:r>
            <w:r>
              <w:t xml:space="preserve"> festzusetzen </w:t>
            </w:r>
            <w:r>
              <w:rPr>
                <w:b/>
                <w:i/>
              </w:rPr>
              <w:t>und dabei umfassend sozioökonomische Erwägungen zu berücksichtigen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w:t>
            </w:r>
            <w:r>
              <w:rPr>
                <w:b/>
                <w:i/>
              </w:rPr>
              <w:t>die dringende Einführung von Vorsorgepuffern als Reaktion auf die jüngste, wiederholte und strukturelle</w:t>
            </w:r>
            <w:r>
              <w:t xml:space="preserve"> Überschätzung der Bestandsgröße und -produktivität </w:t>
            </w:r>
            <w:r>
              <w:rPr>
                <w:b/>
                <w:i/>
              </w:rPr>
              <w:t>der meisten Fischarten in der Ostsee, die zu jahrelanger unentdeckter Überfischung geführt</w:t>
            </w:r>
            <w:r>
              <w:t xml:space="preserve"> hat; fordert den Rat </w:t>
            </w:r>
            <w:r>
              <w:rPr>
                <w:b/>
                <w:i/>
              </w:rPr>
              <w:t>nachdrücklich</w:t>
            </w:r>
            <w:r>
              <w:t xml:space="preserve"> auf, die zulässigen Gesamtfangmengen </w:t>
            </w:r>
            <w:r>
              <w:rPr>
                <w:b/>
                <w:i/>
              </w:rPr>
              <w:t>für alle Bestände, die unter die in dem Mehrjahresplan für die Ostsee festgelegten Grenzwerte fallen, mindestens 50 % unter dem Wert für die fischereiliche Sterblichkeit, die mit dem Ziel des</w:t>
            </w:r>
            <w:r>
              <w:t xml:space="preserve"> höchstmöglichen </w:t>
            </w:r>
            <w:r>
              <w:rPr>
                <w:b/>
                <w:i/>
              </w:rPr>
              <w:t>Dauerertrags (F</w:t>
            </w:r>
            <w:r>
              <w:rPr>
                <w:b/>
                <w:i/>
                <w:vertAlign w:val="subscript"/>
              </w:rPr>
              <w:t>MSY</w:t>
            </w:r>
            <w:r>
              <w:rPr>
                <w:b/>
                <w:i/>
              </w:rPr>
              <w:t>) vereinbar ist,</w:t>
            </w:r>
            <w:r>
              <w:t xml:space="preserve"> festzusetzen;</w:t>
            </w:r>
          </w:p>
        </w:tc>
        <w:tc>
          <w:tcPr>
            <w:tcW w:w="4876" w:type="dxa"/>
            <w:tcBorders>
              <w:top w:val="nil"/>
              <w:left w:val="nil"/>
              <w:bottom w:val="nil"/>
              <w:right w:val="nil"/>
            </w:tcBorders>
          </w:tcPr>
          <w:p>
            <w:pPr>
              <w:pStyle w:val="Normal6a"/>
            </w:pPr>
            <w:r>
              <w:t>3.</w:t>
            </w:r>
            <w:r>
              <w:tab/>
            </w:r>
            <w:r>
              <w:t xml:space="preserve">fordert </w:t>
            </w:r>
            <w:r>
              <w:rPr>
                <w:b/>
                <w:i/>
              </w:rPr>
              <w:t>genauere wissenschaftliche Gutachten, um eine</w:t>
            </w:r>
            <w:r>
              <w:t xml:space="preserve"> Überschätzung der Bestandsgröße und -produktivität </w:t>
            </w:r>
            <w:r>
              <w:rPr>
                <w:b/>
                <w:i/>
              </w:rPr>
              <w:t>zu vermeiden, was unverhältnismäßige Fangbeschränkungen und Unsicherheit bei Unternehmen zur Folge</w:t>
            </w:r>
            <w:r>
              <w:t xml:space="preserve"> hat; fordert den Rat auf, die zulässigen Gesamtfangmengen </w:t>
            </w:r>
            <w:r>
              <w:rPr>
                <w:b/>
                <w:i/>
              </w:rPr>
              <w:t>auf dem Niveau der</w:t>
            </w:r>
            <w:r>
              <w:t xml:space="preserve"> höchstmöglichen </w:t>
            </w:r>
            <w:r>
              <w:rPr>
                <w:b/>
                <w:i/>
              </w:rPr>
              <w:t>Dauererträge</w:t>
            </w:r>
            <w:r>
              <w:t xml:space="preserve"> festzusetzen </w:t>
            </w:r>
            <w:r>
              <w:rPr>
                <w:b/>
                <w:i/>
              </w:rPr>
              <w:t>und dabei umfassend sozioökonomische Erwägungen zu berücksichtigen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w:t>
            </w:r>
            <w:r>
              <w:rPr>
                <w:b/>
                <w:i/>
              </w:rPr>
              <w:t>die dringende Einführung von Vorsorgepuffern als Reaktion auf die jüngste, wiederholte und strukturelle Überschätzung der Bestandsgröße und -produktivität der meisten Fischarten in</w:t>
            </w:r>
            <w:r>
              <w:t xml:space="preserve"> der Ostsee, </w:t>
            </w:r>
            <w:r>
              <w:rPr>
                <w:b/>
                <w:i/>
              </w:rPr>
              <w:t>die zu jahrelanger unentdeckter Überfischung geführt hat</w:t>
            </w:r>
            <w:r>
              <w:t xml:space="preserve">; fordert den Rat </w:t>
            </w:r>
            <w:r>
              <w:rPr>
                <w:b/>
                <w:i/>
              </w:rPr>
              <w:t>nachdrücklich</w:t>
            </w:r>
            <w:r>
              <w:t xml:space="preserve"> auf, die zulässigen Gesamtfangmengen für alle Bestände, die unter die in dem Mehrjahresplan für die Ostsee festgelegten Grenzwerte fallen, </w:t>
            </w:r>
            <w:r>
              <w:rPr>
                <w:b/>
                <w:i/>
              </w:rPr>
              <w:t>mindestens 50 % unter dem Wert für die fischereiliche Sterblichkeit, die mit dem Ziel des höchstmöglichen Dauerertrags (F</w:t>
            </w:r>
            <w:r>
              <w:rPr>
                <w:b/>
                <w:i/>
                <w:vertAlign w:val="subscript"/>
              </w:rPr>
              <w:t>MSY</w:t>
            </w:r>
            <w:r>
              <w:rPr>
                <w:b/>
                <w:i/>
              </w:rPr>
              <w:t>) vereinbar ist,</w:t>
            </w:r>
            <w:r>
              <w:t xml:space="preserve"> festzusetzen;</w:t>
            </w:r>
          </w:p>
        </w:tc>
        <w:tc>
          <w:tcPr>
            <w:tcW w:w="4876" w:type="dxa"/>
            <w:tcBorders>
              <w:top w:val="nil"/>
              <w:left w:val="nil"/>
              <w:bottom w:val="nil"/>
              <w:right w:val="nil"/>
            </w:tcBorders>
          </w:tcPr>
          <w:p>
            <w:pPr>
              <w:pStyle w:val="Normal6a"/>
            </w:pPr>
            <w:r>
              <w:t>3.</w:t>
            </w:r>
            <w:r>
              <w:tab/>
            </w:r>
            <w:r>
              <w:t xml:space="preserve">fordert </w:t>
            </w:r>
            <w:r>
              <w:rPr>
                <w:b/>
                <w:i/>
              </w:rPr>
              <w:t>den Rat auf, zulässige Gesamtfangmengen festzusetzen, die mit dem Vorsorgeansatz im Einklang stehen, und dabei die Anfälligkeit der Ökosysteme</w:t>
            </w:r>
            <w:r>
              <w:t xml:space="preserve"> der Ostsee, </w:t>
            </w:r>
            <w:r>
              <w:rPr>
                <w:b/>
                <w:i/>
              </w:rPr>
              <w:t>sozioökonomische Faktoren und die langsame Erholung der Bestände zu berücksichtigen</w:t>
            </w:r>
            <w:r>
              <w:t xml:space="preserve">; fordert den Rat auf, die zulässigen Gesamtfangmengen für alle Bestände, die </w:t>
            </w:r>
            <w:r>
              <w:rPr>
                <w:b/>
                <w:i/>
              </w:rPr>
              <w:t>kurz davor stehen,</w:t>
            </w:r>
            <w:r>
              <w:t xml:space="preserve"> unter die in dem Mehrjahresplan für die Ostsee festgelegten Grenzwerte </w:t>
            </w:r>
            <w:r>
              <w:rPr>
                <w:b/>
                <w:i/>
              </w:rPr>
              <w:t>zu</w:t>
            </w:r>
            <w:r>
              <w:t xml:space="preserve"> fallen, </w:t>
            </w:r>
            <w:r>
              <w:rPr>
                <w:b/>
                <w:i/>
              </w:rPr>
              <w:t>auf die untere Spanne von F</w:t>
            </w:r>
            <w:r>
              <w:rPr>
                <w:b/>
                <w:i/>
                <w:vertAlign w:val="subscript"/>
              </w:rPr>
              <w:t>MSY</w:t>
            </w:r>
            <w:r>
              <w:t xml:space="preserve"> festzusetzen;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weist darauf hin, dass die Festlegung von Fangquoten für einen Zeitraum von einem Jahr die Planung und Ausübung von Geschäftstätigkeiten im Fischereisektor und die Erhebung von Daten über Veränderungen der Bestandsgrößen erschwert;</w:t>
            </w:r>
            <w:r>
              <w:t xml:space="preserve"> </w:t>
            </w:r>
            <w:r>
              <w:rPr>
                <w:b/>
                <w:i/>
              </w:rPr>
              <w:t>betont, dass mehrjährige Quoten der Natur Zeit geben könnten, sich zu erholen, und den Unternehmen die Stabilität bieten könnten, die sie benötigen, um Investitionen zu planen, Arbeitsplätze zu schützen und die Hafeninfrastruktur zu erhalten;</w:t>
            </w:r>
            <w:r>
              <w:t xml:space="preserve"> </w:t>
            </w:r>
            <w:r>
              <w:rPr>
                <w:b/>
                <w:i/>
              </w:rPr>
              <w:t>weist darauf hin, dass bei der Festlegung der Fangquoten nicht nur Umweltziele berücksichtigt werden sollten, sondern auch die sozioökonomischen Gegebenheiten der Küstengemeinden, für die die Fischerei die Grundlage der lokalen Entwicklung, der Beschäftigung und der damit verbundenen Sektoren, einschließlich des Tourismus, ist;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betont, dass keine Bewirtschaftungspläne, Strategien zur Wiederauffüllung der Bestände oder Maßnahmen zum Schutz der Meeresumwelt entwickelt werden sollten, ohne zuvor die Fischer und ihre Organisationen auf sinnvolle und systematische Weise sowie nationale wissenschaftliche Gemeinschaften zu konsultieren, die über langjährige praktische Kenntnisse über den Zustand der Meeresökosysteme verfügen und die Realität besser widerspiegeln als Analysen, die fern der Praxis von Behörden oder internationalen Organisationen erstellt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fordert die Mitgliedstaaten und die Kommission auf, die Einleitung von Sofortmaßnahmen gemäß den Artikeln 12 und 13 der GFP-Verordnung in Erwägung zu ziehen und sich rasch darauf vorzubereiten, indem sie die Kosten und den Nutzen der Schließung der Mehrheit der Fischereien analysieren und dabei auch die entgangenen Einnahmen, die Existenzgrundlagen, die Ernährungssicherheit und die künftigen Kosten eines Nichthandelns ermitteln;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fordert die Mitgliedstaaten und die Kommission auf, die Einleitung von Sofortmaßnahmen gemäß den Artikeln 12 und 13 der GFP-Verordnung in Erwägung zu ziehen und sich rasch darauf vorzubereiten, indem sie die Kosten und den Nutzen der Schließung der Mehrheit der Fischereien analysieren und dabei auch die entgangenen Einnahmen, die Existenzgrundlagen, die Ernährungssicherheit und die künftigen Kosten eines Nichthandelns ermitteln;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fordert die Mitgliedstaaten und die Kommission auf, die Einleitung von Sofortmaßnahmen gemäß den Artikeln 12 und 13 der GFP-Verordnung in Erwägung zu ziehen und sich rasch darauf vorzubereiten, indem sie die Kosten und den Nutzen der Schließung der Mehrheit der Fischereien analysieren und dabei auch die entgangenen Einnahmen, die Existenzgrundlagen, die Ernährungssicherheit und die künftigen Kosten eines Nichthandelns ermitteln;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fordert die Mitgliedstaaten und die Kommission auf, die Einleitung von Sofortmaßnahmen gemäß den Artikeln 12 und 13 der GFP-Verordnung in Erwägung zu ziehen und sich rasch darauf vorzubereiten, indem sie die Kosten und den Nutzen der Schließung der Mehrheit der Fischereien analysieren und dabei auch die entgangenen Einnahmen, die Existenzgrundlagen, die Ernährungssicherheit und die künftigen Kosten eines Nichthandelns ermitteln;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und die Kommission auf, </w:t>
            </w:r>
            <w:r>
              <w:rPr>
                <w:b/>
                <w:i/>
              </w:rPr>
              <w:t>die Einleitung von Sofortmaßnahmen gemäß den Artikeln 12 und 13 der GFP-Verordnung in Erwägung zu ziehen und sich</w:t>
            </w:r>
            <w:r>
              <w:t xml:space="preserve"> rasch </w:t>
            </w:r>
            <w:r>
              <w:rPr>
                <w:b/>
                <w:i/>
              </w:rPr>
              <w:t>darauf vorzubereiten</w:t>
            </w:r>
            <w:r>
              <w:t xml:space="preserve">, indem sie die Kosten und den Nutzen der Schließung der </w:t>
            </w:r>
            <w:r>
              <w:rPr>
                <w:b/>
                <w:i/>
              </w:rPr>
              <w:t>Mehrheit der</w:t>
            </w:r>
            <w:r>
              <w:t xml:space="preserve"> Fischereien analysieren und dabei auch die entgangenen Einnahmen, die Existenzgrundlagen, die Ernährungssicherheit und die künftigen Kosten eines Nichthandelns ermitteln;</w:t>
            </w:r>
          </w:p>
        </w:tc>
        <w:tc>
          <w:tcPr>
            <w:tcW w:w="4876" w:type="dxa"/>
            <w:tcBorders>
              <w:top w:val="nil"/>
              <w:left w:val="nil"/>
              <w:bottom w:val="nil"/>
              <w:right w:val="nil"/>
            </w:tcBorders>
          </w:tcPr>
          <w:p>
            <w:pPr>
              <w:pStyle w:val="Normal6a"/>
            </w:pPr>
            <w:r>
              <w:t>4.</w:t>
            </w:r>
            <w:r>
              <w:tab/>
            </w:r>
            <w:r>
              <w:t xml:space="preserve">fordert die Mitgliedstaaten und die Kommission auf, rasch </w:t>
            </w:r>
            <w:r>
              <w:rPr>
                <w:b/>
                <w:i/>
              </w:rPr>
              <w:t>Maßnahmen auszuarbeiten</w:t>
            </w:r>
            <w:r>
              <w:t xml:space="preserve">, indem sie die Kosten und den Nutzen der Schließung der </w:t>
            </w:r>
            <w:r>
              <w:rPr>
                <w:b/>
                <w:i/>
              </w:rPr>
              <w:t>betreffenden</w:t>
            </w:r>
            <w:r>
              <w:t xml:space="preserve"> Fischereien analysieren und dabei auch die entgangenen Einnahmen, die Existenzgrundlagen, die Ernährungssicherheit und die künftigen Kosten eines Nichthandelns ermitteln</w:t>
            </w:r>
            <w:r>
              <w:rPr>
                <w:b/>
                <w:i/>
              </w:rPr>
              <w:t>, da die ökologischen und sozioökonomischen Ziele des Mehrjahresplans für die Ostsee nicht erreicht wurden</w:t>
            </w:r>
            <w:r>
              <w:t xml:space="preserve">; </w:t>
            </w:r>
            <w:r>
              <w:rPr>
                <w:b/>
                <w:i/>
              </w:rPr>
              <w:t>fordert die Mitgliedstaaten auf, solche erforderlichen Maßnahmen mithilfe der ihnen zur Verfügung stehenden Instrumente umzusetzen, beispielsweise mithilfe von im Mehrjahresplan für die Ostsee bzw. in den Artikeln 11, 12 und 13 der GFP-Verordnung festgelegten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und die Kommission auf, die Einleitung von Sofortmaßnahmen gemäß den Artikeln 12 und 13 der GFP-Verordnung in Erwägung zu ziehen </w:t>
            </w:r>
            <w:r>
              <w:rPr>
                <w:b/>
                <w:i/>
              </w:rPr>
              <w:t>und sich rasch darauf vorzubereiten, indem sie die Kosten und den Nutzen der Schließung der Mehrheit der Fischereien analysieren und dabei auch die entgangenen Einnahmen, die Existenzgrundlagen, die Ernährungssicherheit und die künftigen Kosten eines Nichthandelns ermitteln</w:t>
            </w:r>
            <w:r>
              <w:t>;</w:t>
            </w:r>
          </w:p>
        </w:tc>
        <w:tc>
          <w:tcPr>
            <w:tcW w:w="4876" w:type="dxa"/>
            <w:tcBorders>
              <w:top w:val="nil"/>
              <w:left w:val="nil"/>
              <w:bottom w:val="nil"/>
              <w:right w:val="nil"/>
            </w:tcBorders>
          </w:tcPr>
          <w:p>
            <w:pPr>
              <w:pStyle w:val="Normal6a"/>
            </w:pPr>
            <w:r>
              <w:t>4.</w:t>
            </w:r>
            <w:r>
              <w:tab/>
            </w:r>
            <w:r>
              <w:t>fordert die Mitgliedstaaten und die Kommission auf, die Einleitung von Sofortmaßnahmen gemäß den Artikeln 12 und 13 der GFP-Verordnung in Erwägung zu ziehen</w:t>
            </w:r>
            <w:r>
              <w:rPr>
                <w:b/>
                <w:i/>
              </w:rPr>
              <w:t>, wenn besten verfügbaren wissenschaftlichen Gutachten zufolge solche Maßnahmen erforderlich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und die Kommission auf, die Einleitung von Sofortmaßnahmen gemäß den Artikeln 12 und 13 der GFP-Verordnung in Erwägung zu ziehen </w:t>
            </w:r>
            <w:r>
              <w:rPr>
                <w:b/>
                <w:i/>
              </w:rPr>
              <w:t>und sich rasch darauf vorzubereiten, indem sie die Kosten und den Nutzen der Schließung der Mehrheit der Fischereien analysieren und dabei auch die entgangenen Einnahmen, die Existenzgrundlagen, die Ernährungssicherheit und die künftigen Kosten eines Nichthandelns ermitteln</w:t>
            </w:r>
            <w:r>
              <w:t>;</w:t>
            </w:r>
          </w:p>
        </w:tc>
        <w:tc>
          <w:tcPr>
            <w:tcW w:w="4876" w:type="dxa"/>
            <w:tcBorders>
              <w:top w:val="nil"/>
              <w:left w:val="nil"/>
              <w:bottom w:val="nil"/>
              <w:right w:val="nil"/>
            </w:tcBorders>
          </w:tcPr>
          <w:p>
            <w:pPr>
              <w:pStyle w:val="Normal6a"/>
            </w:pPr>
            <w:r>
              <w:t>4.</w:t>
            </w:r>
            <w:r>
              <w:tab/>
            </w:r>
            <w:r>
              <w:t>fordert die Mitgliedstaaten und die Kommission auf, die Einleitung von Sofortmaßnahmen gemäß den Artikeln 12 und 13 der GFP-Verordnung in Erwägung zu ziehen</w:t>
            </w:r>
            <w:r>
              <w:rPr>
                <w:b/>
                <w:i/>
              </w:rPr>
              <w:t>, wenn besten verfügbaren wissenschaftlichen Gutachten zufolge solche Maßnahmen erforderlich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und die Kommission auf, die Einleitung von Sofortmaßnahmen gemäß den Artikeln 12 und 13 der GFP-Verordnung in Erwägung zu ziehen und sich rasch darauf vorzubereiten, indem sie die Kosten und den Nutzen der Schließung der </w:t>
            </w:r>
            <w:r>
              <w:rPr>
                <w:b/>
                <w:i/>
              </w:rPr>
              <w:t>Mehrheit der</w:t>
            </w:r>
            <w:r>
              <w:t xml:space="preserve"> Fischereien analysieren und dabei auch die entgangenen Einnahmen, die Existenzgrundlagen, die Ernährungssicherheit </w:t>
            </w:r>
            <w:r>
              <w:rPr>
                <w:b/>
                <w:i/>
              </w:rPr>
              <w:t>und die künftigen</w:t>
            </w:r>
            <w:r>
              <w:t xml:space="preserve"> Kosten eines Nichthandelns ermitteln;</w:t>
            </w:r>
          </w:p>
        </w:tc>
        <w:tc>
          <w:tcPr>
            <w:tcW w:w="4876" w:type="dxa"/>
            <w:tcBorders>
              <w:top w:val="nil"/>
              <w:left w:val="nil"/>
              <w:bottom w:val="nil"/>
              <w:right w:val="nil"/>
            </w:tcBorders>
          </w:tcPr>
          <w:p>
            <w:pPr>
              <w:pStyle w:val="Normal6a"/>
            </w:pPr>
            <w:r>
              <w:t>4.</w:t>
            </w:r>
            <w:r>
              <w:tab/>
            </w:r>
            <w:r>
              <w:t xml:space="preserve">fordert die Mitgliedstaaten und die Kommission auf, die Einleitung von Sofortmaßnahmen gemäß den Artikeln 12 und 13 der GFP-Verordnung in Erwägung zu ziehen und sich rasch darauf vorzubereiten, indem sie die Kosten und den Nutzen der Schließung der Fischereien </w:t>
            </w:r>
            <w:r>
              <w:rPr>
                <w:b/>
                <w:i/>
              </w:rPr>
              <w:t>und der Freizeitfischereien</w:t>
            </w:r>
            <w:r>
              <w:t xml:space="preserve"> analysieren und dabei auch die entgangenen Einnahmen, die Existenzgrundlagen, die Ernährungssicherheit</w:t>
            </w:r>
            <w:r>
              <w:rPr>
                <w:b/>
                <w:i/>
              </w:rPr>
              <w:t>, die Auswirkungen auf die lokalen Wirtschaften insgesamt, die mit Freizeitfischereien im Zusammenhang stehen, sowie die</w:t>
            </w:r>
            <w:r>
              <w:t xml:space="preserve"> Kosten eines Nichthandelns 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Sofie Eriksson, André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und die Kommission auf, die Einleitung von Sofortmaßnahmen gemäß den Artikeln 12 und 13 der GFP-Verordnung in Erwägung zu ziehen und sich rasch darauf vorzubereiten, indem sie die Kosten und den Nutzen der Schließung der Mehrheit der </w:t>
            </w:r>
            <w:r>
              <w:rPr>
                <w:b/>
                <w:i/>
              </w:rPr>
              <w:t>Fischereien</w:t>
            </w:r>
            <w:r>
              <w:t xml:space="preserve"> analysieren und dabei auch die entgangenen Einnahmen, die Existenzgrundlagen, die Ernährungssicherheit und die künftigen Kosten eines Nichthandelns ermitteln;</w:t>
            </w:r>
          </w:p>
        </w:tc>
        <w:tc>
          <w:tcPr>
            <w:tcW w:w="4876" w:type="dxa"/>
            <w:tcBorders>
              <w:top w:val="nil"/>
              <w:left w:val="nil"/>
              <w:bottom w:val="nil"/>
              <w:right w:val="nil"/>
            </w:tcBorders>
          </w:tcPr>
          <w:p>
            <w:pPr>
              <w:pStyle w:val="Normal6a"/>
            </w:pPr>
            <w:r>
              <w:t>4.</w:t>
            </w:r>
            <w:r>
              <w:tab/>
            </w:r>
            <w:r>
              <w:t xml:space="preserve">fordert die Mitgliedstaaten und die Kommission auf, die Einleitung von Sofortmaßnahmen gemäß den Artikeln 12 und 13 der GFP-Verordnung in Erwägung zu ziehen und sich rasch darauf vorzubereiten, indem sie die Kosten und den Nutzen der </w:t>
            </w:r>
            <w:r>
              <w:rPr>
                <w:b/>
                <w:i/>
              </w:rPr>
              <w:t>Einstellung der Mehrheit der Fischereitätigkeiten einschließlich der</w:t>
            </w:r>
            <w:r>
              <w:t xml:space="preserve"> Schließung der Mehrheit der </w:t>
            </w:r>
            <w:r>
              <w:rPr>
                <w:b/>
                <w:i/>
              </w:rPr>
              <w:t>Freizeitfischereien</w:t>
            </w:r>
            <w:r>
              <w:t xml:space="preserve"> analysieren und dabei auch die entgangenen Einnahmen, die Existenzgrundlagen, die Ernährungssicherheit und die künftigen Kosten eines Nichthandelns 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und die Kommission auf, die Einleitung von </w:t>
            </w:r>
            <w:r>
              <w:rPr>
                <w:b/>
                <w:i/>
              </w:rPr>
              <w:t>Sofortmaßnahmen</w:t>
            </w:r>
            <w:r>
              <w:t xml:space="preserve"> gemäß den Artikeln 12 und 13 der GFP-Verordnung in Erwägung zu ziehen und </w:t>
            </w:r>
            <w:r>
              <w:rPr>
                <w:b/>
                <w:i/>
              </w:rPr>
              <w:t>sich rasch darauf vorzubereiten</w:t>
            </w:r>
            <w:r>
              <w:t>, indem sie die Kosten und den Nutzen der Schließung der Mehrheit der Fischereien analysieren und dabei auch die entgangenen Einnahmen, die Existenzgrundlagen, die Ernährungssicherheit und die künftigen Kosten eines Nichthandelns ermitteln;</w:t>
            </w:r>
          </w:p>
        </w:tc>
        <w:tc>
          <w:tcPr>
            <w:tcW w:w="4876" w:type="dxa"/>
            <w:tcBorders>
              <w:top w:val="nil"/>
              <w:left w:val="nil"/>
              <w:bottom w:val="nil"/>
              <w:right w:val="nil"/>
            </w:tcBorders>
          </w:tcPr>
          <w:p>
            <w:pPr>
              <w:pStyle w:val="Normal6a"/>
            </w:pPr>
            <w:r>
              <w:t>4.</w:t>
            </w:r>
            <w:r>
              <w:tab/>
            </w:r>
            <w:r>
              <w:t xml:space="preserve">fordert die Mitgliedstaaten und die Kommission auf, die Einleitung von </w:t>
            </w:r>
            <w:r>
              <w:rPr>
                <w:b/>
                <w:i/>
              </w:rPr>
              <w:t>Maßnahmen</w:t>
            </w:r>
            <w:r>
              <w:t xml:space="preserve"> gemäß den Artikeln 12 und 13 der GFP-Verordnung in Erwägung zu ziehen und </w:t>
            </w:r>
            <w:r>
              <w:rPr>
                <w:b/>
                <w:i/>
              </w:rPr>
              <w:t>beratende Stellungnahmen auszuarbeiten</w:t>
            </w:r>
            <w:r>
              <w:t>, indem sie die Kosten und den Nutzen der Schließung der Mehrheit der Fischereien analysieren und dabei auch die entgangenen Einnahmen, die Existenzgrundlagen, die Ernährungssicherheit und die künftigen Kosten eines Nichthandelns 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fordert eine sofortige Erholungsphase für die industriemäßige Fischerei in Bezug auf Hering und Sprotte in der Ostsee, bis durch wissenschaftliche Erkenntnisse eine deutliche und nachhaltige Erholung der Bestände belegt wird;</w:t>
            </w:r>
            <w:r>
              <w:t xml:space="preserve"> </w:t>
            </w:r>
            <w:r>
              <w:rPr>
                <w:b/>
                <w:i/>
              </w:rPr>
              <w:t>betont, dass eine solche Erholungsphase notwendig ist, um irreversible ökologische Schäden zu verhindern und die langfristige Tragfähigkeit der Küstenfischerei und der handwerklichen Fischerei zu sichern;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fordert die Kommission auf, eine Liste weiterer Abhilfemaßnahmen gemäß Artikel 5 des Mehrjahresplans für die Ostsee zu erstellen, die basierend auf Bestimmungen in bestehenden Rechtsvorschriften angewandt werden können, um eine Erholung der Bestände in der Ostsee zu erreichen, die sich derzeit auf einem kritischen Niveau befinden;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fordert die Kommission </w:t>
            </w:r>
            <w:r>
              <w:rPr>
                <w:b/>
                <w:i/>
              </w:rPr>
              <w:t>auf, eine Liste weiterer</w:t>
            </w:r>
            <w:r>
              <w:t xml:space="preserve"> Abhilfemaßnahmen gemäß Artikel 5 des Mehrjahresplans für die Ostsee </w:t>
            </w:r>
            <w:r>
              <w:rPr>
                <w:b/>
                <w:i/>
              </w:rPr>
              <w:t>zu erstellen, die basierend auf Bestimmungen in bestehenden Rechtsvorschriften angewandt werden können</w:t>
            </w:r>
            <w:r>
              <w:t xml:space="preserve">, um eine Erholung der Bestände </w:t>
            </w:r>
            <w:r>
              <w:rPr>
                <w:b/>
                <w:i/>
              </w:rPr>
              <w:t>in der Ostsee</w:t>
            </w:r>
            <w:r>
              <w:t xml:space="preserve"> zu erreichen, die sich </w:t>
            </w:r>
            <w:r>
              <w:rPr>
                <w:b/>
                <w:i/>
              </w:rPr>
              <w:t>derzeit</w:t>
            </w:r>
            <w:r>
              <w:t xml:space="preserve"> auf einem kritischen Niveau befinden;</w:t>
            </w:r>
          </w:p>
        </w:tc>
        <w:tc>
          <w:tcPr>
            <w:tcW w:w="4876" w:type="dxa"/>
            <w:tcBorders>
              <w:top w:val="nil"/>
              <w:left w:val="nil"/>
              <w:bottom w:val="nil"/>
              <w:right w:val="nil"/>
            </w:tcBorders>
          </w:tcPr>
          <w:p>
            <w:pPr>
              <w:pStyle w:val="Normal6a"/>
            </w:pPr>
            <w:r>
              <w:t>5.</w:t>
            </w:r>
            <w:r>
              <w:tab/>
            </w:r>
            <w:r>
              <w:t xml:space="preserve">fordert die Kommission </w:t>
            </w:r>
            <w:r>
              <w:rPr>
                <w:b/>
                <w:i/>
              </w:rPr>
              <w:t>und die Mitgliedstaaten auf, weitere</w:t>
            </w:r>
            <w:r>
              <w:t xml:space="preserve"> Abhilfemaßnahmen gemäß Artikel 5 des Mehrjahresplans für die Ostsee </w:t>
            </w:r>
            <w:r>
              <w:rPr>
                <w:b/>
                <w:i/>
              </w:rPr>
              <w:t>auszuarbeiten, vorzuschlagen, anzunehmen und umzusetzen</w:t>
            </w:r>
            <w:r>
              <w:t xml:space="preserve">, um eine Erholung der Bestände zu erreichen, die </w:t>
            </w:r>
            <w:r>
              <w:rPr>
                <w:b/>
                <w:i/>
              </w:rPr>
              <w:t>unter die in Artikel 5 festgelegten Grenzwerte fallen, was bedeutet, dass sie</w:t>
            </w:r>
            <w:r>
              <w:t xml:space="preserve"> sich auf einem kritischen Niveau befinden;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fordert die Kommission auf, eine Liste weiterer Abhilfemaßnahmen gemäß Artikel 5 des Mehrjahresplans für die Ostsee zu erstellen, die basierend auf Bestimmungen in bestehenden Rechtsvorschriften angewandt werden können, um eine Erholung der Bestände in der Ostsee zu erreichen, </w:t>
            </w:r>
            <w:r>
              <w:rPr>
                <w:b/>
                <w:i/>
              </w:rPr>
              <w:t>die sich derzeit auf einem kritischen Niveau befinden</w:t>
            </w:r>
            <w:r>
              <w:t>;</w:t>
            </w:r>
          </w:p>
        </w:tc>
        <w:tc>
          <w:tcPr>
            <w:tcW w:w="4876" w:type="dxa"/>
            <w:tcBorders>
              <w:top w:val="nil"/>
              <w:left w:val="nil"/>
              <w:bottom w:val="nil"/>
              <w:right w:val="nil"/>
            </w:tcBorders>
          </w:tcPr>
          <w:p>
            <w:pPr>
              <w:pStyle w:val="Normal6a"/>
            </w:pPr>
            <w:r>
              <w:t>5.</w:t>
            </w:r>
            <w:r>
              <w:tab/>
            </w:r>
            <w:r>
              <w:t xml:space="preserve">fordert die Kommission auf, eine Liste weiterer Abhilfemaßnahmen gemäß Artikel 5 des Mehrjahresplans für die Ostsee zu erstellen, die basierend auf Bestimmungen in bestehenden Rechtsvorschriften angewandt werden können, um eine Erholung der Bestände in der Ostsee zu erreichen, </w:t>
            </w:r>
            <w:r>
              <w:rPr>
                <w:b/>
                <w:i/>
              </w:rPr>
              <w:t>und die gänzlich wissenschaftlich begründet und individuell zugeschnitten sein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fordert die Kommission auf, eine Liste weiterer Abhilfemaßnahmen </w:t>
            </w:r>
            <w:r>
              <w:rPr>
                <w:b/>
                <w:i/>
              </w:rPr>
              <w:t>gemäß Artikel 5 des Mehrjahresplans für die Ostsee</w:t>
            </w:r>
            <w:r>
              <w:t xml:space="preserve"> zu erstellen</w:t>
            </w:r>
            <w:r>
              <w:rPr>
                <w:b/>
                <w:i/>
              </w:rPr>
              <w:t>, die basierend auf Bestimmungen in bestehenden Rechtsvorschriften angewandt werden können, um eine Erholung der Bestände in der Ostsee zu erreichen, die sich derzeit auf einem kritischen Niveau befinden</w:t>
            </w:r>
            <w:r>
              <w:t>;</w:t>
            </w:r>
          </w:p>
        </w:tc>
        <w:tc>
          <w:tcPr>
            <w:tcW w:w="4876" w:type="dxa"/>
            <w:tcBorders>
              <w:top w:val="nil"/>
              <w:left w:val="nil"/>
              <w:bottom w:val="nil"/>
              <w:right w:val="nil"/>
            </w:tcBorders>
          </w:tcPr>
          <w:p>
            <w:pPr>
              <w:pStyle w:val="Normal6a"/>
            </w:pPr>
            <w:r>
              <w:t>5.</w:t>
            </w:r>
            <w:r>
              <w:tab/>
            </w:r>
            <w:r>
              <w:rPr>
                <w:b/>
                <w:i/>
              </w:rPr>
              <w:t>spricht sich dafür aus, dass im Rahmen der geltenden Bestimmungen der GFP-Verordnung und des Mehrjahresplans für die Ostsee zusätzliche gezielte Abhilfemaßnahmen ermittelt werden, mit denen zur Wiederauffüllung der Bestände beigetragen wird, wobei gleichzeitig vertretbare Fangmöglichkeiten aufrechtzuerhalten sind;</w:t>
            </w:r>
            <w:r>
              <w:t xml:space="preserve"> fordert die Kommission auf, eine Liste </w:t>
            </w:r>
            <w:r>
              <w:rPr>
                <w:b/>
                <w:i/>
              </w:rPr>
              <w:t>möglicher</w:t>
            </w:r>
            <w:r>
              <w:t xml:space="preserve"> weiterer Abhilfemaßnahmen zu 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Kommission auf, Mechanismen zu entwickeln, um die Steuerung von Fangbeschränkungen mit den Markterfordernissen in Einklang zu bringen, unter anderem durch flexible Quotenübertragungen, die Unterstützung der Lagerung von Fisch und die Aktivierung von Notfallreserven im Rahmen des EMFF;</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fordert die Kommission auf, in Zusammenarbeit mit der HELCOM Umweltrisikokarten für Gebiete zu entwickeln, die besonders anfällig für Eutrophierung, Anoxie und toxische Bodensedimente sind, denen bei der Einrichtung von Schutzgebieten und möglichen Schonzeiten für die Fischerei Vorrang eingeräumt werden sollte;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betont, dass solche Abhilfemaßnahmen die Schaffung von Bestandsauffüllungsgebieten und Schließungen mit Schwerpunkt auf Überwinterungsgebieten und Gebieten, in denen sich Fische vor dem Ablaichen sammeln, sowie Laich- und Aufwuchsgebieten umfassen müssen.</w:t>
            </w:r>
            <w:r>
              <w:t xml:space="preserve"> </w:t>
            </w:r>
            <w:r>
              <w:rPr>
                <w:b/>
                <w:i/>
              </w:rPr>
              <w:t>Diese sollten mit den Bestimmungen der Verordnung über die Wiederherstellung der Natur im Einklang stehen;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dass </w:t>
            </w:r>
            <w:r>
              <w:rPr>
                <w:b/>
                <w:i/>
              </w:rPr>
              <w:t>solche</w:t>
            </w:r>
            <w:r>
              <w:t xml:space="preserve"> Abhilfemaßnahmen die Schaffung von Bestandsauffüllungsgebieten und Schließungen </w:t>
            </w:r>
            <w:r>
              <w:rPr>
                <w:b/>
                <w:i/>
              </w:rPr>
              <w:t>mit</w:t>
            </w:r>
            <w:r>
              <w:t xml:space="preserve"> Schwerpunkt auf Überwinterungsgebieten und Gebieten, in denen sich Fische vor dem Ablaichen sammeln, </w:t>
            </w:r>
            <w:r>
              <w:rPr>
                <w:b/>
                <w:i/>
              </w:rPr>
              <w:t>sowie</w:t>
            </w:r>
            <w:r>
              <w:t xml:space="preserve"> Laich- und Aufwuchsgebieten </w:t>
            </w:r>
            <w:r>
              <w:rPr>
                <w:b/>
                <w:i/>
              </w:rPr>
              <w:t>umfassen müssen.</w:t>
            </w:r>
            <w:r>
              <w:t xml:space="preserve"> </w:t>
            </w:r>
            <w:r>
              <w:rPr>
                <w:b/>
                <w:i/>
              </w:rPr>
              <w:t>Diese sollten mit</w:t>
            </w:r>
            <w:r>
              <w:t xml:space="preserve"> den Bestimmungen der Verordnung über die Wiederherstellung der Natur </w:t>
            </w:r>
            <w:r>
              <w:rPr>
                <w:b/>
                <w:i/>
              </w:rPr>
              <w:t>im Einklang stehen</w:t>
            </w:r>
            <w:r>
              <w:t>;</w:t>
            </w:r>
          </w:p>
        </w:tc>
        <w:tc>
          <w:tcPr>
            <w:tcW w:w="4876" w:type="dxa"/>
            <w:tcBorders>
              <w:top w:val="nil"/>
              <w:left w:val="nil"/>
              <w:bottom w:val="nil"/>
              <w:right w:val="nil"/>
            </w:tcBorders>
          </w:tcPr>
          <w:p>
            <w:pPr>
              <w:pStyle w:val="Normal6a"/>
            </w:pPr>
            <w:r>
              <w:t>6.</w:t>
            </w:r>
            <w:r>
              <w:tab/>
            </w:r>
            <w:r>
              <w:t xml:space="preserve">betont, dass </w:t>
            </w:r>
            <w:r>
              <w:rPr>
                <w:b/>
                <w:i/>
              </w:rPr>
              <w:t>wirksame</w:t>
            </w:r>
            <w:r>
              <w:t xml:space="preserve"> Abhilfemaßnahmen die Schaffung von Bestandsauffüllungsgebieten und </w:t>
            </w:r>
            <w:r>
              <w:rPr>
                <w:b/>
                <w:i/>
              </w:rPr>
              <w:t>vorübergehende</w:t>
            </w:r>
            <w:r>
              <w:t xml:space="preserve"> Schließungen </w:t>
            </w:r>
            <w:r>
              <w:rPr>
                <w:b/>
                <w:i/>
              </w:rPr>
              <w:t>der Fischerei umfassen müssen, wobei der</w:t>
            </w:r>
            <w:r>
              <w:t xml:space="preserve"> Schwerpunkt auf Überwinterungsgebieten und Gebieten </w:t>
            </w:r>
            <w:r>
              <w:rPr>
                <w:b/>
                <w:i/>
              </w:rPr>
              <w:t>liegen sollte</w:t>
            </w:r>
            <w:r>
              <w:t xml:space="preserve">, in denen sich Fische vor dem Ablaichen sammeln, </w:t>
            </w:r>
            <w:r>
              <w:rPr>
                <w:b/>
                <w:i/>
              </w:rPr>
              <w:t>um Energiereserven anzusammeln und sich auf die Fortpflanzung vorzubereiten;</w:t>
            </w:r>
            <w:r>
              <w:t xml:space="preserve"> </w:t>
            </w:r>
            <w:r>
              <w:rPr>
                <w:b/>
                <w:i/>
              </w:rPr>
              <w:t>weist darauf hin, dass der Schutz von</w:t>
            </w:r>
            <w:r>
              <w:t xml:space="preserve"> Laich- und Aufwuchsgebieten </w:t>
            </w:r>
            <w:r>
              <w:rPr>
                <w:b/>
                <w:i/>
              </w:rPr>
              <w:t>von entscheidender Bedeutung ist, um eine stabile Erneuerung und gesunde Altersstruktur der Bestände aufrechtzuerhalten;</w:t>
            </w:r>
            <w:r>
              <w:t xml:space="preserve"> </w:t>
            </w:r>
            <w:r>
              <w:rPr>
                <w:b/>
                <w:i/>
              </w:rPr>
              <w:t>fordert die Kommission und die Mitgliedstaaten auf, gemäß</w:t>
            </w:r>
            <w:r>
              <w:t xml:space="preserve"> den Bestimmungen der Verordnung über die Wiederherstellung der Natur </w:t>
            </w:r>
            <w:r>
              <w:rPr>
                <w:b/>
                <w:i/>
              </w:rPr>
              <w:t>in Absprache mit der Fischereibranche gemeinsame Regeln für die Einrichtung solcher Zonen auf der Grundlage wissenschaftlicher Erkenntnisse und der örtlichen ökologischen Bedingungen zu entwickeln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dass solche Abhilfemaßnahmen die Schaffung von Bestandsauffüllungsgebieten und Schließungen mit Schwerpunkt auf Überwinterungsgebieten und Gebieten, in denen sich Fische vor dem Ablaichen sammeln, sowie Laich- und Aufwuchsgebieten </w:t>
            </w:r>
            <w:r>
              <w:rPr>
                <w:b/>
                <w:i/>
              </w:rPr>
              <w:t>umfassen</w:t>
            </w:r>
            <w:r>
              <w:t xml:space="preserve"> müssen</w:t>
            </w:r>
            <w:r>
              <w:rPr>
                <w:b/>
                <w:i/>
              </w:rPr>
              <w:t>.</w:t>
            </w:r>
            <w:r>
              <w:t xml:space="preserve"> </w:t>
            </w:r>
            <w:r>
              <w:rPr>
                <w:b/>
                <w:i/>
              </w:rPr>
              <w:t>Diese sollten mit den Bestimmungen der Verordnung über die Wiederherstellung der Natur im Einklang stehen</w:t>
            </w:r>
            <w:r>
              <w:t>;</w:t>
            </w:r>
          </w:p>
        </w:tc>
        <w:tc>
          <w:tcPr>
            <w:tcW w:w="4876" w:type="dxa"/>
            <w:tcBorders>
              <w:top w:val="nil"/>
              <w:left w:val="nil"/>
              <w:bottom w:val="nil"/>
              <w:right w:val="nil"/>
            </w:tcBorders>
          </w:tcPr>
          <w:p>
            <w:pPr>
              <w:pStyle w:val="Normal6a"/>
            </w:pPr>
            <w:r>
              <w:t>6.</w:t>
            </w:r>
            <w:r>
              <w:tab/>
            </w:r>
            <w:r>
              <w:t xml:space="preserve">betont, dass solche Abhilfemaßnahmen </w:t>
            </w:r>
            <w:r>
              <w:rPr>
                <w:b/>
                <w:i/>
              </w:rPr>
              <w:t>möglichst wirksam sein müssen, damit das Ziel der artenspezifischen Erholung erreicht werden kann;</w:t>
            </w:r>
            <w:r>
              <w:t xml:space="preserve"> </w:t>
            </w:r>
            <w:r>
              <w:rPr>
                <w:b/>
                <w:i/>
              </w:rPr>
              <w:t>betont in diesem Zusammenhang, dass</w:t>
            </w:r>
            <w:r>
              <w:t xml:space="preserve"> die Schaffung von Bestandsauffüllungsgebieten und Schließungen mit Schwerpunkt auf Überwinterungsgebieten und Gebieten, in denen sich Fische vor dem Ablaichen sammeln, sowie Laich- und Aufwuchsgebieten</w:t>
            </w:r>
            <w:r>
              <w:rPr>
                <w:b/>
                <w:i/>
              </w:rPr>
              <w:t>, wirksam sind;</w:t>
            </w:r>
            <w:r>
              <w:t xml:space="preserve"> </w:t>
            </w:r>
            <w:r>
              <w:rPr>
                <w:b/>
                <w:i/>
              </w:rPr>
              <w:t>betont, dass solche Maßnahmen mit einer angemessenen Entschädigung einhergehen</w:t>
            </w:r>
            <w:r>
              <w:t xml:space="preserve">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betont, dass solche Abhilfemaßnahmen die Schaffung von Bestandsauffüllungsgebieten und Schließungen mit Schwerpunkt auf Überwinterungsgebieten und Gebieten, in denen sich Fische vor dem Ablaichen sammeln, sowie Laich- und Aufwuchsgebieten umfassen müssen</w:t>
            </w:r>
            <w:r>
              <w:rPr>
                <w:b/>
                <w:i/>
              </w:rPr>
              <w:t>.</w:t>
            </w:r>
            <w:r>
              <w:t xml:space="preserve"> </w:t>
            </w:r>
            <w:r>
              <w:rPr>
                <w:b/>
                <w:i/>
              </w:rPr>
              <w:t>Diese sollten mit den Bestimmungen der Verordnung über die Wiederherstellung der Natur im Einklang stehen</w:t>
            </w:r>
            <w:r>
              <w:t>;</w:t>
            </w:r>
          </w:p>
        </w:tc>
        <w:tc>
          <w:tcPr>
            <w:tcW w:w="4876" w:type="dxa"/>
            <w:tcBorders>
              <w:top w:val="nil"/>
              <w:left w:val="nil"/>
              <w:bottom w:val="nil"/>
              <w:right w:val="nil"/>
            </w:tcBorders>
          </w:tcPr>
          <w:p>
            <w:pPr>
              <w:pStyle w:val="Normal6a"/>
            </w:pPr>
            <w:r>
              <w:t>6.</w:t>
            </w:r>
            <w:r>
              <w:tab/>
            </w:r>
            <w:r>
              <w:t>betont, dass solche Abhilfemaßnahmen die Schaffung von Bestandsauffüllungsgebieten und Schließungen mit Schwerpunkt auf Überwinterungsgebieten und Gebieten, in denen sich Fische vor dem Ablaichen sammeln, sowie Laich- und Aufwuchsgebieten umfassen müssen</w:t>
            </w:r>
            <w:r>
              <w:rPr>
                <w:b/>
                <w:i/>
              </w:rPr>
              <w:t>, wobei dies in Absprache mit Mitgliedstaaten und lokalen Interessenträgern festzulegen ist, um Flexibilität auf regionaler Ebene und die Berücksichtigung sozioökonomischer Auswirkungen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betont, dass solche Abhilfemaßnahmen die Schaffung von Bestandsauffüllungsgebieten und Schließungen mit Schwerpunkt auf Überwinterungsgebieten und Gebieten, in denen sich Fische vor dem Ablaichen sammeln, sowie Laich- und Aufwuchsgebieten umfassen müssen. Diese sollten mit den Bestimmungen der Verordnung über die Wiederherstellung der Natur im Einklang stehen;</w:t>
            </w:r>
          </w:p>
        </w:tc>
        <w:tc>
          <w:tcPr>
            <w:tcW w:w="4876" w:type="dxa"/>
            <w:tcBorders>
              <w:top w:val="nil"/>
              <w:left w:val="nil"/>
              <w:bottom w:val="nil"/>
              <w:right w:val="nil"/>
            </w:tcBorders>
          </w:tcPr>
          <w:p>
            <w:pPr>
              <w:pStyle w:val="Normal6a"/>
            </w:pPr>
            <w:r>
              <w:t>6.</w:t>
            </w:r>
            <w:r>
              <w:tab/>
            </w:r>
            <w:r>
              <w:t xml:space="preserve">betont, dass solche Abhilfemaßnahmen die Schaffung von Bestandsauffüllungsgebieten und Schließungen mit Schwerpunkt auf Überwinterungsgebieten und Gebieten, in denen sich Fische vor dem Ablaichen sammeln, sowie </w:t>
            </w:r>
            <w:r>
              <w:rPr>
                <w:b/>
                <w:i/>
              </w:rPr>
              <w:t>passive und aktive Renaturierungsmaßnahmen wie die Renaturierung von</w:t>
            </w:r>
            <w:r>
              <w:t xml:space="preserve"> Laich- und Aufwuchsgebieten umfassen müssen. Diese sollten mit den Bestimmungen der Verordnung über die Wiederherstellung der Natur im Einklang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dass solche Abhilfemaßnahmen die Schaffung von Bestandsauffüllungsgebieten und Schließungen </w:t>
            </w:r>
            <w:r>
              <w:rPr>
                <w:b/>
                <w:i/>
              </w:rPr>
              <w:t>mit Schwerpunkt auf Überwinterungsgebieten und</w:t>
            </w:r>
            <w:r>
              <w:t xml:space="preserve"> Gebieten</w:t>
            </w:r>
            <w:r>
              <w:rPr>
                <w:b/>
                <w:i/>
              </w:rPr>
              <w:t>, in denen sich Fische vor dem Ablaichen sammeln, sowie Laich- und Aufwuchsgebieten</w:t>
            </w:r>
            <w:r>
              <w:t xml:space="preserve"> umfassen </w:t>
            </w:r>
            <w:r>
              <w:rPr>
                <w:b/>
                <w:i/>
              </w:rPr>
              <w:t>müssen.</w:t>
            </w:r>
            <w:r>
              <w:t xml:space="preserve"> Diese </w:t>
            </w:r>
            <w:r>
              <w:rPr>
                <w:b/>
                <w:i/>
              </w:rPr>
              <w:t>sollten mit den Bestimmungen der Verordnung über die Wiederherstellung der Natur im Einklang stehen</w:t>
            </w:r>
            <w:r>
              <w:t>;</w:t>
            </w:r>
          </w:p>
        </w:tc>
        <w:tc>
          <w:tcPr>
            <w:tcW w:w="4876" w:type="dxa"/>
            <w:tcBorders>
              <w:top w:val="nil"/>
              <w:left w:val="nil"/>
              <w:bottom w:val="nil"/>
              <w:right w:val="nil"/>
            </w:tcBorders>
          </w:tcPr>
          <w:p>
            <w:pPr>
              <w:pStyle w:val="Normal6a"/>
            </w:pPr>
            <w:r>
              <w:t>6.</w:t>
            </w:r>
            <w:r>
              <w:tab/>
            </w:r>
            <w:r>
              <w:t xml:space="preserve">betont, dass solche Abhilfemaßnahmen die Schaffung von Bestandsauffüllungsgebieten und Schließungen </w:t>
            </w:r>
            <w:r>
              <w:rPr>
                <w:b/>
                <w:i/>
              </w:rPr>
              <w:t>von</w:t>
            </w:r>
            <w:r>
              <w:t xml:space="preserve"> Gebieten umfassen </w:t>
            </w:r>
            <w:r>
              <w:rPr>
                <w:b/>
                <w:i/>
              </w:rPr>
              <w:t>könnten, wobei</w:t>
            </w:r>
            <w:r>
              <w:t xml:space="preserve"> diese </w:t>
            </w:r>
            <w:r>
              <w:rPr>
                <w:b/>
                <w:i/>
              </w:rPr>
              <w:t>stets in Gänze wissenschaftlich begründet und individuell zugeschnitten sein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dass </w:t>
            </w:r>
            <w:r>
              <w:rPr>
                <w:b/>
                <w:i/>
              </w:rPr>
              <w:t>solche Abhilfemaßnahmen</w:t>
            </w:r>
            <w:r>
              <w:t xml:space="preserve"> die Schaffung </w:t>
            </w:r>
            <w:r>
              <w:rPr>
                <w:b/>
                <w:i/>
              </w:rPr>
              <w:t>von Bestandsauffüllungsgebieten</w:t>
            </w:r>
            <w:r>
              <w:t xml:space="preserve"> und Schließungen </w:t>
            </w:r>
            <w:r>
              <w:rPr>
                <w:b/>
                <w:i/>
              </w:rPr>
              <w:t>mit Schwerpunkt auf Überwinterungsgebieten und</w:t>
            </w:r>
            <w:r>
              <w:t xml:space="preserve"> Gebieten, </w:t>
            </w:r>
            <w:r>
              <w:rPr>
                <w:b/>
                <w:i/>
              </w:rPr>
              <w:t>in denen sich Fische vor dem Ablaichen sammeln, sowie Laich- und Aufwuchsgebieten umfassen müssen.</w:t>
            </w:r>
            <w:r>
              <w:t xml:space="preserve"> </w:t>
            </w:r>
            <w:r>
              <w:rPr>
                <w:b/>
                <w:i/>
              </w:rPr>
              <w:t>Diese sollten</w:t>
            </w:r>
            <w:r>
              <w:t xml:space="preserve"> mit den Bestimmungen der Verordnung über die Wiederherstellung der Natur </w:t>
            </w:r>
            <w:r>
              <w:rPr>
                <w:b/>
                <w:i/>
              </w:rPr>
              <w:t>im Einklang</w:t>
            </w:r>
            <w:r>
              <w:t xml:space="preserve"> stehen;</w:t>
            </w:r>
          </w:p>
        </w:tc>
        <w:tc>
          <w:tcPr>
            <w:tcW w:w="4876" w:type="dxa"/>
            <w:tcBorders>
              <w:top w:val="nil"/>
              <w:left w:val="nil"/>
              <w:bottom w:val="nil"/>
              <w:right w:val="nil"/>
            </w:tcBorders>
          </w:tcPr>
          <w:p>
            <w:pPr>
              <w:pStyle w:val="Normal6a"/>
            </w:pPr>
            <w:r>
              <w:t>6.</w:t>
            </w:r>
            <w:r>
              <w:tab/>
            </w:r>
            <w:r>
              <w:t xml:space="preserve">betont, dass die Schaffung </w:t>
            </w:r>
            <w:r>
              <w:rPr>
                <w:b/>
                <w:i/>
              </w:rPr>
              <w:t>weiterer Bestandsauffüllungsgebiete</w:t>
            </w:r>
            <w:r>
              <w:t xml:space="preserve"> und Schließungen </w:t>
            </w:r>
            <w:r>
              <w:rPr>
                <w:b/>
                <w:i/>
              </w:rPr>
              <w:t>von</w:t>
            </w:r>
            <w:r>
              <w:t xml:space="preserve"> Gebieten, </w:t>
            </w:r>
            <w:r>
              <w:rPr>
                <w:b/>
                <w:i/>
              </w:rPr>
              <w:t>die im Einklang</w:t>
            </w:r>
            <w:r>
              <w:t xml:space="preserve"> mit den Bestimmungen der Verordnung über die Wiederherstellung der Natur stehen</w:t>
            </w:r>
            <w:r>
              <w:rPr>
                <w:b/>
                <w:i/>
              </w:rPr>
              <w:t>, in Gänze wissenschaftlich begründet und individuell zugeschnitten sein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dass solche Abhilfemaßnahmen die Schaffung von Bestandsauffüllungsgebieten und Schließungen </w:t>
            </w:r>
            <w:r>
              <w:rPr>
                <w:b/>
                <w:i/>
              </w:rPr>
              <w:t>mit Schwerpunkt auf Überwinterungsgebieten und Gebieten, in denen sich Fische vor dem Ablaichen sammeln,</w:t>
            </w:r>
            <w:r>
              <w:t xml:space="preserve"> sowie Laich- und </w:t>
            </w:r>
            <w:r>
              <w:rPr>
                <w:b/>
                <w:i/>
              </w:rPr>
              <w:t>Aufwuchsgebieten</w:t>
            </w:r>
            <w:r>
              <w:t xml:space="preserve"> umfassen müssen</w:t>
            </w:r>
            <w:r>
              <w:rPr>
                <w:b/>
                <w:i/>
              </w:rPr>
              <w:t>.</w:t>
            </w:r>
            <w:r>
              <w:t xml:space="preserve"> </w:t>
            </w:r>
            <w:r>
              <w:rPr>
                <w:b/>
                <w:i/>
              </w:rPr>
              <w:t>Diese sollten</w:t>
            </w:r>
            <w:r>
              <w:t xml:space="preserve"> mit den Bestimmungen der Verordnung über die Wiederherstellung der Natur im Einklang stehen;</w:t>
            </w:r>
          </w:p>
        </w:tc>
        <w:tc>
          <w:tcPr>
            <w:tcW w:w="4876" w:type="dxa"/>
            <w:tcBorders>
              <w:top w:val="nil"/>
              <w:left w:val="nil"/>
              <w:bottom w:val="nil"/>
              <w:right w:val="nil"/>
            </w:tcBorders>
          </w:tcPr>
          <w:p>
            <w:pPr>
              <w:pStyle w:val="Normal6a"/>
            </w:pPr>
            <w:r>
              <w:t>6.</w:t>
            </w:r>
            <w:r>
              <w:tab/>
            </w:r>
            <w:r>
              <w:t xml:space="preserve">betont, dass solche Abhilfemaßnahmen die Schaffung von Bestandsauffüllungsgebieten und Schließungen sowie Laich- und </w:t>
            </w:r>
            <w:r>
              <w:rPr>
                <w:b/>
                <w:i/>
              </w:rPr>
              <w:t>Aufwuchsgebiete</w:t>
            </w:r>
            <w:r>
              <w:t xml:space="preserve"> umfassen müssen</w:t>
            </w:r>
            <w:r>
              <w:rPr>
                <w:b/>
                <w:i/>
              </w:rPr>
              <w:t>, die</w:t>
            </w:r>
            <w:r>
              <w:t xml:space="preserve"> mit den Bestimmungen der Verordnung über die Wiederherstellung der Natur im Einklang stehen</w:t>
            </w:r>
            <w:r>
              <w:rPr>
                <w:b/>
                <w:i/>
              </w:rPr>
              <w:t>, wobei diese Maßnahmen in Gänze wissenschaftlich begründet und individuell zugeschnitten sein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spricht sich dafür aus, dass zusätzliche Meeresschutzgebiete ausgewiesen werden, in denen im Rahmen wissenschaftlicher Bewertungen kritische Lebensräume oder Laichgründe ermittelt wurden, während zugleich auch Pilotprojekte für selektive und schonende Fanggeräte durchgeführt werden sollten, die sich an erfolgreichen Initiativen in der Nordsee und im Skagerrak orientieren;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erinnert die Kommission daran, dass die für den menschlichen Verzehr bestimmte Fischerei </w:t>
            </w:r>
            <w:r>
              <w:rPr>
                <w:b/>
                <w:i/>
              </w:rPr>
              <w:t>mit begrenzten Fangmengen</w:t>
            </w:r>
            <w:r>
              <w:t xml:space="preserve"> geschützt werden muss</w:t>
            </w:r>
            <w:r>
              <w:rPr>
                <w:b/>
                <w:i/>
              </w:rPr>
              <w:t>, damit die betreffenden Fischereien während der Wiederauffüllung ihre Tätigkeit fortsetzen können, um den gerechten</w:t>
            </w:r>
            <w:r>
              <w:t xml:space="preserve"> Übergang zu einer CO2-armen </w:t>
            </w:r>
            <w:r>
              <w:rPr>
                <w:b/>
                <w:i/>
              </w:rPr>
              <w:t>Fischereiflotte mit geringen Umweltauswirkungen voranzubringen</w:t>
            </w:r>
            <w:r>
              <w:t>;</w:t>
            </w:r>
          </w:p>
        </w:tc>
        <w:tc>
          <w:tcPr>
            <w:tcW w:w="4876" w:type="dxa"/>
            <w:tcBorders>
              <w:top w:val="nil"/>
              <w:left w:val="nil"/>
              <w:bottom w:val="nil"/>
              <w:right w:val="nil"/>
            </w:tcBorders>
          </w:tcPr>
          <w:p>
            <w:pPr>
              <w:pStyle w:val="Normal6a"/>
            </w:pPr>
            <w:r>
              <w:t>7.</w:t>
            </w:r>
            <w:r>
              <w:tab/>
            </w:r>
            <w:r>
              <w:t xml:space="preserve">erinnert die Kommission daran, dass </w:t>
            </w:r>
            <w:r>
              <w:rPr>
                <w:b/>
                <w:i/>
              </w:rPr>
              <w:t>im Zeitraum der Wiederauffüllung der Bestände</w:t>
            </w:r>
            <w:r>
              <w:t xml:space="preserve"> die für den menschlichen Verzehr bestimmte Fischerei </w:t>
            </w:r>
            <w:r>
              <w:rPr>
                <w:b/>
                <w:i/>
              </w:rPr>
              <w:t>durch begrenzte und kontrollierte Anlandungen</w:t>
            </w:r>
            <w:r>
              <w:t xml:space="preserve"> geschützt werden muss</w:t>
            </w:r>
            <w:r>
              <w:rPr>
                <w:b/>
                <w:i/>
              </w:rPr>
              <w:t>;</w:t>
            </w:r>
            <w:r>
              <w:t xml:space="preserve"> </w:t>
            </w:r>
            <w:r>
              <w:rPr>
                <w:b/>
                <w:i/>
              </w:rPr>
              <w:t>betont, dass diese Fischerei für die Ernährungssicherheit, die Aufrechterhaltung traditioneller Lieferketten und die Erhaltung von Arbeitsplätzen in Küstenfischereigemeinden von entscheidender Bedeutung ist;</w:t>
            </w:r>
            <w:r>
              <w:t xml:space="preserve"> </w:t>
            </w:r>
            <w:r>
              <w:rPr>
                <w:b/>
                <w:i/>
              </w:rPr>
              <w:t>weist darauf hin, dass durch die Stärkung der zu Konsumzwecken erfolgenden Fischerei im Gegensatz zur industriellen Fischerei ein gerechter</w:t>
            </w:r>
            <w:r>
              <w:t xml:space="preserve"> Übergang zu einer CO2-armen</w:t>
            </w:r>
            <w:r>
              <w:rPr>
                <w:b/>
                <w:i/>
              </w:rPr>
              <w:t>, umweltfreundlichen Flotte und ein größerer Mehrwert für die lokale Wirtschaft gefördert werden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Emma Wiesner,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erinnert</w:t>
            </w:r>
            <w:r>
              <w:t xml:space="preserve"> die Kommission </w:t>
            </w:r>
            <w:r>
              <w:rPr>
                <w:b/>
                <w:i/>
              </w:rPr>
              <w:t>daran</w:t>
            </w:r>
            <w:r>
              <w:t xml:space="preserve">, dass die für den menschlichen Verzehr bestimmte Fischerei </w:t>
            </w:r>
            <w:r>
              <w:rPr>
                <w:b/>
                <w:i/>
              </w:rPr>
              <w:t>mit begrenzten Fangmengen</w:t>
            </w:r>
            <w:r>
              <w:t xml:space="preserve"> geschützt werden </w:t>
            </w:r>
            <w:r>
              <w:rPr>
                <w:b/>
                <w:i/>
              </w:rPr>
              <w:t>muss, damit</w:t>
            </w:r>
            <w:r>
              <w:t xml:space="preserve"> die betreffenden Fischereien während der Wiederauffüllung </w:t>
            </w:r>
            <w:r>
              <w:rPr>
                <w:b/>
                <w:i/>
              </w:rPr>
              <w:t>ihre Tätigkeit</w:t>
            </w:r>
            <w:r>
              <w:t xml:space="preserve"> fortsetzen können, um den gerechten Übergang </w:t>
            </w:r>
            <w:r>
              <w:rPr>
                <w:b/>
                <w:i/>
              </w:rPr>
              <w:t>zu einer CO2-armen Fischereiflotte mit geringen Umweltauswirkungen</w:t>
            </w:r>
            <w:r>
              <w:t xml:space="preserve"> voranzubringen;</w:t>
            </w:r>
          </w:p>
        </w:tc>
        <w:tc>
          <w:tcPr>
            <w:tcW w:w="4876" w:type="dxa"/>
            <w:tcBorders>
              <w:top w:val="nil"/>
              <w:left w:val="nil"/>
              <w:bottom w:val="nil"/>
              <w:right w:val="nil"/>
            </w:tcBorders>
          </w:tcPr>
          <w:p>
            <w:pPr>
              <w:pStyle w:val="Normal6a"/>
            </w:pPr>
            <w:r>
              <w:t>7.</w:t>
            </w:r>
            <w:r>
              <w:tab/>
            </w:r>
            <w:r>
              <w:rPr>
                <w:b/>
                <w:i/>
              </w:rPr>
              <w:t>weist</w:t>
            </w:r>
            <w:r>
              <w:t xml:space="preserve"> die Kommission </w:t>
            </w:r>
            <w:r>
              <w:rPr>
                <w:b/>
                <w:i/>
              </w:rPr>
              <w:t>und den Rat erneut darauf hin</w:t>
            </w:r>
            <w:r>
              <w:t xml:space="preserve">, dass die für den menschlichen Verzehr bestimmte Fischerei </w:t>
            </w:r>
            <w:r>
              <w:rPr>
                <w:b/>
                <w:i/>
              </w:rPr>
              <w:t>und insbesondere die handwerkliche Fischerei sowie selektives Angeln</w:t>
            </w:r>
            <w:r>
              <w:t xml:space="preserve"> geschützt werden </w:t>
            </w:r>
            <w:r>
              <w:rPr>
                <w:b/>
                <w:i/>
              </w:rPr>
              <w:t>müssen, sodass</w:t>
            </w:r>
            <w:r>
              <w:t xml:space="preserve"> die betreffenden Fischereien </w:t>
            </w:r>
            <w:r>
              <w:rPr>
                <w:b/>
                <w:i/>
              </w:rPr>
              <w:t>ihre Tätigkeit</w:t>
            </w:r>
            <w:r>
              <w:t xml:space="preserve"> während der Wiederauffüllung </w:t>
            </w:r>
            <w:r>
              <w:rPr>
                <w:b/>
                <w:i/>
              </w:rPr>
              <w:t>– mit begrenzten Anlandungen –</w:t>
            </w:r>
            <w:r>
              <w:t xml:space="preserve"> fortsetzen können, um den gerechten Übergang </w:t>
            </w:r>
            <w:r>
              <w:rPr>
                <w:b/>
                <w:i/>
              </w:rPr>
              <w:t>während der Erholung und Wiederauffüllung</w:t>
            </w:r>
            <w:r>
              <w:t xml:space="preserve"> voranzubringen; </w:t>
            </w:r>
            <w:r>
              <w:rPr>
                <w:b/>
                <w:i/>
              </w:rPr>
              <w:t>betont in diesem Zusammenhang die Möglichkeiten der Mitgliedstaaten, der handwerklichen Fischerei im Rahmen der Quotenzuteilungen auf nationaler Ebene gemäß Artikel 17 der GFP-Verordnung Vorrang einzuräumen;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erinnert die Kommission daran, dass die für den menschlichen Verzehr bestimmte Fischerei </w:t>
            </w:r>
            <w:r>
              <w:rPr>
                <w:b/>
                <w:i/>
              </w:rPr>
              <w:t>mit begrenzten Fangmengen</w:t>
            </w:r>
            <w:r>
              <w:t xml:space="preserve"> geschützt werden </w:t>
            </w:r>
            <w:r>
              <w:rPr>
                <w:b/>
                <w:i/>
              </w:rPr>
              <w:t>muss, damit</w:t>
            </w:r>
            <w:r>
              <w:t xml:space="preserve"> die betreffenden Fischereien während der Wiederauffüllung </w:t>
            </w:r>
            <w:r>
              <w:rPr>
                <w:b/>
                <w:i/>
              </w:rPr>
              <w:t>ihre Tätigkeit</w:t>
            </w:r>
            <w:r>
              <w:t xml:space="preserve"> fortsetzen können, </w:t>
            </w:r>
            <w:r>
              <w:rPr>
                <w:b/>
                <w:i/>
              </w:rPr>
              <w:t>um den gerechten</w:t>
            </w:r>
            <w:r>
              <w:t xml:space="preserve"> Übergang zu einer </w:t>
            </w:r>
            <w:r>
              <w:rPr>
                <w:b/>
                <w:i/>
              </w:rPr>
              <w:t>CO2</w:t>
            </w:r>
            <w:r>
              <w:t xml:space="preserve">-armen </w:t>
            </w:r>
            <w:r>
              <w:rPr>
                <w:b/>
                <w:i/>
              </w:rPr>
              <w:t>Fischereiflotte</w:t>
            </w:r>
            <w:r>
              <w:t xml:space="preserve"> mit geringen Umweltauswirkungen </w:t>
            </w:r>
            <w:r>
              <w:rPr>
                <w:b/>
                <w:i/>
              </w:rPr>
              <w:t>voranzubringen</w:t>
            </w:r>
            <w:r>
              <w:t>;</w:t>
            </w:r>
          </w:p>
        </w:tc>
        <w:tc>
          <w:tcPr>
            <w:tcW w:w="4876" w:type="dxa"/>
            <w:tcBorders>
              <w:top w:val="nil"/>
              <w:left w:val="nil"/>
              <w:bottom w:val="nil"/>
              <w:right w:val="nil"/>
            </w:tcBorders>
          </w:tcPr>
          <w:p>
            <w:pPr>
              <w:pStyle w:val="Normal6a"/>
            </w:pPr>
            <w:r>
              <w:t>7.</w:t>
            </w:r>
            <w:r>
              <w:tab/>
            </w:r>
            <w:r>
              <w:t xml:space="preserve">erinnert die Kommission daran, dass die für den menschlichen Verzehr bestimmte </w:t>
            </w:r>
            <w:r>
              <w:rPr>
                <w:b/>
                <w:i/>
              </w:rPr>
              <w:t>und umweltschonende</w:t>
            </w:r>
            <w:r>
              <w:t xml:space="preserve"> Fischerei </w:t>
            </w:r>
            <w:r>
              <w:rPr>
                <w:b/>
                <w:i/>
              </w:rPr>
              <w:t>sowie die Freizeitfischerei</w:t>
            </w:r>
            <w:r>
              <w:t xml:space="preserve"> geschützt werden </w:t>
            </w:r>
            <w:r>
              <w:rPr>
                <w:b/>
                <w:i/>
              </w:rPr>
              <w:t>müssen und dass</w:t>
            </w:r>
            <w:r>
              <w:t xml:space="preserve"> die betreffenden Fischereien </w:t>
            </w:r>
            <w:r>
              <w:rPr>
                <w:b/>
                <w:i/>
              </w:rPr>
              <w:t>ihre Tätigkeit</w:t>
            </w:r>
            <w:r>
              <w:t xml:space="preserve"> während der Wiederauffüllung </w:t>
            </w:r>
            <w:r>
              <w:rPr>
                <w:b/>
                <w:i/>
              </w:rPr>
              <w:t>mit begrenzten Anlandungen</w:t>
            </w:r>
            <w:r>
              <w:t xml:space="preserve"> fortsetzen können, </w:t>
            </w:r>
            <w:r>
              <w:rPr>
                <w:b/>
                <w:i/>
              </w:rPr>
              <w:t>wodurch starke Triebkräfte der lokalen Wirtschaften gefördert werden und ein gerechter</w:t>
            </w:r>
            <w:r>
              <w:t xml:space="preserve"> Übergang zu einer </w:t>
            </w:r>
            <w:r>
              <w:rPr>
                <w:b/>
                <w:i/>
              </w:rPr>
              <w:t>CO</w:t>
            </w:r>
            <w:r>
              <w:rPr>
                <w:b/>
                <w:i/>
                <w:vertAlign w:val="subscript"/>
              </w:rPr>
              <w:t>2</w:t>
            </w:r>
            <w:r>
              <w:t xml:space="preserve">-armen </w:t>
            </w:r>
            <w:r>
              <w:rPr>
                <w:b/>
                <w:i/>
              </w:rPr>
              <w:t>Fischerei</w:t>
            </w:r>
            <w:r>
              <w:t xml:space="preserve"> mit geringen Umweltauswirkungen </w:t>
            </w:r>
            <w:r>
              <w:rPr>
                <w:b/>
                <w:i/>
              </w:rPr>
              <w:t>vorangebracht wird, durch die Bestände und gesunde Ökosysteme langfristig erhalten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erinnert</w:t>
            </w:r>
            <w:r>
              <w:t xml:space="preserve"> die Kommission </w:t>
            </w:r>
            <w:r>
              <w:rPr>
                <w:b/>
                <w:i/>
              </w:rPr>
              <w:t>daran</w:t>
            </w:r>
            <w:r>
              <w:t xml:space="preserve">, dass die für den menschlichen Verzehr bestimmte Fischerei mit begrenzten Fangmengen geschützt werden muss, damit die betreffenden Fischereien während der Wiederauffüllung </w:t>
            </w:r>
            <w:r>
              <w:rPr>
                <w:b/>
                <w:i/>
              </w:rPr>
              <w:t>ihre Tätigkeit</w:t>
            </w:r>
            <w:r>
              <w:t xml:space="preserve"> fortsetzen können</w:t>
            </w:r>
            <w:r>
              <w:rPr>
                <w:b/>
                <w:i/>
              </w:rPr>
              <w:t>, um den gerechten Übergang zu einer CO2-armen Fischereiflotte mit geringen Umweltauswirkungen voranzubringen</w:t>
            </w:r>
            <w:r>
              <w:t>;</w:t>
            </w:r>
          </w:p>
        </w:tc>
        <w:tc>
          <w:tcPr>
            <w:tcW w:w="4876" w:type="dxa"/>
            <w:tcBorders>
              <w:top w:val="nil"/>
              <w:left w:val="nil"/>
              <w:bottom w:val="nil"/>
              <w:right w:val="nil"/>
            </w:tcBorders>
          </w:tcPr>
          <w:p>
            <w:pPr>
              <w:pStyle w:val="Normal6a"/>
            </w:pPr>
            <w:r>
              <w:t>7.</w:t>
            </w:r>
            <w:r>
              <w:tab/>
            </w:r>
            <w:r>
              <w:rPr>
                <w:b/>
                <w:i/>
              </w:rPr>
              <w:t>weist</w:t>
            </w:r>
            <w:r>
              <w:t xml:space="preserve"> die Kommission </w:t>
            </w:r>
            <w:r>
              <w:rPr>
                <w:b/>
                <w:i/>
              </w:rPr>
              <w:t>erneut darauf hin</w:t>
            </w:r>
            <w:r>
              <w:t xml:space="preserve">, dass die für den menschlichen Verzehr bestimmte Fischerei mit begrenzten Fangmengen geschützt werden muss, damit die betreffenden Fischereien </w:t>
            </w:r>
            <w:r>
              <w:rPr>
                <w:b/>
                <w:i/>
              </w:rPr>
              <w:t>ihre Tätigkeit</w:t>
            </w:r>
            <w:r>
              <w:t xml:space="preserve"> während der Wiederauffüllung fortsetzen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erinnert</w:t>
            </w:r>
            <w:r>
              <w:t xml:space="preserve"> die Kommission </w:t>
            </w:r>
            <w:r>
              <w:rPr>
                <w:b/>
                <w:i/>
              </w:rPr>
              <w:t>daran</w:t>
            </w:r>
            <w:r>
              <w:t xml:space="preserve">, dass die für den menschlichen Verzehr bestimmte Fischerei mit begrenzten Fangmengen geschützt werden muss, damit die betreffenden Fischereien während der Wiederauffüllung </w:t>
            </w:r>
            <w:r>
              <w:rPr>
                <w:b/>
                <w:i/>
              </w:rPr>
              <w:t>ihre Tätigkeit</w:t>
            </w:r>
            <w:r>
              <w:t xml:space="preserve"> fortsetzen können</w:t>
            </w:r>
            <w:r>
              <w:rPr>
                <w:b/>
                <w:i/>
              </w:rPr>
              <w:t>, um den gerechten Übergang zu einer CO2-armen Fischereiflotte mit geringen Umweltauswirkungen voranzubringen</w:t>
            </w:r>
            <w:r>
              <w:t>;</w:t>
            </w:r>
          </w:p>
        </w:tc>
        <w:tc>
          <w:tcPr>
            <w:tcW w:w="4876" w:type="dxa"/>
            <w:tcBorders>
              <w:top w:val="nil"/>
              <w:left w:val="nil"/>
              <w:bottom w:val="nil"/>
              <w:right w:val="nil"/>
            </w:tcBorders>
          </w:tcPr>
          <w:p>
            <w:pPr>
              <w:pStyle w:val="Normal6a"/>
            </w:pPr>
            <w:r>
              <w:t>7.</w:t>
            </w:r>
            <w:r>
              <w:tab/>
            </w:r>
            <w:r>
              <w:rPr>
                <w:b/>
                <w:i/>
              </w:rPr>
              <w:t>weist</w:t>
            </w:r>
            <w:r>
              <w:t xml:space="preserve"> die Kommission </w:t>
            </w:r>
            <w:r>
              <w:rPr>
                <w:b/>
                <w:i/>
              </w:rPr>
              <w:t>erneut darauf hin</w:t>
            </w:r>
            <w:r>
              <w:t xml:space="preserve">, dass die für den menschlichen Verzehr bestimmte Fischerei mit begrenzten Fangmengen geschützt werden muss, damit die betreffenden Fischereien </w:t>
            </w:r>
            <w:r>
              <w:rPr>
                <w:b/>
                <w:i/>
              </w:rPr>
              <w:t>ihre Tätigkeit</w:t>
            </w:r>
            <w:r>
              <w:t xml:space="preserve"> während der Wiederauffüllung </w:t>
            </w:r>
            <w:r>
              <w:rPr>
                <w:b/>
                <w:i/>
              </w:rPr>
              <w:t>der Fischbestände</w:t>
            </w:r>
            <w:r>
              <w:t xml:space="preserve"> fortsetzen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erinnert die Kommission daran, dass</w:t>
            </w:r>
            <w:r>
              <w:t xml:space="preserve"> die für den menschlichen Verzehr bestimmte Fischerei </w:t>
            </w:r>
            <w:r>
              <w:rPr>
                <w:b/>
                <w:i/>
              </w:rPr>
              <w:t>mit begrenzten Fangmengen geschützt werden muss, damit die betreffenden Fischereien</w:t>
            </w:r>
            <w:r>
              <w:t xml:space="preserve"> während der Wiederauffüllung </w:t>
            </w:r>
            <w:r>
              <w:rPr>
                <w:b/>
                <w:i/>
              </w:rPr>
              <w:t>ihre Tätigkeit fortsetzen können, um den gerechten</w:t>
            </w:r>
            <w:r>
              <w:t xml:space="preserve"> Übergang zu </w:t>
            </w:r>
            <w:r>
              <w:rPr>
                <w:b/>
                <w:i/>
              </w:rPr>
              <w:t>einer CO2-armen Fischereiflotte mit geringen Umweltauswirkungen voranzubringen</w:t>
            </w:r>
            <w:r>
              <w:t>;</w:t>
            </w:r>
          </w:p>
        </w:tc>
        <w:tc>
          <w:tcPr>
            <w:tcW w:w="4876" w:type="dxa"/>
            <w:tcBorders>
              <w:top w:val="nil"/>
              <w:left w:val="nil"/>
              <w:bottom w:val="nil"/>
              <w:right w:val="nil"/>
            </w:tcBorders>
          </w:tcPr>
          <w:p>
            <w:pPr>
              <w:pStyle w:val="Normal6a"/>
            </w:pPr>
            <w:r>
              <w:t>7.</w:t>
            </w:r>
            <w:r>
              <w:tab/>
            </w:r>
            <w:r>
              <w:rPr>
                <w:b/>
                <w:i/>
              </w:rPr>
              <w:t>weist darauf hin, dass es wichtig ist, die handwerkliche Fischerei und</w:t>
            </w:r>
            <w:r>
              <w:t xml:space="preserve"> die für den menschlichen Verzehr bestimmte Fischerei </w:t>
            </w:r>
            <w:r>
              <w:rPr>
                <w:b/>
                <w:i/>
              </w:rPr>
              <w:t>aufgrund ihres sozialen und kulturellen Werts</w:t>
            </w:r>
            <w:r>
              <w:t xml:space="preserve"> während der Wiederauffüllung </w:t>
            </w:r>
            <w:r>
              <w:rPr>
                <w:b/>
                <w:i/>
              </w:rPr>
              <w:t>beizubehalten, und befürwortet Maßnahmen, durch die ihre wirtschaftliche Tragfähigkeit und der schrittweise</w:t>
            </w:r>
            <w:r>
              <w:t xml:space="preserve"> Übergang zu </w:t>
            </w:r>
            <w:r>
              <w:rPr>
                <w:b/>
                <w:i/>
              </w:rPr>
              <w:t>kraftstoffeffizienteren Methoden unterstützt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Einführung sozioökonomischer Verfahren zur Schadensminimierung für die betroffenen Fischereigemeinden, einschließlich finanzieller Hilfen, flexibler Regelungen für die vorübergehende Einstellung der Fangtätigkeit, Entschädigungssystemen und Übergangsunterstützung;</w:t>
            </w:r>
            <w:r>
              <w:t xml:space="preserve"> </w:t>
            </w:r>
            <w:r>
              <w:rPr>
                <w:b/>
                <w:i/>
              </w:rPr>
              <w:t>fordert die Kommission und die Mitgliedstaaten auf, im Einklang mit dem Pakt für die Meere und dem Kompass für Wettbewerbsfähigkeit Mittel in angemessener Höhe bereitzustellen, um die nachhaltige Wettbewerbsfähigkeit des Ostseeraums durch die Förderung von Innovation, Digitalisierung und Modernisierung des Fischereisektors zu verbessern und gleichzeitig den Verwaltungsaufwand zu verringern und die grenzübergreifende Zusammenarbeit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Kommission und die Mitgliedstaaten auf, der sozioökonomischen Erholung der kleinen Küstenfischerei Vorrang einzuräumen, indem im Rahmen des EMFAF gezielte Unterstützung eingeführt wird, einschließlich befristeter Beihilfeprogramme, Investitionen in selektive und schonende Fanggeräte und Maßnahmen zur Gewährleistung eines fairen Zugangs zu Fangmöglichkeiten in Küstengebieten, die kleinen Fischereibetrieben vorbehalten sind;</w:t>
            </w:r>
            <w:r>
              <w:t xml:space="preserve"> </w:t>
            </w:r>
            <w:r>
              <w:rPr>
                <w:b/>
                <w:i/>
              </w:rPr>
              <w:t>bekräftigt in diesem Zusammenhang, dass es wichtig ist, diese Finanzierung im nächsten mehrjährigen Finanzrahmen für den Zeitraum 2028-2034 in einen speziellen Fonds einzubetten;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 besorgt über den anhaltenden Rückgang der Flotte und stellt fest, dass die in der Ostsee tätigen Flotten der Mitgliedstaaten im Jahr 2022 insgesamt etwa 4 831 aktive Fischereifahrzeuge umfassten, was einem Rückgang um 5 % gegenüber 2021 und um 15 % gegenüber dem langfristigen Durchschnitt entspricht;</w:t>
            </w:r>
            <w:r>
              <w:t xml:space="preserve"> </w:t>
            </w:r>
            <w:r>
              <w:rPr>
                <w:b/>
                <w:i/>
              </w:rPr>
              <w:t>fordert die Annahme sozioökonomischer Verfahren zur Schadensminimierung für die betroffenen Fischereigemeinden, einschließlich finanzieller Hilfen, flexibler Regelungen für die vorübergehende Einstellung der Fangtätigkeit, Entschädigungssystemen und Übergangsunterstützung;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Kommission und die Mitgliedstaaten auf, der sozioökonomischen Erholung der kleinen Küstenfischerei Vorrang einzuräumen, indem im Rahmen des EMFAF gezielte Unterstützungsmaßnahmen vorgesehen werden, einschließlich befristeter Beihilferegelungen, Investitionen in selektive und schonende Fanggeräte und Maßnahmen zur Sicherstellung eines fairen Zugangs zu Fangmöglichkeiten in Küstengebieten, die kleinen Fischereibetrieben vorbehalten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Annahme umfassender Unterstützungsmechanismen für Fischereigemeinden, die von Fischereibeschränkungen betroffen sind, einschließlich finanzieller Überbrückungsbeihilfen, flexibler befristeter Programme zur Aussetzung der Fangtätigkeit sowie Ausgleichs- und Übergangsregelungen, die den Erhalt von Arbeitsplätzen und den Wiederaufbau der lokalen Küstenwirtschaft ermöglichen;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Mitgliedstaaten auf, der illegalen Praxis des Rückwurfs ein Ende zu setzen sowie die Um- und Durchsetzung der Anlandeverpflichtung zu verbessern und hierzu für alle Grundschleppnetzfischer, die im Kattegat und in der Ostsee fischen, eine obligatorische elektronische Videofernüberwachung einzuführen;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hebt hervor, dass sozioökonomische Nachhaltigkeit für die Ostseefischerei enorm wichtig ist;</w:t>
            </w:r>
            <w:r>
              <w:t xml:space="preserve"> </w:t>
            </w:r>
            <w:r>
              <w:rPr>
                <w:b/>
                <w:i/>
              </w:rPr>
              <w:t>fordert die Kommission nachdrücklich auf, die erforderlichen Maßnahmen zu ergreifen, um zur Sicherstellung eines rentablen Fischereisektors beizutragen, durch den wiederum zur Ernährungssicherheit und zur Resilienz des Lebensmittelsektors in der EU beigetragen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hebt hervor, dass sozioökonomische Nachhaltigkeit für die Ostseefischerei enorm wichtig ist;</w:t>
            </w:r>
            <w:r>
              <w:t xml:space="preserve"> </w:t>
            </w:r>
            <w:r>
              <w:rPr>
                <w:b/>
                <w:i/>
              </w:rPr>
              <w:t>fordert die Kommission nachdrücklich auf, die erforderlichen Maßnahmen zu ergreifen, um zur Sicherstellung eines rentablen Fischereisektors beizutragen, durch den wiederum zur Ernährungssicherheit und zur Resilienz des Lebensmittelsektors in der EU beigetragen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vollständige und rasche Umsetzung der Nitrat-Richtlinie, damit landwirtschaftliche Abflüsse dem Ostseebecken und anderen EU-Gewässern nicht weiter schaden;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verurteilt die unverantwortliche, nicht nachhaltige und unwissenschaftliche Nutzung der Fischbestände in der Ostsee durch Russland;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stellt fest, dass die Umsetzung der Ziele des Pakts für die Meere und des Kompasses für Wettbewerbsfähigkeit erfordert, dass die finanzielle Unterstützung auf die Entwicklung der maritimen Wirtschaft des Ostseeraums durch Investitionen in Innovation, Digitalisierung und Modernisierung des Fischereisektors ausgerichtet wird;</w:t>
            </w:r>
            <w:r>
              <w:t xml:space="preserve"> </w:t>
            </w:r>
            <w:r>
              <w:rPr>
                <w:b/>
                <w:i/>
              </w:rPr>
              <w:t>betont, dass der Verwaltungsaufwand verringert und die grenzüberschreitende Zusammenarbeit gefördert werden muss, um die Widerstandsfähigkeit und dauerhafte Wettbewerbsfähigkeit des Sektors zu erhöhen;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die Kommission und die Mitgliedstaaten im Einklang mit dem Pakt für die Meere und dem Kompass für Wettbewerbsfähigkeit auf, Mittel in angemessener Höhe bereitzustellen, um die nachhaltige Wettbewerbsfähigkeit des Ostseeraums durch die Förderung von Innovation, Digitalisierung und Modernisierung des Fischereisektors zu verbessern sowie gleichzeitig den Verwaltungsaufwand zu verringern und die grenzübergreifende Zusammenarbeit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die Kommission auf, dafür zu sorgen, dass im Mehrjahresplan für die Ostsee neben Umweltzielen auch sozioökonomische Erwägungen berücksichtigt werden;</w:t>
            </w:r>
            <w:r>
              <w:t xml:space="preserve"> </w:t>
            </w:r>
            <w:r>
              <w:rPr>
                <w:b/>
                <w:i/>
              </w:rPr>
              <w:t>betont, dass im Rahmen des Mehrjahresplans ein ausgewogenerer Ansatz verfolgt werden sollte, dessen Schwerpunkt nicht nur auf Erhaltungszielen und MSY-Zielen liegen sollte, sondern auch auf wirtschaftlicher und sozialer Nachhaltigkeit der von der Fischerei abhängigen Küstengemeinden;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die Kommission und die Mitgliedstaaten auf, die Ostseepolitik mit dem Kompass für Wettbewerbsfähigkeit in Einklang zu bringen, Innovation, Dekarbonisierung und der Verringerung des Verwaltungsaufwands Vorrang einzuräumen und gleichzeitig die Entwicklung von Kompetenzen zu fördern und für eine bessere Koordinierung zwischen den Politikbereichen zu sorgen, um die Resilienz und Wettbewerbsfähigkeit des Ostseeraums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betont, dass die handwerkliche Fischerei eine maßgebliche Rolle bei der Aufrechterhaltung lokaler Lebensmittelversorgungsketten und der Wahrung des Kulturerbes in den Küstengemeinden der Ostsee spielt;</w:t>
            </w:r>
            <w:r>
              <w:t xml:space="preserve"> </w:t>
            </w:r>
            <w:r>
              <w:rPr>
                <w:b/>
                <w:i/>
              </w:rPr>
              <w:t>fordert eine Überarbeitung der nationalen Quotenzuteilungen gemäß Artikel 17 der GFP-Verordnung, um umweltverträgliche Fischereien, die auf das Fangen von Fischen für den menschlichen Verzehr ausgerichtet sind, zu honorieren;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den Rat und die Kommission auf, bei der Festlegung von Quoten für die Ostsee die einseitigen Maßnahmen der Russischen Föderation zu berücksichtigen, und fordert die Kommission zudem auf, Maßnahmen in Erwägung zu ziehen, mit denen Russland dazu veranlasst werden soll, Quoten entsprechend wissenschaftlichen Gutachten zu 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stärkere Maßnahmen der Kommission, einschließlich rechtlicher Schritte, in den Fällen, in denen Mitgliedstaaten die Umsetzung der Bestimmungen des Mehrjahresplans für die Ostsee, etwa Artikel 3 Absatz 3, Artikel 4 Absatz 6 und Artikel 5, missachten;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fordert die Mitgliedstaaten auf, Maßnahmen zum Schutz und zur Renaturierung von Laich- und Aufwuchsgebieten durchzuführen;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fordert die Kommission und die Mitgliedstaaten nachdrücklich auf, ein Paket für die Küstenfischerei in der Ostsee auszuarbeiten, um die Resilienz und wirtschaftliche Tragfähigkeit kleiner und umweltschonender Fischereien zu stärken, was auch reservierte Küstengebiete, zweckgebundene Mittel für Innovationen im Bereich von Geräten für selektiven Fischfang und einen bevorzugten Zugang zu Fangmöglichkeiten für Schiffe, die für den menschlichen Verzehr bestimmte Fänge anlanden, einschließt;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ist besorgt über den anhaltenden Rückgang der Zahl der aktiven Fischereifahrzeuge in der Ostsee</w:t>
            </w:r>
            <w:r>
              <w:rPr>
                <w:b/>
                <w:i/>
                <w:vertAlign w:val="superscript"/>
              </w:rPr>
              <w:t>4a</w:t>
            </w:r>
            <w:r>
              <w:t xml:space="preserve"> </w:t>
            </w:r>
            <w:r>
              <w:rPr>
                <w:b/>
                <w:i/>
              </w:rPr>
              <w:t>und betont, dass die betreffenden Gemeinden dringend sozioökonomisch unterstützt werden müssen, was auch finanzielle Hilfe, Entschädigungen und Unterstützung für den Übergang zu nachhaltigen Fangmethoden einschließt;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https://www.europarl.europa.eu/RegData/etudes/BRIE/2025/767218/EPRS_BRI(2025)767218_EN.pdf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weist darauf hin, dass aktuellen Forschungsergebnissen zufolge bestehende Offshore-Windparks vielen Fischarten Schutz bieten und sich positiv auf die biologische Vielfalt und die Entwicklung der Lebensmittelkette auswirken;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unterstreicht die Kontrollfunktion, die das Europäische Parlament als Legislativorgan in Bezug auf die Fischereivorschriften der EU im Hinblick auf Beschlüsse des Rates erfüllen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fordert die Kommission auf, weitere Maßnahmen zur Bekämpfung der russischen Schattenflotte, insbesondere im Ostseeraum,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fordert die Kommission und die Mitgliedstaaten auf, im Einklang mit den Zielen des Kompasses für Wettbewerbsfähigkeit die nachhaltige Wettbewerbsfähigkeit des Fischereisektors in der Ostsee zu verbessern, indem Innovation, Modernisierung und Digitalisierung gefördert werden;</w:t>
            </w:r>
            <w:r>
              <w:t xml:space="preserve"> </w:t>
            </w:r>
            <w:r>
              <w:rPr>
                <w:b/>
                <w:i/>
              </w:rPr>
              <w:t>betont, dass der Verwaltungsaufwand verringert und die grenzübergreifende Zusammenarbeit gestärkt werden muss, um die Resilienz des Sektors gegenüber ökologischen und marktbezogenen Herausforderungen sicherzustellen;</w:t>
            </w:r>
            <w:r>
              <w:t xml:space="preserve"> </w:t>
            </w:r>
            <w:r>
              <w:rPr>
                <w:b/>
                <w:i/>
              </w:rPr>
              <w:t>unterstreicht, dass es wichtig ist, die langfristige sozioökonomische Stabilität der Küstengemeinden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fordert ambitionierte Maßnahmen zur Eindämmung des Klimawandels und wirksame Anpassungsmaßnahmen, um zu verhindern, dass die Risiken zunehmen und die Kosten steigen, weil Maßnahmen verzögert ergriffen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unterstreicht die Rolle des Europäischen Pakts für die Meere, wenn es darum geht, eine nachhaltige blaue Wirtschaft in der Ostsee zu fördern und dabei auf gezielte Maßnahmen zur Wiederauffüllung von Fischbeständen und zur Verringerung der Umweltbelastung zu setzen;</w:t>
            </w:r>
            <w:r>
              <w:t xml:space="preserve"> </w:t>
            </w:r>
            <w:r>
              <w:rPr>
                <w:b/>
                <w:i/>
              </w:rPr>
              <w:t>betont, dass politische Maßnahmen erforderlich sind, mit denen sichergestellt wird, dass es im Ostseeraum zu einem Übergang zu einer resilienten und wettbewerbsfähigen blauen Wirtschaft kommt, durch die sowohl Umweltziele als auch das sozioökonomische Wohlergehen der Küstenbevölkerung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weist erneut auf die schwerwiegenden Umwelt- und Sicherheitsrisiken hin, die von im Ersten und Zweiten Weltkrieg in der Ostsee versenkter Munition ausgehen;</w:t>
            </w:r>
            <w:r>
              <w:t xml:space="preserve"> </w:t>
            </w:r>
            <w:r>
              <w:rPr>
                <w:b/>
                <w:i/>
              </w:rPr>
              <w:t>verweist auf seine Entschließung 2021/2567(RSP) und die erfolgreiche Umsetzung der Projekte Chemsea, Daimon und Daimon 3;</w:t>
            </w:r>
            <w:r>
              <w:t xml:space="preserve"> </w:t>
            </w:r>
            <w:r>
              <w:rPr>
                <w:b/>
                <w:i/>
              </w:rPr>
              <w:t>fordert die Kommission und die Mitgliedstaaten nachdrücklich auf, weitere koordinierte und praxisorientierte Maßnahmen zu ergreifen, um diese gefährlichen Materialien ausfindig zu machen, zu überwachen und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7g.</w:t>
            </w:r>
            <w:r>
              <w:tab/>
            </w:r>
            <w:r>
              <w:rPr>
                <w:b/>
                <w:i/>
              </w:rPr>
              <w:t>verurteilt die zunehmende Präsenz der russischen Schattenflotte in der Ostsee aufs Schärfste, bei deren Tätigkeiten wichtige rechtliche Normen umgangen werden, wodurch das Risiko von Ölunfällen und anderen Umweltschäden steigt;</w:t>
            </w:r>
            <w:r>
              <w:t xml:space="preserve"> </w:t>
            </w:r>
            <w:r>
              <w:rPr>
                <w:b/>
                <w:i/>
              </w:rPr>
              <w:t>weist auf den potenziellen Schaden hin, der sich für die Meeresökosysteme, die lokalen Fischereien und die Gesundheit des Menschen ergeben kann;</w:t>
            </w:r>
            <w:r>
              <w:t xml:space="preserve"> </w:t>
            </w:r>
            <w:r>
              <w:rPr>
                <w:b/>
                <w:i/>
              </w:rPr>
              <w:t>fordert eine verstärkte regionale Zusammenarbeit und eine strengere Durchsetzung, um diese Risiken zu mindern und die Ressourcen der Ostsee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Ein </w:t>
            </w:r>
            <w:r>
              <w:rPr>
                <w:b/>
                <w:i/>
              </w:rPr>
              <w:t>aktualisierter</w:t>
            </w:r>
            <w:r>
              <w:t xml:space="preserve"> Ansatz für die wissenschaftliche Beratung</w:t>
            </w:r>
          </w:p>
        </w:tc>
        <w:tc>
          <w:tcPr>
            <w:tcW w:w="4876" w:type="dxa"/>
            <w:tcBorders>
              <w:top w:val="nil"/>
              <w:left w:val="nil"/>
              <w:bottom w:val="nil"/>
              <w:right w:val="nil"/>
            </w:tcBorders>
          </w:tcPr>
          <w:p>
            <w:pPr>
              <w:pStyle w:val="Normal6a"/>
            </w:pPr>
            <w:r>
              <w:t xml:space="preserve">Ein </w:t>
            </w:r>
            <w:r>
              <w:rPr>
                <w:b/>
                <w:i/>
              </w:rPr>
              <w:t>verbesserter</w:t>
            </w:r>
            <w:r>
              <w:t xml:space="preserve"> Ansatz für die wissenschaftliche Beratung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Ein </w:t>
            </w:r>
            <w:r>
              <w:rPr>
                <w:b/>
                <w:i/>
              </w:rPr>
              <w:t>aktualisierter</w:t>
            </w:r>
            <w:r>
              <w:t xml:space="preserve"> Ansatz für die wissenschaftliche Beratung</w:t>
            </w:r>
          </w:p>
        </w:tc>
        <w:tc>
          <w:tcPr>
            <w:tcW w:w="4876" w:type="dxa"/>
            <w:tcBorders>
              <w:top w:val="nil"/>
              <w:left w:val="nil"/>
              <w:bottom w:val="nil"/>
              <w:right w:val="nil"/>
            </w:tcBorders>
          </w:tcPr>
          <w:p>
            <w:pPr>
              <w:pStyle w:val="Normal6a"/>
            </w:pPr>
            <w:r>
              <w:t xml:space="preserve">Ein </w:t>
            </w:r>
            <w:r>
              <w:rPr>
                <w:b/>
                <w:i/>
              </w:rPr>
              <w:t>verbesserter</w:t>
            </w:r>
            <w:r>
              <w:t xml:space="preserve"> Ansatz für die wissenschaftliche Beratung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Ein aktualisierter Ansatz für die wissenschaftliche</w:t>
            </w:r>
            <w:r>
              <w:t xml:space="preserve"> Beratung</w:t>
            </w:r>
          </w:p>
        </w:tc>
        <w:tc>
          <w:tcPr>
            <w:tcW w:w="4876" w:type="dxa"/>
            <w:tcBorders>
              <w:top w:val="nil"/>
              <w:left w:val="nil"/>
              <w:bottom w:val="nil"/>
              <w:right w:val="nil"/>
            </w:tcBorders>
          </w:tcPr>
          <w:p>
            <w:pPr>
              <w:pStyle w:val="Normal6a"/>
            </w:pPr>
            <w:r>
              <w:rPr>
                <w:b/>
                <w:i/>
              </w:rPr>
              <w:t>Verbesserung der wissenschaftlichen</w:t>
            </w:r>
            <w:r>
              <w:t xml:space="preserve"> Beratung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nachdrücklich auf, den ICES </w:t>
            </w:r>
            <w:r>
              <w:rPr>
                <w:b/>
                <w:i/>
              </w:rPr>
              <w:t>unverzüglich zu beauftragen</w:t>
            </w:r>
            <w:r>
              <w:t xml:space="preserve">, ein auf dem Ökosystem basierendes, mehrere Arten umfassendes Gutachten zu erstellen, das sich auf Umweltveränderungen stützt und ökosystembasierte Referenzpunkte und eine an das Ökosystem angepasste fischereiliche Sterblichkeit enthält, </w:t>
            </w:r>
            <w:r>
              <w:rPr>
                <w:b/>
                <w:i/>
              </w:rPr>
              <w:t>sowie</w:t>
            </w:r>
            <w:r>
              <w:t xml:space="preserve"> ergänzende Indikatoren, die </w:t>
            </w:r>
            <w:r>
              <w:rPr>
                <w:b/>
                <w:i/>
              </w:rPr>
              <w:t>den Mehrjahresplan für die Ostsee mit den</w:t>
            </w:r>
            <w:r>
              <w:t xml:space="preserve"> Anforderungen der Meeresstrategie-Rahmenrichtlinie </w:t>
            </w:r>
            <w:r>
              <w:rPr>
                <w:b/>
                <w:i/>
              </w:rPr>
              <w:t>in Einklang bringen</w:t>
            </w:r>
            <w:r>
              <w:t>, beispielsweise durch die Einbeziehung von Indikatoren für große Fische;</w:t>
            </w:r>
          </w:p>
        </w:tc>
        <w:tc>
          <w:tcPr>
            <w:tcW w:w="4876" w:type="dxa"/>
            <w:tcBorders>
              <w:top w:val="nil"/>
              <w:left w:val="nil"/>
              <w:bottom w:val="nil"/>
              <w:right w:val="nil"/>
            </w:tcBorders>
          </w:tcPr>
          <w:p>
            <w:pPr>
              <w:pStyle w:val="Normal6a"/>
            </w:pPr>
            <w:r>
              <w:t>8.</w:t>
            </w:r>
            <w:r>
              <w:tab/>
            </w:r>
            <w:r>
              <w:t xml:space="preserve">fordert die Kommission nachdrücklich auf, den ICES </w:t>
            </w:r>
            <w:r>
              <w:rPr>
                <w:b/>
                <w:i/>
              </w:rPr>
              <w:t>zu ersuchen</w:t>
            </w:r>
            <w:r>
              <w:t xml:space="preserve">, ein auf dem Ökosystem basierendes, mehrere Arten umfassendes Gutachten zu erstellen, das sich auf Umweltveränderungen stützt und ökosystembasierte Referenzpunkte und eine an das Ökosystem angepasste fischereiliche Sterblichkeit enthält, </w:t>
            </w:r>
            <w:r>
              <w:rPr>
                <w:b/>
                <w:i/>
              </w:rPr>
              <w:t>und fordert zudem nachdrücklich</w:t>
            </w:r>
            <w:r>
              <w:t xml:space="preserve"> ergänzende Indikatoren, </w:t>
            </w:r>
            <w:r>
              <w:rPr>
                <w:b/>
                <w:i/>
              </w:rPr>
              <w:t>durch</w:t>
            </w:r>
            <w:r>
              <w:t xml:space="preserve"> die </w:t>
            </w:r>
            <w:r>
              <w:rPr>
                <w:b/>
                <w:i/>
              </w:rPr>
              <w:t>die Ersuchen mit</w:t>
            </w:r>
            <w:r>
              <w:t xml:space="preserve"> Anforderungen </w:t>
            </w:r>
            <w:r>
              <w:rPr>
                <w:b/>
                <w:i/>
              </w:rPr>
              <w:t>in anderen einschlägigen Fischereivorschriften wie</w:t>
            </w:r>
            <w:r>
              <w:t xml:space="preserve"> der Meeresstrategie-Rahmenrichtlinie </w:t>
            </w:r>
            <w:r>
              <w:rPr>
                <w:b/>
                <w:i/>
              </w:rPr>
              <w:t>weiter ergänzt werden</w:t>
            </w:r>
            <w:r>
              <w:t xml:space="preserve">, beispielsweise durch die Einbeziehung von Indikatoren für große Fische </w:t>
            </w:r>
            <w:r>
              <w:rPr>
                <w:b/>
                <w:i/>
              </w:rPr>
              <w:t>sowie von Indikatoren zu Alters- und Größenverteilung</w:t>
            </w:r>
            <w:r>
              <w:t xml:space="preserve">; </w:t>
            </w:r>
            <w:r>
              <w:rPr>
                <w:b/>
                <w:i/>
              </w:rPr>
              <w:t>fordert die Kommission ferner auf, den ICES zu ersuchen, die vorgenannten Referenzpunkte zu nutzen, um ihre Modelle weiterzuentwickeln und somit die Qualität der Gutachten für die Wiederauffüllung der Bestände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Kommission nachdrücklich auf, den ICES unverzüglich zu beauftragen, ein auf dem Ökosystem basierendes, mehrere Arten umfassendes Gutachten zu erstellen, das sich auf Umweltveränderungen stützt und ökosystembasierte Referenzpunkte und eine an das Ökosystem angepasste fischereiliche Sterblichkeit enthält, sowie ergänzende Indikatoren, die den Mehrjahresplan für die Ostsee mit den Anforderungen der Meeresstrategie-Rahmenrichtlinie in Einklang bringen, beispielsweise durch die Einbeziehung von Indikatoren für große Fische;</w:t>
            </w:r>
          </w:p>
        </w:tc>
        <w:tc>
          <w:tcPr>
            <w:tcW w:w="4876" w:type="dxa"/>
            <w:tcBorders>
              <w:top w:val="nil"/>
              <w:left w:val="nil"/>
              <w:bottom w:val="nil"/>
              <w:right w:val="nil"/>
            </w:tcBorders>
          </w:tcPr>
          <w:p>
            <w:pPr>
              <w:pStyle w:val="Normal6a"/>
            </w:pPr>
            <w:r>
              <w:t>8.</w:t>
            </w:r>
            <w:r>
              <w:tab/>
            </w:r>
            <w:r>
              <w:t>fordert die Kommission nachdrücklich auf, den ICES unverzüglich zu beauftragen, ein auf dem Ökosystem basierendes, mehrere Arten umfassendes Gutachten zu erstellen,das sich auf Umweltveränderungen stützt und ökosystembasierte Referenzpunkte und eine an das Ökosystem angepasste fischereiliche Sterblichkeit enthält, sowie ergänzende Indikatoren, die den Mehrjahresplan für die Ostsee mit den Anforderungen der Meeresstrategie-Rahmenrichtlinie in Einklang bringen, beispielsweise durch die Einbeziehung von Indikatoren für große Fische</w:t>
            </w:r>
            <w:r>
              <w:rPr>
                <w:b/>
                <w:i/>
              </w:rPr>
              <w:t>, während gleichzeitig vollständige Transparenz und Rechenschaftspflicht im Beratungsprozess gewahrt werden und sichergestellt wird, dass ein Übergang zu ökosystembasierten Modellen nicht zu übermäßiger wissenschaftlicher Unsicherheit führt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nachdrücklich auf, den ICES </w:t>
            </w:r>
            <w:r>
              <w:rPr>
                <w:b/>
                <w:i/>
              </w:rPr>
              <w:t>unverzüglich zu beauftragen</w:t>
            </w:r>
            <w:r>
              <w:t>, ein auf dem Ökosystem basierendes</w:t>
            </w:r>
            <w:r>
              <w:rPr>
                <w:b/>
                <w:i/>
              </w:rPr>
              <w:t>, mehrere Arten umfassendes</w:t>
            </w:r>
            <w:r>
              <w:t xml:space="preserve"> Gutachten zu erstellen, das sich auf </w:t>
            </w:r>
            <w:r>
              <w:rPr>
                <w:b/>
                <w:i/>
              </w:rPr>
              <w:t>Umweltveränderungen</w:t>
            </w:r>
            <w:r>
              <w:t xml:space="preserve"> stützt </w:t>
            </w:r>
            <w:r>
              <w:rPr>
                <w:b/>
                <w:i/>
              </w:rPr>
              <w:t>und ökosystembasierte Referenzpunkte und eine an das Ökosystem angepasste fischereiliche Sterblichkeit enthält, sowie ergänzende Indikatoren, die den Mehrjahresplan</w:t>
            </w:r>
            <w:r>
              <w:t xml:space="preserve"> für die Ostsee </w:t>
            </w:r>
            <w:r>
              <w:rPr>
                <w:b/>
                <w:i/>
              </w:rPr>
              <w:t>mit den Anforderungen der Meeresstrategie-Rahmenrichtlinie in Einklang bringen, beispielsweise durch die Einbeziehung von Indikatoren für große Fische</w:t>
            </w:r>
            <w:r>
              <w:t>;</w:t>
            </w:r>
          </w:p>
        </w:tc>
        <w:tc>
          <w:tcPr>
            <w:tcW w:w="4876" w:type="dxa"/>
            <w:tcBorders>
              <w:top w:val="nil"/>
              <w:left w:val="nil"/>
              <w:bottom w:val="nil"/>
              <w:right w:val="nil"/>
            </w:tcBorders>
          </w:tcPr>
          <w:p>
            <w:pPr>
              <w:pStyle w:val="Normal6a"/>
            </w:pPr>
            <w:r>
              <w:t>8.</w:t>
            </w:r>
            <w:r>
              <w:tab/>
            </w:r>
            <w:r>
              <w:t xml:space="preserve">fordert die Kommission nachdrücklich auf, den ICES </w:t>
            </w:r>
            <w:r>
              <w:rPr>
                <w:b/>
                <w:i/>
              </w:rPr>
              <w:t>zu ersuchen</w:t>
            </w:r>
            <w:r>
              <w:t xml:space="preserve">, ein auf dem Ökosystem basierendes Gutachten zu erstellen, das sich auf </w:t>
            </w:r>
            <w:r>
              <w:rPr>
                <w:b/>
                <w:i/>
              </w:rPr>
              <w:t>alle Meeresstressoren</w:t>
            </w:r>
            <w:r>
              <w:t xml:space="preserve"> stützt</w:t>
            </w:r>
            <w:r>
              <w:rPr>
                <w:b/>
                <w:i/>
              </w:rPr>
              <w:t>, um besser zu verstehen, was Ökosysteme belastet, und um bessere maßgeschneiderte Lösungen</w:t>
            </w:r>
            <w:r>
              <w:t xml:space="preserve"> für die Ostsee </w:t>
            </w:r>
            <w:r>
              <w:rPr>
                <w:b/>
                <w:i/>
              </w:rPr>
              <w:t>zu entwickeln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nachdrücklich auf, den ICES </w:t>
            </w:r>
            <w:r>
              <w:rPr>
                <w:b/>
                <w:i/>
              </w:rPr>
              <w:t>unverzüglich zu beauftragen</w:t>
            </w:r>
            <w:r>
              <w:t>, ein auf dem Ökosystem basierendes</w:t>
            </w:r>
            <w:r>
              <w:rPr>
                <w:b/>
                <w:i/>
              </w:rPr>
              <w:t>, mehrere Arten umfassendes</w:t>
            </w:r>
            <w:r>
              <w:t xml:space="preserve"> Gutachten zu erstellen, das sich auf </w:t>
            </w:r>
            <w:r>
              <w:rPr>
                <w:b/>
                <w:i/>
              </w:rPr>
              <w:t>Umweltveränderungen</w:t>
            </w:r>
            <w:r>
              <w:t xml:space="preserve"> stützt </w:t>
            </w:r>
            <w:r>
              <w:rPr>
                <w:b/>
                <w:i/>
              </w:rPr>
              <w:t>und ökosystembasierte Referenzpunkte und eine an das Ökosystem angepasste fischereiliche Sterblichkeit enthält, sowie ergänzende Indikatoren, die den Mehrjahresplan</w:t>
            </w:r>
            <w:r>
              <w:t xml:space="preserve"> für die Ostsee </w:t>
            </w:r>
            <w:r>
              <w:rPr>
                <w:b/>
                <w:i/>
              </w:rPr>
              <w:t>mit den Anforderungen der Meeresstrategie-Rahmenrichtlinie in Einklang bringen, beispielsweise durch die Einbeziehung von Indikatoren für große Fische</w:t>
            </w:r>
            <w:r>
              <w:t>;</w:t>
            </w:r>
          </w:p>
        </w:tc>
        <w:tc>
          <w:tcPr>
            <w:tcW w:w="4876" w:type="dxa"/>
            <w:tcBorders>
              <w:top w:val="nil"/>
              <w:left w:val="nil"/>
              <w:bottom w:val="nil"/>
              <w:right w:val="nil"/>
            </w:tcBorders>
          </w:tcPr>
          <w:p>
            <w:pPr>
              <w:pStyle w:val="Normal6a"/>
            </w:pPr>
            <w:r>
              <w:t>8.</w:t>
            </w:r>
            <w:r>
              <w:tab/>
            </w:r>
            <w:r>
              <w:t xml:space="preserve">fordert die Kommission nachdrücklich auf, den ICES </w:t>
            </w:r>
            <w:r>
              <w:rPr>
                <w:b/>
                <w:i/>
              </w:rPr>
              <w:t>zu ersuchen</w:t>
            </w:r>
            <w:r>
              <w:t xml:space="preserve">, ein auf dem Ökosystem basierendes Gutachten zu erstellen, das sich auf </w:t>
            </w:r>
            <w:r>
              <w:rPr>
                <w:b/>
                <w:i/>
              </w:rPr>
              <w:t>alle Meeresstressoren</w:t>
            </w:r>
            <w:r>
              <w:t xml:space="preserve"> stützt</w:t>
            </w:r>
            <w:r>
              <w:rPr>
                <w:b/>
                <w:i/>
              </w:rPr>
              <w:t>, um besser zu verstehen, was Ökosysteme belastet, und um wirksamere maßgeschneiderte Lösungen</w:t>
            </w:r>
            <w:r>
              <w:t xml:space="preserve"> für die Ostsee </w:t>
            </w:r>
            <w:r>
              <w:rPr>
                <w:b/>
                <w:i/>
              </w:rPr>
              <w:t>zu entwickeln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nachdrücklich auf, den ICES </w:t>
            </w:r>
            <w:r>
              <w:rPr>
                <w:b/>
                <w:i/>
              </w:rPr>
              <w:t>unverzüglich</w:t>
            </w:r>
            <w:r>
              <w:t xml:space="preserve"> zu beauftragen, ein </w:t>
            </w:r>
            <w:r>
              <w:rPr>
                <w:b/>
                <w:i/>
              </w:rPr>
              <w:t>auf dem Ökosystem basierendes</w:t>
            </w:r>
            <w:r>
              <w:t xml:space="preserve">, mehrere Arten umfassendes Gutachten zu erstellen, das </w:t>
            </w:r>
            <w:r>
              <w:rPr>
                <w:b/>
                <w:i/>
              </w:rPr>
              <w:t>sich auf</w:t>
            </w:r>
            <w:r>
              <w:t xml:space="preserve"> Umweltveränderungen </w:t>
            </w:r>
            <w:r>
              <w:rPr>
                <w:b/>
                <w:i/>
              </w:rPr>
              <w:t>stützt</w:t>
            </w:r>
            <w:r>
              <w:t xml:space="preserve"> und ökosystembasierte Referenzpunkte und eine an das Ökosystem angepasste fischereiliche Sterblichkeit enthält, sowie ergänzende Indikatoren, die den Mehrjahresplan für die Ostsee mit den Anforderungen der Meeresstrategie-Rahmenrichtlinie in Einklang bringen, beispielsweise durch die Einbeziehung von Indikatoren für große Fische;</w:t>
            </w:r>
          </w:p>
        </w:tc>
        <w:tc>
          <w:tcPr>
            <w:tcW w:w="4876" w:type="dxa"/>
            <w:tcBorders>
              <w:top w:val="nil"/>
              <w:left w:val="nil"/>
              <w:bottom w:val="nil"/>
              <w:right w:val="nil"/>
            </w:tcBorders>
          </w:tcPr>
          <w:p>
            <w:pPr>
              <w:pStyle w:val="Normal6a"/>
            </w:pPr>
            <w:r>
              <w:t>8.</w:t>
            </w:r>
            <w:r>
              <w:tab/>
            </w:r>
            <w:r>
              <w:t xml:space="preserve">fordert die Kommission nachdrücklich auf, den ICES zu beauftragen, ein </w:t>
            </w:r>
            <w:r>
              <w:rPr>
                <w:b/>
                <w:i/>
              </w:rPr>
              <w:t>breit angelegtes</w:t>
            </w:r>
            <w:r>
              <w:t xml:space="preserve">, mehrere Arten umfassendes Gutachten zu erstellen, das Umweltveränderungen </w:t>
            </w:r>
            <w:r>
              <w:rPr>
                <w:b/>
                <w:i/>
              </w:rPr>
              <w:t>und die Auswirkungen einheimischer Raubtiere auf den Umfang der Bestände berücksichtigt</w:t>
            </w:r>
            <w:r>
              <w:t xml:space="preserve"> und ökosystembasierte Referenzpunkte und eine an das Ökosystem angepasste fischereiliche Sterblichkeit enthält, sowie ergänzende Indikatoren, die den Mehrjahresplan für die Ostsee mit den Anforderungen der Meeresstrategie-Rahmenrichtlinie in Einklang bringen, beispielsweise durch die Einbeziehung von Indikatoren für große Fische;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Kommission nachdrücklich auf, den ICES unverzüglich zu beauftragen, ein auf dem Ökosystem basierendes, mehrere Arten umfassendes Gutachten zu erstellen, das sich auf Umweltveränderungen stützt und ökosystembasierte Referenzpunkte und eine an das Ökosystem angepasste fischereiliche Sterblichkeit enthält, sowie ergänzende Indikatoren, die den Mehrjahresplan für die Ostsee mit den Anforderungen der Meeresstrategie-Rahmenrichtlinie in Einklang bringen, beispielsweise durch die Einbeziehung von Indikatoren für große Fische;</w:t>
            </w:r>
          </w:p>
        </w:tc>
        <w:tc>
          <w:tcPr>
            <w:tcW w:w="4876" w:type="dxa"/>
            <w:tcBorders>
              <w:top w:val="nil"/>
              <w:left w:val="nil"/>
              <w:bottom w:val="nil"/>
              <w:right w:val="nil"/>
            </w:tcBorders>
          </w:tcPr>
          <w:p>
            <w:pPr>
              <w:pStyle w:val="Normal6a"/>
            </w:pPr>
            <w:r>
              <w:t>8.</w:t>
            </w:r>
            <w:r>
              <w:tab/>
            </w:r>
            <w:r>
              <w:t xml:space="preserve">fordert die Kommission nachdrücklich auf, den ICES unverzüglich zu beauftragen, ein auf dem Ökosystem basierendes, mehrere Arten umfassendes Gutachten zu erstellen, das sich auf Umweltveränderungen </w:t>
            </w:r>
            <w:r>
              <w:rPr>
                <w:b/>
                <w:i/>
              </w:rPr>
              <w:t>und Wechselwirkungen zwischen Arten</w:t>
            </w:r>
            <w:r>
              <w:t xml:space="preserve"> stützt und ökosystembasierte Referenzpunkte und eine an das Ökosystem angepasste fischereiliche Sterblichkeit enthält, sowie ergänzende Indikatoren, die den Mehrjahresplan für die Ostsee mit den Anforderungen der Meeresstrategie-Rahmenrichtlinie in Einklang bringen, beispielsweise durch die Einbeziehung von Indikatoren für große Fische;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fordert</w:t>
            </w:r>
            <w:r>
              <w:t xml:space="preserve"> die Kommission </w:t>
            </w:r>
            <w:r>
              <w:rPr>
                <w:b/>
                <w:i/>
              </w:rPr>
              <w:t>nachdrücklich auf, den ICES unverzüglich zu beauftragen, ein</w:t>
            </w:r>
            <w:r>
              <w:t xml:space="preserve"> auf dem Ökosystem </w:t>
            </w:r>
            <w:r>
              <w:rPr>
                <w:b/>
                <w:i/>
              </w:rPr>
              <w:t>basierendes</w:t>
            </w:r>
            <w:r>
              <w:t xml:space="preserve">, mehrere Arten </w:t>
            </w:r>
            <w:r>
              <w:rPr>
                <w:b/>
                <w:i/>
              </w:rPr>
              <w:t>umfassendes</w:t>
            </w:r>
            <w:r>
              <w:t xml:space="preserve"> Gutachten </w:t>
            </w:r>
            <w:r>
              <w:rPr>
                <w:b/>
                <w:i/>
              </w:rPr>
              <w:t>zu erstellen, das sich auf Umweltveränderungen stützt und ökosystembasierte Referenzpunkte und eine an das Ökosystem angepasste fischereiliche Sterblichkeit enthält, sowie ergänzende Indikatoren, die den Mehrjahresplan für die Ostsee mit den Anforderungen der Meeresstrategie-Rahmenrichtlinie in Einklang bringen, beispielsweise durch die Einbeziehung von Indikatoren für große Fische</w:t>
            </w:r>
            <w:r>
              <w:t>;</w:t>
            </w:r>
          </w:p>
        </w:tc>
        <w:tc>
          <w:tcPr>
            <w:tcW w:w="4876" w:type="dxa"/>
            <w:tcBorders>
              <w:top w:val="nil"/>
              <w:left w:val="nil"/>
              <w:bottom w:val="nil"/>
              <w:right w:val="nil"/>
            </w:tcBorders>
          </w:tcPr>
          <w:p>
            <w:pPr>
              <w:pStyle w:val="Normal6a"/>
            </w:pPr>
            <w:r>
              <w:t>8.</w:t>
            </w:r>
            <w:r>
              <w:tab/>
            </w:r>
            <w:r>
              <w:rPr>
                <w:b/>
                <w:i/>
              </w:rPr>
              <w:t>plädiert dafür, dass</w:t>
            </w:r>
            <w:r>
              <w:t xml:space="preserve"> die Kommission </w:t>
            </w:r>
            <w:r>
              <w:rPr>
                <w:b/>
                <w:i/>
              </w:rPr>
              <w:t>auch in Zukunft mit dem ICES zusammenarbeitet, um wissenschaftliche Gutachten zu verbessern, bei denen ökologische und sozioökonomische Faktoren in ausgewogener Weise berücksichtigt werden und sich zugleich für</w:t>
            </w:r>
            <w:r>
              <w:t xml:space="preserve"> auf dem Ökosystem </w:t>
            </w:r>
            <w:r>
              <w:rPr>
                <w:b/>
                <w:i/>
              </w:rPr>
              <w:t>basierende</w:t>
            </w:r>
            <w:r>
              <w:t xml:space="preserve">, mehrere Arten </w:t>
            </w:r>
            <w:r>
              <w:rPr>
                <w:b/>
                <w:i/>
              </w:rPr>
              <w:t>umfassende</w:t>
            </w:r>
            <w:r>
              <w:t xml:space="preserve"> Gutachten </w:t>
            </w:r>
            <w:r>
              <w:rPr>
                <w:b/>
                <w:i/>
              </w:rPr>
              <w:t>einzusetzen, während zugleich sichergestellt wird, dass die Gutachten für den Sektor anwendbar, transparent und verlässlich bleiben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nachdrücklich auf, den ICES unverzüglich zu beauftragen, ein auf dem Ökosystem basierendes, mehrere Arten umfassendes Gutachten zu erstellen, das sich auf Umweltveränderungen stützt und ökosystembasierte Referenzpunkte und eine an das Ökosystem angepasste fischereiliche Sterblichkeit enthält, </w:t>
            </w:r>
            <w:r>
              <w:rPr>
                <w:b/>
                <w:i/>
              </w:rPr>
              <w:t>sowie</w:t>
            </w:r>
            <w:r>
              <w:t xml:space="preserve"> ergänzende Indikatoren</w:t>
            </w:r>
            <w:r>
              <w:rPr>
                <w:b/>
                <w:i/>
              </w:rPr>
              <w:t>, die den</w:t>
            </w:r>
            <w:r>
              <w:t xml:space="preserve"> Mehrjahresplan für die Ostsee mit den Anforderungen der Meeresstrategie-Rahmenrichtlinie in Einklang </w:t>
            </w:r>
            <w:r>
              <w:rPr>
                <w:b/>
                <w:i/>
              </w:rPr>
              <w:t>bringen, beispielsweise durch die Einbeziehung von Indikatoren für große Fische</w:t>
            </w:r>
            <w:r>
              <w:t>;</w:t>
            </w:r>
          </w:p>
        </w:tc>
        <w:tc>
          <w:tcPr>
            <w:tcW w:w="4876" w:type="dxa"/>
            <w:tcBorders>
              <w:top w:val="nil"/>
              <w:left w:val="nil"/>
              <w:bottom w:val="nil"/>
              <w:right w:val="nil"/>
            </w:tcBorders>
          </w:tcPr>
          <w:p>
            <w:pPr>
              <w:pStyle w:val="Normal6a"/>
            </w:pPr>
            <w:r>
              <w:t>8.</w:t>
            </w:r>
            <w:r>
              <w:tab/>
            </w:r>
            <w:r>
              <w:t xml:space="preserve">fordert die Kommission nachdrücklich auf, den ICES unverzüglich zu beauftragen, ein auf dem Ökosystem basierendes, mehrere Arten umfassendes Gutachten zu erstellen, das sich auf Umweltveränderungen stützt und ökosystembasierte Referenzpunkte und eine an das Ökosystem angepasste fischereiliche Sterblichkeit enthält, </w:t>
            </w:r>
            <w:r>
              <w:rPr>
                <w:b/>
                <w:i/>
              </w:rPr>
              <w:t>und fordert die Kommission zudem auf, weitere</w:t>
            </w:r>
            <w:r>
              <w:t xml:space="preserve"> ergänzende Indikatoren </w:t>
            </w:r>
            <w:r>
              <w:rPr>
                <w:b/>
                <w:i/>
              </w:rPr>
              <w:t>zu Alter und Größe zu berücksichtigen, wodurch der</w:t>
            </w:r>
            <w:r>
              <w:t xml:space="preserve"> Mehrjahresplan für die Ostsee mit den Anforderungen der Meeresstrategie-Rahmenrichtlinie in Einklang </w:t>
            </w:r>
            <w:r>
              <w:rPr>
                <w:b/>
                <w:i/>
              </w:rPr>
              <w:t>gebracht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weist darauf hin, dass wissenschaftliche Gutachten so formuliert sein müssen, dass sie differenzierte Empfehlungen für Bestände mit unterschiedlichem biologischen Zustand, unterschiedlicher Altersstruktur und unterschiedlicher Umweltbelastung erfordern;</w:t>
            </w:r>
            <w:r>
              <w:t xml:space="preserve"> </w:t>
            </w:r>
            <w:r>
              <w:rPr>
                <w:b/>
                <w:i/>
              </w:rPr>
              <w:t>betont, dass einheitliche Grenzwerte nicht automatisch auf Bestände in verschiedenen Phasen der Wiederauffüllung angewandt werden können;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fordert die Kommission auf, den ICES zu ersuchen, in seinen wissenschaftlichen Gutachten Vorsorgepuffer vorzusehen und keine Spannen oberhalb des höchstmöglichen Dauerertrags vorzuschlagen, sowie Gutachten zur Festlegung von „Ökosystemobergrenzen“ zu erstellen, die die Gesamtbiomasse begrenzen, die einem Ökosystem entnommen werden darf;</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fordert die Kommission auf, den ICES zu ersuchen, in seinen wissenschaftlichen Gutachten Vorsorgepuffer vorzusehen und keine Spannen oberhalb des höchstmöglichen Dauerertrags vorzuschlagen, sowie Gutachten zur Festlegung von „Ökosystemobergrenzen“ zu erstellen, die die Gesamtbiomasse begrenzen, die einem Ökosystem entnommen werden darf;</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fordert die Kommission auf, den ICES zu ersuchen, in seinen wissenschaftlichen Gutachten Vorsorgepuffer vorzusehen und keine Spannen oberhalb des höchstmöglichen Dauerertrags vorzuschlagen, sowie Gutachten zur Festlegung von „Ökosystemobergrenzen“ zu erstellen, die die Gesamtbiomasse begrenzen, die einem Ökosystem entnommen werden darf;</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fordert die Kommission auf, den ICES zu ersuchen, in seinen wissenschaftlichen Gutachten Vorsorgepuffer vorzusehen und keine Spannen oberhalb des höchstmöglichen Dauerertrags vorzuschlagen, sowie Gutachten zur Festlegung von „Ökosystemobergrenzen“ zu erstellen, die die Gesamtbiomasse begrenzen, die einem Ökosystem entnommen werden darf;</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fordert die Kommission auf, den ICES zu ersuchen, in seinen wissenschaftlichen Gutachten Vorsorgepuffer vorzusehen und keine Spannen oberhalb des höchstmöglichen Dauerertrags vorzuschlagen, sowie Gutachten zur Festlegung von „Ökosystemobergrenzen“ zu erstellen, die die Gesamtbiomasse begrenzen, die einem Ökosystem entnommen werden darf;</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fordert die Kommission auf, den ICES zu ersuchen, in seinen wissenschaftlichen Gutachten Vorsorgepuffer vorzusehen und keine Spannen oberhalb des höchstmöglichen Dauerertrags vorzuschlagen, sowie Gutachten zur Festlegung von „Ökosystemobergrenzen“ zu erstellen, die die Gesamtbiomasse begrenzen, die einem Ökosystem entnommen werden darf;</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fordert die Kommission auf, den ICES zu ersuchen, in seinen wissenschaftlichen Gutachten Vorsorgepuffer vorzusehen und keine Spannen oberhalb des höchstmöglichen Dauerertrags vorzuschlagen, sowie Gutachten zur Festlegung von „Ökosystemobergrenzen“ zu erstellen</w:t>
            </w:r>
            <w:r>
              <w:t xml:space="preserve">, die die </w:t>
            </w:r>
            <w:r>
              <w:rPr>
                <w:b/>
                <w:i/>
              </w:rPr>
              <w:t>Gesamtbiomasse begrenzen, die einem Ökosystem entnommen werden darf</w:t>
            </w:r>
            <w:r>
              <w:t>;</w:t>
            </w:r>
          </w:p>
        </w:tc>
        <w:tc>
          <w:tcPr>
            <w:tcW w:w="4876" w:type="dxa"/>
            <w:tcBorders>
              <w:top w:val="nil"/>
              <w:left w:val="nil"/>
              <w:bottom w:val="nil"/>
              <w:right w:val="nil"/>
            </w:tcBorders>
          </w:tcPr>
          <w:p>
            <w:pPr>
              <w:pStyle w:val="Normal6a"/>
            </w:pPr>
            <w:r>
              <w:t>9.</w:t>
            </w:r>
            <w:r>
              <w:tab/>
            </w:r>
            <w:r>
              <w:rPr>
                <w:b/>
                <w:i/>
              </w:rPr>
              <w:t>unterstützt die Aufnahme geeigneter Vorsorgeelemente in ICES-Gutachten, wenn wissenschaftliche Unsicherheit besteht, wobei starre oder automatische Senkungen</w:t>
            </w:r>
            <w:r>
              <w:t xml:space="preserve">, die die </w:t>
            </w:r>
            <w:r>
              <w:rPr>
                <w:b/>
                <w:i/>
              </w:rPr>
              <w:t>sozioökonomischen Gegebenheiten außer Acht lassen, zu vermeiden sind;</w:t>
            </w:r>
            <w:r>
              <w:t xml:space="preserve"> </w:t>
            </w:r>
            <w:r>
              <w:rPr>
                <w:b/>
                <w:i/>
              </w:rPr>
              <w:t>betont, dass der höchstmögliche Dauerertrag auch in Zukunft ein wesentliches Instrument für eine anpassungsfähige und verantwortungsvolle Bewirtschaftung sein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Emma Wiesner,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fordert die Kommission auf, den ICES </w:t>
            </w:r>
            <w:r>
              <w:rPr>
                <w:b/>
                <w:i/>
              </w:rPr>
              <w:t>zu ersuchen, in seinen wissenschaftlichen</w:t>
            </w:r>
            <w:r>
              <w:t xml:space="preserve"> Gutachten Vorsorgepuffer </w:t>
            </w:r>
            <w:r>
              <w:rPr>
                <w:b/>
                <w:i/>
              </w:rPr>
              <w:t>vorzusehen und keine</w:t>
            </w:r>
            <w:r>
              <w:t xml:space="preserve"> Spannen oberhalb des höchstmöglichen Dauerertrags </w:t>
            </w:r>
            <w:r>
              <w:rPr>
                <w:b/>
                <w:i/>
              </w:rPr>
              <w:t>vorzuschlagen,</w:t>
            </w:r>
            <w:r>
              <w:t xml:space="preserve"> sowie Gutachten zur Festlegung von „Ökosystemobergrenzen“ </w:t>
            </w:r>
            <w:r>
              <w:rPr>
                <w:b/>
                <w:i/>
              </w:rPr>
              <w:t>zu erstellen</w:t>
            </w:r>
            <w:r>
              <w:t>, die die Gesamtbiomasse begrenzen, die einem Ökosystem entnommen werden darf;</w:t>
            </w:r>
          </w:p>
        </w:tc>
        <w:tc>
          <w:tcPr>
            <w:tcW w:w="4876" w:type="dxa"/>
            <w:tcBorders>
              <w:top w:val="nil"/>
              <w:left w:val="nil"/>
              <w:bottom w:val="nil"/>
              <w:right w:val="nil"/>
            </w:tcBorders>
          </w:tcPr>
          <w:p>
            <w:pPr>
              <w:pStyle w:val="Normal6a"/>
            </w:pPr>
            <w:r>
              <w:t>9.</w:t>
            </w:r>
            <w:r>
              <w:tab/>
            </w:r>
            <w:r>
              <w:t xml:space="preserve">fordert die Kommission auf, den ICES </w:t>
            </w:r>
            <w:r>
              <w:rPr>
                <w:b/>
                <w:i/>
              </w:rPr>
              <w:t>um ein</w:t>
            </w:r>
            <w:r>
              <w:t xml:space="preserve"> Gutachten </w:t>
            </w:r>
            <w:r>
              <w:rPr>
                <w:b/>
                <w:i/>
              </w:rPr>
              <w:t>für</w:t>
            </w:r>
            <w:r>
              <w:t xml:space="preserve"> Vorsorgepuffer </w:t>
            </w:r>
            <w:r>
              <w:rPr>
                <w:b/>
                <w:i/>
              </w:rPr>
              <w:t>und ein Gutachten zu den Vorteilen von der Nichtverwendung von</w:t>
            </w:r>
            <w:r>
              <w:t xml:space="preserve"> Spannen oberhalb des höchstmöglichen Dauerertrags sowie </w:t>
            </w:r>
            <w:r>
              <w:rPr>
                <w:b/>
                <w:i/>
              </w:rPr>
              <w:t>um ein</w:t>
            </w:r>
            <w:r>
              <w:t xml:space="preserve"> Gutachten zur Festlegung von „Ökosystemobergrenzen“, die die Gesamtbiomasse begrenzen, die einem Ökosystem entnommen werden darf</w:t>
            </w:r>
            <w:r>
              <w:rPr>
                <w:b/>
                <w:i/>
              </w:rPr>
              <w:t>, zu ersuchen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fordert die Kommission auf, dafür zu sorgen, dass bei allen Bestandsabschätzungen die B</w:t>
            </w:r>
            <w:r>
              <w:rPr>
                <w:b/>
                <w:i/>
                <w:vertAlign w:val="subscript"/>
              </w:rPr>
              <w:t>MSY</w:t>
            </w:r>
            <w:r>
              <w:rPr>
                <w:b/>
                <w:i/>
              </w:rPr>
              <w:t>-Biomasse-Referenzwerte verwendet werden, wie sie in den Zielen des Mehrjahresplans für die Ostsee und der GFP-Verordnung festgelegt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fordert die Kommission auf, dafür zu sorgen, dass bei allen Bestandsabschätzungen die B</w:t>
            </w:r>
            <w:r>
              <w:rPr>
                <w:b/>
                <w:i/>
                <w:vertAlign w:val="subscript"/>
              </w:rPr>
              <w:t>MSY</w:t>
            </w:r>
            <w:r>
              <w:rPr>
                <w:b/>
                <w:i/>
              </w:rPr>
              <w:t>-Biomasse-Referenzwerte verwendet werden, wie sie in den Zielen des Mehrjahresplans für die Ostsee und der GFP-Verordnung festgelegt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fordert die Kommission auf, dafür zu sorgen, dass bei allen Bestandsabschätzungen die B</w:t>
            </w:r>
            <w:r>
              <w:rPr>
                <w:b/>
                <w:i/>
                <w:vertAlign w:val="subscript"/>
              </w:rPr>
              <w:t>MSY</w:t>
            </w:r>
            <w:r>
              <w:rPr>
                <w:b/>
                <w:i/>
              </w:rPr>
              <w:t>-Biomasse-Referenzwerte verwendet werden, wie sie in den Zielen des Mehrjahresplans für die Ostsee und der GFP-Verordnung festgelegt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fordert die Kommission auf, </w:t>
            </w:r>
            <w:r>
              <w:rPr>
                <w:b/>
                <w:i/>
              </w:rPr>
              <w:t>dafür zu sorgen, dass</w:t>
            </w:r>
            <w:r>
              <w:t xml:space="preserve"> bei allen Bestandsabschätzungen die B</w:t>
            </w:r>
            <w:r>
              <w:rPr>
                <w:vertAlign w:val="subscript"/>
              </w:rPr>
              <w:t>MSY</w:t>
            </w:r>
            <w:r>
              <w:t xml:space="preserve">-Biomasse-Referenzwerte </w:t>
            </w:r>
            <w:r>
              <w:rPr>
                <w:b/>
                <w:i/>
              </w:rPr>
              <w:t>verwendet werden</w:t>
            </w:r>
            <w:r>
              <w:t>, wie sie in den Zielen des Mehrjahresplans für die Ostsee und der GFP-Verordnung festgelegt sind;</w:t>
            </w:r>
          </w:p>
        </w:tc>
        <w:tc>
          <w:tcPr>
            <w:tcW w:w="4876" w:type="dxa"/>
            <w:tcBorders>
              <w:top w:val="nil"/>
              <w:left w:val="nil"/>
              <w:bottom w:val="nil"/>
              <w:right w:val="nil"/>
            </w:tcBorders>
          </w:tcPr>
          <w:p>
            <w:pPr>
              <w:pStyle w:val="Normal6a"/>
            </w:pPr>
            <w:r>
              <w:t>10.</w:t>
            </w:r>
            <w:r>
              <w:tab/>
            </w:r>
            <w:r>
              <w:t xml:space="preserve">fordert die Kommission auf, bei allen Bestandsabschätzungen </w:t>
            </w:r>
            <w:r>
              <w:rPr>
                <w:b/>
                <w:i/>
              </w:rPr>
              <w:t>für die Durchführung von Unionsrecht</w:t>
            </w:r>
            <w:r>
              <w:t xml:space="preserve"> die B</w:t>
            </w:r>
            <w:r>
              <w:rPr>
                <w:vertAlign w:val="subscript"/>
              </w:rPr>
              <w:t>MSY</w:t>
            </w:r>
            <w:r>
              <w:t xml:space="preserve">-Biomasse-Referenzwerte </w:t>
            </w:r>
            <w:r>
              <w:rPr>
                <w:b/>
                <w:i/>
              </w:rPr>
              <w:t>zu verwenden</w:t>
            </w:r>
            <w:r>
              <w:t>, wie sie in den Zielen des Mehrjahresplans für die Ostsee und der GFP-Verordnung festgelegt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Sofie Eriksson, André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die Kommission und die Mitgliedstaaten auf, dafür zu sorgen, dass im Rahmen der Bewirtschaftung der Fischbestände in der Ostsee ausdrücklich Ziele für die Wiederherstellung der natürlichen Größen- und Altersverteilung in den Populationen berücksichtigt werden, und stellt fest, dass gesunde demografische Strukturen für die Reproduktionskapazität, die Resilienz der Bestände und die Stabilität der Ökosysteme äußerst wichtig sind;</w:t>
            </w:r>
            <w:r>
              <w:t xml:space="preserve"> </w:t>
            </w:r>
            <w:r>
              <w:rPr>
                <w:b/>
                <w:i/>
              </w:rPr>
              <w:t>fordert die Entwicklung von Überwachungsindikatoren und selektiven Fangmethoden, mit denen verhindert wird, dass systematisch größere und ältere Fische entnommen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fordert die Kommission auf, wissenschaftliche Gutachten in Auftrag zu geben, in denen die Risiken im Zusammenhang mit dem derzeitigen Zustand der Umwelt und die zunehmende Unsicherheit aufgrund des Klimawandels deutlich hervorgehoben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w:t>
            </w:r>
            <w:r>
              <w:rPr>
                <w:b/>
                <w:i/>
              </w:rPr>
              <w:t>wissenschaftliche</w:t>
            </w:r>
            <w:r>
              <w:t xml:space="preserve"> Gutachten </w:t>
            </w:r>
            <w:r>
              <w:rPr>
                <w:b/>
                <w:i/>
              </w:rPr>
              <w:t>in Auftrag zu geben, in denen</w:t>
            </w:r>
            <w:r>
              <w:t xml:space="preserve"> die Risiken im Zusammenhang mit dem derzeitigen Zustand der Umwelt </w:t>
            </w:r>
            <w:r>
              <w:rPr>
                <w:b/>
                <w:i/>
              </w:rPr>
              <w:t>und</w:t>
            </w:r>
            <w:r>
              <w:t xml:space="preserve"> die zunehmende Unsicherheit aufgrund des Klimawandels </w:t>
            </w:r>
            <w:r>
              <w:rPr>
                <w:b/>
                <w:i/>
              </w:rPr>
              <w:t>deutlich</w:t>
            </w:r>
            <w:r>
              <w:t xml:space="preserve"> hervorgehoben werden;</w:t>
            </w:r>
          </w:p>
        </w:tc>
        <w:tc>
          <w:tcPr>
            <w:tcW w:w="4876" w:type="dxa"/>
            <w:tcBorders>
              <w:top w:val="nil"/>
              <w:left w:val="nil"/>
              <w:bottom w:val="nil"/>
              <w:right w:val="nil"/>
            </w:tcBorders>
          </w:tcPr>
          <w:p>
            <w:pPr>
              <w:pStyle w:val="Normal6a"/>
            </w:pPr>
            <w:r>
              <w:t>11.</w:t>
            </w:r>
            <w:r>
              <w:tab/>
            </w:r>
            <w:r>
              <w:t xml:space="preserve">fordert die Kommission auf, </w:t>
            </w:r>
            <w:r>
              <w:rPr>
                <w:b/>
                <w:i/>
              </w:rPr>
              <w:t>den ICES um ein wissenschaftliches</w:t>
            </w:r>
            <w:r>
              <w:t xml:space="preserve"> Gutachten </w:t>
            </w:r>
            <w:r>
              <w:rPr>
                <w:b/>
                <w:i/>
              </w:rPr>
              <w:t>zu ersuchen, in dem alle relevanten Faktoren berücksichtigt werden;</w:t>
            </w:r>
            <w:r>
              <w:t xml:space="preserve"> </w:t>
            </w:r>
            <w:r>
              <w:rPr>
                <w:b/>
                <w:i/>
              </w:rPr>
              <w:t>ist der Ansicht, dass in einem solchen Gutachten unter anderem</w:t>
            </w:r>
            <w:r>
              <w:t xml:space="preserve"> die Risiken im Zusammenhang mit dem derzeitigen Zustand der Umwelt</w:t>
            </w:r>
            <w:r>
              <w:rPr>
                <w:b/>
                <w:i/>
              </w:rPr>
              <w:t>,</w:t>
            </w:r>
            <w:r>
              <w:t xml:space="preserve"> die zunehmende Unsicherheit aufgrund des Klimawandels </w:t>
            </w:r>
            <w:r>
              <w:rPr>
                <w:b/>
                <w:i/>
              </w:rPr>
              <w:t>und die Auswirkungen der Wechselwirkungen zwischen den Arten und den Raubtierpopulationen klar</w:t>
            </w:r>
            <w:r>
              <w:t xml:space="preserve"> hervorgehoben werden </w:t>
            </w:r>
            <w:r>
              <w:rPr>
                <w:b/>
                <w:i/>
              </w:rPr>
              <w:t>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wissenschaftliche Gutachten in Auftrag zu geben, </w:t>
            </w:r>
            <w:r>
              <w:rPr>
                <w:b/>
                <w:i/>
              </w:rPr>
              <w:t>in denen</w:t>
            </w:r>
            <w:r>
              <w:t xml:space="preserve"> die Risiken im Zusammenhang mit </w:t>
            </w:r>
            <w:r>
              <w:rPr>
                <w:b/>
                <w:i/>
              </w:rPr>
              <w:t>dem</w:t>
            </w:r>
            <w:r>
              <w:t xml:space="preserve"> derzeitigen Zustand der Umwelt und die zunehmende Unsicherheit aufgrund des Klimawandels </w:t>
            </w:r>
            <w:r>
              <w:rPr>
                <w:b/>
                <w:i/>
              </w:rPr>
              <w:t>deutlich hervorgehoben werden</w:t>
            </w:r>
            <w:r>
              <w:t>;</w:t>
            </w:r>
          </w:p>
        </w:tc>
        <w:tc>
          <w:tcPr>
            <w:tcW w:w="4876" w:type="dxa"/>
            <w:tcBorders>
              <w:top w:val="nil"/>
              <w:left w:val="nil"/>
              <w:bottom w:val="nil"/>
              <w:right w:val="nil"/>
            </w:tcBorders>
          </w:tcPr>
          <w:p>
            <w:pPr>
              <w:pStyle w:val="Normal6a"/>
            </w:pPr>
            <w:r>
              <w:t>11.</w:t>
            </w:r>
            <w:r>
              <w:tab/>
            </w:r>
            <w:r>
              <w:t xml:space="preserve">fordert die Kommission auf, wissenschaftliche Gutachten in Auftrag zu geben, </w:t>
            </w:r>
            <w:r>
              <w:rPr>
                <w:b/>
                <w:i/>
              </w:rPr>
              <w:t>um bei der Durchführung von Unionsrecht, einschließlich des Mehrjahresplans für die Ostsee,</w:t>
            </w:r>
            <w:r>
              <w:t xml:space="preserve"> die Risiken im Zusammenhang mit </w:t>
            </w:r>
            <w:r>
              <w:rPr>
                <w:b/>
                <w:i/>
              </w:rPr>
              <w:t>allen Stressoren für Fischbestände sowie den</w:t>
            </w:r>
            <w:r>
              <w:t xml:space="preserve"> derzeitigen Zustand der Umwelt und die zunehmende Unsicherheit aufgrund des Klimawandels </w:t>
            </w:r>
            <w:r>
              <w:rPr>
                <w:b/>
                <w:i/>
              </w:rPr>
              <w:t>zu berücksichtigen, hervorzuheben und entsprechend abzubilden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w:t>
            </w:r>
            <w:r>
              <w:rPr>
                <w:b/>
                <w:i/>
              </w:rPr>
              <w:t>die Risiken im Zusammenhang mit dem derzeitigen</w:t>
            </w:r>
            <w:r>
              <w:t xml:space="preserve"> Zustand der Umwelt und die </w:t>
            </w:r>
            <w:r>
              <w:rPr>
                <w:b/>
                <w:i/>
              </w:rPr>
              <w:t>zunehmende Unsicherheit aufgrund des Klimawandels deutlich</w:t>
            </w:r>
            <w:r>
              <w:t xml:space="preserve"> hervorgehoben werden;</w:t>
            </w:r>
          </w:p>
        </w:tc>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w:t>
            </w:r>
            <w:r>
              <w:rPr>
                <w:b/>
                <w:i/>
              </w:rPr>
              <w:t>der derzeitige</w:t>
            </w:r>
            <w:r>
              <w:t xml:space="preserve"> Zustand der Umwelt und die </w:t>
            </w:r>
            <w:r>
              <w:rPr>
                <w:b/>
                <w:i/>
              </w:rPr>
              <w:t>Auswirkungen aller wichtigen Stressfaktoren in der Ostsee, einschließlich Nährstoffbelastung, chemischer Schadstoffe, Offshore-Energie, Auswirkungen von Raubtieren und Klimawandel, klar</w:t>
            </w:r>
            <w:r>
              <w:t xml:space="preserve"> hervorgehoben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w:t>
            </w:r>
            <w:r>
              <w:rPr>
                <w:b/>
                <w:i/>
              </w:rPr>
              <w:t>die Risiken im Zusammenhang mit dem derzeitigen</w:t>
            </w:r>
            <w:r>
              <w:t xml:space="preserve"> Zustand der Umwelt und die </w:t>
            </w:r>
            <w:r>
              <w:rPr>
                <w:b/>
                <w:i/>
              </w:rPr>
              <w:t>zunehmende Unsicherheit aufgrund des Klimawandels deutlich</w:t>
            </w:r>
            <w:r>
              <w:t xml:space="preserve"> hervorgehoben werden;</w:t>
            </w:r>
          </w:p>
        </w:tc>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w:t>
            </w:r>
            <w:r>
              <w:rPr>
                <w:b/>
                <w:i/>
              </w:rPr>
              <w:t>der derzeitige</w:t>
            </w:r>
            <w:r>
              <w:t xml:space="preserve"> Zustand der Umwelt und die </w:t>
            </w:r>
            <w:r>
              <w:rPr>
                <w:b/>
                <w:i/>
              </w:rPr>
              <w:t>Auswirkungen aller wichtigen Stressfaktoren in der Ostsee, einschließlich Nährstoffbelastung, chemischer Schadstoffe, Offshore-Energie, Auswirkungen von Raubtieren und Klimawandel, klar</w:t>
            </w:r>
            <w:r>
              <w:t xml:space="preserve"> hervorgehoben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die Kommission auf, wissenschaftliche Gutachten in Auftrag zu geben, in denen die Risiken im Zusammenhang mit dem derzeitigen Zustand der Umwelt und die zunehmende Unsicherheit aufgrund des Klimawandels deutlich hervorgehoben werden;</w:t>
            </w:r>
          </w:p>
        </w:tc>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die Risiken im Zusammenhang mit dem derzeitigen Zustand der Umwelt und </w:t>
            </w:r>
            <w:r>
              <w:rPr>
                <w:b/>
                <w:i/>
              </w:rPr>
              <w:t>der Landbewirtschaftung, einschließlich Land- und Forstwirtschaft, sowie</w:t>
            </w:r>
            <w:r>
              <w:t xml:space="preserve"> die zunehmende Unsicherheit aufgrund des Klimawandels deutlich hervorgehoben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w:t>
            </w:r>
            <w:r>
              <w:rPr>
                <w:b/>
                <w:i/>
              </w:rPr>
              <w:t>die Risiken</w:t>
            </w:r>
            <w:r>
              <w:t xml:space="preserve"> im Zusammenhang mit dem derzeitigen Zustand der Umwelt </w:t>
            </w:r>
            <w:r>
              <w:rPr>
                <w:b/>
                <w:i/>
              </w:rPr>
              <w:t>und die zunehmende Unsicherheit aufgrund des Klimawandels deutlich</w:t>
            </w:r>
            <w:r>
              <w:t xml:space="preserve"> hervorgehoben werden;</w:t>
            </w:r>
          </w:p>
        </w:tc>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w:t>
            </w:r>
            <w:r>
              <w:rPr>
                <w:b/>
                <w:i/>
              </w:rPr>
              <w:t>alle Faktoren wie Nährstoffbelastung, chemische Schadstoffe, Offshore-Energie und Auswirkungen von Raubtieren</w:t>
            </w:r>
            <w:r>
              <w:t xml:space="preserve"> im Zusammenhang mit dem derzeitigen Zustand der Umwelt </w:t>
            </w:r>
            <w:r>
              <w:rPr>
                <w:b/>
                <w:i/>
              </w:rPr>
              <w:t>klar</w:t>
            </w:r>
            <w:r>
              <w:t xml:space="preserve"> hervorgehoben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die Risiken im Zusammenhang mit dem derzeitigen Zustand der Umwelt und die zunehmende Unsicherheit aufgrund </w:t>
            </w:r>
            <w:r>
              <w:rPr>
                <w:b/>
                <w:i/>
              </w:rPr>
              <w:t>des Klimawandels</w:t>
            </w:r>
            <w:r>
              <w:t xml:space="preserve"> deutlich hervorgehoben werden;</w:t>
            </w:r>
          </w:p>
        </w:tc>
        <w:tc>
          <w:tcPr>
            <w:tcW w:w="4876" w:type="dxa"/>
            <w:tcBorders>
              <w:top w:val="nil"/>
              <w:left w:val="nil"/>
              <w:bottom w:val="nil"/>
              <w:right w:val="nil"/>
            </w:tcBorders>
          </w:tcPr>
          <w:p>
            <w:pPr>
              <w:pStyle w:val="Normal6a"/>
            </w:pPr>
            <w:r>
              <w:t>11.</w:t>
            </w:r>
            <w:r>
              <w:tab/>
            </w:r>
            <w:r>
              <w:t xml:space="preserve">fordert die Kommission auf, wissenschaftliche Gutachten in Auftrag zu geben, in denen die Risiken im Zusammenhang mit dem derzeitigen Zustand der Umwelt und die zunehmende Unsicherheit aufgrund </w:t>
            </w:r>
            <w:r>
              <w:rPr>
                <w:b/>
                <w:i/>
              </w:rPr>
              <w:t>der sich verändernden klimatischen Gegebenheiten</w:t>
            </w:r>
            <w:r>
              <w:t xml:space="preserve"> deutlich hervorgehoben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fordert die Kommission auf, wissenschaftliche</w:t>
            </w:r>
            <w:r>
              <w:t xml:space="preserve"> Gutachten </w:t>
            </w:r>
            <w:r>
              <w:rPr>
                <w:b/>
                <w:i/>
              </w:rPr>
              <w:t>in Auftrag zu geben, in denen die</w:t>
            </w:r>
            <w:r>
              <w:t xml:space="preserve"> Risiken </w:t>
            </w:r>
            <w:r>
              <w:rPr>
                <w:b/>
                <w:i/>
              </w:rPr>
              <w:t>im Zusammenhang mit dem derzeitigen Zustand der Umwelt und die zunehmende</w:t>
            </w:r>
            <w:r>
              <w:t xml:space="preserve"> Unsicherheit </w:t>
            </w:r>
            <w:r>
              <w:rPr>
                <w:b/>
                <w:i/>
              </w:rPr>
              <w:t>aufgrund des Klimawandels deutlich hervorgehoben</w:t>
            </w:r>
            <w:r>
              <w:t xml:space="preserve"> werden;</w:t>
            </w:r>
          </w:p>
        </w:tc>
        <w:tc>
          <w:tcPr>
            <w:tcW w:w="4876" w:type="dxa"/>
            <w:tcBorders>
              <w:top w:val="nil"/>
              <w:left w:val="nil"/>
              <w:bottom w:val="nil"/>
              <w:right w:val="nil"/>
            </w:tcBorders>
          </w:tcPr>
          <w:p>
            <w:pPr>
              <w:pStyle w:val="Normal6a"/>
            </w:pPr>
            <w:r>
              <w:t>11.</w:t>
            </w:r>
            <w:r>
              <w:tab/>
            </w:r>
            <w:r>
              <w:rPr>
                <w:b/>
                <w:i/>
              </w:rPr>
              <w:t>betont, dass in künftigen wissenschaftlichen</w:t>
            </w:r>
            <w:r>
              <w:t xml:space="preserve"> Gutachten </w:t>
            </w:r>
            <w:r>
              <w:rPr>
                <w:b/>
                <w:i/>
              </w:rPr>
              <w:t>ökologische und sozioökonomische</w:t>
            </w:r>
            <w:r>
              <w:t xml:space="preserve"> Risiken </w:t>
            </w:r>
            <w:r>
              <w:rPr>
                <w:b/>
                <w:i/>
              </w:rPr>
              <w:t>transparent ermittelt und klare Informationen über den Grad der</w:t>
            </w:r>
            <w:r>
              <w:t xml:space="preserve"> Unsicherheit </w:t>
            </w:r>
            <w:r>
              <w:rPr>
                <w:b/>
                <w:i/>
              </w:rPr>
              <w:t>bereitgestellt</w:t>
            </w:r>
            <w:r>
              <w:t xml:space="preserve"> werden </w:t>
            </w:r>
            <w:r>
              <w:rPr>
                <w:b/>
                <w:i/>
              </w:rPr>
              <w:t>sollten, um zu ermöglichen, dass daraufhin verhältnismäßige Bewirtschaftungsmaßnahmen ergriffen werden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dass die wissenschaftlichen Gutachten von Entscheidungsträgern weiterhin vollständig im Einklang mit dem Rechtsrahmen der einschlägigen Rechtsvorschriften und den Anforderungen an Entscheidungsträger stehen müssen, wie im Urteil des Gerichtshofs von 2025 bestätigt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fordert die Kommission auf, eine Überarbeitung der geltenden Fangregeln zu veranlassen, wobei anzuerkennen ist, dass es sich hierbei um ein internes Verfahren des ICES handelt, das von neuen Rechtsvorschriften oder einer geänderten Auslegung bestehender Vorschriften abhängt;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fordert die Kommission auf, eine Überarbeitung der geltenden Fangregeln zu veranlassen, wobei anzuerkennen ist, dass es sich hierbei um ein internes Verfahren des ICES handelt, das von neuen Rechtsvorschriften oder einer geänderten Auslegung bestehender Vorschriften abhängt;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Kommission auf, </w:t>
            </w:r>
            <w:r>
              <w:rPr>
                <w:b/>
                <w:i/>
              </w:rPr>
              <w:t>eine Überarbeitung der geltenden Fangregeln zu veranlassen, wobei anzuerkennen ist, dass es sich hierbei um ein internes Verfahren des ICES handelt, das von neuen Rechtsvorschriften oder einer geänderten Auslegung bestehender</w:t>
            </w:r>
            <w:r>
              <w:t xml:space="preserve"> Vorschriften </w:t>
            </w:r>
            <w:r>
              <w:rPr>
                <w:b/>
                <w:i/>
              </w:rPr>
              <w:t>abhängt</w:t>
            </w:r>
            <w:r>
              <w:t>;</w:t>
            </w:r>
          </w:p>
        </w:tc>
        <w:tc>
          <w:tcPr>
            <w:tcW w:w="4876" w:type="dxa"/>
            <w:tcBorders>
              <w:top w:val="nil"/>
              <w:left w:val="nil"/>
              <w:bottom w:val="nil"/>
              <w:right w:val="nil"/>
            </w:tcBorders>
          </w:tcPr>
          <w:p>
            <w:pPr>
              <w:pStyle w:val="Normal6a"/>
            </w:pPr>
            <w:r>
              <w:t>12.</w:t>
            </w:r>
            <w:r>
              <w:tab/>
            </w:r>
            <w:r>
              <w:t xml:space="preserve">fordert die Kommission auf, </w:t>
            </w:r>
            <w:r>
              <w:rPr>
                <w:b/>
                <w:i/>
              </w:rPr>
              <w:t>den ICES aufzufordern, die derzeitigen</w:t>
            </w:r>
            <w:r>
              <w:t xml:space="preserve"> Vorschriften </w:t>
            </w:r>
            <w:r>
              <w:rPr>
                <w:b/>
                <w:i/>
              </w:rPr>
              <w:t>und Methoden für die Bestandsabschätzung sowie die Beratungsverfahren zu überarbeiten, insbesondere vor dem Hintergrund sich ändernder Umweltbedingungen und neuer wissenschaftlicher Daten</w:t>
            </w:r>
            <w:r>
              <w:t xml:space="preserve">; </w:t>
            </w:r>
            <w:r>
              <w:rPr>
                <w:b/>
                <w:i/>
              </w:rPr>
              <w:t>erkennt jedoch an, dass dieser Prozess weiterhin in die interne Zuständigkeit des ICES fällt und dass jede Aktualisierung auf unabhängigen wissenschaftlichen Kriterien beruhen sollte;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Emma Wiesner, Michal Wiezik, Asger Christensen,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Kommission auf, </w:t>
            </w:r>
            <w:r>
              <w:rPr>
                <w:b/>
                <w:i/>
              </w:rPr>
              <w:t>eine Überarbeitung der geltenden</w:t>
            </w:r>
            <w:r>
              <w:t xml:space="preserve"> Fangregeln </w:t>
            </w:r>
            <w:r>
              <w:rPr>
                <w:b/>
                <w:i/>
              </w:rPr>
              <w:t>zu veranlassen, wobei anzuerkennen ist, dass es sich hierbei um ein internes Verfahren des ICES handelt, das von neuen Rechtsvorschriften oder einer geänderten Auslegung bestehender</w:t>
            </w:r>
            <w:r>
              <w:t xml:space="preserve"> Vorschriften </w:t>
            </w:r>
            <w:r>
              <w:rPr>
                <w:b/>
                <w:i/>
              </w:rPr>
              <w:t>abhängt</w:t>
            </w:r>
            <w:r>
              <w:t>;</w:t>
            </w:r>
          </w:p>
        </w:tc>
        <w:tc>
          <w:tcPr>
            <w:tcW w:w="4876" w:type="dxa"/>
            <w:tcBorders>
              <w:top w:val="nil"/>
              <w:left w:val="nil"/>
              <w:bottom w:val="nil"/>
              <w:right w:val="nil"/>
            </w:tcBorders>
          </w:tcPr>
          <w:p>
            <w:pPr>
              <w:pStyle w:val="Normal6a"/>
            </w:pPr>
            <w:r>
              <w:t>12.</w:t>
            </w:r>
            <w:r>
              <w:tab/>
            </w:r>
            <w:r>
              <w:t xml:space="preserve">fordert die Kommission auf, </w:t>
            </w:r>
            <w:r>
              <w:rPr>
                <w:b/>
                <w:i/>
              </w:rPr>
              <w:t>den ICES zu ersuchen, seine technischen Leitlinien für</w:t>
            </w:r>
            <w:r>
              <w:t xml:space="preserve"> Fangregeln </w:t>
            </w:r>
            <w:r>
              <w:rPr>
                <w:b/>
                <w:i/>
              </w:rPr>
              <w:t>regelmäßig zu überarbeiten, einschließlich der Aktualisierung der derzeitigen Leitlinien, und weist darauf hin, wie wichtig es ist, dass der ICES die aktuellsten</w:t>
            </w:r>
            <w:r>
              <w:t xml:space="preserve"> Vorschriften </w:t>
            </w:r>
            <w:r>
              <w:rPr>
                <w:b/>
                <w:i/>
              </w:rPr>
              <w:t>anwendet, die an die spezifischen Bestandsabschätzungen angepasst sind, die Vorgenommen werden müssen, um die besten verfügbaren wissenschaftlichen Gutachten für die Festsetzung der zulässigen Gesamtfangmengen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fordert die Kommission auf, eine Überarbeitung der geltenden</w:t>
            </w:r>
            <w:r>
              <w:t xml:space="preserve"> Fangregeln </w:t>
            </w:r>
            <w:r>
              <w:rPr>
                <w:b/>
                <w:i/>
              </w:rPr>
              <w:t>zu veranlassen</w:t>
            </w:r>
            <w:r>
              <w:t xml:space="preserve">, wobei </w:t>
            </w:r>
            <w:r>
              <w:rPr>
                <w:b/>
                <w:i/>
              </w:rPr>
              <w:t>anzuerkennen ist</w:t>
            </w:r>
            <w:r>
              <w:t>, dass es sich hierbei um ein internes Verfahren des ICES handelt</w:t>
            </w:r>
            <w:r>
              <w:rPr>
                <w:b/>
                <w:i/>
              </w:rPr>
              <w:t>, das von neuen Rechtsvorschriften oder einer geänderten Auslegung bestehender Vorschriften abhängt</w:t>
            </w:r>
            <w:r>
              <w:t>;</w:t>
            </w:r>
          </w:p>
        </w:tc>
        <w:tc>
          <w:tcPr>
            <w:tcW w:w="4876" w:type="dxa"/>
            <w:tcBorders>
              <w:top w:val="nil"/>
              <w:left w:val="nil"/>
              <w:bottom w:val="nil"/>
              <w:right w:val="nil"/>
            </w:tcBorders>
          </w:tcPr>
          <w:p>
            <w:pPr>
              <w:pStyle w:val="Normal6a"/>
            </w:pPr>
            <w:r>
              <w:t>12.</w:t>
            </w:r>
            <w:r>
              <w:tab/>
            </w:r>
            <w:r>
              <w:rPr>
                <w:b/>
                <w:i/>
              </w:rPr>
              <w:t>unterstützt die kontinuierliche Verbesserung der</w:t>
            </w:r>
            <w:r>
              <w:t xml:space="preserve"> Fangregeln, wobei </w:t>
            </w:r>
            <w:r>
              <w:rPr>
                <w:b/>
                <w:i/>
              </w:rPr>
              <w:t>sicherzustellen ist, dass sie wissenschaftlich fundiert und praktikabel bleiben und mit dem Rechtsrahmen im Einklang stehen;</w:t>
            </w:r>
            <w:r>
              <w:t xml:space="preserve"> </w:t>
            </w:r>
            <w:r>
              <w:rPr>
                <w:b/>
                <w:i/>
              </w:rPr>
              <w:t>erkennt an</w:t>
            </w:r>
            <w:r>
              <w:t>, dass es sich hierbei um ein internes Verfahren des ICES handelt;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Kommission und die Mitgliedstaaten auf, eine vollständige Kartierung der genetischen Population von Hering und Sprotte sowie von anderen kommerziell genutzten Arten in die Wege zu leiten, um die Fähigkeit zu verbessern, bei der Festlegung der Fangmöglichkeiten und der Entscheidung über technische Maßnahmen faktengestützte Entscheidungen zu 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Kommission auf, einen Anhang mit korrekten Alters- und Größenkriterien für die betreffenden Bestände aufzunehmen;</w:t>
            </w:r>
            <w:r>
              <w:t xml:space="preserve"> </w:t>
            </w:r>
            <w:r>
              <w:rPr>
                <w:b/>
                <w:i/>
              </w:rPr>
              <w:t>weist darauf hin, dass ein solcher Anhang dazu beitragen wird, die D3C3-Kriterien der Meeresstrategie-Rahmenrichtlinie (MSRR) der EU in die Beschlussfassung im Fischereisektor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die Kommission auf, den ICES zu beauftragen, einen Leitfaden für die Mitgliedstaaten und die Kommission für die Auslegung wissenschaftlicher Gutachten zu erstellen, damit sie im Einklang mit dem Ökosystem- und dem Vorsorgeansatz handeln und gleichzeitig auf den Wiederaufbau der Resilienz der Ostsee hinwirken;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die Kommission auf, den ICES zu beauftragen, einen Leitfaden für die Mitgliedstaaten und die Kommission für die Auslegung wissenschaftlicher Gutachten zu erstellen, damit sie im Einklang mit dem Ökosystem- und dem Vorsorgeansatz handeln und gleichzeitig auf den Wiederaufbau der Resilienz der Ostsee hinwirken;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die Kommission auf, den ICES zu beauftragen, einen Leitfaden für die Mitgliedstaaten und die Kommission für die Auslegung wissenschaftlicher Gutachten zu erstellen, damit sie im Einklang mit dem Ökosystem- und dem Vorsorgeansatz handeln und gleichzeitig auf den Wiederaufbau der Resilienz der Ostsee hinwirken;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die Kommission auf, den ICES zu beauftragen, einen Leitfaden für die Mitgliedstaaten und die Kommission für die Auslegung wissenschaftlicher Gutachten zu erstellen, damit sie im Einklang mit dem Ökosystem- und dem Vorsorgeansatz handeln und gleichzeitig auf den Wiederaufbau der Resilienz der Ostsee hinwirken;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die Kommission auf, den ICES </w:t>
            </w:r>
            <w:r>
              <w:rPr>
                <w:b/>
                <w:i/>
              </w:rPr>
              <w:t>zu beauftragen, einen Leitfaden für die Mitgliedstaaten und die Kommission für die Auslegung wissenschaftlicher</w:t>
            </w:r>
            <w:r>
              <w:t xml:space="preserve"> Gutachten zu </w:t>
            </w:r>
            <w:r>
              <w:rPr>
                <w:b/>
                <w:i/>
              </w:rPr>
              <w:t>erstellen</w:t>
            </w:r>
            <w:r>
              <w:t xml:space="preserve">, damit sie </w:t>
            </w:r>
            <w:r>
              <w:rPr>
                <w:b/>
                <w:i/>
              </w:rPr>
              <w:t>im Einklang</w:t>
            </w:r>
            <w:r>
              <w:t xml:space="preserve"> mit dem Ökosystem- und dem Vorsorgeansatz </w:t>
            </w:r>
            <w:r>
              <w:rPr>
                <w:b/>
                <w:i/>
              </w:rPr>
              <w:t>handeln und gleichzeitig auf den Wiederaufbau der Resilienz</w:t>
            </w:r>
            <w:r>
              <w:t xml:space="preserve"> der Ostsee </w:t>
            </w:r>
            <w:r>
              <w:rPr>
                <w:b/>
                <w:i/>
              </w:rPr>
              <w:t>hinwirken</w:t>
            </w:r>
            <w:r>
              <w:t>;</w:t>
            </w:r>
          </w:p>
        </w:tc>
        <w:tc>
          <w:tcPr>
            <w:tcW w:w="4876" w:type="dxa"/>
            <w:tcBorders>
              <w:top w:val="nil"/>
              <w:left w:val="nil"/>
              <w:bottom w:val="nil"/>
              <w:right w:val="nil"/>
            </w:tcBorders>
          </w:tcPr>
          <w:p>
            <w:pPr>
              <w:pStyle w:val="Normal6a"/>
            </w:pPr>
            <w:r>
              <w:t>13.</w:t>
            </w:r>
            <w:r>
              <w:tab/>
            </w:r>
            <w:r>
              <w:t xml:space="preserve">fordert die Kommission auf, den ICES </w:t>
            </w:r>
            <w:r>
              <w:rPr>
                <w:b/>
                <w:i/>
              </w:rPr>
              <w:t>um weitere Leitlinien in seinen wissenschaftlichen</w:t>
            </w:r>
            <w:r>
              <w:t xml:space="preserve"> Gutachten zu </w:t>
            </w:r>
            <w:r>
              <w:rPr>
                <w:b/>
                <w:i/>
              </w:rPr>
              <w:t>ersuchen, um mehr Klarheit darüber zu schaffen, wie die Gutachten auszulegen sind</w:t>
            </w:r>
            <w:r>
              <w:t xml:space="preserve">, damit sie mit dem Ökosystem- und dem Vorsorgeansatz </w:t>
            </w:r>
            <w:r>
              <w:rPr>
                <w:b/>
                <w:i/>
              </w:rPr>
              <w:t>im Einklang stehen;</w:t>
            </w:r>
            <w:r>
              <w:t xml:space="preserve"> </w:t>
            </w:r>
            <w:r>
              <w:rPr>
                <w:b/>
                <w:i/>
              </w:rPr>
              <w:t>betont, dass eine korrekte Lesart und Auslegung wissenschaftlicher Gutachten von entscheidender Bedeutung ist, um die Widerstandsfähigkeit</w:t>
            </w:r>
            <w:r>
              <w:t xml:space="preserve"> der Ostsee </w:t>
            </w:r>
            <w:r>
              <w:rPr>
                <w:b/>
                <w:i/>
              </w:rPr>
              <w:t>wirksamer wiederherzustellen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die Kommission auf, den ICES zu </w:t>
            </w:r>
            <w:r>
              <w:rPr>
                <w:b/>
                <w:i/>
              </w:rPr>
              <w:t>beauftragen, einen Leitfaden für die</w:t>
            </w:r>
            <w:r>
              <w:t xml:space="preserve"> Mitgliedstaaten </w:t>
            </w:r>
            <w:r>
              <w:rPr>
                <w:b/>
                <w:i/>
              </w:rPr>
              <w:t>und die Kommission für die Auslegung wissenschaftlicher</w:t>
            </w:r>
            <w:r>
              <w:t xml:space="preserve"> Gutachten </w:t>
            </w:r>
            <w:r>
              <w:rPr>
                <w:b/>
                <w:i/>
              </w:rPr>
              <w:t>zu erstellen, damit sie im Einklang mit dem Ökosystem- und dem Vorsorgeansatz handeln und gleichzeitig auf den Wiederaufbau der Resilienz</w:t>
            </w:r>
            <w:r>
              <w:t xml:space="preserve"> der Ostsee </w:t>
            </w:r>
            <w:r>
              <w:rPr>
                <w:b/>
                <w:i/>
              </w:rPr>
              <w:t>hinwirken</w:t>
            </w:r>
            <w:r>
              <w:t>;</w:t>
            </w:r>
          </w:p>
        </w:tc>
        <w:tc>
          <w:tcPr>
            <w:tcW w:w="4876" w:type="dxa"/>
            <w:tcBorders>
              <w:top w:val="nil"/>
              <w:left w:val="nil"/>
              <w:bottom w:val="nil"/>
              <w:right w:val="nil"/>
            </w:tcBorders>
          </w:tcPr>
          <w:p>
            <w:pPr>
              <w:pStyle w:val="Normal6a"/>
            </w:pPr>
            <w:r>
              <w:t>13.</w:t>
            </w:r>
            <w:r>
              <w:tab/>
            </w:r>
            <w:r>
              <w:t xml:space="preserve">fordert die Kommission auf, den ICES zu </w:t>
            </w:r>
            <w:r>
              <w:rPr>
                <w:b/>
                <w:i/>
              </w:rPr>
              <w:t>ersuchen, den</w:t>
            </w:r>
            <w:r>
              <w:t xml:space="preserve"> Mitgliedstaaten </w:t>
            </w:r>
            <w:r>
              <w:rPr>
                <w:b/>
                <w:i/>
              </w:rPr>
              <w:t>klare und neutrale Anweisungen darüber vorzulegen, wie wissenschaftliche</w:t>
            </w:r>
            <w:r>
              <w:t xml:space="preserve"> Gutachten </w:t>
            </w:r>
            <w:r>
              <w:rPr>
                <w:b/>
                <w:i/>
              </w:rPr>
              <w:t>und Bestandsabschätzungen auszulegen sind, um eine ökosystembasierte Bewirtschaftung der Fischbestände in</w:t>
            </w:r>
            <w:r>
              <w:t xml:space="preserve"> der Ostsee </w:t>
            </w:r>
            <w:r>
              <w:rPr>
                <w:b/>
                <w:i/>
              </w:rPr>
              <w:t>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Kommission auf, den ICES zu ersuchen, eine detaillierte Analyse der bestehenden Grenzen des derzeitigen Ansatzes für wissenschaftliche Gutachten vorzulegen, in der hervorgehoben wird, wo die empfohlenen Fangmengen nicht alle einschlägigen rechtlichen Anforderungen und politischen Ziele vollständig widerspiegeln, sowie einen klaren Fahrplan zur Behebung der derzeitigen Mängel vorzulegen und vorläufige Empfehlungen dazu abzugeben, wie die derzeit verfügbaren Empfehlungen zu den Fangmöglichkeiten auf hinreichend vorsorgliche Weise genutzt werden können, um alle einschlägigen rechtlichen Anforderungen und Ziele zu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Kommission auf, alle ihre Ersuchen um wissenschaftliche Gutachten des ICES öffentlich zugänglich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fordert die Kommission auf, die Ausarbeitung klarer und transparenter Regeln für die Festsetzung der zulässigen Gesamtfangmengen zu erwägen, die eng auf die Ziele des Mehrjahresplans für die Ostsee abgestimmt sind und auf einem neuen ökosystembasierten, mehrere Arten umfassenden Gutachten beruhen;</w:t>
            </w:r>
            <w:r>
              <w:t xml:space="preserve"> </w:t>
            </w:r>
            <w:r>
              <w:rPr>
                <w:b/>
                <w:i/>
              </w:rPr>
              <w:t>fordert den Rat auf, Jahresberichte zu veröffentlichen, in denen die Entscheidungen über zulässige Gesamtfangmengen und andere Maßnahmen erläutert und begründet werden, um das Verfahren zu ihrer Festsetzung und die Diskussionen auf dem BALTFISH-Forum für die Öffentlichkeit offen und transparent zu gestalten und die Mitgliedstaaten für ihre Entscheidungen zur Rechenschaft zu 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fordert die Kommission auf, die Ausarbeitung klarer und transparenter Regeln für die Festsetzung der zulässigen Gesamtfangmengen zu erwägen, die eng auf die Ziele des Mehrjahresplans für die Ostsee abgestimmt sind und auf einem neuen ökosystembasierten, mehrere Arten umfassenden Gutachten beruhen;</w:t>
            </w:r>
            <w:r>
              <w:t xml:space="preserve"> </w:t>
            </w:r>
            <w:r>
              <w:rPr>
                <w:b/>
                <w:i/>
              </w:rPr>
              <w:t>fordert den Rat auf, Jahresberichte zu veröffentlichen, in denen die Entscheidungen über zulässige Gesamtfangmengen und andere Maßnahmen erläutert und begründet werden, um das Verfahren zu ihrer Festsetzung und die Diskussionen auf dem BALTFISH-Forum für die Öffentlichkeit offen und transparent zu gestalten und die Mitgliedstaaten für ihre Entscheidungen zur Rechenschaft zu 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fordert die</w:t>
            </w:r>
            <w:r>
              <w:t xml:space="preserve"> Kommission </w:t>
            </w:r>
            <w:r>
              <w:rPr>
                <w:b/>
                <w:i/>
              </w:rPr>
              <w:t>auf, die Ausarbeitung klarer und transparenter Regeln für</w:t>
            </w:r>
            <w:r>
              <w:t xml:space="preserve"> die Festsetzung der zulässigen Gesamtfangmengen </w:t>
            </w:r>
            <w:r>
              <w:rPr>
                <w:b/>
                <w:i/>
              </w:rPr>
              <w:t>zu erwägen, die eng auf die Ziele des Mehrjahresplans für die Ostsee abgestimmt sind und auf einem neuen ökosystembasierten, mehrere Arten umfassenden Gutachten beruhen;</w:t>
            </w:r>
            <w:r>
              <w:t xml:space="preserve"> </w:t>
            </w:r>
            <w:r>
              <w:rPr>
                <w:b/>
                <w:i/>
              </w:rPr>
              <w:t>fordert den Rat auf, Jahresberichte zu veröffentlichen, in denen die Entscheidungen über zulässige Gesamtfangmengen und andere Maßnahmen erläutert und begründet werden, um das Verfahren zu ihrer Festsetzung und die Diskussionen auf dem BALTFISH-Forum für die Öffentlichkeit offen und</w:t>
            </w:r>
            <w:r>
              <w:t xml:space="preserve"> transparent </w:t>
            </w:r>
            <w:r>
              <w:rPr>
                <w:b/>
                <w:i/>
              </w:rPr>
              <w:t>zu gestalten und die Mitgliedstaaten für ihre Entscheidungen zur Rechenschaft zu ziehen</w:t>
            </w:r>
            <w:r>
              <w:t>;</w:t>
            </w:r>
          </w:p>
        </w:tc>
        <w:tc>
          <w:tcPr>
            <w:tcW w:w="4876" w:type="dxa"/>
            <w:tcBorders>
              <w:top w:val="nil"/>
              <w:left w:val="nil"/>
              <w:bottom w:val="nil"/>
              <w:right w:val="nil"/>
            </w:tcBorders>
          </w:tcPr>
          <w:p>
            <w:pPr>
              <w:pStyle w:val="Normal6a"/>
            </w:pPr>
            <w:r>
              <w:t>14.</w:t>
            </w:r>
            <w:r>
              <w:tab/>
            </w:r>
            <w:r>
              <w:rPr>
                <w:b/>
                <w:i/>
              </w:rPr>
              <w:t>legt der</w:t>
            </w:r>
            <w:r>
              <w:t xml:space="preserve"> Kommission </w:t>
            </w:r>
            <w:r>
              <w:rPr>
                <w:b/>
                <w:i/>
              </w:rPr>
              <w:t>und dem Rat nahe, dafür zu sorgen, dass</w:t>
            </w:r>
            <w:r>
              <w:t xml:space="preserve"> die Festsetzung der zulässigen Gesamtfangmengen transparent </w:t>
            </w:r>
            <w:r>
              <w:rPr>
                <w:b/>
                <w:i/>
              </w:rPr>
              <w:t>bleibt und auf fundierten wissenschaftlichen Erkenntnissen beruht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fordert die Kommission auf, </w:t>
            </w:r>
            <w:r>
              <w:rPr>
                <w:b/>
                <w:i/>
              </w:rPr>
              <w:t>die Ausarbeitung klarer und transparenter Regeln</w:t>
            </w:r>
            <w:r>
              <w:t xml:space="preserve"> für die Festsetzung der zulässigen Gesamtfangmengen zu erwägen</w:t>
            </w:r>
            <w:r>
              <w:rPr>
                <w:b/>
                <w:i/>
              </w:rPr>
              <w:t>, die eng auf die Ziele</w:t>
            </w:r>
            <w:r>
              <w:t xml:space="preserve"> des Mehrjahresplans für die Ostsee </w:t>
            </w:r>
            <w:r>
              <w:rPr>
                <w:b/>
                <w:i/>
              </w:rPr>
              <w:t>abgestimmt sind und auf einem neuen ökosystembasierten, mehrere Arten umfassenden Gutachten beruhen</w:t>
            </w:r>
            <w:r>
              <w:t xml:space="preserve">; </w:t>
            </w:r>
            <w:r>
              <w:rPr>
                <w:b/>
                <w:i/>
              </w:rPr>
              <w:t>fordert den Rat auf, Jahresberichte zu veröffentlichen, in denen die Entscheidungen über zulässige Gesamtfangmengen und andere Maßnahmen erläutert und begründet werden, um das Verfahren zu ihrer Festsetzung und die Diskussionen auf dem BALTFISH-Forum für die Öffentlichkeit offen und transparent zu gestalten und die Mitgliedstaaten für ihre Entscheidungen zur Rechenschaft zu ziehen;</w:t>
            </w:r>
          </w:p>
        </w:tc>
        <w:tc>
          <w:tcPr>
            <w:tcW w:w="4876" w:type="dxa"/>
            <w:tcBorders>
              <w:top w:val="nil"/>
              <w:left w:val="nil"/>
              <w:bottom w:val="nil"/>
              <w:right w:val="nil"/>
            </w:tcBorders>
          </w:tcPr>
          <w:p>
            <w:pPr>
              <w:pStyle w:val="Normal6a"/>
            </w:pPr>
            <w:r>
              <w:t>14.</w:t>
            </w:r>
            <w:r>
              <w:tab/>
            </w:r>
            <w:r>
              <w:t xml:space="preserve">fordert die Kommission auf, </w:t>
            </w:r>
            <w:r>
              <w:rPr>
                <w:b/>
                <w:i/>
              </w:rPr>
              <w:t>im Rahmen der laufenden Überprüfung der gemeinsamen Fischereipolitik Vorschriften und Verfahren</w:t>
            </w:r>
            <w:r>
              <w:t xml:space="preserve"> für die Festsetzung der zulässigen Gesamtfangmengen </w:t>
            </w:r>
            <w:r>
              <w:rPr>
                <w:b/>
                <w:i/>
              </w:rPr>
              <w:t>sowie die Ausarbeitung neuer ökosystembasierter Gutachten</w:t>
            </w:r>
            <w:r>
              <w:t xml:space="preserve"> zu erwägen </w:t>
            </w:r>
            <w:r>
              <w:rPr>
                <w:b/>
                <w:i/>
              </w:rPr>
              <w:t>und ihre kohärente Anwendung im Rahmen</w:t>
            </w:r>
            <w:r>
              <w:t xml:space="preserve"> des Mehrjahresplans für die Ostsee </w:t>
            </w:r>
            <w:r>
              <w:rPr>
                <w:b/>
                <w:i/>
              </w:rPr>
              <w:t>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fordert die Kommission auf, die Ausarbeitung klarer und transparenter Regeln für die Festsetzung der zulässigen Gesamtfangmengen zu erwägen, die eng auf die Ziele des Mehrjahresplans für die Ostsee abgestimmt sind und auf einem neuen ökosystembasierten, mehrere Arten umfassenden Gutachten beruhen;</w:t>
            </w:r>
            <w:r>
              <w:t xml:space="preserve"> fordert den Rat auf, Jahresberichte zu veröffentlichen, in denen die Entscheidungen über zulässige Gesamtfangmengen und andere Maßnahmen erläutert und begründet werden, um das Verfahren zu ihrer Festsetzung </w:t>
            </w:r>
            <w:r>
              <w:rPr>
                <w:b/>
                <w:i/>
              </w:rPr>
              <w:t>und die Diskussionen auf dem BALTFISH-Forum</w:t>
            </w:r>
            <w:r>
              <w:t xml:space="preserve"> für die Öffentlichkeit </w:t>
            </w:r>
            <w:r>
              <w:rPr>
                <w:b/>
                <w:i/>
              </w:rPr>
              <w:t>offen und transparent</w:t>
            </w:r>
            <w:r>
              <w:t xml:space="preserve"> zu gestalten und die Mitgliedstaaten für ihre Entscheidungen zur Rechenschaft zu ziehen;</w:t>
            </w:r>
          </w:p>
        </w:tc>
        <w:tc>
          <w:tcPr>
            <w:tcW w:w="4876" w:type="dxa"/>
            <w:tcBorders>
              <w:top w:val="nil"/>
              <w:left w:val="nil"/>
              <w:bottom w:val="nil"/>
              <w:right w:val="nil"/>
            </w:tcBorders>
          </w:tcPr>
          <w:p>
            <w:pPr>
              <w:pStyle w:val="Normal6a"/>
            </w:pPr>
            <w:r>
              <w:t>14.</w:t>
            </w:r>
            <w:r>
              <w:tab/>
            </w:r>
            <w:r>
              <w:t xml:space="preserve">fordert den Rat auf, Jahresberichte zu veröffentlichen, in denen die Entscheidungen über zulässige Gesamtfangmengen und andere Maßnahmen erläutert und begründet werden, um das Verfahren zu ihrer Festsetzung für die Öffentlichkeit </w:t>
            </w:r>
            <w:r>
              <w:rPr>
                <w:b/>
                <w:i/>
              </w:rPr>
              <w:t>offener und transparenter</w:t>
            </w:r>
            <w:r>
              <w:t xml:space="preserve"> zu gestalten und die Mitgliedstaaten für ihre Entscheidungen zur Rechenschaft zu ziehen; </w:t>
            </w:r>
            <w:r>
              <w:rPr>
                <w:b/>
                <w:i/>
              </w:rPr>
              <w:t>betont in diesem Zusammenhang, dass die Diskussionen innerhalb von BALTFISH auch transparenter und offener sein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Kommission auf, den Anwendungsbereich des Mehrjahresplans auf die Auswirkungen der Herings-, Sprotten- und Dorschfischerei auf das Ökosystem aller anderen Bestände, einschließlich Lachs, auszuweiten und Atlantischen Lachs ausdrücklich als Art in Artikel 6 in Erwägungsgrund 8 und Erwägungsgrund 10 der Verordnung (EU) 2016/1139 (Mehrjahresplan für die Ostsee)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fordert die Mitgliedstaaten und die Kommission auf, Ansätze in Bezug auf die natürliche Prädation auf wissenschaftliche Erkenntnisse zu stützen, wobei präventiven, nicht tödlichen und lokal ausgerichteten Maßnahmen Vorrang einzuräumen ist, und für eine angemessene Überwachung, Finanzierung und Zusammenarbeit der Interessenträger zu sorgen, um wirksame Maßnahmen zur Schadensminderung umzusetzen;</w:t>
            </w:r>
          </w:p>
        </w:tc>
        <w:tc>
          <w:tcPr>
            <w:tcW w:w="4876" w:type="dxa"/>
            <w:tcBorders>
              <w:top w:val="nil"/>
              <w:left w:val="nil"/>
              <w:bottom w:val="nil"/>
              <w:right w:val="nil"/>
            </w:tcBorders>
          </w:tcPr>
          <w:p>
            <w:pPr>
              <w:pStyle w:val="Normal6a"/>
            </w:pPr>
            <w:r>
              <w:t>15.</w:t>
            </w:r>
            <w:r>
              <w:tab/>
            </w:r>
            <w:r>
              <w:t xml:space="preserve">fordert die Mitgliedstaaten und die Kommission auf, Ansätze in Bezug auf die natürliche Prädation auf wissenschaftliche Erkenntnisse zu stützen, wobei präventiven, nicht tödlichen und lokal ausgerichteten Maßnahmen Vorrang einzuräumen ist, und für eine angemessene Überwachung, Finanzierung und Zusammenarbeit der Interessenträger zu sorgen, um wirksame Maßnahmen zur Schadensminderung umzusetzen; </w:t>
            </w:r>
            <w:r>
              <w:rPr>
                <w:b/>
                <w:i/>
              </w:rPr>
              <w:t>betont, dass bei einer von der Kommission durchgeführten öffentlichen Konsultation 94 % aller Befragten angaben, dass sie gegen oder entschieden gegen das Inverkehrbringen von Robbenerzeugnissen sind, und dies als Bestandsbewirtschaftungsmaßnahme ablehnen, und 89 % angaben, dass die Robbenjagd erhebliche moralische Bedenken aufwirft;</w:t>
            </w:r>
            <w:r>
              <w:t xml:space="preserve"> </w:t>
            </w:r>
            <w:r>
              <w:rPr>
                <w:b/>
                <w:i/>
              </w:rPr>
              <w:t>hebt wissenschaftliche Untersuchungen hervor, aus denen hervorgeht, dass eine Erhöhung der jährlichen Jagdquoten – in Verbindung mit Umweltzerstörung und Überfischung – zu einem Zusammenbruch der Kegelrobbenpopulation in der Ostsee führen könnte;</w:t>
            </w:r>
            <w:r>
              <w:t xml:space="preserve"> </w:t>
            </w:r>
            <w:r>
              <w:rPr>
                <w:b/>
                <w:i/>
              </w:rPr>
              <w:t>fordert die Kommission auf, die Maßnahmen zum Schutz von Robben, Seevögeln und Meeressäugetieren vor Gefahren wie Überfischung, Jagd, Ausbeutung und anderen schädlichen Aktivitäten aufrechtzuerhalten und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Emma Wiesner,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fordert die Mitgliedstaaten und die Kommission auf, Ansätze in Bezug auf die natürliche Prädation auf wissenschaftliche Erkenntnisse zu stützen, wobei </w:t>
            </w:r>
            <w:r>
              <w:rPr>
                <w:b/>
                <w:i/>
              </w:rPr>
              <w:t>präventiven, nicht tödlichen und lokal ausgerichteten</w:t>
            </w:r>
            <w:r>
              <w:t xml:space="preserve"> Maßnahmen Vorrang einzuräumen ist, </w:t>
            </w:r>
            <w:r>
              <w:rPr>
                <w:b/>
                <w:i/>
              </w:rPr>
              <w:t>und für eine angemessene</w:t>
            </w:r>
            <w:r>
              <w:t xml:space="preserve"> Überwachung, Finanzierung und Zusammenarbeit der Interessenträger </w:t>
            </w:r>
            <w:r>
              <w:rPr>
                <w:b/>
                <w:i/>
              </w:rPr>
              <w:t>zu sorgen, um wirksame Maßnahmen zur Schadensminderung umzusetzen</w:t>
            </w:r>
            <w:r>
              <w:t>;</w:t>
            </w:r>
          </w:p>
        </w:tc>
        <w:tc>
          <w:tcPr>
            <w:tcW w:w="4876" w:type="dxa"/>
            <w:tcBorders>
              <w:top w:val="nil"/>
              <w:left w:val="nil"/>
              <w:bottom w:val="nil"/>
              <w:right w:val="nil"/>
            </w:tcBorders>
          </w:tcPr>
          <w:p>
            <w:pPr>
              <w:pStyle w:val="Normal6a"/>
            </w:pPr>
            <w:r>
              <w:t>15.</w:t>
            </w:r>
            <w:r>
              <w:tab/>
            </w:r>
            <w:r>
              <w:rPr>
                <w:b/>
                <w:i/>
              </w:rPr>
              <w:t>stellt fest, dass es an ökosystembasierten Modellen mangelt, bei denen Wechselwirkungen zwischen Arten und Umweltindikatoren wie Auswirkungen von Raubtieren und Eutrophierung berücksichtigt werden;</w:t>
            </w:r>
            <w:r>
              <w:t xml:space="preserve"> fordert die Mitgliedstaaten und die Kommission auf, </w:t>
            </w:r>
            <w:r>
              <w:rPr>
                <w:b/>
                <w:i/>
              </w:rPr>
              <w:t>diesbezüglich weitere wissenschaftliche Gutachten anzufordern, damit diese Aspekte im Zusammenhang mit dem Ökosystem bei den Maßnahmen, die für die Erholung der Ostsee erforderlich sind, weiter berücksichtigt werden können;</w:t>
            </w:r>
            <w:r>
              <w:t xml:space="preserve"> </w:t>
            </w:r>
            <w:r>
              <w:rPr>
                <w:b/>
                <w:i/>
              </w:rPr>
              <w:t>fordert darüber hinaus die Mitgliedstaaten und die Kommission auf, alle</w:t>
            </w:r>
            <w:r>
              <w:t xml:space="preserve"> Ansätze in Bezug auf die natürliche Prädation auf wissenschaftliche Erkenntnisse zu stützen, wobei </w:t>
            </w:r>
            <w:r>
              <w:rPr>
                <w:b/>
                <w:i/>
              </w:rPr>
              <w:t>der Annahme wirksamer</w:t>
            </w:r>
            <w:r>
              <w:t xml:space="preserve"> Maßnahmen </w:t>
            </w:r>
            <w:r>
              <w:rPr>
                <w:b/>
                <w:i/>
              </w:rPr>
              <w:t>für das Management von Raubtieren wie Kormoranen und Robben</w:t>
            </w:r>
            <w:r>
              <w:t xml:space="preserve"> Vorrang einzuräumen ist</w:t>
            </w:r>
            <w:r>
              <w:rPr>
                <w:b/>
                <w:i/>
              </w:rPr>
              <w:t>;</w:t>
            </w:r>
            <w:r>
              <w:t xml:space="preserve"> </w:t>
            </w:r>
            <w:r>
              <w:rPr>
                <w:b/>
                <w:i/>
              </w:rPr>
              <w:t>betont</w:t>
            </w:r>
            <w:r>
              <w:t xml:space="preserve">, </w:t>
            </w:r>
            <w:r>
              <w:rPr>
                <w:b/>
                <w:i/>
              </w:rPr>
              <w:t>dass die Maßnahmen lokal ausgerichtet und lokal verankert sein müssen, zusammen mit einer angemessenen</w:t>
            </w:r>
            <w:r>
              <w:t xml:space="preserve"> Überwachung, </w:t>
            </w:r>
            <w:r>
              <w:rPr>
                <w:b/>
                <w:i/>
              </w:rPr>
              <w:t>einer zweckgebundenen und angemessenen</w:t>
            </w:r>
            <w:r>
              <w:t xml:space="preserve"> Finanzierung und </w:t>
            </w:r>
            <w:r>
              <w:rPr>
                <w:b/>
                <w:i/>
              </w:rPr>
              <w:t>der</w:t>
            </w:r>
            <w:r>
              <w:t xml:space="preserve"> Zusammenarbeit der Interessenträger</w:t>
            </w:r>
            <w:r>
              <w:rPr>
                <w:b/>
                <w:i/>
              </w:rPr>
              <w:t>, um ihre Wirksamkeit sicherzustellen;</w:t>
            </w:r>
            <w:r>
              <w:t xml:space="preserve"> </w:t>
            </w:r>
            <w:r>
              <w:rPr>
                <w:b/>
                <w:i/>
              </w:rPr>
              <w:t>weist in diesem Zusammenhang auf die Notwendigkeit eines EU-weiten Kormoran-Managementplans 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Carmen Crespo Díaz, Juan Ignacio Zoido Álvarez, 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fordert die Mitgliedstaaten und die Kommission auf, </w:t>
            </w:r>
            <w:r>
              <w:rPr>
                <w:b/>
                <w:i/>
              </w:rPr>
              <w:t>Ansätze in Bezug</w:t>
            </w:r>
            <w:r>
              <w:t xml:space="preserve"> auf die </w:t>
            </w:r>
            <w:r>
              <w:rPr>
                <w:b/>
                <w:i/>
              </w:rPr>
              <w:t>natürliche Prädation auf wissenschaftliche Erkenntnisse zu stützen, wobei präventiven, nicht tödlichen und lokal ausgerichteten Maßnahmen Vorrang einzuräumen ist, und für eine angemessene Überwachung, Finanzierung und Zusammenarbeit der Interessenträger zu sorgen, um wirksame</w:t>
            </w:r>
            <w:r>
              <w:t xml:space="preserve"> Maßnahmen </w:t>
            </w:r>
            <w:r>
              <w:rPr>
                <w:b/>
                <w:i/>
              </w:rPr>
              <w:t>zur Schadensminderung umzusetzen</w:t>
            </w:r>
            <w:r>
              <w:t>;</w:t>
            </w:r>
          </w:p>
        </w:tc>
        <w:tc>
          <w:tcPr>
            <w:tcW w:w="4876" w:type="dxa"/>
            <w:tcBorders>
              <w:top w:val="nil"/>
              <w:left w:val="nil"/>
              <w:bottom w:val="nil"/>
              <w:right w:val="nil"/>
            </w:tcBorders>
          </w:tcPr>
          <w:p>
            <w:pPr>
              <w:pStyle w:val="Normal6a"/>
            </w:pPr>
            <w:r>
              <w:t>15.</w:t>
            </w:r>
            <w:r>
              <w:tab/>
            </w:r>
            <w:r>
              <w:t xml:space="preserve">fordert die Mitgliedstaaten und die Kommission auf, </w:t>
            </w:r>
            <w:r>
              <w:rPr>
                <w:b/>
                <w:i/>
              </w:rPr>
              <w:t>das Problem des übermäßigen Wachstums der Robben- und Kormoranpopulation in der Ostsee im Wege eines wissenschaftlich fundierten Konzepts anzugehen, das nicht nur präventive und</w:t>
            </w:r>
            <w:r>
              <w:t xml:space="preserve"> auf die </w:t>
            </w:r>
            <w:r>
              <w:rPr>
                <w:b/>
                <w:i/>
              </w:rPr>
              <w:t>Situation vor Ort zugeschnittene</w:t>
            </w:r>
            <w:r>
              <w:t xml:space="preserve"> Maßnahmen</w:t>
            </w:r>
            <w:r>
              <w:rPr>
                <w:b/>
                <w:i/>
              </w:rPr>
              <w:t>, sondern auch die Kontrolle der Population durch eine genehmigte nachhaltige Jagd umfasst</w:t>
            </w:r>
            <w:r>
              <w:t xml:space="preserve">; </w:t>
            </w:r>
            <w:r>
              <w:rPr>
                <w:b/>
                <w:i/>
              </w:rPr>
              <w:t>betont, dass das Inverkehrbringen von aus Robben gewonnenen Erzeugnissen sowohl innerhalb als auch außerhalb der Europäischen Union gestattet werden muss, um Anreize für eine aktive und wirksame Bewirtschaftung dieser Art zu schaffen und ihre Auswirkungen auf die Fischbestände zu verringern;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fordert die Mitgliedstaaten und die Kommission auf, </w:t>
            </w:r>
            <w:r>
              <w:rPr>
                <w:b/>
                <w:i/>
              </w:rPr>
              <w:t>Ansätze</w:t>
            </w:r>
            <w:r>
              <w:t xml:space="preserve"> in Bezug auf die natürliche Prädation auf wissenschaftliche Erkenntnisse zu stützen</w:t>
            </w:r>
            <w:r>
              <w:rPr>
                <w:b/>
                <w:i/>
              </w:rPr>
              <w:t>, wobei präventiven, nicht tödlichen und lokal ausgerichteten</w:t>
            </w:r>
            <w:r>
              <w:t xml:space="preserve"> Maßnahmen Vorrang einzuräumen </w:t>
            </w:r>
            <w:r>
              <w:rPr>
                <w:b/>
                <w:i/>
              </w:rPr>
              <w:t>ist, und für</w:t>
            </w:r>
            <w:r>
              <w:t xml:space="preserve"> eine angemessene Überwachung, </w:t>
            </w:r>
            <w:r>
              <w:rPr>
                <w:b/>
                <w:i/>
              </w:rPr>
              <w:t>Finanzierung und</w:t>
            </w:r>
            <w:r>
              <w:t xml:space="preserve"> Zusammenarbeit der Interessenträger </w:t>
            </w:r>
            <w:r>
              <w:rPr>
                <w:b/>
                <w:i/>
              </w:rPr>
              <w:t>zu sorgen</w:t>
            </w:r>
            <w:r>
              <w:t xml:space="preserve">, um wirksame Maßnahmen </w:t>
            </w:r>
            <w:r>
              <w:rPr>
                <w:b/>
                <w:i/>
              </w:rPr>
              <w:t>zur Schadensminderung umzusetzen</w:t>
            </w:r>
            <w:r>
              <w:t>;</w:t>
            </w:r>
          </w:p>
        </w:tc>
        <w:tc>
          <w:tcPr>
            <w:tcW w:w="4876" w:type="dxa"/>
            <w:tcBorders>
              <w:top w:val="nil"/>
              <w:left w:val="nil"/>
              <w:bottom w:val="nil"/>
              <w:right w:val="nil"/>
            </w:tcBorders>
          </w:tcPr>
          <w:p>
            <w:pPr>
              <w:pStyle w:val="Normal6a"/>
            </w:pPr>
            <w:r>
              <w:t>15.</w:t>
            </w:r>
            <w:r>
              <w:tab/>
            </w:r>
            <w:r>
              <w:t xml:space="preserve">fordert die Mitgliedstaaten und die Kommission auf, </w:t>
            </w:r>
            <w:r>
              <w:rPr>
                <w:b/>
                <w:i/>
              </w:rPr>
              <w:t>jeden Ansatz</w:t>
            </w:r>
            <w:r>
              <w:t xml:space="preserve"> in Bezug auf die natürliche Prädation auf </w:t>
            </w:r>
            <w:r>
              <w:rPr>
                <w:b/>
                <w:i/>
              </w:rPr>
              <w:t>fundierte</w:t>
            </w:r>
            <w:r>
              <w:t xml:space="preserve"> wissenschaftliche Erkenntnisse zu stützen </w:t>
            </w:r>
            <w:r>
              <w:rPr>
                <w:b/>
                <w:i/>
              </w:rPr>
              <w:t>und der Annahme wirksamer</w:t>
            </w:r>
            <w:r>
              <w:t xml:space="preserve"> Maßnahmen </w:t>
            </w:r>
            <w:r>
              <w:rPr>
                <w:b/>
                <w:i/>
              </w:rPr>
              <w:t>für das Management von Robben und Kormoranen entsprechend den wiederholten Forderungen mehrerer baltischer Mitgliedstaaten</w:t>
            </w:r>
            <w:r>
              <w:t xml:space="preserve"> Vorrang einzuräumen</w:t>
            </w:r>
            <w:r>
              <w:rPr>
                <w:b/>
                <w:i/>
              </w:rPr>
              <w:t>;</w:t>
            </w:r>
            <w:r>
              <w:t xml:space="preserve"> </w:t>
            </w:r>
            <w:r>
              <w:rPr>
                <w:b/>
                <w:i/>
              </w:rPr>
              <w:t>fordert ferner</w:t>
            </w:r>
            <w:r>
              <w:t xml:space="preserve"> eine angemessene Überwachung, </w:t>
            </w:r>
            <w:r>
              <w:rPr>
                <w:b/>
                <w:i/>
              </w:rPr>
              <w:t>zweckgebundene Mittel und eine verstärkte</w:t>
            </w:r>
            <w:r>
              <w:t xml:space="preserve"> Zusammenarbeit der Interessenträger, um </w:t>
            </w:r>
            <w:r>
              <w:rPr>
                <w:b/>
                <w:i/>
              </w:rPr>
              <w:t>die</w:t>
            </w:r>
            <w:r>
              <w:t xml:space="preserve"> wirksame </w:t>
            </w:r>
            <w:r>
              <w:rPr>
                <w:b/>
                <w:i/>
              </w:rPr>
              <w:t>Umsetzung dieser</w:t>
            </w:r>
            <w:r>
              <w:t xml:space="preserve"> Maßnahmen </w:t>
            </w:r>
            <w:r>
              <w:rPr>
                <w:b/>
                <w:i/>
              </w:rPr>
              <w:t>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fordert die Mitgliedstaaten und die Kommission auf, </w:t>
            </w:r>
            <w:r>
              <w:rPr>
                <w:b/>
                <w:i/>
              </w:rPr>
              <w:t>Ansätze</w:t>
            </w:r>
            <w:r>
              <w:t xml:space="preserve"> in Bezug auf die natürliche Prädation auf wissenschaftliche Erkenntnisse zu stützen</w:t>
            </w:r>
            <w:r>
              <w:rPr>
                <w:b/>
                <w:i/>
              </w:rPr>
              <w:t>, wobei präventiven, nicht tödlichen und lokal ausgerichteten</w:t>
            </w:r>
            <w:r>
              <w:t xml:space="preserve"> Maßnahmen Vorrang einzuräumen </w:t>
            </w:r>
            <w:r>
              <w:rPr>
                <w:b/>
                <w:i/>
              </w:rPr>
              <w:t>ist,</w:t>
            </w:r>
            <w:r>
              <w:t xml:space="preserve"> und für eine angemessene Überwachung</w:t>
            </w:r>
            <w:r>
              <w:rPr>
                <w:b/>
                <w:i/>
              </w:rPr>
              <w:t>, Finanzierung und</w:t>
            </w:r>
            <w:r>
              <w:t xml:space="preserve"> Zusammenarbeit der Interessenträger </w:t>
            </w:r>
            <w:r>
              <w:rPr>
                <w:b/>
                <w:i/>
              </w:rPr>
              <w:t>zu sorgen, um wirksame Maßnahmen zur Schadensminderung umzusetzen</w:t>
            </w:r>
            <w:r>
              <w:t>;</w:t>
            </w:r>
          </w:p>
        </w:tc>
        <w:tc>
          <w:tcPr>
            <w:tcW w:w="4876" w:type="dxa"/>
            <w:tcBorders>
              <w:top w:val="nil"/>
              <w:left w:val="nil"/>
              <w:bottom w:val="nil"/>
              <w:right w:val="nil"/>
            </w:tcBorders>
          </w:tcPr>
          <w:p>
            <w:pPr>
              <w:pStyle w:val="Normal6a"/>
            </w:pPr>
            <w:r>
              <w:t>15.</w:t>
            </w:r>
            <w:r>
              <w:tab/>
            </w:r>
            <w:r>
              <w:t xml:space="preserve">fordert die Mitgliedstaaten und die Kommission auf, </w:t>
            </w:r>
            <w:r>
              <w:rPr>
                <w:b/>
                <w:i/>
              </w:rPr>
              <w:t>jeden Ansatz</w:t>
            </w:r>
            <w:r>
              <w:t xml:space="preserve"> in Bezug auf die natürliche Prädation auf wissenschaftliche Erkenntnisse zu stützen </w:t>
            </w:r>
            <w:r>
              <w:rPr>
                <w:b/>
                <w:i/>
              </w:rPr>
              <w:t>und dabei der Annahme wirksamer</w:t>
            </w:r>
            <w:r>
              <w:t xml:space="preserve"> Maßnahmen</w:t>
            </w:r>
            <w:r>
              <w:rPr>
                <w:b/>
                <w:i/>
              </w:rPr>
              <w:t> für das Management von Robben und Kormoranen im Einklang mit den wiederholten Forderungen mehrerer baltischer Mitgliedstaaten</w:t>
            </w:r>
            <w:r>
              <w:t xml:space="preserve"> Vorrang einzuräumen und für eine angemessene Überwachung </w:t>
            </w:r>
            <w:r>
              <w:rPr>
                <w:b/>
                <w:i/>
              </w:rPr>
              <w:t>zu sorgen, indem Finanzmittel für diese Maßnahmen bereitgestellt werden und die</w:t>
            </w:r>
            <w:r>
              <w:t xml:space="preserve"> Zusammenarbeit der Interessenträger </w:t>
            </w:r>
            <w:r>
              <w:rPr>
                <w:b/>
                <w:i/>
              </w:rPr>
              <w:t>sichergestellt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fordert die Mitgliedstaaten und die Kommission auf, </w:t>
            </w:r>
            <w:r>
              <w:rPr>
                <w:b/>
                <w:i/>
              </w:rPr>
              <w:t>Ansätze</w:t>
            </w:r>
            <w:r>
              <w:t xml:space="preserve"> in Bezug auf die natürliche Prädation auf wissenschaftliche Erkenntnisse zu stützen, </w:t>
            </w:r>
            <w:r>
              <w:rPr>
                <w:b/>
                <w:i/>
              </w:rPr>
              <w:t>wobei präventiven, nicht tödlichen und lokal ausgerichteten Maßnahmen Vorrang einzuräumen ist, und für eine angemessene Überwachung, Finanzierung und Zusammenarbeit der Interessenträger zu sorgen, um wirksame Maßnahmen zur Schadensminderung umzusetzen</w:t>
            </w:r>
            <w:r>
              <w:t>;</w:t>
            </w:r>
          </w:p>
        </w:tc>
        <w:tc>
          <w:tcPr>
            <w:tcW w:w="4876" w:type="dxa"/>
            <w:tcBorders>
              <w:top w:val="nil"/>
              <w:left w:val="nil"/>
              <w:bottom w:val="nil"/>
              <w:right w:val="nil"/>
            </w:tcBorders>
          </w:tcPr>
          <w:p>
            <w:pPr>
              <w:pStyle w:val="Normal6a"/>
            </w:pPr>
            <w:r>
              <w:t>15.</w:t>
            </w:r>
            <w:r>
              <w:tab/>
            </w:r>
            <w:r>
              <w:t xml:space="preserve">fordert die Mitgliedstaaten und die Kommission auf, </w:t>
            </w:r>
            <w:r>
              <w:rPr>
                <w:b/>
                <w:i/>
              </w:rPr>
              <w:t>jeden Ansatz</w:t>
            </w:r>
            <w:r>
              <w:t xml:space="preserve"> in Bezug auf die natürliche Prädation auf wissenschaftliche Erkenntnisse zu stützen, </w:t>
            </w:r>
            <w:r>
              <w:rPr>
                <w:b/>
                <w:i/>
              </w:rPr>
              <w:t>unter anderem durch ein gezieltes Management der Raubtierpopulationen, wo dies erforderlich ist, um die nachhaltige Fischerei zu schützen und die Fischbestände wiederaufzufüllen, wobei die Einhaltung der Umweltvorschriften und der Überwachungsanforderungen sicherzustellen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fordert die Mitgliedstaaten und die Kommission auf, Ansätze in Bezug auf die natürliche Prädation auf wissenschaftliche Erkenntnisse zu stützen</w:t>
            </w:r>
            <w:r>
              <w:rPr>
                <w:b/>
                <w:i/>
              </w:rPr>
              <w:t>, wobei präventiven, nicht tödlichen und lokal ausgerichteten Maßnahmen Vorrang einzuräumen ist</w:t>
            </w:r>
            <w:r>
              <w:t>, und für eine angemessene Überwachung, Finanzierung und Zusammenarbeit der Interessenträger zu sorgen, um wirksame Maßnahmen zur Schadensminderung umzusetzen;</w:t>
            </w:r>
          </w:p>
        </w:tc>
        <w:tc>
          <w:tcPr>
            <w:tcW w:w="4876" w:type="dxa"/>
            <w:tcBorders>
              <w:top w:val="nil"/>
              <w:left w:val="nil"/>
              <w:bottom w:val="nil"/>
              <w:right w:val="nil"/>
            </w:tcBorders>
          </w:tcPr>
          <w:p>
            <w:pPr>
              <w:pStyle w:val="Normal6a"/>
            </w:pPr>
            <w:r>
              <w:t>15.</w:t>
            </w:r>
            <w:r>
              <w:tab/>
            </w:r>
            <w:r>
              <w:t>fordert die Mitgliedstaaten und die Kommission auf, Ansätze in Bezug auf die natürliche Prädation auf wissenschaftliche Erkenntnisse zu stützen, und für eine angemessene Überwachung, Finanzierung und Zusammenarbeit der Interessenträger zu sorgen, um wirksame Maßnahmen zur Schadensminderung umzusetzen</w:t>
            </w:r>
            <w:r>
              <w:rPr>
                <w:b/>
                <w:i/>
              </w:rPr>
              <w:t>, und dringend einen wirksamen EU-weiten Managementplan für Kormorane auszuarbeiten.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fordert die Mitgliedstaaten und die Kommission auf, </w:t>
            </w:r>
            <w:r>
              <w:rPr>
                <w:b/>
                <w:i/>
              </w:rPr>
              <w:t>Ansätze in Bezug auf die natürliche Prädation auf wissenschaftliche Erkenntnisse zu stützen, wobei präventiven, nicht tödlichen und lokal ausgerichteten Maßnahmen Vorrang einzuräumen ist</w:t>
            </w:r>
            <w:r>
              <w:t xml:space="preserve">, </w:t>
            </w:r>
            <w:r>
              <w:rPr>
                <w:b/>
                <w:i/>
              </w:rPr>
              <w:t>und für eine angemessene Überwachung, Finanzierung und Zusammenarbeit der Interessenträger zu sorgen, um wirksame</w:t>
            </w:r>
            <w:r>
              <w:t xml:space="preserve"> Maßnahmen zur </w:t>
            </w:r>
            <w:r>
              <w:rPr>
                <w:b/>
                <w:i/>
              </w:rPr>
              <w:t>Schadensminderung umzusetzen</w:t>
            </w:r>
            <w:r>
              <w:t>;</w:t>
            </w:r>
          </w:p>
        </w:tc>
        <w:tc>
          <w:tcPr>
            <w:tcW w:w="4876" w:type="dxa"/>
            <w:tcBorders>
              <w:top w:val="nil"/>
              <w:left w:val="nil"/>
              <w:bottom w:val="nil"/>
              <w:right w:val="nil"/>
            </w:tcBorders>
          </w:tcPr>
          <w:p>
            <w:pPr>
              <w:pStyle w:val="Normal6a"/>
            </w:pPr>
            <w:r>
              <w:t>15.</w:t>
            </w:r>
            <w:r>
              <w:tab/>
            </w:r>
            <w:r>
              <w:t xml:space="preserve">fordert die Mitgliedstaaten und die Kommission auf, </w:t>
            </w:r>
            <w:r>
              <w:rPr>
                <w:b/>
                <w:i/>
              </w:rPr>
              <w:t>einen umfassenden Plan für die Wiederauffüllung der Fischbestände auszuarbeiten und umzusetzen</w:t>
            </w:r>
            <w:r>
              <w:t xml:space="preserve">, </w:t>
            </w:r>
            <w:r>
              <w:rPr>
                <w:b/>
                <w:i/>
              </w:rPr>
              <w:t>der</w:t>
            </w:r>
            <w:r>
              <w:t xml:space="preserve"> Maßnahmen zur </w:t>
            </w:r>
            <w:r>
              <w:rPr>
                <w:b/>
                <w:i/>
              </w:rPr>
              <w:t>Überwachung und Kontrolle der Zahl der natürlichen Raubtiere umfasst, deren übermäßiges Wachstum einen erheblichen Druck auf die Fischbestände ausübt und deren Zustand und Erholungsfähigkeit beeinträchtigt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fordert die Mitgliedstaaten und die Kommission auf, Ansätze in Bezug auf die natürliche Prädation auf wissenschaftliche Erkenntnisse zu stützen, wobei präventiven</w:t>
            </w:r>
            <w:r>
              <w:rPr>
                <w:b/>
                <w:i/>
              </w:rPr>
              <w:t>, nicht tödlichen</w:t>
            </w:r>
            <w:r>
              <w:t xml:space="preserve"> und lokal ausgerichteten Maßnahmen Vorrang einzuräumen ist, und für eine angemessene Überwachung, Finanzierung und Zusammenarbeit der Interessenträger zu sorgen, um wirksame Maßnahmen zur Schadensminderung umzusetzen;</w:t>
            </w:r>
          </w:p>
        </w:tc>
        <w:tc>
          <w:tcPr>
            <w:tcW w:w="4876" w:type="dxa"/>
            <w:tcBorders>
              <w:top w:val="nil"/>
              <w:left w:val="nil"/>
              <w:bottom w:val="nil"/>
              <w:right w:val="nil"/>
            </w:tcBorders>
          </w:tcPr>
          <w:p>
            <w:pPr>
              <w:pStyle w:val="Normal6a"/>
            </w:pPr>
            <w:r>
              <w:t>15.</w:t>
            </w:r>
            <w:r>
              <w:tab/>
            </w:r>
            <w:r>
              <w:t>fordert die Mitgliedstaaten und die Kommission auf, Ansätze in Bezug auf die natürliche Prädation auf wissenschaftliche Erkenntnisse zu stützen, wobei präventiven und lokal ausgerichteten Maßnahmen Vorrang einzuräumen ist, und für eine angemessene Überwachung, Finanzierung und Zusammenarbeit der Interessenträger zu sorgen, um wirksame Maßnahmen zur Schadensminderung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wie wichtig es ist, die Bestandsbewirtschaftung auf die besten verfügbaren wissenschaftlichen Gutachten zu stützen, und dass der ICES eine zentrale Rolle bei der Sicherstellung der wissenschaftlichen Kohärenz spielt;</w:t>
            </w:r>
            <w:r>
              <w:t xml:space="preserve"> </w:t>
            </w:r>
            <w:r>
              <w:rPr>
                <w:b/>
                <w:i/>
              </w:rPr>
              <w:t>missbilligt alle Versuche, die Unabhängigkeit des ICES zu untergraben;</w:t>
            </w:r>
            <w:r>
              <w:t xml:space="preserve"> </w:t>
            </w:r>
            <w:r>
              <w:rPr>
                <w:b/>
                <w:i/>
              </w:rPr>
              <w:t>fordert die Kommission auf, für eine ausreichende Finanzierung des ICES zu sorgen, um seine Gutachten weiter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wie wichtig es ist, die Bestandsbewirtschaftung auf die besten verfügbaren wissenschaftlichen Gutachten zu stützen, und dass der ICES eine zentrale Rolle bei der Sicherstellung der wissenschaftlichen Kohärenz spielt;</w:t>
            </w:r>
            <w:r>
              <w:t xml:space="preserve"> </w:t>
            </w:r>
            <w:r>
              <w:rPr>
                <w:b/>
                <w:i/>
              </w:rPr>
              <w:t>missbilligt alle Versuche, die Unabhängigkeit des ICES zu untergraben;</w:t>
            </w:r>
            <w:r>
              <w:t xml:space="preserve"> </w:t>
            </w:r>
            <w:r>
              <w:rPr>
                <w:b/>
                <w:i/>
              </w:rPr>
              <w:t>fordert die Kommission auf, für eine ausreichende Finanzierung des ICES zu sorgen, um seine Gutachten weiter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gemeinsame Anstrengungen der Mitgliedstaaten und der Kommission zur Förderung der wissenschaftlichen Forschung und zum Austausch bewährter Verfahren für sichere und kosteneffiziente Methoden zur Identifizierung und Bergung von Munition und Blindgängern vom Meeresboden;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Carmen Crespo Díaz, Juan Ignacio Zoido Álvarez, Riho Terras,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begrüßt die derzeit laufende Bewertung der EU-Robbenregelung und ihrer Auswirkungen auf die aktuellen Bewirtschaftungskonzepte durch die Kommission;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die EU-Mitgliedstaaten auf, für die vollständige Umsetzung der EU-Fischereikontrollverordnung zu sorgen, unter anderem durch die Bekämpfung von Falschmeldungen von Fängen in der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Niclas Herbst, Sofie Eriksson, Emma Wiesner, Jessica Polfjärd, Isabelle Le Callennec, Magdalena Adamowicz, Karin Karlsbro, Asger Christensen, André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betont, dass die Kommission gegen den Druck vorgehen muss, den große Kormoranpopulationen auf die Fischbestände in der Ostsee ausüben, und dafür sorgen muss, dass die Maßnahmen verhältnismäßig und regional angepasst sind und durch wirksame, gezielte und auf die lokalen Gegebenheiten zugeschnittene Interventionen auf der Grundlage der besten verfügbaren wissenschaftlichen Daten umgesetzt werden, während gleichzeitig die Nachhaltigkeit der lokalen Fischerei unterstützt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fordert die Kommission und die Mitgliedstaaten auf, die UNEP-Definition der ökosystembasierten Bewirtschaftung im Einklang mit dem in der Meeresstrategie-Rahmenrichtlinie dargelegten Verständnis eines funktionierenden Ökosystems zu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w:t>
            </w:r>
            <w:r>
              <w:t xml:space="preserve"> für die Ostsee in die Wege zu leiten, </w:t>
            </w:r>
            <w:r>
              <w:rPr>
                <w:b/>
                <w:i/>
              </w:rPr>
              <w:t>um Ökosystem-Referenzpunkte aufzunehmen,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w:t>
            </w:r>
            <w:r>
              <w:t xml:space="preserve">; </w:t>
            </w:r>
            <w:r>
              <w:rPr>
                <w:b/>
                <w:i/>
              </w:rPr>
              <w:t>betont, dass die Überarbeitung Umweltreaktionsmechanismen umfassen sollte, die Bewirtschaftungsmaßnahmen auslösen, die zu einer Verringerung des fischereilichen Drucks für alle Bestände führen, um das gesamte Nahrungsnetz zu schützen, wenn die Ökosystem-Referenzpunkte auf einen Rückgang der Gesamtproduktivität des Ökosystems hindeuten;</w:t>
            </w:r>
          </w:p>
        </w:tc>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Mehrjahresplans</w:t>
            </w:r>
            <w:r>
              <w:t xml:space="preserve"> für die Ostsee in die Wege zu leiten, </w:t>
            </w:r>
            <w:r>
              <w:rPr>
                <w:b/>
                <w:i/>
              </w:rPr>
              <w:t>insbesondere durch die Streichung der 5-%-Regel in Artikel 4 Absatz 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w:t>
            </w:r>
            <w:r>
              <w:t xml:space="preserve"> für die Ostsee in die Wege zu leiten, um Ökosystem-Referenzpunkte </w:t>
            </w:r>
            <w:r>
              <w:rPr>
                <w:b/>
                <w:i/>
              </w:rPr>
              <w:t>aufzunehmen</w:t>
            </w:r>
            <w:r>
              <w:t xml:space="preserve">,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 betont, dass die Überarbeitung Umweltreaktionsmechanismen umfassen sollte, die Bewirtschaftungsmaßnahmen </w:t>
            </w:r>
            <w:r>
              <w:rPr>
                <w:b/>
                <w:i/>
              </w:rPr>
              <w:t>auslösen, die zu</w:t>
            </w:r>
            <w:r>
              <w:t xml:space="preserve"> einer Verringerung des fischereilichen Drucks </w:t>
            </w:r>
            <w:r>
              <w:rPr>
                <w:b/>
                <w:i/>
              </w:rPr>
              <w:t>für alle</w:t>
            </w:r>
            <w:r>
              <w:t xml:space="preserve"> Bestände </w:t>
            </w:r>
            <w:r>
              <w:rPr>
                <w:b/>
                <w:i/>
              </w:rPr>
              <w:t>führen</w:t>
            </w:r>
            <w:r>
              <w:t>, um das gesamte Nahrungsnetz zu schützen</w:t>
            </w:r>
            <w:r>
              <w:rPr>
                <w:b/>
                <w:i/>
              </w:rPr>
              <w:t>, wenn die Ökosystem-Referenzpunkte auf einen Rückgang der Gesamtproduktivität des Ökosystems hindeuten</w:t>
            </w:r>
            <w:r>
              <w:t>;</w:t>
            </w:r>
          </w:p>
        </w:tc>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Mehrjahresplans</w:t>
            </w:r>
            <w:r>
              <w:t xml:space="preserve"> für die Ostsee in die Wege zu leiten, um </w:t>
            </w:r>
            <w:r>
              <w:rPr>
                <w:b/>
                <w:i/>
              </w:rPr>
              <w:t>die derzeitigen Mängel der Verordnung bei der Verwirklichung ihrer übergeordneten Ziele zu beheben;</w:t>
            </w:r>
            <w:r>
              <w:t xml:space="preserve"> </w:t>
            </w:r>
            <w:r>
              <w:rPr>
                <w:b/>
                <w:i/>
              </w:rPr>
              <w:t>fordert die Kommission in diesem Zusammenhang auf, eine Weiterentwicklung der Vorschriften für die Festsetzung der zulässigen Gesamtfangmengen in Erwägung zu ziehen, indem Entscheidungen auf der Grundlage neuer ökosystembasierter Empfehlungen für mehrere Arten getroffen werden, um die Transparenz zu verbessern und die Verwirklichung der Ziele des Mehrjahresplans für die Ostsee besser sicherzustellen;</w:t>
            </w:r>
            <w:r>
              <w:t xml:space="preserve"> </w:t>
            </w:r>
            <w:r>
              <w:rPr>
                <w:b/>
                <w:i/>
              </w:rPr>
              <w:t>fordert außerdem, dass</w:t>
            </w:r>
            <w:r>
              <w:t xml:space="preserve"> Ökosystem-Referenzpunkte </w:t>
            </w:r>
            <w:r>
              <w:rPr>
                <w:b/>
                <w:i/>
              </w:rPr>
              <w:t>aufgenommen werden</w:t>
            </w:r>
            <w:r>
              <w:t xml:space="preserve">,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 betont, dass die Überarbeitung </w:t>
            </w:r>
            <w:r>
              <w:rPr>
                <w:b/>
                <w:i/>
              </w:rPr>
              <w:t>auch</w:t>
            </w:r>
            <w:r>
              <w:t xml:space="preserve"> Umweltreaktionsmechanismen umfassen sollte, die </w:t>
            </w:r>
            <w:r>
              <w:rPr>
                <w:b/>
                <w:i/>
              </w:rPr>
              <w:t>ausgelöst werden, wenn die Ökosystem-Referenzpunkte ein Niveau erreichen, das</w:t>
            </w:r>
            <w:r>
              <w:t xml:space="preserve"> Bewirtschaftungsmaßnahmen </w:t>
            </w:r>
            <w:r>
              <w:rPr>
                <w:b/>
                <w:i/>
              </w:rPr>
              <w:t>erfordert, einschließlich</w:t>
            </w:r>
            <w:r>
              <w:t xml:space="preserve"> einer Verringerung des fischereilichen Drucks </w:t>
            </w:r>
            <w:r>
              <w:rPr>
                <w:b/>
                <w:i/>
              </w:rPr>
              <w:t>auf alle relevanten</w:t>
            </w:r>
            <w:r>
              <w:t xml:space="preserve"> Bestände, um das gesamte Nahrungsnetz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w:t>
            </w:r>
            <w:r>
              <w:t xml:space="preserve"> für die Ostsee in die Wege zu leiten, um Ökosystem-Referenzpunkte aufzunehmen, die einen „sicheren Handlungsspielraum“ definieren, der der Produktivität, trophischen Verhältnissen, der biologischen Vielfalt, Auswirkungen auf Lebensräume und der Umweltkapazität Rechnung trägt </w:t>
            </w:r>
            <w:r>
              <w:rPr>
                <w:b/>
                <w:i/>
              </w:rPr>
              <w:t>und Schutzmaßnahmen umfasst, um allzu optimistische, auf einzelne Bestände ausgerichtete Empfehlungen zu vermeiden</w:t>
            </w:r>
            <w:r>
              <w:t xml:space="preserve">; </w:t>
            </w:r>
            <w:r>
              <w:rPr>
                <w:b/>
                <w:i/>
              </w:rPr>
              <w:t>betont, dass die Überarbeitung Umweltreaktionsmechanismen umfassen sollte, die Bewirtschaftungsmaßnahmen auslösen, die zu einer Verringerung des fischereilichen Drucks für alle Bestände führen, um das gesamte Nahrungsnetz zu schützen, wenn die Ökosystem-Referenzpunkte auf einen Rückgang der Gesamtproduktivität des Ökosystems hindeuten;</w:t>
            </w:r>
          </w:p>
        </w:tc>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Mehrjahresplans</w:t>
            </w:r>
            <w:r>
              <w:t xml:space="preserve"> für die Ostsee in die Wege zu leiten, um Ökosystem-Referenzpunkte aufzunehmen, die einen „sicheren Handlungsspielraum“ definieren, der der Produktivität, </w:t>
            </w:r>
            <w:r>
              <w:rPr>
                <w:b/>
                <w:i/>
              </w:rPr>
              <w:t>den</w:t>
            </w:r>
            <w:r>
              <w:t xml:space="preserve"> trophischen Verhältnissen, der biologischen Vielfalt, </w:t>
            </w:r>
            <w:r>
              <w:rPr>
                <w:b/>
                <w:i/>
              </w:rPr>
              <w:t>den</w:t>
            </w:r>
            <w:r>
              <w:t xml:space="preserve"> Auswirkungen auf Lebensräume und der Umweltkapazität Rechnung trägt;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nachdrücklich auf, eine Überarbeitung des Mehrjahresplan für die Ostsee in die Wege zu leiten, um </w:t>
            </w:r>
            <w:r>
              <w:rPr>
                <w:b/>
                <w:i/>
              </w:rPr>
              <w:t>Ökosystem-Referenzpunkte aufzunehmen,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w:t>
            </w:r>
            <w:r>
              <w:t xml:space="preserve"> </w:t>
            </w:r>
            <w:r>
              <w:rPr>
                <w:b/>
                <w:i/>
              </w:rPr>
              <w:t>betont, dass die Überarbeitung Umweltreaktionsmechanismen umfassen sollte, die Bewirtschaftungsmaßnahmen auslösen, die zu einer Verringerung des fischereilichen Drucks für alle Bestände führen, um das gesamte Nahrungsnetz zu schützen, wenn die Ökosystem-Referenzpunkte auf einen Rückgang der Gesamtproduktivität des Ökosystems hindeuten</w:t>
            </w:r>
            <w:r>
              <w:t>;</w:t>
            </w:r>
          </w:p>
        </w:tc>
        <w:tc>
          <w:tcPr>
            <w:tcW w:w="4876" w:type="dxa"/>
            <w:tcBorders>
              <w:top w:val="nil"/>
              <w:left w:val="nil"/>
              <w:bottom w:val="nil"/>
              <w:right w:val="nil"/>
            </w:tcBorders>
          </w:tcPr>
          <w:p>
            <w:pPr>
              <w:pStyle w:val="Normal6a"/>
            </w:pPr>
            <w:r>
              <w:t>16.</w:t>
            </w:r>
            <w:r>
              <w:tab/>
            </w:r>
            <w:r>
              <w:t xml:space="preserve">fordert die Kommission nachdrücklich auf, </w:t>
            </w:r>
            <w:r>
              <w:rPr>
                <w:b/>
                <w:i/>
              </w:rPr>
              <w:t>dringend</w:t>
            </w:r>
            <w:r>
              <w:t xml:space="preserve"> eine Überarbeitung des Mehrjahresplan für die Ostsee in die Wege zu leiten, um </w:t>
            </w:r>
            <w:r>
              <w:rPr>
                <w:b/>
                <w:i/>
              </w:rPr>
              <w:t>die Rechtsunsicherheit im Zusammenhang mit der Auslegung von Artikel 4 Absatz 6 der Verordnung zur Festlegung eines Mehrjahresplans für die Ostsee zu überwinden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w:t>
            </w:r>
            <w:r>
              <w:t xml:space="preserve"> für die Ostsee in die Wege zu leiten, </w:t>
            </w:r>
            <w:r>
              <w:rPr>
                <w:b/>
                <w:i/>
              </w:rPr>
              <w:t>um Ökosystem-Referenzpunkte aufzunehmen,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w:t>
            </w:r>
            <w:r>
              <w:t xml:space="preserve"> </w:t>
            </w:r>
            <w:r>
              <w:rPr>
                <w:b/>
                <w:i/>
              </w:rPr>
              <w:t>betont</w:t>
            </w:r>
            <w:r>
              <w:t xml:space="preserve">, dass die </w:t>
            </w:r>
            <w:r>
              <w:rPr>
                <w:b/>
                <w:i/>
              </w:rPr>
              <w:t>Überarbeitung Umweltreaktionsmechanismen umfassen sollte, die Bewirtschaftungsmaßnahmen auslösen, die zu einer Verringerung des fischereilichen Drucks für alle Bestände führen, um das gesamte Nahrungsnetz zu schützen, wenn die Ökosystem-Referenzpunkte auf einen Rückgang der Gesamtproduktivität des Ökosystems hindeuten</w:t>
            </w:r>
            <w:r>
              <w:t>;</w:t>
            </w:r>
          </w:p>
        </w:tc>
        <w:tc>
          <w:tcPr>
            <w:tcW w:w="4876" w:type="dxa"/>
            <w:tcBorders>
              <w:top w:val="nil"/>
              <w:left w:val="nil"/>
              <w:bottom w:val="nil"/>
              <w:right w:val="nil"/>
            </w:tcBorders>
          </w:tcPr>
          <w:p>
            <w:pPr>
              <w:pStyle w:val="Normal6a"/>
            </w:pPr>
            <w:r>
              <w:t>16.</w:t>
            </w:r>
            <w:r>
              <w:tab/>
            </w:r>
            <w:r>
              <w:t xml:space="preserve">fordert die Kommission nachdrücklich auf, eine Überarbeitung des </w:t>
            </w:r>
            <w:r>
              <w:rPr>
                <w:b/>
                <w:i/>
              </w:rPr>
              <w:t>Mehrjahresplans</w:t>
            </w:r>
            <w:r>
              <w:t xml:space="preserve"> für die Ostsee in die Wege zu leiten, </w:t>
            </w:r>
            <w:r>
              <w:rPr>
                <w:b/>
                <w:i/>
              </w:rPr>
              <w:t>insbesondere im Hinblick auf die Abschaffung der 5-%-Regel, die vorschreibt, dass die Fangmöglichkeiten in jedem Fall so festgelegt werden, dass eine Wahrscheinlichkeit von weniger als 5 % besteht</w:t>
            </w:r>
            <w:r>
              <w:t xml:space="preserve">, dass die </w:t>
            </w:r>
            <w:r>
              <w:rPr>
                <w:b/>
                <w:i/>
              </w:rPr>
              <w:t>Biomasse der Laicherbestände unter den Limit-Referenzpunkt für die Laicherbiomasse (B</w:t>
            </w:r>
            <w:r>
              <w:rPr>
                <w:b/>
                <w:i/>
                <w:vertAlign w:val="subscript"/>
              </w:rPr>
              <w:t>lim</w:t>
            </w:r>
            <w:r>
              <w:rPr>
                <w:b/>
                <w:i/>
              </w:rPr>
              <w:t>) fällt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fordert die Kommission nachdrücklich auf, eine Überarbeitung des Mehrjahresplan für die Ostsee in die Wege zu leiten, um Ökosystem-Referenzpunkte aufzunehmen,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 betont, dass die Überarbeitung Umweltreaktionsmechanismen umfassen sollte, die Bewirtschaftungsmaßnahmen auslösen, die zu einer Verringerung des fischereilichen Drucks für alle Bestände führen, um das gesamte Nahrungsnetz zu schützen, wenn die Ökosystem-Referenzpunkte auf einen Rückgang der Gesamtproduktivität des Ökosystems hindeuten;</w:t>
            </w:r>
          </w:p>
        </w:tc>
        <w:tc>
          <w:tcPr>
            <w:tcW w:w="4876" w:type="dxa"/>
            <w:tcBorders>
              <w:top w:val="nil"/>
              <w:left w:val="nil"/>
              <w:bottom w:val="nil"/>
              <w:right w:val="nil"/>
            </w:tcBorders>
          </w:tcPr>
          <w:p>
            <w:pPr>
              <w:pStyle w:val="Normal6a"/>
            </w:pPr>
            <w:r>
              <w:t>16.</w:t>
            </w:r>
            <w:r>
              <w:tab/>
            </w:r>
            <w:r>
              <w:t xml:space="preserve">fordert die Kommission nachdrücklich auf, eine Überarbeitung des Mehrjahresplan für die Ostsee in die Wege zu leiten, um Ökosystem-Referenzpunkte aufzunehmen,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 betont, dass die Überarbeitung Umweltreaktionsmechanismen umfassen sollte, die Bewirtschaftungsmaßnahmen auslösen, die zu einer Verringerung des fischereilichen Drucks für alle Bestände führen, um das gesamte Nahrungsnetz zu schützen, wenn die Ökosystem-Referenzpunkte auf einen Rückgang der Gesamtproduktivität des Ökosystems hindeuten; </w:t>
            </w:r>
            <w:r>
              <w:rPr>
                <w:b/>
                <w:i/>
              </w:rPr>
              <w:t>fordert die Kommission auf, angesichts der besonderen Merkmale dieses Meeresbeckens gegebenenfalls von einer systematischen Umsetzung der in anderen Mehrjahresplänen vorgesehenen Maßnahmen abzusehen;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die Kommission nachdrücklich auf, </w:t>
            </w:r>
            <w:r>
              <w:rPr>
                <w:b/>
                <w:i/>
              </w:rPr>
              <w:t>eine Überarbeitung des</w:t>
            </w:r>
            <w:r>
              <w:t xml:space="preserve"> Mehrjahresplan für die Ostsee </w:t>
            </w:r>
            <w:r>
              <w:rPr>
                <w:b/>
                <w:i/>
              </w:rPr>
              <w:t>in die Wege zu leiten, um Ökosystem-Referenzpunkte aufzunehmen, die einen „sicheren Handlungsspielraum“ definieren, der der Produktivität, trophischen Verhältnissen, der biologischen Vielfalt, Auswirkungen auf Lebensräume und der Umweltkapazität Rechnung trägt und Schutzmaßnahmen umfasst, um allzu optimistische, auf einzelne Bestände ausgerichtete Empfehlungen zu vermeiden</w:t>
            </w:r>
            <w:r>
              <w:t xml:space="preserve">; betont, </w:t>
            </w:r>
            <w:r>
              <w:rPr>
                <w:b/>
                <w:i/>
              </w:rPr>
              <w:t>dass die Überarbeitung Umweltreaktionsmechanismen umfassen sollte, die Bewirtschaftungsmaßnahmen auslösen, die zu einer Verringerung des fischereilichen Drucks für alle Bestände führen, um das gesamte Nahrungsnetz zu schützen, wenn die Ökosystem-Referenzpunkte auf einen Rückgang der Gesamtproduktivität des Ökosystems hindeuten</w:t>
            </w:r>
            <w:r>
              <w:t>;</w:t>
            </w:r>
          </w:p>
        </w:tc>
        <w:tc>
          <w:tcPr>
            <w:tcW w:w="4876" w:type="dxa"/>
            <w:tcBorders>
              <w:top w:val="nil"/>
              <w:left w:val="nil"/>
              <w:bottom w:val="nil"/>
              <w:right w:val="nil"/>
            </w:tcBorders>
          </w:tcPr>
          <w:p>
            <w:pPr>
              <w:pStyle w:val="Normal6a"/>
            </w:pPr>
            <w:r>
              <w:t>16.</w:t>
            </w:r>
            <w:r>
              <w:tab/>
            </w:r>
            <w:r>
              <w:t xml:space="preserve">fordert die Kommission nachdrücklich auf, </w:t>
            </w:r>
            <w:r>
              <w:rPr>
                <w:b/>
                <w:i/>
              </w:rPr>
              <w:t>den</w:t>
            </w:r>
            <w:r>
              <w:t xml:space="preserve"> Mehrjahresplan für die Ostsee </w:t>
            </w:r>
            <w:r>
              <w:rPr>
                <w:b/>
                <w:i/>
              </w:rPr>
              <w:t>zu bewerten, um seine Klarheit, Kohärenz und praktische Anwendung zu verbessern, einschließlich der Verwendung von Referenzpunkten und Indikatoren, die sowohl ökologische als auch sozioökonomische Ziele widerspiegeln</w:t>
            </w:r>
            <w:r>
              <w:t xml:space="preserve">; betont, </w:t>
            </w:r>
            <w:r>
              <w:rPr>
                <w:b/>
                <w:i/>
              </w:rPr>
              <w:t>wie wichtig es ist, dafür zu sorgen, dass jede künftige Anpassung des Rahmens einfach, wissenschaftlich fundiert und für den Sektor praktikabel bleibt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Emma Wiesner, Michal Wiezik,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die Kommission auf, im Rahmen der Überarbeitung des Mehrjahresplans für die Ostsee die Lachs- und Forellenbestände zu bewerten und erforderlichenfalls vorzuschlagen, sie als spezifische Bestände aufzunehmen, die in Bezug auf Beifänge in den Anwendungsbereich der Verordnung fallen;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fordert die Kommission auf, eine Gruppe für das Ökosystemmanagement in der Ostsee einzurichten, die das Fachwissen von HELCOM und ICES bündelt, und eine ständige Beratungsplattform für Interessenträger zu schaffen, die sich in erster Linie aus lokalen Akteuren in Küstengemeinden wie Berufsfischern, Freizeitfischern, Interessengruppen des Tourismus, Nichtregierungsorganisationen und lokalen Behörden zusammensetzt, um Beiträge für Entscheidungen über zulässige Gesamtfangmengen und andere Maßnahmen zu liefern;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Emma Wiesner,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fordert die Kommission auf, </w:t>
            </w:r>
            <w:r>
              <w:rPr>
                <w:b/>
                <w:i/>
              </w:rPr>
              <w:t>eine Gruppe für das Ökosystemmanagement in der Ostsee einzurichten, die</w:t>
            </w:r>
            <w:r>
              <w:t xml:space="preserve"> das Fachwissen von HELCOM und ICES </w:t>
            </w:r>
            <w:r>
              <w:rPr>
                <w:b/>
                <w:i/>
              </w:rPr>
              <w:t>bündelt, und eine ständige Beratungsplattform für</w:t>
            </w:r>
            <w:r>
              <w:t xml:space="preserve"> Interessenträger zu </w:t>
            </w:r>
            <w:r>
              <w:rPr>
                <w:b/>
                <w:i/>
              </w:rPr>
              <w:t>schaffen, die sich in erster Linie aus</w:t>
            </w:r>
            <w:r>
              <w:t xml:space="preserve"> lokalen Akteuren in Küstengemeinden wie Berufsfischern, Freizeitfischern, Interessengruppen des Tourismus, Nichtregierungsorganisationen und lokalen Behörden </w:t>
            </w:r>
            <w:r>
              <w:rPr>
                <w:b/>
                <w:i/>
              </w:rPr>
              <w:t>zusammensetzt, um</w:t>
            </w:r>
            <w:r>
              <w:t xml:space="preserve"> Beiträge </w:t>
            </w:r>
            <w:r>
              <w:rPr>
                <w:b/>
                <w:i/>
              </w:rPr>
              <w:t>für Entscheidungen über zulässige Gesamtfangmengen und andere Maßnahmen zu liefern</w:t>
            </w:r>
            <w:r>
              <w:t>;</w:t>
            </w:r>
          </w:p>
        </w:tc>
        <w:tc>
          <w:tcPr>
            <w:tcW w:w="4876" w:type="dxa"/>
            <w:tcBorders>
              <w:top w:val="nil"/>
              <w:left w:val="nil"/>
              <w:bottom w:val="nil"/>
              <w:right w:val="nil"/>
            </w:tcBorders>
          </w:tcPr>
          <w:p>
            <w:pPr>
              <w:pStyle w:val="Normal6a"/>
            </w:pPr>
            <w:r>
              <w:t>17.</w:t>
            </w:r>
            <w:r>
              <w:tab/>
            </w:r>
            <w:r>
              <w:t xml:space="preserve">fordert die Kommission auf, </w:t>
            </w:r>
            <w:r>
              <w:rPr>
                <w:b/>
                <w:i/>
              </w:rPr>
              <w:t>ein strukturierteres Forum für die regionale Zusammenarbeit im Ostseeraum vorzuschlagen, in dem</w:t>
            </w:r>
            <w:r>
              <w:t xml:space="preserve"> das Fachwissen von HELCOM und ICES </w:t>
            </w:r>
            <w:r>
              <w:rPr>
                <w:b/>
                <w:i/>
              </w:rPr>
              <w:t>stärker gebündelt wird, und für eine konsequente und dauerhafte Konsultation und Einbeziehung der</w:t>
            </w:r>
            <w:r>
              <w:t xml:space="preserve"> Interessenträger zu </w:t>
            </w:r>
            <w:r>
              <w:rPr>
                <w:b/>
                <w:i/>
              </w:rPr>
              <w:t>sorgen, insbesondere von</w:t>
            </w:r>
            <w:r>
              <w:t xml:space="preserve"> lokalen Akteuren in Küstengemeinden</w:t>
            </w:r>
            <w:r>
              <w:rPr>
                <w:b/>
                <w:i/>
              </w:rPr>
              <w:t>,</w:t>
            </w:r>
            <w:r>
              <w:t xml:space="preserve"> wie Berufsfischern </w:t>
            </w:r>
            <w:r>
              <w:rPr>
                <w:b/>
                <w:i/>
              </w:rPr>
              <w:t>und ihren Organisationen</w:t>
            </w:r>
            <w:r>
              <w:t>, Freizeitfischern, Interessengruppen des Tourismus, Nichtregierungsorganisationen und lokalen Behörden</w:t>
            </w:r>
            <w:r>
              <w:rPr>
                <w:b/>
                <w:i/>
              </w:rPr>
              <w:t>, damit diese</w:t>
            </w:r>
            <w:r>
              <w:t xml:space="preserve"> Beiträge </w:t>
            </w:r>
            <w:r>
              <w:rPr>
                <w:b/>
                <w:i/>
              </w:rPr>
              <w:t>zu allen einschlägigen Fischereibewirtschaftungsmaßnahmen leisten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fordert die Kommission auf, eine Gruppe für das Ökosystemmanagement in</w:t>
            </w:r>
            <w:r>
              <w:t xml:space="preserve"> der Ostsee </w:t>
            </w:r>
            <w:r>
              <w:rPr>
                <w:b/>
                <w:i/>
              </w:rPr>
              <w:t>einzurichten, die das Fachwissen von HELCOM und ICES bündelt</w:t>
            </w:r>
            <w:r>
              <w:t xml:space="preserve">, </w:t>
            </w:r>
            <w:r>
              <w:rPr>
                <w:b/>
                <w:i/>
              </w:rPr>
              <w:t>und eine ständige Beratungsplattform für Interessenträger zu schaffen, die sich in erster Linie aus lokalen Akteuren in</w:t>
            </w:r>
            <w:r>
              <w:t xml:space="preserve"> Küstengemeinden </w:t>
            </w:r>
            <w:r>
              <w:rPr>
                <w:b/>
                <w:i/>
              </w:rPr>
              <w:t>wie Berufsfischern, Freizeitfischern, Interessengruppen des Tourismus, Nichtregierungsorganisationen und lokalen Behörden zusammensetzt, um Beiträge für Entscheidungen über zulässige Gesamtfangmengen und andere Maßnahmen zu liefern</w:t>
            </w:r>
            <w:r>
              <w:t>;</w:t>
            </w:r>
          </w:p>
        </w:tc>
        <w:tc>
          <w:tcPr>
            <w:tcW w:w="4876" w:type="dxa"/>
            <w:tcBorders>
              <w:top w:val="nil"/>
              <w:left w:val="nil"/>
              <w:bottom w:val="nil"/>
              <w:right w:val="nil"/>
            </w:tcBorders>
          </w:tcPr>
          <w:p>
            <w:pPr>
              <w:pStyle w:val="Normal6a"/>
            </w:pPr>
            <w:r>
              <w:t>17.</w:t>
            </w:r>
            <w:r>
              <w:tab/>
            </w:r>
            <w:r>
              <w:rPr>
                <w:b/>
                <w:i/>
              </w:rPr>
              <w:t>betont, dass eine wirksame Bewirtschaftung</w:t>
            </w:r>
            <w:r>
              <w:t xml:space="preserve"> der Ostsee </w:t>
            </w:r>
            <w:r>
              <w:rPr>
                <w:b/>
                <w:i/>
              </w:rPr>
              <w:t>auf Vertrauen und Zusammenarbeit zwischen den Mitgliedstaaten</w:t>
            </w:r>
            <w:r>
              <w:t xml:space="preserve">, </w:t>
            </w:r>
            <w:r>
              <w:rPr>
                <w:b/>
                <w:i/>
              </w:rPr>
              <w:t>dem Fischereisektor und Wissenschaftlern aufbauen muss;</w:t>
            </w:r>
            <w:r>
              <w:t xml:space="preserve"> </w:t>
            </w:r>
            <w:r>
              <w:rPr>
                <w:b/>
                <w:i/>
              </w:rPr>
              <w:t>regt die freiwillige regionale Zusammenarbeit und den Dialog zwischen</w:t>
            </w:r>
            <w:r>
              <w:t xml:space="preserve"> Küstengemeinden</w:t>
            </w:r>
            <w:r>
              <w:rPr>
                <w:b/>
                <w:i/>
              </w:rPr>
              <w:t>, Industrie und Verwaltungen an, um praktische Lösungen und den Wissensaustausch zu fördern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fordert die Kommission auf, eine Gruppe für das Ökosystemmanagement in der Ostsee einzurichten, die das Fachwissen von HELCOM und ICES bündelt, und eine ständige Beratungsplattform für Interessenträger zu schaffen, die </w:t>
            </w:r>
            <w:r>
              <w:rPr>
                <w:b/>
                <w:i/>
              </w:rPr>
              <w:t>sich in erster Linie aus lokalen Akteuren in Küstengemeinden wie Berufsfischern, Freizeitfischern, Interessengruppen des Tourismus, Nichtregierungsorganisationen und lokalen</w:t>
            </w:r>
            <w:r>
              <w:t xml:space="preserve"> Behörden </w:t>
            </w:r>
            <w:r>
              <w:rPr>
                <w:b/>
                <w:i/>
              </w:rPr>
              <w:t>zusammensetzt</w:t>
            </w:r>
            <w:r>
              <w:t>, um Beiträge für Entscheidungen über zulässige Gesamtfangmengen und andere Maßnahmen zu liefern;</w:t>
            </w:r>
          </w:p>
        </w:tc>
        <w:tc>
          <w:tcPr>
            <w:tcW w:w="4876" w:type="dxa"/>
            <w:tcBorders>
              <w:top w:val="nil"/>
              <w:left w:val="nil"/>
              <w:bottom w:val="nil"/>
              <w:right w:val="nil"/>
            </w:tcBorders>
          </w:tcPr>
          <w:p>
            <w:pPr>
              <w:pStyle w:val="Normal6a"/>
            </w:pPr>
            <w:r>
              <w:t>17.</w:t>
            </w:r>
            <w:r>
              <w:tab/>
            </w:r>
            <w:r>
              <w:t xml:space="preserve">fordert die Kommission auf, eine Gruppe für das Ökosystemmanagement in der Ostsee einzurichten, die das Fachwissen von HELCOM und ICES bündelt, und eine ständige Beratungsplattform für Interessenträger zu schaffen, die </w:t>
            </w:r>
            <w:r>
              <w:rPr>
                <w:b/>
                <w:i/>
              </w:rPr>
              <w:t>eine ausgewogene Vertretung der nationalen</w:t>
            </w:r>
            <w:r>
              <w:t xml:space="preserve"> Behörden</w:t>
            </w:r>
            <w:r>
              <w:rPr>
                <w:b/>
                <w:i/>
              </w:rPr>
              <w:t>, der Erzeugerorganisationen und der Kleinfischer zusammen mit nichtstaatlichen Organisationen sicherstellt</w:t>
            </w:r>
            <w:r>
              <w:t>, um Beiträge für Entscheidungen über zulässige Gesamtfangmengen und andere Maßnahmen zu liefern;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die Bewirtschaftungsgruppe für das Ökosystem der Ostsee eine formelle Vertretung der Kleinfischer und der Organisationen der Küstengemeinden umfassen sollte, um ihre Beteiligung an Konsultationen über die zulässige Gesamtfangmenge und an Wiederauffüllungsplänen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fordert die Kommission auf, Regeln für akzeptable Risikoniveaus und Zeitrahmen in Bezug auf Verpflichtungen zum Wiederaufbau der Bestände, zur Wiederherstellung der Natur und zur Erhaltung gesunder Ökosysteme zu präzisieren und festzulegen;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fordert die </w:t>
            </w:r>
            <w:r>
              <w:rPr>
                <w:b/>
                <w:i/>
              </w:rPr>
              <w:t>Kommission auf,</w:t>
            </w:r>
            <w:r>
              <w:t xml:space="preserve"> Regeln für akzeptable Risikoniveaus und Zeitrahmen in Bezug auf Verpflichtungen </w:t>
            </w:r>
            <w:r>
              <w:rPr>
                <w:b/>
                <w:i/>
              </w:rPr>
              <w:t>zum Wiederaufbau der</w:t>
            </w:r>
            <w:r>
              <w:t xml:space="preserve"> Bestände</w:t>
            </w:r>
            <w:r>
              <w:rPr>
                <w:b/>
                <w:i/>
              </w:rPr>
              <w:t>, zur Wiederherstellung der</w:t>
            </w:r>
            <w:r>
              <w:t xml:space="preserve"> Natur </w:t>
            </w:r>
            <w:r>
              <w:rPr>
                <w:b/>
                <w:i/>
              </w:rPr>
              <w:t>und zur Erhaltung gesunder</w:t>
            </w:r>
            <w:r>
              <w:t xml:space="preserve"> Ökosysteme zu </w:t>
            </w:r>
            <w:r>
              <w:rPr>
                <w:b/>
                <w:i/>
              </w:rPr>
              <w:t>präzisieren und festzulegen</w:t>
            </w:r>
            <w:r>
              <w:t>;</w:t>
            </w:r>
          </w:p>
        </w:tc>
        <w:tc>
          <w:tcPr>
            <w:tcW w:w="4876" w:type="dxa"/>
            <w:tcBorders>
              <w:top w:val="nil"/>
              <w:left w:val="nil"/>
              <w:bottom w:val="nil"/>
              <w:right w:val="nil"/>
            </w:tcBorders>
          </w:tcPr>
          <w:p>
            <w:pPr>
              <w:pStyle w:val="Normal6a"/>
            </w:pPr>
            <w:r>
              <w:t>18.</w:t>
            </w:r>
            <w:r>
              <w:tab/>
            </w:r>
            <w:r>
              <w:t xml:space="preserve">fordert die </w:t>
            </w:r>
            <w:r>
              <w:rPr>
                <w:b/>
                <w:i/>
              </w:rPr>
              <w:t>Aufnahme klarerer</w:t>
            </w:r>
            <w:r>
              <w:t xml:space="preserve"> Regeln für akzeptable Risikoniveaus und Zeitrahmen in Bezug auf </w:t>
            </w:r>
            <w:r>
              <w:rPr>
                <w:b/>
                <w:i/>
              </w:rPr>
              <w:t>die im Mehrjahresplan für die Ostsee festgelegten rechtlichen</w:t>
            </w:r>
            <w:r>
              <w:t xml:space="preserve"> Verpflichtungen</w:t>
            </w:r>
            <w:r>
              <w:rPr>
                <w:b/>
                <w:i/>
              </w:rPr>
              <w:t>, insbesondere im Hinblick auf die Verwirklichung seiner übergeordneten Ziele;</w:t>
            </w:r>
            <w:r>
              <w:t xml:space="preserve"> </w:t>
            </w:r>
            <w:r>
              <w:rPr>
                <w:b/>
                <w:i/>
              </w:rPr>
              <w:t>betont, dass mehr Klarheit über die erforderlichen Maßnahmen zur Erfüllung der Umweltverpflichtungen in der Union erforderlich ist, um die</w:t>
            </w:r>
            <w:r>
              <w:t xml:space="preserve"> Bestände </w:t>
            </w:r>
            <w:r>
              <w:rPr>
                <w:b/>
                <w:i/>
              </w:rPr>
              <w:t>wiederaufzufüllen, die Raubtierpopulationen zu bewirtschaften, die</w:t>
            </w:r>
            <w:r>
              <w:t xml:space="preserve"> Natur </w:t>
            </w:r>
            <w:r>
              <w:rPr>
                <w:b/>
                <w:i/>
              </w:rPr>
              <w:t>wiederherzustellen und gesunde</w:t>
            </w:r>
            <w:r>
              <w:t xml:space="preserve"> Ökosysteme zu </w:t>
            </w:r>
            <w:r>
              <w:rPr>
                <w:b/>
                <w:i/>
              </w:rPr>
              <w:t>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fordert </w:t>
            </w:r>
            <w:r>
              <w:rPr>
                <w:b/>
                <w:i/>
              </w:rPr>
              <w:t>die Kommission auf, Regeln für akzeptable Risikoniveaus und Zeitrahmen in Bezug auf Verpflichtungen zum</w:t>
            </w:r>
            <w:r>
              <w:t xml:space="preserve"> Wiederaufbau der Bestände</w:t>
            </w:r>
            <w:r>
              <w:rPr>
                <w:b/>
                <w:i/>
              </w:rPr>
              <w:t>, zur Wiederherstellung der Natur und zur Erhaltung gesunder Ökosysteme zu präzisieren und festzulegen</w:t>
            </w:r>
            <w:r>
              <w:t>;</w:t>
            </w:r>
          </w:p>
        </w:tc>
        <w:tc>
          <w:tcPr>
            <w:tcW w:w="4876" w:type="dxa"/>
            <w:tcBorders>
              <w:top w:val="nil"/>
              <w:left w:val="nil"/>
              <w:bottom w:val="nil"/>
              <w:right w:val="nil"/>
            </w:tcBorders>
          </w:tcPr>
          <w:p>
            <w:pPr>
              <w:pStyle w:val="Normal6a"/>
            </w:pPr>
            <w:r>
              <w:t>18.</w:t>
            </w:r>
            <w:r>
              <w:tab/>
            </w:r>
            <w:r>
              <w:t xml:space="preserve">fordert </w:t>
            </w:r>
            <w:r>
              <w:rPr>
                <w:b/>
                <w:i/>
              </w:rPr>
              <w:t>einen realistischen, regional angepassten Ansatz für das Risikomanagement, bei dem die ökologische Nachhaltigkeit mit der sozioökonomischen Stabilität in Einklang gebracht wird;</w:t>
            </w:r>
            <w:r>
              <w:t xml:space="preserve"> </w:t>
            </w:r>
            <w:r>
              <w:rPr>
                <w:b/>
                <w:i/>
              </w:rPr>
              <w:t>betont, dass die Ziele und Fristen für den</w:t>
            </w:r>
            <w:r>
              <w:t xml:space="preserve"> Wiederaufbau der Bestände </w:t>
            </w:r>
            <w:r>
              <w:rPr>
                <w:b/>
                <w:i/>
              </w:rPr>
              <w:t>für die Betreiber erreichbar und mit der Aufrechterhaltung tragfähiger Fischereitätigkeiten und Lebensmittelversorgungsketten vereinbar bleiben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fordert die Kommission auf, Regeln für akzeptable Risikoniveaus und Zeitrahmen in Bezug auf Verpflichtungen zum Wiederaufbau der Bestände, zur Wiederherstellung der Natur und zur Erhaltung gesunder Ökosysteme zu präzisieren und festzulegen;</w:t>
            </w:r>
          </w:p>
        </w:tc>
        <w:tc>
          <w:tcPr>
            <w:tcW w:w="4876" w:type="dxa"/>
            <w:tcBorders>
              <w:top w:val="nil"/>
              <w:left w:val="nil"/>
              <w:bottom w:val="nil"/>
              <w:right w:val="nil"/>
            </w:tcBorders>
          </w:tcPr>
          <w:p>
            <w:pPr>
              <w:pStyle w:val="Normal6a"/>
            </w:pPr>
            <w:r>
              <w:t>18.</w:t>
            </w:r>
            <w:r>
              <w:tab/>
            </w:r>
            <w:r>
              <w:t>fordert die Kommission auf, Regeln für akzeptable Risikoniveaus und Zeitrahmen in Bezug auf Verpflichtungen zum Wiederaufbau der Bestände, zur Wiederherstellung der Natur und zur Erhaltung gesunder Ökosysteme zu präzisieren und festzulegen</w:t>
            </w:r>
            <w:r>
              <w:rPr>
                <w:b/>
                <w:i/>
              </w:rPr>
              <w:t>, wobei sie stets die sozioökonomischen Auswirkungen im Auge behalten muss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fordert die Kommission auf, </w:t>
            </w:r>
            <w:r>
              <w:rPr>
                <w:b/>
                <w:i/>
              </w:rPr>
              <w:t>Regeln für</w:t>
            </w:r>
            <w:r>
              <w:t xml:space="preserve"> akzeptable Risikoniveaus und Zeitrahmen in Bezug auf Verpflichtungen zum Wiederaufbau der </w:t>
            </w:r>
            <w:r>
              <w:rPr>
                <w:b/>
                <w:i/>
              </w:rPr>
              <w:t>Bestände, zur Wiederherstellung der Natur und zur Erhaltung gesunder Ökosysteme</w:t>
            </w:r>
            <w:r>
              <w:t xml:space="preserve"> zu präzisieren </w:t>
            </w:r>
            <w:r>
              <w:rPr>
                <w:b/>
                <w:i/>
              </w:rPr>
              <w:t>und festzulegen</w:t>
            </w:r>
            <w:r>
              <w:t>;</w:t>
            </w:r>
          </w:p>
        </w:tc>
        <w:tc>
          <w:tcPr>
            <w:tcW w:w="4876" w:type="dxa"/>
            <w:tcBorders>
              <w:top w:val="nil"/>
              <w:left w:val="nil"/>
              <w:bottom w:val="nil"/>
              <w:right w:val="nil"/>
            </w:tcBorders>
          </w:tcPr>
          <w:p>
            <w:pPr>
              <w:pStyle w:val="Normal6a"/>
            </w:pPr>
            <w:r>
              <w:t>18.</w:t>
            </w:r>
            <w:r>
              <w:tab/>
            </w:r>
            <w:r>
              <w:t xml:space="preserve">fordert die Kommission auf, akzeptable Risikoniveaus und Zeitrahmen in Bezug auf </w:t>
            </w:r>
            <w:r>
              <w:rPr>
                <w:b/>
                <w:i/>
              </w:rPr>
              <w:t>die</w:t>
            </w:r>
            <w:r>
              <w:t xml:space="preserve"> Verpflichtungen zum Wiederaufbau der </w:t>
            </w:r>
            <w:r>
              <w:rPr>
                <w:b/>
                <w:i/>
              </w:rPr>
              <w:t>Fischbestände</w:t>
            </w:r>
            <w:r>
              <w:t xml:space="preserve"> zu präzisieren;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fordert die Kommission auf, </w:t>
            </w:r>
            <w:r>
              <w:rPr>
                <w:b/>
                <w:i/>
              </w:rPr>
              <w:t>Regeln für akzeptable Risikoniveaus</w:t>
            </w:r>
            <w:r>
              <w:t xml:space="preserve"> und Zeitrahmen </w:t>
            </w:r>
            <w:r>
              <w:rPr>
                <w:b/>
                <w:i/>
              </w:rPr>
              <w:t>in Bezug auf</w:t>
            </w:r>
            <w:r>
              <w:t xml:space="preserve"> Verpflichtungen zum Wiederaufbau der Bestände, zur Wiederherstellung der Natur und zur Erhaltung gesunder Ökosysteme </w:t>
            </w:r>
            <w:r>
              <w:rPr>
                <w:b/>
                <w:i/>
              </w:rPr>
              <w:t>zu präzisieren und festzulegen</w:t>
            </w:r>
            <w:r>
              <w:t>;</w:t>
            </w:r>
          </w:p>
        </w:tc>
        <w:tc>
          <w:tcPr>
            <w:tcW w:w="4876" w:type="dxa"/>
            <w:tcBorders>
              <w:top w:val="nil"/>
              <w:left w:val="nil"/>
              <w:bottom w:val="nil"/>
              <w:right w:val="nil"/>
            </w:tcBorders>
          </w:tcPr>
          <w:p>
            <w:pPr>
              <w:pStyle w:val="Normal6a"/>
            </w:pPr>
            <w:r>
              <w:t>18.</w:t>
            </w:r>
            <w:r>
              <w:tab/>
            </w:r>
            <w:r>
              <w:t xml:space="preserve">fordert die Kommission auf, </w:t>
            </w:r>
            <w:r>
              <w:rPr>
                <w:b/>
                <w:i/>
              </w:rPr>
              <w:t>über die Risiken</w:t>
            </w:r>
            <w:r>
              <w:t xml:space="preserve"> und Zeitrahmen </w:t>
            </w:r>
            <w:r>
              <w:rPr>
                <w:b/>
                <w:i/>
              </w:rPr>
              <w:t>im Zusammenhang mit den</w:t>
            </w:r>
            <w:r>
              <w:t xml:space="preserve"> Verpflichtungen zum Wiederaufbau der Bestände, zur </w:t>
            </w:r>
            <w:r>
              <w:rPr>
                <w:b/>
                <w:i/>
              </w:rPr>
              <w:t>Bewirtschaftung der Raubtierpopulationen, zur</w:t>
            </w:r>
            <w:r>
              <w:t xml:space="preserve"> Wiederherstellung der Natur</w:t>
            </w:r>
            <w:r>
              <w:rPr>
                <w:b/>
                <w:i/>
              </w:rPr>
              <w:t>, zur Raumplanung</w:t>
            </w:r>
            <w:r>
              <w:t xml:space="preserve"> und zur Erhaltung gesunder Ökosysteme </w:t>
            </w:r>
            <w:r>
              <w:rPr>
                <w:b/>
                <w:i/>
              </w:rPr>
              <w:t>aufzuklären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fordert die Kommission auf, </w:t>
            </w:r>
            <w:r>
              <w:rPr>
                <w:b/>
                <w:i/>
              </w:rPr>
              <w:t>Regeln für akzeptable Risikoniveaus</w:t>
            </w:r>
            <w:r>
              <w:t xml:space="preserve"> und Zeitrahmen </w:t>
            </w:r>
            <w:r>
              <w:rPr>
                <w:b/>
                <w:i/>
              </w:rPr>
              <w:t>in Bezug auf</w:t>
            </w:r>
            <w:r>
              <w:t xml:space="preserve"> Verpflichtungen zum Wiederaufbau der Bestände, zur Wiederherstellung der Natur und zur Erhaltung gesunder Ökosysteme </w:t>
            </w:r>
            <w:r>
              <w:rPr>
                <w:b/>
                <w:i/>
              </w:rPr>
              <w:t>zu präzisieren und festzulegen</w:t>
            </w:r>
            <w:r>
              <w:t>;</w:t>
            </w:r>
          </w:p>
        </w:tc>
        <w:tc>
          <w:tcPr>
            <w:tcW w:w="4876" w:type="dxa"/>
            <w:tcBorders>
              <w:top w:val="nil"/>
              <w:left w:val="nil"/>
              <w:bottom w:val="nil"/>
              <w:right w:val="nil"/>
            </w:tcBorders>
          </w:tcPr>
          <w:p>
            <w:pPr>
              <w:pStyle w:val="Normal6a"/>
            </w:pPr>
            <w:r>
              <w:t>18.</w:t>
            </w:r>
            <w:r>
              <w:tab/>
            </w:r>
            <w:r>
              <w:t xml:space="preserve">fordert die Kommission auf, </w:t>
            </w:r>
            <w:r>
              <w:rPr>
                <w:b/>
                <w:i/>
              </w:rPr>
              <w:t>über die Risiken</w:t>
            </w:r>
            <w:r>
              <w:t xml:space="preserve"> und Zeitrahmen </w:t>
            </w:r>
            <w:r>
              <w:rPr>
                <w:b/>
                <w:i/>
              </w:rPr>
              <w:t>im Zusammenhang mit den</w:t>
            </w:r>
            <w:r>
              <w:t xml:space="preserve"> Verpflichtungen zum Wiederaufbau der Bestände, zur </w:t>
            </w:r>
            <w:r>
              <w:rPr>
                <w:b/>
                <w:i/>
              </w:rPr>
              <w:t>Bewirtschaftung der Raubtierpopulationen, zur</w:t>
            </w:r>
            <w:r>
              <w:t xml:space="preserve"> Wiederherstellung der Natur</w:t>
            </w:r>
            <w:r>
              <w:rPr>
                <w:b/>
                <w:i/>
              </w:rPr>
              <w:t>, zur Raumplanung</w:t>
            </w:r>
            <w:r>
              <w:t xml:space="preserve"> und zur Erhaltung gesunder Ökosysteme </w:t>
            </w:r>
            <w:r>
              <w:rPr>
                <w:b/>
                <w:i/>
              </w:rPr>
              <w:t>aufzuklären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Magdalena Adamowicz, 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betont, wie wichtig es ist, die Datenerhebung zu verbessern, insbesondere in Bezug auf Arten wie Dorsch, und fordert die Einbeziehung alternativer Datenquellen wie Raubtierpopulationen, um bestehende Wissenslücken zu schließen;</w:t>
            </w:r>
            <w:r>
              <w:t xml:space="preserve"> </w:t>
            </w:r>
            <w:r>
              <w:rPr>
                <w:b/>
                <w:i/>
              </w:rPr>
              <w:t>betont, dass ein klareres Verständnis der Auswirkungen von fischfressenden Raubtieren wie Robben und Kormoranen auf die Fischbestände erforderlich ist, und fordert nachdrücklich, dass die durch Raubtiere verursachte Sterblichkeit in die Bestandsbewertungsmodelle aufgenommen wird, um die Genauigkeit und Wirksamkeit der Bewirtschaftungsstrategien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betont, dass zusätzlich zu den Instrumenten zur endgültigen Einstellung der Fangtätigkeit Maßnahmen zur vorübergehenden Einstellung der Fangtätigkeit in der Ostsee erforderlich sind;</w:t>
            </w:r>
            <w:r>
              <w:t xml:space="preserve"> </w:t>
            </w:r>
            <w:r>
              <w:rPr>
                <w:b/>
                <w:i/>
              </w:rPr>
              <w:t>stellt fest, dass mit den Maßnahmen zur vorübergehenden Einstellung der Fangtätigkeit zwar unmittelbaren ökologischen Bedenken Rechnung getragen wird, die Instrumente zur endgültigen Einstellung der Fangtätigkeit jedoch so konzipiert sind, dass die Fangkapazität langfristig an die Fangmöglichkeiten angepasst wird;</w:t>
            </w:r>
            <w:r>
              <w:t xml:space="preserve"> </w:t>
            </w:r>
            <w:r>
              <w:rPr>
                <w:b/>
                <w:i/>
              </w:rPr>
              <w:t>fordert eine klare Trennung zwischen der vorübergehenden und der endgültigen Einstellung der Fangtätigkeit im Rahmen von Förderprogrammen, um übermäßige Schwierigkeiten für Küstengemeinden, die von nachhaltiger Fischerei abhängig sind,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dass die Vorschriften des Mehrjahresplans präzisiert werden, indem festgelegt wird, dass der Mechanismus für jahresübergreifende Flexibilität für Bestände, die unterhalb des derzeitigen Referenzpunkts für die Bestandserhaltung (B</w:t>
            </w:r>
            <w:r>
              <w:rPr>
                <w:b/>
                <w:i/>
                <w:vertAlign w:val="subscript"/>
              </w:rPr>
              <w:t>trigger)</w:t>
            </w:r>
            <w:r>
              <w:t xml:space="preserve"> </w:t>
            </w:r>
            <w:r>
              <w:rPr>
                <w:b/>
                <w:i/>
              </w:rPr>
              <w:t>des Mehrjahresplans liegen, verboten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fordert die Kommission auf, die Bewirtschaftungsmaßnahmen für Atlantischen Lachs in der Ostsee zu verstärken und sicherzustellen, dass die Ökosystemauswirkungen der Herings-, Sprotten- und Dorschfischerei auf Lachs angemessen angegangen werden;</w:t>
            </w:r>
            <w:r>
              <w:t xml:space="preserve"> </w:t>
            </w:r>
            <w:r>
              <w:rPr>
                <w:b/>
                <w:i/>
              </w:rPr>
              <w:t>fordert nachdrücklich verstärkte Überwachung und Forschung zur Unterstützung einer nachhaltigen Lachsbewirtschaftung;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fordert die Kommission und den Rat auf, rechtsverbindliche Vorschriften für Maßnahmen zu erwägen, die automatisch zu ergreifen sind, wenn die Bestände unter die gemäß dem Vorsorgeansatz festgelegten Grenzwerte fallen, um die EU an besser bewirtschaftete Regionen wie Australien, Neuseeland, Kanada und die Vereinigten Staaten anzupassen;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fordert die Kommission und den Rat auf, rechtsverbindliche Vorschriften für Maßnahmen zu erwägen, die automatisch zu ergreifen sind, wenn die Bestände unter die gemäß dem Vorsorgeansatz festgelegten Grenzwerte fallen, um die EU an besser bewirtschaftete Regionen wie Australien, Neuseeland, Kanada und die Vereinigten Staaten anzupassen;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fordert die Kommission und den Rat auf, rechtsverbindliche Vorschriften für Maßnahmen zu erwägen, die automatisch zu ergreifen sind, wenn die Bestände unter die gemäß dem Vorsorgeansatz festgelegten Grenzwerte fallen, um die EU an besser bewirtschaftete Regionen wie Australien, Neuseeland, Kanada und die Vereinigten Staaten anzupassen;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fordert die Kommission und den Rat auf, rechtsverbindliche Vorschriften für Maßnahmen zu erwägen, die automatisch zu ergreifen sind, wenn die Bestände unter die gemäß dem Vorsorgeansatz festgelegten Grenzwerte fallen, </w:t>
            </w:r>
            <w:r>
              <w:rPr>
                <w:b/>
                <w:i/>
              </w:rPr>
              <w:t>um die EU</w:t>
            </w:r>
            <w:r>
              <w:t xml:space="preserve"> an besser </w:t>
            </w:r>
            <w:r>
              <w:rPr>
                <w:b/>
                <w:i/>
              </w:rPr>
              <w:t>bewirtschaftete</w:t>
            </w:r>
            <w:r>
              <w:t xml:space="preserve"> Regionen wie Australien, Neuseeland, Kanada und die Vereinigten Staaten </w:t>
            </w:r>
            <w:r>
              <w:rPr>
                <w:b/>
                <w:i/>
              </w:rPr>
              <w:t>anzupassen</w:t>
            </w:r>
            <w:r>
              <w:t>;</w:t>
            </w:r>
          </w:p>
        </w:tc>
        <w:tc>
          <w:tcPr>
            <w:tcW w:w="4876" w:type="dxa"/>
            <w:tcBorders>
              <w:top w:val="nil"/>
              <w:left w:val="nil"/>
              <w:bottom w:val="nil"/>
              <w:right w:val="nil"/>
            </w:tcBorders>
          </w:tcPr>
          <w:p>
            <w:pPr>
              <w:pStyle w:val="Normal6a"/>
            </w:pPr>
            <w:r>
              <w:t>19.</w:t>
            </w:r>
            <w:r>
              <w:tab/>
            </w:r>
            <w:r>
              <w:t xml:space="preserve">fordert die Kommission und den Rat auf, rechtsverbindliche Vorschriften für Maßnahmen zu erwägen, die automatisch zu ergreifen sind, wenn die Bestände unter die gemäß dem Vorsorgeansatz festgelegten Grenzwerte fallen, </w:t>
            </w:r>
            <w:r>
              <w:rPr>
                <w:b/>
                <w:i/>
              </w:rPr>
              <w:t>und weist erneut darauf hin, dass das MSY-Bewirtschaftungsinstrument von vornherein durch Maßnahmen zur Differenzierung der Fänge nach Größe und Alter ergänzt werden sollte;</w:t>
            </w:r>
            <w:r>
              <w:t xml:space="preserve"> </w:t>
            </w:r>
            <w:r>
              <w:rPr>
                <w:b/>
                <w:i/>
              </w:rPr>
              <w:t>ist der Ansicht, dass bei den Vorsorgewerten F die EU-Vorschriften</w:t>
            </w:r>
            <w:r>
              <w:t xml:space="preserve"> an besser </w:t>
            </w:r>
            <w:r>
              <w:rPr>
                <w:b/>
                <w:i/>
              </w:rPr>
              <w:t>verwaltete</w:t>
            </w:r>
            <w:r>
              <w:t xml:space="preserve"> Regionen wie Australien, Neuseeland, Kanada und die Vereinigten Staaten </w:t>
            </w:r>
            <w:r>
              <w:rPr>
                <w:b/>
                <w:i/>
              </w:rPr>
              <w:t>angeglichen werden 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fordert die Kommission</w:t>
            </w:r>
            <w:r>
              <w:t xml:space="preserve"> und den </w:t>
            </w:r>
            <w:r>
              <w:rPr>
                <w:b/>
                <w:i/>
              </w:rPr>
              <w:t>Rat auf, rechtsverbindliche Vorschriften für Maßnahmen zu erwägen, die automatisch zu ergreifen sind, wenn die Bestände unter die gemäß dem Vorsorgeansatz festgelegten Grenzwerte fallen, um die EU an besser bewirtschaftete Regionen wie Australien, Neuseeland, Kanada und die Vereinigten Staaten anzupassen</w:t>
            </w:r>
            <w:r>
              <w:t>;</w:t>
            </w:r>
          </w:p>
        </w:tc>
        <w:tc>
          <w:tcPr>
            <w:tcW w:w="4876" w:type="dxa"/>
            <w:tcBorders>
              <w:top w:val="nil"/>
              <w:left w:val="nil"/>
              <w:bottom w:val="nil"/>
              <w:right w:val="nil"/>
            </w:tcBorders>
          </w:tcPr>
          <w:p>
            <w:pPr>
              <w:pStyle w:val="Normal6a"/>
            </w:pPr>
            <w:r>
              <w:t>19.</w:t>
            </w:r>
            <w:r>
              <w:tab/>
            </w:r>
            <w:r>
              <w:rPr>
                <w:b/>
                <w:i/>
              </w:rPr>
              <w:t>betont, dass das Fischereimanagement in der EU auf den europäischen Erfahrungen, der Wissenschaft</w:t>
            </w:r>
            <w:r>
              <w:t xml:space="preserve"> und den </w:t>
            </w:r>
            <w:r>
              <w:rPr>
                <w:b/>
                <w:i/>
              </w:rPr>
              <w:t>regionalen Gegebenheiten beruhen sollte und nicht auf Modellen, die aus Drittstaaten importiert wurden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Emma Wiesner,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fordert die Kommission </w:t>
            </w:r>
            <w:r>
              <w:rPr>
                <w:b/>
                <w:i/>
              </w:rPr>
              <w:t>und den Rat</w:t>
            </w:r>
            <w:r>
              <w:t xml:space="preserve"> auf, rechtsverbindliche Vorschriften für Maßnahmen </w:t>
            </w:r>
            <w:r>
              <w:rPr>
                <w:b/>
                <w:i/>
              </w:rPr>
              <w:t>zu erwägen</w:t>
            </w:r>
            <w:r>
              <w:t xml:space="preserve">, die automatisch zu ergreifen sind, wenn die Bestände unter die gemäß dem Vorsorgeansatz festgelegten Grenzwerte fallen, </w:t>
            </w:r>
            <w:r>
              <w:rPr>
                <w:b/>
                <w:i/>
              </w:rPr>
              <w:t>um die EU an besser bewirtschaftete</w:t>
            </w:r>
            <w:r>
              <w:t xml:space="preserve"> Regionen wie Australien, Neuseeland, Kanada und die Vereinigten Staaten </w:t>
            </w:r>
            <w:r>
              <w:rPr>
                <w:b/>
                <w:i/>
              </w:rPr>
              <w:t>anzupassen</w:t>
            </w:r>
            <w:r>
              <w:t>;</w:t>
            </w:r>
          </w:p>
        </w:tc>
        <w:tc>
          <w:tcPr>
            <w:tcW w:w="4876" w:type="dxa"/>
            <w:tcBorders>
              <w:top w:val="nil"/>
              <w:left w:val="nil"/>
              <w:bottom w:val="nil"/>
              <w:right w:val="nil"/>
            </w:tcBorders>
          </w:tcPr>
          <w:p>
            <w:pPr>
              <w:pStyle w:val="Normal6a"/>
            </w:pPr>
            <w:r>
              <w:t>19.</w:t>
            </w:r>
            <w:r>
              <w:tab/>
            </w:r>
            <w:r>
              <w:t>fordert die Kommission auf</w:t>
            </w:r>
            <w:r>
              <w:rPr>
                <w:b/>
                <w:i/>
              </w:rPr>
              <w:t>, zu erwägen</w:t>
            </w:r>
            <w:r>
              <w:t xml:space="preserve">, rechtsverbindliche Vorschriften für Maßnahmen </w:t>
            </w:r>
            <w:r>
              <w:rPr>
                <w:b/>
                <w:i/>
              </w:rPr>
              <w:t>vorzuschlagen</w:t>
            </w:r>
            <w:r>
              <w:t xml:space="preserve">, die automatisch zu ergreifen sind, wenn die Bestände unter die gemäß dem Vorsorgeansatz festgelegten Grenzwerte fallen, </w:t>
            </w:r>
            <w:r>
              <w:rPr>
                <w:b/>
                <w:i/>
              </w:rPr>
              <w:t>und sich dabei an den Bewirtschaftungsverfahren anderer</w:t>
            </w:r>
            <w:r>
              <w:t xml:space="preserve"> Regionen wie Australien, Neuseeland, Kanada und die Vereinigten Staaten </w:t>
            </w:r>
            <w:r>
              <w:rPr>
                <w:b/>
                <w:i/>
              </w:rPr>
              <w:t>zu orientieren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fordert die Kommission und den Rat auf, rechtsverbindliche Vorschriften für Maßnahmen </w:t>
            </w:r>
            <w:r>
              <w:rPr>
                <w:b/>
                <w:i/>
              </w:rPr>
              <w:t>zu erwägen</w:t>
            </w:r>
            <w:r>
              <w:t>, die automatisch zu ergreifen sind, wenn die Bestände unter die gemäß dem Vorsorgeansatz festgelegten Grenzwerte fallen, um die EU an besser bewirtschaftete Regionen wie Australien, Neuseeland, Kanada und die Vereinigten Staaten anzupassen;</w:t>
            </w:r>
          </w:p>
        </w:tc>
        <w:tc>
          <w:tcPr>
            <w:tcW w:w="4876" w:type="dxa"/>
            <w:tcBorders>
              <w:top w:val="nil"/>
              <w:left w:val="nil"/>
              <w:bottom w:val="nil"/>
              <w:right w:val="nil"/>
            </w:tcBorders>
          </w:tcPr>
          <w:p>
            <w:pPr>
              <w:pStyle w:val="Normal6a"/>
            </w:pPr>
            <w:r>
              <w:t>19.</w:t>
            </w:r>
            <w:r>
              <w:tab/>
            </w:r>
            <w:r>
              <w:t xml:space="preserve">fordert die Kommission und den Rat auf, </w:t>
            </w:r>
            <w:r>
              <w:rPr>
                <w:b/>
                <w:i/>
              </w:rPr>
              <w:t>dringend</w:t>
            </w:r>
            <w:r>
              <w:t xml:space="preserve"> rechtsverbindliche Vorschriften für Maßnahmen </w:t>
            </w:r>
            <w:r>
              <w:rPr>
                <w:b/>
                <w:i/>
              </w:rPr>
              <w:t>einzuführen</w:t>
            </w:r>
            <w:r>
              <w:t>, die automatisch zu ergreifen sind, wenn die Bestände unter die gemäß dem Vorsorgeansatz festgelegten Grenzwerte fallen, um die EU an besser bewirtschaftete Regionen wie Australien, Neuseeland, Kanada und die Vereinigten Staaten anzupassen;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Kommission auf, den Anwendungsbereich des Mehrjahresplans für die Ostsee auf die Ökosystemauswirkungen der Herings-, Sprotten- und Dorschfischerei auf alle anderen Bestände auszuweiten, eine Anlandeverpflichtung für Atlantischen Lachs und Europäischen Aal einzuführen und Atlantischen Lachs ausdrücklich als eine Art aufzunehmen, für die Maßnahmen gemäß Artikel 6 des Mehrjahresplans eingeführt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Kommission auf, bei der Bewertung des derzeitigen Mehrjahresplans die sozioökonomischen Aspekte sorgfältig zu berücksichtigen;</w:t>
            </w:r>
            <w:r>
              <w:t xml:space="preserve"> </w:t>
            </w:r>
            <w:r>
              <w:rPr>
                <w:b/>
                <w:i/>
              </w:rPr>
              <w:t>betont, dass ein ausgewogener Ansatz in Bezug auf ökologische und sozioökonomische Faktoren gemäß Artikel 2 Absatz 1 der GFP-Verordnung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Kommission auf, bei der Bewertung des derzeitigen Mehrjahresplans die sozioökonomischen Aspekte sorgfältig zu berücksichtigen;</w:t>
            </w:r>
            <w:r>
              <w:t xml:space="preserve"> </w:t>
            </w:r>
            <w:r>
              <w:rPr>
                <w:b/>
                <w:i/>
              </w:rPr>
              <w:t>betont, dass ein ausgewogener Ansatz in Bezug auf ökologische und sozioökonomische Faktoren gemäß Artikel 2 Absatz 1 der GFP-Verordnung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fordert die Kommission und die Mitgliedstaaten auf, die regionale Zusammenarbeit im Einklang mit Artikel 18 der GFP zu stärken und sicherzustellen, dass die Bewirtschaftungsmaßnahmen verhältnismäßig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fordert die Kommission auf, alle ihre Ersuchen um wissenschaftliche Gutachten des ICES öffentlich zugänglich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Aurelijus Veryga, Nora Junco García, Stephen Nikola Bartulica, 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fordert die Kommission und den Rat auf, das bis 1995 geltende Verbot der Fischerei ohne Bestimmung für den menschlichen Verzehr wieder einzuführen, wonach Ausnahmen ursprünglich nur zulässig waren, „sofern diese Fischereitätigkeit nicht die Gefahr unumkehrbarer ökologischer Schäden mit sich bringt“;</w:t>
            </w:r>
          </w:p>
        </w:tc>
        <w:tc>
          <w:tcPr>
            <w:tcW w:w="4876" w:type="dxa"/>
            <w:tcBorders>
              <w:top w:val="nil"/>
              <w:left w:val="nil"/>
              <w:bottom w:val="nil"/>
              <w:right w:val="nil"/>
            </w:tcBorders>
          </w:tcPr>
          <w:p>
            <w:pPr>
              <w:pStyle w:val="Normal6a"/>
            </w:pPr>
            <w:r>
              <w:t>20.</w:t>
            </w:r>
            <w:r>
              <w:tab/>
            </w:r>
            <w:r>
              <w:t xml:space="preserve">fordert die Kommission und den Rat auf, das bis 1995 geltende Verbot der Fischerei ohne Bestimmung für den menschlichen Verzehr </w:t>
            </w:r>
            <w:r>
              <w:rPr>
                <w:b/>
                <w:i/>
              </w:rPr>
              <w:t>dringend</w:t>
            </w:r>
            <w:r>
              <w:t xml:space="preserve"> wieder einzuführen, wonach Ausnahmen ursprünglich nur zulässig waren, „sofern diese Fischereitätigkeit nicht die Gefahr unumkehrbarer ökologischer Schäden mit sich bringt“;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Sofie Eriksson, André Rodrigues,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Kommission auf, Maßnahmen zu ergreifen, mit denen sichergestellt wird, dass in der Ostsee gefangener Fisch in erster Linie für den unmittelbaren menschlichen Verzehr verwendet wird, um die lokalen Lebensmittelversorgungsketten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und den Rat auf, ein Moratorium für die industrielle Schleppnetzfischerei vorzuschlagen und die Grundschleppnetzfischerei in Küstengebieten und seichten Bereichen sowie in allen Arten von Meeresschutzgebieten einzustellen, bis solche Rechtsvorschriften und Kriterien entwickelt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Carmen Crespo Díaz,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und den Rat auf, ein Moratorium für die industrielle Schleppnetzfischerei vorzuschlagen und die Grundschleppnetzfischerei in Küstengebieten und seichten Bereichen sowie in allen Arten von Meeresschutzgebieten einzustellen, bis solche Rechtsvorschriften und Kriterien entwickelt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Asger Christensen, Elsi Katainen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und den Rat auf, ein Moratorium für die industrielle Schleppnetzfischerei vorzuschlagen und die Grundschleppnetzfischerei in Küstengebieten und seichten Bereichen sowie in allen Arten von Meeresschutzgebieten einzustellen, bis solche Rechtsvorschriften und Kriterien entwickelt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Magdalena Adamowicz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und den Rat auf, ein Moratorium für die industrielle Schleppnetzfischerei vorzuschlagen und die Grundschleppnetzfischerei in Küstengebieten und seichten Bereichen sowie in allen Arten von Meeresschutzgebieten einzustellen, bis solche Rechtsvorschriften und Kriterien entwickelt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und den Rat auf, ein Moratorium für die industrielle Schleppnetzfischerei vorzuschlagen und die Grundschleppnetzfischerei in Küstengebieten und seichten Bereichen sowie in allen Arten von Meeresschutzgebieten einzustellen, bis solche Rechtsvorschriften und Kriterien entwickelt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Kristoffer Storm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die Kommission und den Rat auf, ein Moratorium für die industrielle Schleppnetzfischerei vorzuschlagen und die Grundschleppnetzfischerei in Küstengebieten und seichten Bereichen sowie in allen Arten von Meeresschutzgebieten einzustellen, bis solche Rechtsvorschriften und Kriterien entwickelt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die Kommission und den Rat auf, ein Moratorium für die industrielle Schleppnetzfischerei </w:t>
            </w:r>
            <w:r>
              <w:rPr>
                <w:b/>
                <w:i/>
              </w:rPr>
              <w:t>vorzuschlagen</w:t>
            </w:r>
            <w:r>
              <w:t xml:space="preserve"> und die Grundschleppnetzfischerei in Küstengebieten und seichten Bereichen sowie in allen Arten von Meeresschutzgebieten </w:t>
            </w:r>
            <w:r>
              <w:rPr>
                <w:b/>
                <w:i/>
              </w:rPr>
              <w:t>einzustellen, bis solche</w:t>
            </w:r>
            <w:r>
              <w:t xml:space="preserve"> Rechtsvorschriften und Kriterien entwickelt sind;</w:t>
            </w:r>
          </w:p>
        </w:tc>
        <w:tc>
          <w:tcPr>
            <w:tcW w:w="4876" w:type="dxa"/>
            <w:tcBorders>
              <w:top w:val="nil"/>
              <w:left w:val="nil"/>
              <w:bottom w:val="nil"/>
              <w:right w:val="nil"/>
            </w:tcBorders>
          </w:tcPr>
          <w:p>
            <w:pPr>
              <w:pStyle w:val="Normal6a"/>
            </w:pPr>
            <w:r>
              <w:t>21.</w:t>
            </w:r>
            <w:r>
              <w:tab/>
            </w:r>
            <w:r>
              <w:t xml:space="preserve">fordert die Kommission und den Rat auf, ein Moratorium für die industrielle Schleppnetzfischerei und die </w:t>
            </w:r>
            <w:r>
              <w:rPr>
                <w:b/>
                <w:i/>
              </w:rPr>
              <w:t>Einstellung der</w:t>
            </w:r>
            <w:r>
              <w:t xml:space="preserve"> Grundschleppnetzfischerei in Küstengebieten und seichten Bereichen sowie in allen Arten von Meeresschutzgebieten </w:t>
            </w:r>
            <w:r>
              <w:rPr>
                <w:b/>
                <w:i/>
              </w:rPr>
              <w:t>so lange, bis die entsprechenden</w:t>
            </w:r>
            <w:r>
              <w:t> Rechtsvorschriften und Kriterien entwickelt sind</w:t>
            </w:r>
            <w:r>
              <w:rPr>
                <w:b/>
                <w:i/>
              </w:rPr>
              <w:t>, vorzuschlagen, wobei darauf zu achten ist, dass es nicht zu ungerechtfertigten Unterbrechungen der Fischereitätigkeit kommt</w:t>
            </w:r>
            <w:r>
              <w:t xml:space="preserve">; </w:t>
            </w:r>
            <w:r>
              <w:rPr>
                <w:b/>
                <w:i/>
              </w:rPr>
              <w:t>betont, dass mit Blick auf das weitere Vorgehen die Abstimmung mit den Mitgliedstaaten als Mechanismus für künftige Beratung und Planung verstärkt werden sollte;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Piotr Müller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fordert die Kommission und den Rat auf, ein Moratorium für die industrielle Schleppnetzfischerei vorzuschlagen und die Grundschleppnetzfischerei</w:t>
            </w:r>
            <w:r>
              <w:t xml:space="preserve"> in Küstengebieten und seichten Bereichen </w:t>
            </w:r>
            <w:r>
              <w:rPr>
                <w:b/>
                <w:i/>
              </w:rPr>
              <w:t>sowie in</w:t>
            </w:r>
            <w:r>
              <w:t xml:space="preserve"> allen </w:t>
            </w:r>
            <w:r>
              <w:rPr>
                <w:b/>
                <w:i/>
              </w:rPr>
              <w:t>Arten von Meeresschutzgebieten einzustellen, bis solche Rechtsvorschriften und Kriterien entwickelt sind</w:t>
            </w:r>
            <w:r>
              <w:t>;</w:t>
            </w:r>
          </w:p>
        </w:tc>
        <w:tc>
          <w:tcPr>
            <w:tcW w:w="4876" w:type="dxa"/>
            <w:tcBorders>
              <w:top w:val="nil"/>
              <w:left w:val="nil"/>
              <w:bottom w:val="nil"/>
              <w:right w:val="nil"/>
            </w:tcBorders>
          </w:tcPr>
          <w:p>
            <w:pPr>
              <w:pStyle w:val="Normal6a"/>
            </w:pPr>
            <w:r>
              <w:t>21.</w:t>
            </w:r>
            <w:r>
              <w:tab/>
            </w:r>
            <w:r>
              <w:rPr>
                <w:b/>
                <w:i/>
              </w:rPr>
              <w:t>unterstreicht, dass alle Fischereimoratorien</w:t>
            </w:r>
            <w:r>
              <w:t xml:space="preserve"> in Küstengebieten und seichten Bereichen </w:t>
            </w:r>
            <w:r>
              <w:rPr>
                <w:b/>
                <w:i/>
              </w:rPr>
              <w:t>dergestalt angewendet werden müssen, dass die Tätigkeiten kleiner und mittlerer familiengeführter Betriebe nicht beeinträchtigt werden;</w:t>
            </w:r>
            <w:r>
              <w:t xml:space="preserve"> </w:t>
            </w:r>
            <w:r>
              <w:rPr>
                <w:b/>
                <w:i/>
              </w:rPr>
              <w:t>betont, dass bei</w:t>
            </w:r>
            <w:r>
              <w:t xml:space="preserve"> allen </w:t>
            </w:r>
            <w:r>
              <w:rPr>
                <w:b/>
                <w:i/>
              </w:rPr>
              <w:t>Vorschriften über die Grundschleppnetzfischerei zwischen traditioneller Grundfischerei und pelagischer Fischerei für den Verbrauch und industrieller Fischerei unterschieden werden muss, um die Einhaltung des Grundsatzes des gerechten Übergangs sicherzustellen</w:t>
            </w:r>
            <w:r>
              <w:t xml:space="preserve">; </w:t>
            </w:r>
            <w:r>
              <w:rPr>
                <w:b/>
                <w:i/>
              </w:rPr>
              <w:t>bekräftigt, dass die Gemeinsame Fischereipolitik darauf ausgerichtet werden sollte, eine Erhöhung des Anteils der auf den Konsum ausgerichteten Fischerei zu fördern;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die Kommission und den Rat auf, ein Moratorium für die industrielle Schleppnetzfischerei </w:t>
            </w:r>
            <w:r>
              <w:rPr>
                <w:b/>
                <w:i/>
              </w:rPr>
              <w:t>vorzuschlagen</w:t>
            </w:r>
            <w:r>
              <w:t xml:space="preserve"> und die Grundschleppnetzfischerei in Küstengebieten und seichten Bereichen sowie in allen Arten von Meeresschutzgebieten einzustellen, bis </w:t>
            </w:r>
            <w:r>
              <w:rPr>
                <w:b/>
                <w:i/>
              </w:rPr>
              <w:t>solche</w:t>
            </w:r>
            <w:r>
              <w:t xml:space="preserve"> Rechtsvorschriften und Kriterien </w:t>
            </w:r>
            <w:r>
              <w:rPr>
                <w:b/>
                <w:i/>
              </w:rPr>
              <w:t>entwickelt sind</w:t>
            </w:r>
            <w:r>
              <w:t>;</w:t>
            </w:r>
          </w:p>
        </w:tc>
        <w:tc>
          <w:tcPr>
            <w:tcW w:w="4876" w:type="dxa"/>
            <w:tcBorders>
              <w:top w:val="nil"/>
              <w:left w:val="nil"/>
              <w:bottom w:val="nil"/>
              <w:right w:val="nil"/>
            </w:tcBorders>
          </w:tcPr>
          <w:p>
            <w:pPr>
              <w:pStyle w:val="Normal6a"/>
            </w:pPr>
            <w:r>
              <w:t>21.</w:t>
            </w:r>
            <w:r>
              <w:tab/>
            </w:r>
            <w:r>
              <w:t xml:space="preserve">fordert die Kommission und den Rat auf, ein Moratorium für die industrielle Schleppnetzfischerei </w:t>
            </w:r>
            <w:r>
              <w:rPr>
                <w:b/>
                <w:i/>
              </w:rPr>
              <w:t>in Erwägung zu ziehen, sofern dies wissenschaftlich begründet ist,</w:t>
            </w:r>
            <w:r>
              <w:t xml:space="preserve"> und die Grundschleppnetzfischerei in Küstengebieten und seichten Bereichen sowie in allen Arten von Meeresschutzgebieten einzustellen, bis </w:t>
            </w:r>
            <w:r>
              <w:rPr>
                <w:b/>
                <w:i/>
              </w:rPr>
              <w:t>entsprechende</w:t>
            </w:r>
            <w:r>
              <w:t xml:space="preserve"> Rechtsvorschriften und Kriterien </w:t>
            </w:r>
            <w:r>
              <w:rPr>
                <w:b/>
                <w:i/>
              </w:rPr>
              <w:t>ausgearbeitet wurden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die Kommission und den Rat auf, ein </w:t>
            </w:r>
            <w:r>
              <w:rPr>
                <w:b/>
                <w:i/>
              </w:rPr>
              <w:t>Moratorium</w:t>
            </w:r>
            <w:r>
              <w:t xml:space="preserve"> für die industrielle Schleppnetzfischerei vorzuschlagen und die Grundschleppnetzfischerei in Küstengebieten und seichten Bereichen sowie in allen Arten von Meeresschutzgebieten einzustellen</w:t>
            </w:r>
            <w:r>
              <w:rPr>
                <w:b/>
                <w:i/>
              </w:rPr>
              <w:t>, bis solche Rechtsvorschriften und Kriterien entwickelt sind</w:t>
            </w:r>
            <w:r>
              <w:t>;</w:t>
            </w:r>
          </w:p>
        </w:tc>
        <w:tc>
          <w:tcPr>
            <w:tcW w:w="4876" w:type="dxa"/>
            <w:tcBorders>
              <w:top w:val="nil"/>
              <w:left w:val="nil"/>
              <w:bottom w:val="nil"/>
              <w:right w:val="nil"/>
            </w:tcBorders>
          </w:tcPr>
          <w:p>
            <w:pPr>
              <w:pStyle w:val="Normal6a"/>
            </w:pPr>
            <w:r>
              <w:t>21.</w:t>
            </w:r>
            <w:r>
              <w:tab/>
            </w:r>
            <w:r>
              <w:t xml:space="preserve">fordert die Kommission und den Rat auf, ein </w:t>
            </w:r>
            <w:r>
              <w:rPr>
                <w:b/>
                <w:i/>
              </w:rPr>
              <w:t>Verbot</w:t>
            </w:r>
            <w:r>
              <w:t xml:space="preserve"> für die industrielle Schleppnetzfischerei vorzuschlagen und die Grundschleppnetzfischerei in Küstengebieten und seichten Bereichen sowie in allen Arten von Meeresschutzgebieten einzustellen;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Emma Wiesner, Karin Karlsbro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die Kommission und </w:t>
            </w:r>
            <w:r>
              <w:rPr>
                <w:b/>
                <w:i/>
              </w:rPr>
              <w:t>den Rat auf, ein Moratorium für die</w:t>
            </w:r>
            <w:r>
              <w:t xml:space="preserve"> industrielle Schleppnetzfischerei </w:t>
            </w:r>
            <w:r>
              <w:rPr>
                <w:b/>
                <w:i/>
              </w:rPr>
              <w:t>vorzuschlagen und die</w:t>
            </w:r>
            <w:r>
              <w:t xml:space="preserve"> Grundschleppnetzfischerei </w:t>
            </w:r>
            <w:r>
              <w:rPr>
                <w:b/>
                <w:i/>
              </w:rPr>
              <w:t>in Küstengebieten und seichten Bereichen sowie in allen Arten von Meeresschutzgebieten einzustellen, bis solche Rechtsvorschriften und Kriterien entwickelt</w:t>
            </w:r>
            <w:r>
              <w:t xml:space="preserve"> sind;</w:t>
            </w:r>
          </w:p>
        </w:tc>
        <w:tc>
          <w:tcPr>
            <w:tcW w:w="4876" w:type="dxa"/>
            <w:tcBorders>
              <w:top w:val="nil"/>
              <w:left w:val="nil"/>
              <w:bottom w:val="nil"/>
              <w:right w:val="nil"/>
            </w:tcBorders>
          </w:tcPr>
          <w:p>
            <w:pPr>
              <w:pStyle w:val="Normal6a"/>
            </w:pPr>
            <w:r>
              <w:t>21.</w:t>
            </w:r>
            <w:r>
              <w:tab/>
            </w:r>
            <w:r>
              <w:t xml:space="preserve">fordert die Kommission und </w:t>
            </w:r>
            <w:r>
              <w:rPr>
                <w:b/>
                <w:i/>
              </w:rPr>
              <w:t>die Mitgliedstaaten auf, jegliche</w:t>
            </w:r>
            <w:r>
              <w:t xml:space="preserve"> industrielle </w:t>
            </w:r>
            <w:r>
              <w:rPr>
                <w:b/>
                <w:i/>
              </w:rPr>
              <w:t>und pelagische</w:t>
            </w:r>
            <w:r>
              <w:t xml:space="preserve"> Schleppnetzfischerei </w:t>
            </w:r>
            <w:r>
              <w:rPr>
                <w:b/>
                <w:i/>
              </w:rPr>
              <w:t>in der Ostsee zu verbieten und ein allgemeines Verbot der</w:t>
            </w:r>
            <w:r>
              <w:t xml:space="preserve"> Grundschleppnetzfischerei </w:t>
            </w:r>
            <w:r>
              <w:rPr>
                <w:b/>
                <w:i/>
              </w:rPr>
              <w:t>durchzusetzen, um den Meeresboden und sein Ökosystem zu schützen, wobei begrenzte Ausnahmen für die kleine Küstenfischerei zulässig</w:t>
            </w:r>
            <w:r>
              <w:t xml:space="preserve">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betont, dass im Aktionsplan des Europäischen Parlaments (2023/2124(INI)) ein pragmatischer und ausgewogener Ansatz für Meeresschutzgebiete gefordert wird, bei dem ihre Vielfalt in Bezug auf Größe, Arten und Erhaltungsziele anerkannt wird;</w:t>
            </w:r>
            <w:r>
              <w:t xml:space="preserve"> </w:t>
            </w:r>
            <w:r>
              <w:rPr>
                <w:b/>
                <w:i/>
              </w:rPr>
              <w:t>betont, dass ein Pauschalansatz vermieden werden muss, und betont, dass bei solchen Maßnahmen die sozioökonomischen Auswirkungen auf die Küstengemeinden sorgfältig berücksichtigt werden müssen und dass sie in jedem Einzelfall auf den besten verfügbaren wissenschaftlichen Erkenntnissen beruhen und die aktive Beteiligung der Fischer an der Gestaltung und Bewirtschaftung von Meeresschutzgebieten sicherstellen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auf, die einzigartige Chance zu nutzen, die Umsetzung der Maßnahmen im Bereich der Meeres- und der Wasserpolitik durch einen rechtsverbindlichen Rechtsakt über die Meere zu kombinieren und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Anja Hazekamp, 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begrüßt die Pläne und den Rechtsrahmen Schwedens zur schrittweisen Einstellung der Grundschleppnetzfischerei in Meeresschutzgebieten;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779.725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106</w:t>
    </w:r>
    <w:r>
      <w:fldChar w:fldCharType="end"/>
    </w:r>
    <w:r>
      <w:t>/</w:t>
    </w:r>
    <w:r>
      <w:fldChar w:fldCharType="begin"/>
    </w:r>
    <w:r>
      <w:instrText xml:space="preserve"> NUMPAGES </w:instrText>
    </w:r>
    <w:r>
      <w:fldChar w:fldCharType="separate"/>
    </w:r>
    <w:r>
      <w:t>106</w:t>
    </w:r>
    <w:r>
      <w:fldChar w:fldCharType="end"/>
    </w:r>
    <w:r>
      <w:tab/>
    </w:r>
    <w:r>
      <w:rPr>
        <w:rStyle w:val="HideTWBExt"/>
      </w:rPr>
      <w:t>&lt;PathFdR&gt;</w:t>
    </w:r>
    <w:r>
      <w:t>AM\1332412DE.docx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AM\1332412DE.docx</w:t>
    </w:r>
    <w:r>
      <w:rPr>
        <w:rStyle w:val="HideTWBExt"/>
      </w:rPr>
      <w:t>&lt;/PathFdR&gt;</w:t>
    </w:r>
    <w:r>
      <w:tab/>
    </w:r>
    <w:r>
      <w:fldChar w:fldCharType="begin"/>
    </w:r>
    <w:r>
      <w:instrText xml:space="preserve"> PAGE </w:instrText>
    </w:r>
    <w:r>
      <w:fldChar w:fldCharType="separate"/>
    </w:r>
    <w:r>
      <w:t>105</w:t>
    </w:r>
    <w:r>
      <w:fldChar w:fldCharType="end"/>
    </w:r>
    <w:r>
      <w:t>/</w:t>
    </w:r>
    <w:r>
      <w:fldChar w:fldCharType="begin"/>
    </w:r>
    <w:r>
      <w:instrText xml:space="preserve"> NUMPAGES </w:instrText>
    </w:r>
    <w:r>
      <w:fldChar w:fldCharType="separate"/>
    </w:r>
    <w:r>
      <w:t>106</w:t>
    </w:r>
    <w:r>
      <w:fldChar w:fldCharType="end"/>
    </w:r>
    <w:r>
      <w:tab/>
    </w:r>
    <w:r>
      <w:t>PE</w:t>
    </w:r>
    <w:r>
      <w:rPr>
        <w:rStyle w:val="HideTWBExt"/>
      </w:rPr>
      <w:t>&lt;NoPE&gt;</w:t>
    </w:r>
    <w:r>
      <w:t>779.725</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AM\1332412DE.docx</w:t>
    </w:r>
    <w:r>
      <w:rPr>
        <w:rStyle w:val="HideTWBExt"/>
      </w:rPr>
      <w:t>&lt;/PathFdR&gt;</w:t>
    </w:r>
    <w:r>
      <w:tab/>
    </w:r>
    <w:r>
      <w:tab/>
    </w:r>
    <w:r>
      <w:t>PE</w:t>
    </w:r>
    <w:r>
      <w:rPr>
        <w:rStyle w:val="HideTWBExt"/>
      </w:rPr>
      <w:t>&lt;NoPE&gt;</w:t>
    </w:r>
    <w:r>
      <w:t>779.725</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106</Pages>
  <Words>18164</Words>
  <Characters>128874</Characters>
  <Application>Microsoft Office Word</Application>
  <DocSecurity>0</DocSecurity>
  <Lines>1</Lines>
  <Paragraphs>1779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1332412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295867</vt:lpwstr>
  </property>
  <property fmtid="{D5CDD505-2E9C-101B-9397-08002B2CF9AE}" pid="7" name="dmxml.render.traceId">
    <vt:lpwstr>6926d5f80abea6f25b2b58dc3b6b6895</vt:lpwstr>
  </property>
  <property fmtid="{D5CDD505-2E9C-101B-9397-08002B2CF9AE}" pid="8" name="FooterPath">
    <vt:lpwstr>AM\1332412DE.docx</vt:lpwstr>
  </property>
  <property fmtid="{D5CDD505-2E9C-101B-9397-08002B2CF9AE}" pid="9" name="PE Number">
    <vt:lpwstr>779.725</vt:lpwstr>
  </property>
  <property fmtid="{D5CDD505-2E9C-101B-9397-08002B2CF9AE}" pid="10" name="UID">
    <vt:lpwstr>eu.europa.europarl-DIN1-2025-0000223618_01.00-de-01.00_text-xml</vt:lpwstr>
  </property>
</Properties>
</file>