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Fiskeriudvalget</w:t>
      </w:r>
      <w:r>
        <w:rPr>
          <w:rStyle w:val="HideTWBExt"/>
        </w:rPr>
        <w:t>&lt;/Commission&gt;</w:t>
      </w:r>
    </w:p>
    <w:p>
      <w:pPr>
        <w:pStyle w:val="LineBottom"/>
      </w:pPr>
      <w:r>
        <w:t xml:space="preserve"> </w:t>
      </w:r>
    </w:p>
    <w:p>
      <w:pPr>
        <w:pStyle w:val="CoverReference"/>
      </w:pPr>
      <w:r>
        <w:rPr>
          <w:rStyle w:val="HideTWBExt"/>
        </w:rPr>
        <w:t>&lt;RefProc&gt;</w:t>
      </w:r>
      <w:r>
        <w:t>2025/0106</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{11/12/2025}</w:t>
      </w:r>
      <w:r>
        <w:t>11.12.2025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272</w:t>
      </w:r>
      <w:r>
        <w:t xml:space="preserve"> - </w:t>
      </w:r>
      <w:r>
        <w:t>323</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Thomas Bajada</w:t>
      </w:r>
      <w:r>
        <w:rPr>
          <w:rStyle w:val="HideTWBExt"/>
        </w:rPr>
        <w:t>&lt;/Rapporteur&gt;</w:t>
      </w:r>
    </w:p>
    <w:p>
      <w:pPr>
        <w:pStyle w:val="CoverNormal24a"/>
      </w:pPr>
      <w:r>
        <w:rPr>
          <w:rStyle w:val="HideTWBExt"/>
        </w:rPr>
        <w:t>&lt;DocRefPE&gt;</w:t>
      </w:r>
      <w:r>
        <w:t>(PE779.561v01-00)</w:t>
      </w:r>
      <w:r>
        <w:rPr>
          <w:rStyle w:val="HideTWBExt"/>
        </w:rPr>
        <w:t>&lt;/DocRefPE&gt;</w:t>
      </w:r>
    </w:p>
    <w:p>
      <w:pPr>
        <w:pStyle w:val="CoverNormal24a"/>
      </w:pPr>
      <w:r>
        <w:rPr>
          <w:rStyle w:val="HideTWBExt"/>
        </w:rPr>
        <w:t>&lt;Titre&gt;</w:t>
      </w:r>
      <w:r>
        <w:t>Gennemførelse i EU-retten af foranstaltninger vedtaget af flere regionale fiskeriforvaltningsorganisationer</w:t>
      </w:r>
      <w:r>
        <w:rPr>
          <w:rStyle w:val="HideTWBExt"/>
        </w:rPr>
        <w:t>&lt;/Titre&gt;</w:t>
      </w:r>
    </w:p>
    <w:p>
      <w:pPr>
        <w:pStyle w:val="CoverNormal"/>
      </w:pPr>
      <w:r>
        <w:rPr>
          <w:rStyle w:val="HideTWBExt"/>
        </w:rPr>
        <w:t>&lt;DocAmend&gt;</w:t>
      </w:r>
      <w:r>
        <w:t>Forslag til forordning</w:t>
      </w:r>
      <w:r>
        <w:rPr>
          <w:rStyle w:val="HideTWBExt"/>
        </w:rPr>
        <w:t>&lt;/DocAmend&gt;</w:t>
      </w:r>
    </w:p>
    <w:p>
      <w:pPr>
        <w:pStyle w:val="CoverNormal24a"/>
      </w:pPr>
      <w:r>
        <w:rPr>
          <w:rStyle w:val="HideTWBExt"/>
        </w:rPr>
        <w:t>&lt;DocRef&gt;</w:t>
      </w:r>
      <w:r>
        <w:t>(COM(2025)0195 – 2025/0106(COD))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På sit 28. ordinære møde i 2023 vedtog ICCAT også kontrolforanstaltninger med henblik på bevarelse af fiskeressourcer i ICCAT's kompetenceområde, herunder vedrørende udveksling af kvoter mellem fælles fiskerier, forhåndsmeddelelse om landinger, overvågning af overførsler af almindelig tun ved hjælp af videokamera, anbringelse i bur og kontrolaktiviteter i akvakulturbrug efter anbringelse i bur.</w:t>
            </w:r>
          </w:p>
        </w:tc>
        <w:tc>
          <w:tcPr>
            <w:tcW w:w="4876" w:type="dxa"/>
            <w:tcBorders>
              <w:top w:val="nil"/>
              <w:left w:val="nil"/>
              <w:bottom w:val="nil"/>
              <w:right w:val="nil"/>
            </w:tcBorders>
          </w:tcPr>
          <w:p>
            <w:pPr>
              <w:pStyle w:val="Normal6a"/>
            </w:pPr>
            <w:r>
              <w:t>(4)</w:t>
            </w:r>
            <w:r>
              <w:tab/>
            </w:r>
            <w:r>
              <w:t xml:space="preserve">På sit 28. ordinære møde i 2023 vedtog ICCAT også kontrolforanstaltninger med henblik på bevarelse af fiskeressourcer i ICCAT's kompetenceområde, herunder vedrørende udveksling af kvoter mellem fælles fiskerier, forhåndsmeddelelse om landinger, overvågning af overførsler af almindelig tun ved hjælp af videokamera, anbringelse i bur og kontrolaktiviteter i akvakulturbrug efter anbringelse i bur. </w:t>
            </w:r>
            <w:r>
              <w:rPr>
                <w:b/>
                <w:i/>
              </w:rPr>
              <w:t>Det er imidlertid vigtigt, at disse foranstaltninger anvendes forholdsmæssigt og på grundlag af ajourførte videnskabelige data, så der undgås unødvendige administrative byrder for de europæiske flåder, navnlig dem, der allerede er underlagt meget strenge begrænsninger såsom dem i det vestlige Middelhav.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På sit 28. ordinære møde i 2023 vedtog ICCAT også kontrolforanstaltninger med henblik på bevarelse af fiskeressourcer i ICCAT's kompetenceområde, herunder vedrørende udveksling af kvoter mellem fælles fiskerier, forhåndsmeddelelse om landinger, overvågning af overførsler af almindelig tun ved hjælp af videokamera, anbringelse i bur og kontrolaktiviteter i akvakulturbrug efter anbringelse i bur.</w:t>
            </w:r>
          </w:p>
        </w:tc>
        <w:tc>
          <w:tcPr>
            <w:tcW w:w="4876" w:type="dxa"/>
            <w:tcBorders>
              <w:top w:val="nil"/>
              <w:left w:val="nil"/>
              <w:bottom w:val="nil"/>
              <w:right w:val="nil"/>
            </w:tcBorders>
          </w:tcPr>
          <w:p>
            <w:pPr>
              <w:pStyle w:val="Normal6a"/>
            </w:pPr>
            <w:r>
              <w:t>(4)</w:t>
            </w:r>
            <w:r>
              <w:tab/>
            </w:r>
            <w:r>
              <w:t xml:space="preserve">På sit 28. ordinære møde i 2023 </w:t>
            </w:r>
            <w:r>
              <w:rPr>
                <w:b/>
                <w:i/>
              </w:rPr>
              <w:t>og også på det 24. særlige møde i 2024</w:t>
            </w:r>
            <w:r>
              <w:t xml:space="preserve"> vedtog ICCAT også kontrolforanstaltninger med henblik på bevarelse af fiskeressourcer i ICCAT's kompetenceområde, herunder vedrørende udveksling af kvoter mellem fælles fiskerier, forhåndsmeddelelse om landinger, overvågning af overførsler af almindelig tun ved hjælp af videokamera, anbringelse i bur og kontrolaktiviteter i akvakulturbrug efter anbringelse i bur.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Nævnte foranstaltninger er bindende for Unionen.</w:t>
            </w:r>
            <w:r>
              <w:t xml:space="preserve"> </w:t>
            </w:r>
            <w:r>
              <w:rPr>
                <w:b/>
                <w:i/>
              </w:rPr>
              <w:t>De bør derfor gennemføres i EU-retten.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Anvendelsen af disse forvaltningsforanstaltninger i Middelhavet bør ske i overensstemmelse med det strategiske mål om Unionens fødevaresuverænitet.</w:t>
            </w:r>
            <w:r>
              <w:t xml:space="preserve"> </w:t>
            </w:r>
            <w:r>
              <w:rPr>
                <w:b/>
                <w:i/>
              </w:rPr>
              <w:t>I forbindelse med at Kommissionen foreslår drastiske nedskæringer af fiskeriindsatsen i det vestlige Middelhav i 2026 (op til 64 % for trawl), er det bydende nødvendigt, at gennemførelsen af internationale regler ikke tilføjer lag af kompleksitet, der fremskynder flådens opløsning, hvilket uigenkaldeligt vil øge afhængigheden af nabolande med hensyn til havprodukter.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På årsmøderne i 2018, 2019, 2020, 2021, 2022, 2023 og 2024 vedtog SPRFMO-kommissionen yderligere foranstaltninger med henblik på bevarelse af fiskeressourcerne under dens kompetenceområde, herunder foranstaltninger vedrørende bundfiskeri, omladning, garn, observatørprogrammer og -data og fartøjsovervågningssystemer, samt nye foranstaltninger, herunder navnlig en ny protokol for bording og inspektion på åbent hav, herunder procedurer for påståede overtrædelser, og foranstaltninger vedrørende havforurening og mærkning og identifikation af fiskerfartøjer.</w:t>
            </w:r>
          </w:p>
        </w:tc>
        <w:tc>
          <w:tcPr>
            <w:tcW w:w="4876" w:type="dxa"/>
            <w:tcBorders>
              <w:top w:val="nil"/>
              <w:left w:val="nil"/>
              <w:bottom w:val="nil"/>
              <w:right w:val="nil"/>
            </w:tcBorders>
          </w:tcPr>
          <w:p>
            <w:pPr>
              <w:pStyle w:val="Normal6a"/>
            </w:pPr>
            <w:r>
              <w:t>(7)</w:t>
            </w:r>
            <w:r>
              <w:tab/>
            </w:r>
            <w:r>
              <w:t xml:space="preserve">På årsmøderne i 2018, 2019, 2020, 2021, 2022, 2023 og 2024 vedtog SPRFMO-kommissionen yderligere foranstaltninger med henblik på bevarelse af fiskeressourcerne under dens kompetenceområde, herunder foranstaltninger vedrørende bundfiskeri, omladning, garn, observatørprogrammer og -data og fartøjsovervågningssystemer, samt nye foranstaltninger, herunder navnlig en ny protokol for bording og inspektion på åbent hav, herunder procedurer for påståede overtrædelser, og foranstaltninger vedrørende havforurening og mærkning og identifikation af fiskerfartøjer. </w:t>
            </w:r>
            <w:r>
              <w:rPr>
                <w:b/>
                <w:i/>
              </w:rPr>
              <w:t>Nye krav bør koordineres ordentligt med medlemsstaterne for at garantere, at de teknisk og økonomisk set er gennemførlige, navnlig i regioner, der er berørt af nylige yderst kontrovertielle forvaltningsbeslutninger såsom de foreslåede reduktioner af antallet af trawlflåder, som truer sektorens fortsatte eksistens og øger afhængigheden af import fra tredjelande.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Nævnte foranstaltninger er bindende for Unionen.</w:t>
            </w:r>
            <w:r>
              <w:t xml:space="preserve"> </w:t>
            </w:r>
            <w:r>
              <w:rPr>
                <w:b/>
                <w:i/>
              </w:rPr>
              <w:t>De bør derfor gennemføres i EU-retten.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På årsmøderne i 2023 og 2024 vedtog NAFO yderligere foranstaltninger med henblik på bevarelse af fiskeressourcerne under dens kompetenceområde, herunder vedrørende torsk i afsnit 2J3KL, lukning af fiskeri, bifangster og opbevaring om bord, observatører, overvågning og relevante supplerende procedurer for alvorlige overtrædelser.</w:t>
            </w:r>
          </w:p>
        </w:tc>
        <w:tc>
          <w:tcPr>
            <w:tcW w:w="4876" w:type="dxa"/>
            <w:tcBorders>
              <w:top w:val="nil"/>
              <w:left w:val="nil"/>
              <w:bottom w:val="nil"/>
              <w:right w:val="nil"/>
            </w:tcBorders>
          </w:tcPr>
          <w:p>
            <w:pPr>
              <w:pStyle w:val="Normal6a"/>
            </w:pPr>
            <w:r>
              <w:t>10)</w:t>
            </w:r>
            <w:r>
              <w:tab/>
            </w:r>
            <w:r>
              <w:t xml:space="preserve">På årsmøderne i 2023 og 2024 vedtog NAFO yderligere foranstaltninger med henblik på bevarelse af fiskeressourcerne under dens kompetenceområde, herunder vedrørende torsk i afsnit 2J3KL, lukning af fiskeri, bifangster og opbevaring om bord, observatører, overvågning og relevante supplerende procedurer for alvorlige overtrædelser. </w:t>
            </w:r>
            <w:r>
              <w:rPr>
                <w:b/>
                <w:i/>
              </w:rPr>
              <w:t>I forbindelse med fremtidig begrænsning af bundredskaber i følsomme områder af Atlanterhavet bør der desuden sondres mellem teknikker med tydelig forskellig indvirkning.</w:t>
            </w:r>
            <w:r>
              <w:t xml:space="preserve"> </w:t>
            </w:r>
            <w:r>
              <w:rPr>
                <w:b/>
                <w:i/>
              </w:rPr>
              <w:t>Navnlig bør langline til bundfiskeri ikke omfattes af forbuddene i de 87 berørte atlanterhavsområder, da den er yderst selektiv og har begrænset indvirkning på havbundens økosystem.</w:t>
            </w:r>
            <w:r>
              <w:t xml:space="preserve"> </w:t>
            </w:r>
            <w:r>
              <w:rPr>
                <w:b/>
                <w:i/>
              </w:rPr>
              <w:t>Anvendelsen af generaliserede begrænsninger uden denne sondring vil bringe levedygtighedem af bæredygtige flådesegmenter i fare uden at bidrage til reelle fordele for miljøet.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Nævnte foranstaltninger er bindende for Unionen.</w:t>
            </w:r>
            <w:r>
              <w:t xml:space="preserve"> </w:t>
            </w:r>
            <w:r>
              <w:rPr>
                <w:b/>
                <w:i/>
              </w:rPr>
              <w:t>De bør derfor gennemføres i EU-retten.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Nævnte foranstaltninger er bindende for Unionen. De bør derfor gennemføres i EU-retten.</w:t>
            </w:r>
          </w:p>
        </w:tc>
        <w:tc>
          <w:tcPr>
            <w:tcW w:w="4876" w:type="dxa"/>
            <w:tcBorders>
              <w:top w:val="nil"/>
              <w:left w:val="nil"/>
              <w:bottom w:val="nil"/>
              <w:right w:val="nil"/>
            </w:tcBorders>
          </w:tcPr>
          <w:p>
            <w:pPr>
              <w:pStyle w:val="Normal6a"/>
            </w:pPr>
            <w:r>
              <w:t>(11)</w:t>
            </w:r>
            <w:r>
              <w:tab/>
            </w:r>
            <w:r>
              <w:t>Nævnte foranstaltninger er bindende for Unionen. De bør derfor gennemføres i EU-retten</w:t>
            </w:r>
            <w:r>
              <w:rPr>
                <w:b/>
                <w:i/>
              </w:rPr>
              <w:t>,</w:t>
            </w:r>
            <w:r>
              <w:t xml:space="preserve"> </w:t>
            </w:r>
            <w:r>
              <w:rPr>
                <w:b/>
                <w:i/>
              </w:rPr>
              <w:t>idet fiskerivirksomhedernes levedygtighed sikres, og der altid tages hensyn til den socioøkonomiske indvirkning på de afhængige kystregioner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På årsmøderne i 2020, 2021, 2022, 2023 og 2024 vedtog IATTC foranstaltninger, der tager sigte på bevarelse af fiskeressourcerne under dens kompetenceområde, og som vedrører aktivering af bøjer tilknyttet anordninger til tiltrækning af fisk (FAD'er), reduktion af risikoen for indfiltring i FAD'er og anvendelsen af bionedbrydelige materialer, indberetning af fangster af stillehavstun, minimumskrav til fartøjsdata, ændringer af fartøjsovervågningssystemet, indførelse af et elektronisk overvågningssystem, herunder indsamling af fiskeridata, beskyttelse af silkehajer, sikker genudsætning af hajer, indsamling data om hajarter og ajourføringer af overholdelsesrapporter.</w:t>
            </w:r>
          </w:p>
        </w:tc>
        <w:tc>
          <w:tcPr>
            <w:tcW w:w="4876" w:type="dxa"/>
            <w:tcBorders>
              <w:top w:val="nil"/>
              <w:left w:val="nil"/>
              <w:bottom w:val="nil"/>
              <w:right w:val="nil"/>
            </w:tcBorders>
          </w:tcPr>
          <w:p>
            <w:pPr>
              <w:pStyle w:val="Normal6a"/>
            </w:pPr>
            <w:r>
              <w:t>(13)</w:t>
            </w:r>
            <w:r>
              <w:tab/>
            </w:r>
            <w:r>
              <w:t xml:space="preserve">På årsmøderne i 2020, 2021, 2022, 2023 og 2024 vedtog IATTC foranstaltninger, der tager sigte på bevarelse af fiskeressourcerne under dens kompetenceområde, og som vedrører aktivering af bøjer tilknyttet anordninger til tiltrækning af fisk (FAD'er), reduktion af risikoen for indfiltring i FAD'er og anvendelsen af bionedbrydelige materialer, indberetning af fangster af stillehavstun, minimumskrav til fartøjsdata, ændringer af fartøjsovervågningssystemet, indførelse af et elektronisk overvågningssystem, herunder indsamling af fiskeridata, beskyttelse af silkehajer, sikker genudsætning af hajer, indsamling data om hajarter og ajourføringer af overholdelsesrapporter. </w:t>
            </w:r>
            <w:r>
              <w:rPr>
                <w:b/>
                <w:i/>
              </w:rPr>
              <w:t>Dataindsamling og overvågningssystemer bør sikres på en pålidelig måde.</w:t>
            </w:r>
            <w:r>
              <w:t xml:space="preserve"> </w:t>
            </w:r>
            <w:r>
              <w:rPr>
                <w:b/>
                <w:i/>
              </w:rPr>
              <w:t>De seneste sager med manglende gennemsigtighed eller visse medlemsstaters forsinkede indsendelse af data har en negativ indvirkning på det europæiske kontrolsystems pålidelighed.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Nævnte foranstaltninger er bindende for Unionen.</w:t>
            </w:r>
            <w:r>
              <w:t xml:space="preserve"> </w:t>
            </w:r>
            <w:r>
              <w:rPr>
                <w:b/>
                <w:i/>
              </w:rPr>
              <w:t>De bør derfor gennemføres i EU-retten.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På årsmøderne i 2022 og 2023 vedtog WCPFC foranstaltninger vedrørende bunkringtjenester, beskyttelse af hajer og EU-langlinefartøjers anvendelse af tavser, wireforfang og hajliner, et forbud mod at beholde hajer om bord og en forpligtelse til genudsætning samt overdragelse eller udsmid af utilsigtede fangster af hvidtippet haj og silkehajer.</w:t>
            </w:r>
          </w:p>
        </w:tc>
        <w:tc>
          <w:tcPr>
            <w:tcW w:w="4876" w:type="dxa"/>
            <w:tcBorders>
              <w:top w:val="nil"/>
              <w:left w:val="nil"/>
              <w:bottom w:val="nil"/>
              <w:right w:val="nil"/>
            </w:tcBorders>
          </w:tcPr>
          <w:p>
            <w:pPr>
              <w:pStyle w:val="Normal6a"/>
            </w:pPr>
            <w:r>
              <w:t>(16)</w:t>
            </w:r>
            <w:r>
              <w:tab/>
            </w:r>
            <w:r>
              <w:t xml:space="preserve">På årsmøderne i 2022 og 2023 vedtog WCPFC foranstaltninger vedrørende bunkringtjenester, beskyttelse af hajer og EU-langlinefartøjers anvendelse af tavser, wireforfang og hajliner, et forbud mod at beholde hajer om bord og en forpligtelse til genudsætning samt overdragelse eller udsmid af utilsigtede fangster af hvidtippet haj og silkehajer. </w:t>
            </w:r>
            <w:r>
              <w:rPr>
                <w:b/>
                <w:i/>
              </w:rPr>
              <w:t>Unionen bør også sikre, at tredjelandsflåder, der fisker i henhold til WCPFC's regler, overholder samme overvågnings- og kontrolniveau, da ulige håndhævelse underminerer EU-operatørernes konkurrenceevne.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Nævnte foranstaltninger er bindende for Unionen.</w:t>
            </w:r>
            <w:r>
              <w:t xml:space="preserve"> </w:t>
            </w:r>
            <w:r>
              <w:rPr>
                <w:b/>
                <w:i/>
              </w:rPr>
              <w:t>De bør derfor gennemføres i EU-retten.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På de efterfølgende årsmøder i 2022, 2023 og 2024 og på den 6. ekstraordinære samling vedtog IOTC foranstaltninger til bevarelse af fiskeressourcerne under sit ansvarsområde for så vidt angår forvaltningen af forankrede og drivende anordninger til tiltrækning af fisk, frivillig lukning af fiskeri, omladning, foranstaltninger til bevarelse af hvaler og havfugle, regionale observatørordninger, fartøjsovervågningsplaner, standarder for elektronisk overvågning og havneinspektioner.</w:t>
            </w:r>
          </w:p>
        </w:tc>
        <w:tc>
          <w:tcPr>
            <w:tcW w:w="4876" w:type="dxa"/>
            <w:tcBorders>
              <w:top w:val="nil"/>
              <w:left w:val="nil"/>
              <w:bottom w:val="nil"/>
              <w:right w:val="nil"/>
            </w:tcBorders>
          </w:tcPr>
          <w:p>
            <w:pPr>
              <w:pStyle w:val="Normal6a"/>
            </w:pPr>
            <w:r>
              <w:t>(19)</w:t>
            </w:r>
            <w:r>
              <w:tab/>
            </w:r>
            <w:r>
              <w:t xml:space="preserve">På de efterfølgende årsmøder i 2022, 2023 og 2024 og på den 6. ekstraordinære samling vedtog IOTC foranstaltninger til bevarelse af fiskeressourcerne under sit ansvarsområde for så vidt angår forvaltningen af forankrede og drivende anordninger til tiltrækning af fisk, frivillig lukning af fiskeri, omladning, foranstaltninger til bevarelse af hvaler og havfugle, regionale observatørordninger, fartøjsovervågningsplaner, standarder for elektronisk overvågning og havneinspektioner. </w:t>
            </w:r>
            <w:r>
              <w:rPr>
                <w:b/>
                <w:i/>
              </w:rPr>
              <w:t>De vedtagne foranstaltninger bør tage hensyn til flådernes socioøkonomiske virkelighed og sikre, at de yderligere forpligtelser ikke bringer den europæiske flådes konkurrenceevne over for tredjelande med betydeligt lavere miljø- og arbejdsstandarder i fare.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Ved IOTC's resolution nr. 24/06 blev der gennemført et forbud mod udsmid af storøjet tun, bugstribet bonit, gulfinnet tun og ikkemålarter, der fanges af fartøjer, der er opført i IOTC's register over fartøjer med tilladelser, og som fisker i IOTC's kompetenceområde</w:t>
            </w:r>
            <w:r>
              <w:rPr>
                <w:b/>
                <w:i/>
              </w:rPr>
              <w:t>:</w:t>
            </w:r>
            <w:r>
              <w:t xml:space="preserve"> EU-fiskerfartøjer, der anvender andre redskabstyper end dem, der anvendes af notfartøjer, opfordres til at beholde om bord og lande alle fangster fisk, der er egnet til konsum, og til at træffe alle rimelige foranstaltninger til at sikre, at ikkemålarter, der tages levende, genudsættes i det omfang, det er muligt, under hensyntagen til besætningens sikkerhed, og til at beholde om bord og lande alle døde ikkemålarter, bortset fra dem, der anses for uegnede til konsum, eller som det er forbudt at beholde om bord.</w:t>
            </w:r>
          </w:p>
        </w:tc>
        <w:tc>
          <w:tcPr>
            <w:tcW w:w="4876" w:type="dxa"/>
            <w:tcBorders>
              <w:top w:val="nil"/>
              <w:left w:val="nil"/>
              <w:bottom w:val="nil"/>
              <w:right w:val="nil"/>
            </w:tcBorders>
          </w:tcPr>
          <w:p>
            <w:pPr>
              <w:pStyle w:val="Normal6a"/>
            </w:pPr>
            <w:r>
              <w:t>(20)</w:t>
            </w:r>
            <w:r>
              <w:tab/>
            </w:r>
            <w:r>
              <w:t>Ved IOTC's resolution nr. 24/06 blev der gennemført et forbud mod udsmid af storøjet tun, bugstribet bonit, gulfinnet tun og ikkemålarter, der fanges af fartøjer, der er opført i IOTC's register over fartøjer med tilladelser, og som fisker i IOTC's kompetenceområde</w:t>
            </w:r>
            <w:r>
              <w:rPr>
                <w:b/>
                <w:i/>
              </w:rPr>
              <w:t>.</w:t>
            </w:r>
            <w:r>
              <w:t xml:space="preserve"> EU-fiskerfartøjer, der anvender andre redskabstyper end dem, der anvendes af notfartøjer, opfordres til at beholde om bord og lande alle fangster fisk, der er egnet til konsum, og til at træffe alle rimelige foranstaltninger til at sikre, at ikkemålarter, der tages levende, genudsættes i det omfang, det er muligt, under hensyntagen til besætningens sikkerhed, og til at beholde om bord og lande alle døde ikkemålarter, bortset fra dem, der anses for uegnede til konsum, eller som det er forbudt at beholde om bord. </w:t>
            </w:r>
            <w:r>
              <w:rPr>
                <w:b/>
                <w:i/>
              </w:rPr>
              <w:t>Denne foranstaltning bør gennemføres på en pragmatisk og fleksibel måde, som garanterer, at EU-operatørerne ikke straffes for uundgåelige utilsigtede fangster, når de har udvist rettidig omhu, og som sikrer, at havneinfrastrukturen i regionen er tilstrækkelig til at håndtere landinger, uden at flådens logistiske aktivitet afbrydes.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Nævnte</w:t>
            </w:r>
            <w:r>
              <w:t xml:space="preserve"> foranstaltninger er bindende for Unionen. De bør derfor gennemføres i EU-retten.</w:t>
            </w:r>
          </w:p>
        </w:tc>
        <w:tc>
          <w:tcPr>
            <w:tcW w:w="4876" w:type="dxa"/>
            <w:tcBorders>
              <w:top w:val="nil"/>
              <w:left w:val="nil"/>
              <w:bottom w:val="nil"/>
              <w:right w:val="nil"/>
            </w:tcBorders>
          </w:tcPr>
          <w:p>
            <w:pPr>
              <w:pStyle w:val="Normal6a"/>
            </w:pPr>
            <w:r>
              <w:t>(21)</w:t>
            </w:r>
            <w:r>
              <w:tab/>
            </w:r>
            <w:r>
              <w:rPr>
                <w:b/>
                <w:i/>
              </w:rPr>
              <w:t>Disse</w:t>
            </w:r>
            <w:r>
              <w:t xml:space="preserve"> foranstaltninger</w:t>
            </w:r>
            <w:r>
              <w:rPr>
                <w:b/>
                <w:i/>
              </w:rPr>
              <w:t>, der stammer fra ICCAT, SPRFMO, NAFO, IATTC, WCPFC og IOTC,</w:t>
            </w:r>
            <w:r>
              <w:t xml:space="preserve"> er bindende for Unionen. De bør derfor gennemføres i EU-retten </w:t>
            </w:r>
            <w:r>
              <w:rPr>
                <w:b/>
                <w:i/>
              </w:rPr>
              <w:t>på en måde, der sikrer lige vilkår for EU-operatører i forhold til operatører fra andre kontraherende parter, medmindre sådanne henstillinger allerede er fuldt ud behandlet og omfattet af eksisterende EU-lovgivning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21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Henstillingerne skal gennemføres strengt for at skabe lige vilkår for alle operatører, samtidig med at de administrative byrder minimeres, og forpligtelser ud over dem, der er fastsat i henstillingerne, undgås.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21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Det er bydende nødvendigt, at Unionen nøje overvejer de socioøkonomiske konsekvenser af fiskeriforvaltningsforanstaltninger og, hvor det er relevant, evaluerer deres indvirkning på fiskerisektoren og kystsamfundene.</w:t>
            </w:r>
            <w:r>
              <w:t xml:space="preserve"> </w:t>
            </w:r>
            <w:r>
              <w:rPr>
                <w:b/>
                <w:i/>
              </w:rPr>
              <w:t>Sådanne foranstaltninger skal baseres på den bedste foreliggende videnskabelige rådgivning og være i overensstemmelse med artikel 2 i den fælles fiskeripolitik, sikre EU-fiskeriets levedygtighed og konkurrenceevne, fremme bæredygtig flådekapacitet og støtte udviklingen af kystfiskeri.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Nogle af de bestemmelser, der er vedtaget af SPRFMO, NAFO, IATTC, IOTC og ICCAT, ændres ofte og vil sandsynligvis blive ændret på fremtidige årsmøder i SPRFMO, NAFO, IATTC, IOTC og ICCAT. For hurtigt at kunne gennemføre sådanne fremtidige ændringer i EU-retten, bør beføjelsen til at vedtage retsakter delegeres til Kommissionen i overensstemmelse med artikel 290 i traktaten om Den Europæiske Unions funktionsmåde: i) for så vidt angår SPRFMO angående frister, afstand til kontaktområdet, afstande i forbindelse med omladningsmeddelelser, data- og oplysningskrav og forelæggelse af fartøjsoplysninger; for så vidt angår NAFO angående foranstaltninger, der vedrører medlemsstaternes pligt til at oplyse ændringer med hensyn til de bifangster, der er beholdt om bord, fiskeriforbudsperioder, observatørernes kvalifikationer, pligter og uddannelse, validering af observatørdata, observatørernes sikkerhedsudstyr, EU-fartøjsoperatørers og EU-fartøjsføreres rettigheder og pligter og de procedurer, der finder anvendelse i tilfælde af nødsituationer ii) for så vidt angår NAFO's bevarelses- og håndhævelsesforanstaltninger angående ændring af fiskeriforbudsperioder, opbevaring af fangster om bord, fartøjsførerens forpligtelser i forbindelse med efterladte redskaber og bjærgning heraf, undtagelser fra observatørprogrammet og henvisning til den formular, som medlemsstaterne skal anvende til indberetning af observerede fartøjer; iii) for så vidt angår IATTC angående foranstaltninger vedrørende IATTC's henvisninger til retningslinjerne for sikker genudsætning af hajer, og medlemsstaternes spørgeskema om overholdelse; iv) for så vidt angår IOTC angående foranstaltninger vedrørende IOTC's FAD-indberetningsforpligtelser, og v) forså vidt angår ICCAT's bestemmelser om almindelig tun angående fristerne for opfyldelsen af indberetningsforpligtelser, fangstsæsonernes begyndelses- og slutdatoer, procentdele og referencepunkter og de oplysninger, der skal indgives til Kommissionen.</w:t>
            </w:r>
          </w:p>
        </w:tc>
        <w:tc>
          <w:tcPr>
            <w:tcW w:w="4876" w:type="dxa"/>
            <w:tcBorders>
              <w:top w:val="nil"/>
              <w:left w:val="nil"/>
              <w:bottom w:val="nil"/>
              <w:right w:val="nil"/>
            </w:tcBorders>
          </w:tcPr>
          <w:p>
            <w:pPr>
              <w:pStyle w:val="Normal6a"/>
            </w:pPr>
            <w:r>
              <w:t>(22)</w:t>
            </w:r>
            <w:r>
              <w:tab/>
            </w:r>
            <w:r>
              <w:t xml:space="preserve">Nogle af de bestemmelser, der er vedtaget af SPRFMO, NAFO, IATTC, IOTC og ICCAT, ændres ofte og vil sandsynligvis blive ændret på fremtidige årsmøder i SPRFMO, NAFO, IATTC, IOTC og ICCAT. For hurtigt at kunne gennemføre sådanne fremtidige ændringer i EU-retten, </w:t>
            </w:r>
            <w:r>
              <w:rPr>
                <w:b/>
                <w:i/>
              </w:rPr>
              <w:t>uden at der gives mulighed for, at behovet for hurtighed bruges til at indføre yderligere begrænsninger, som ikke er blevet behørigt drøftet med Europa-Parlamentet og medlemsstaterne,</w:t>
            </w:r>
            <w:r>
              <w:t xml:space="preserve"> bør beføjelsen til at vedtage retsakter delegeres til Kommissionen i overensstemmelse med artikel 290 i traktaten om Den Europæiske Unions funktionsmåde</w:t>
            </w:r>
            <w:r>
              <w:rPr>
                <w:b/>
                <w:i/>
              </w:rPr>
              <w:t>.</w:t>
            </w:r>
            <w:r>
              <w:t xml:space="preserve"> </w:t>
            </w:r>
            <w:r>
              <w:rPr>
                <w:b/>
                <w:i/>
              </w:rPr>
              <w:t>I den forbindelse er øget overvågning vigtig for at undgå, at delegerede retsakter anvendes ensidigt for at indføre nye begrænsninger af fiskeriindsatsen som f.eks. de nylige forslag vedrørende Middelhavet, der er blevet bredt afvist af de berørte sektorer og kan bringe fiskersamfundenes levedygtighed i fare.</w:t>
            </w:r>
            <w:r>
              <w:t xml:space="preserve"> </w:t>
            </w:r>
            <w:r>
              <w:rPr>
                <w:b/>
                <w:i/>
              </w:rPr>
              <w:t>På grundlag heraf bør de delegerede beføjelser nøje anvendes inden for de rammer, som lovgiveren har fastsat og i overensstemmelse med følgende bestemmelser</w:t>
            </w:r>
            <w:r>
              <w:t>: i) for så vidt angår SPRFMO angående frister, afstand til kontaktområdet, afstande i forbindelse med omladningsmeddelelser, data- og oplysningskrav og forelæggelse af fartøjsoplysninger; for så vidt angår NAFO angående foranstaltninger, der vedrører medlemsstaternes pligt til at oplyse ændringer med hensyn til de bifangster, der er beholdt om bord, fiskeriforbudsperioder, observatørernes kvalifikationer, pligter og uddannelse, validering af observatørdata, observatørernes sikkerhedsudstyr, EU-fartøjsoperatørers og EU-fartøjsføreres rettigheder og pligter og de procedurer, der finder anvendelse i tilfælde af nødsituationer</w:t>
            </w:r>
            <w:r>
              <w:rPr>
                <w:b/>
                <w:i/>
              </w:rPr>
              <w:t>;</w:t>
            </w:r>
            <w:r>
              <w:t xml:space="preserve"> ii) for så vidt angår NAFO's bevarelses- og håndhævelsesforanstaltninger angående ændring af fiskeriforbudsperioder, opbevaring af fangster om bord, fartøjsførerens forpligtelser i forbindelse med efterladte redskaber og bjærgning heraf, undtagelser fra observatørprogrammet og henvisning til den formular, som medlemsstaterne skal anvende til indberetning af observerede fartøjer; iii) for så vidt angår IATTC angående foranstaltninger vedrørende IATTC's henvisninger til retningslinjerne for sikker genudsætning af hajer, og medlemsstaternes spørgeskema om overholdelse; iv) for så vidt angår IOTC angående foranstaltninger vedrørende IOTC's FAD-indberetningsforpligtelser, og v) forså vidt angår ICCAT's bestemmelser om almindelig tun angående fristerne for opfyldelsen af indberetningsforpligtelser, fangstsæsonernes begyndelses- og slutdatoer, procentdele og referencepunkter og de oplysninger, der skal indgives til Kommissionen.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Pr>
                <w:vertAlign w:val="superscript"/>
              </w:rPr>
              <w:t>13</w:t>
            </w:r>
            <w:r>
              <w:t xml:space="preserve">. For at sikre lige deltagelse i forberedelsen af delegerede retsakter modtager Europa-Parlamentet og Rådet </w:t>
            </w:r>
            <w:r>
              <w:rPr>
                <w:b/>
                <w:i/>
              </w:rPr>
              <w:t>navnlig</w:t>
            </w:r>
            <w:r>
              <w:t xml:space="preserve"> alle dokumenter på samme tid som medlemsstaternes eksperter, og deres eksperter har systematisk adgang til møder i Kommissionens ekspertgrupper, der beskæftiger sig med forberedelse af delegerede retsakter —</w:t>
            </w:r>
          </w:p>
        </w:tc>
        <w:tc>
          <w:tcPr>
            <w:tcW w:w="4876" w:type="dxa"/>
            <w:tcBorders>
              <w:top w:val="nil"/>
              <w:left w:val="nil"/>
              <w:bottom w:val="nil"/>
              <w:right w:val="nil"/>
            </w:tcBorders>
          </w:tcPr>
          <w:p>
            <w:pPr>
              <w:pStyle w:val="Normal6a"/>
            </w:pPr>
            <w:r>
              <w:t>(23)</w:t>
            </w:r>
            <w:r>
              <w:tab/>
            </w:r>
            <w:r>
              <w:t xml:space="preserve">Det er navnlig vigtigt, at Kommissionen gennemfører relevante høringer under sit forberedende arbejde, herunder på ekspertniveau </w:t>
            </w:r>
            <w:r>
              <w:rPr>
                <w:b/>
                <w:i/>
              </w:rPr>
              <w:t>og med direkte repræsentanter for fiskerisektoren (såsom rådgivende råd og producentorganisationer)</w:t>
            </w:r>
            <w:r>
              <w:t>, og at disse høringer gennemføres i overensstemmelse med principperne i den interinstitutionelle aftale af 13. april 2016 om bedre lovgivning</w:t>
            </w:r>
            <w:r>
              <w:rPr>
                <w:vertAlign w:val="superscript"/>
              </w:rPr>
              <w:t>13</w:t>
            </w:r>
            <w:r>
              <w:t xml:space="preserve"> </w:t>
            </w:r>
            <w:r>
              <w:rPr>
                <w:b/>
                <w:i/>
              </w:rPr>
              <w:t>for at sikre, at de delegerede retsakter er i overensstemmelse med flådens operationelle virkelighed</w:t>
            </w:r>
            <w:r>
              <w:t>. For at sikre lige deltagelse i forberedelsen af delegerede retsakter modtager Europa-Parlamentet og Rådet alle dokumenter på samme tid som medlemsstaternes eksperter, og deres eksperter har systematisk adgang til møder i Kommissionens ekspertgrupper, der beskæftiger sig med forberedelse af delegerede retsakter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EUT L 123 af 12.5.2016, s.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EUT L 123 af 12.5.2016, s. 1, ELI: http://data.europa.eu/eli/agree_interinstit/2016/512/oj.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Pr>
                <w:vertAlign w:val="superscript"/>
              </w:rPr>
              <w:t>13</w:t>
            </w:r>
            <w:r>
              <w:t xml:space="preserve">.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 </w:t>
            </w:r>
            <w:r>
              <w:rPr>
                <w:b/>
                <w:i/>
              </w:rPr>
              <w:t>—</w:t>
            </w:r>
          </w:p>
        </w:tc>
        <w:tc>
          <w:tcPr>
            <w:tcW w:w="4876" w:type="dxa"/>
            <w:tcBorders>
              <w:top w:val="nil"/>
              <w:left w:val="nil"/>
              <w:bottom w:val="nil"/>
              <w:right w:val="nil"/>
            </w:tcBorders>
          </w:tcPr>
          <w:p>
            <w:pPr>
              <w:pStyle w:val="Normal6a"/>
            </w:pPr>
            <w:r>
              <w:t>(23)</w:t>
            </w:r>
            <w:r>
              <w:tab/>
            </w:r>
            <w:r>
              <w:t>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Pr>
                <w:vertAlign w:val="superscript"/>
              </w:rPr>
              <w:t>13</w:t>
            </w:r>
            <w: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r>
              <w:rPr>
                <w:b/>
                <w:i/>
              </w:rPr>
              <w:t>, og udnytter muligheden for, at Kommissionen kan indbydes til møder i Europa-Parlamentet eller Rådet med henblik på en yderligere udveksling af synspunkter om forberedelsen af delegerede retsakter.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EUT L 123 af 12.5.2016, s.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EUT L 123 af 12.5.2016, s.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23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Kommissionen samarbejder med Parlamentet og Rådet for at drøfte den fælles RFFO-gennemførelsesproces, hvor flere forskellige forordninger ændres forud for den næste vedtagelse, og bør derefter vurdere processen tre år efter offentliggørelsen af nuværende forordning og hvert tredje år fra denne dato.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23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Unionens deltagelse i RFFO'er skal respektere medlemsstaternes prærogativer.</w:t>
            </w:r>
            <w:r>
              <w:t xml:space="preserve"> </w:t>
            </w:r>
            <w:r>
              <w:rPr>
                <w:b/>
                <w:i/>
              </w:rPr>
              <w:t>Gennemførelsen bør ikke svække den nationale autonomi eller pålægge ikkeindustrielt fiskeri uforholdsmæssigt store forpligtelser, navnlig i Middelhavet, hvis dette fiskeri ikke er kilde til overkapacitet.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23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Hvis RFFO-foranstaltninger konsekvent ikke sikrer lige vilkår i forhold til tredjelandsflåder eller pålægger EU-operatører ubalancerede restriktioner, tager Unionen sin støtte til sådanne foranstaltninger op til fornyet overvejelse og anmoder om nødvendigt om en revision heraf.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3</w:t>
      </w:r>
      <w:r>
        <w:rPr>
          <w:rStyle w:val="HideTWBExt"/>
        </w:rPr>
        <w:t>&lt;/Article&gt;</w:t>
      </w:r>
    </w:p>
    <w:p>
      <w:r>
        <w:rPr>
          <w:rStyle w:val="HideTWBExt"/>
        </w:rPr>
        <w:t>&lt;DocAmend2&gt;</w:t>
      </w:r>
      <w:r>
        <w:t>Forordning (EU) 2021/2107</w:t>
      </w:r>
      <w:r>
        <w:rPr>
          <w:rStyle w:val="HideTWBExt"/>
        </w:rPr>
        <w:t>&lt;/DocAmend2&gt;</w:t>
      </w:r>
    </w:p>
    <w:p>
      <w:r>
        <w:rPr>
          <w:rStyle w:val="HideTWBExt"/>
        </w:rPr>
        <w:t>&lt;Article2&gt;</w:t>
      </w:r>
      <w:r>
        <w:t>Artikel 33 – stk.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Ud over betingelserne i stk. 6, må EU-fiskerfartøjer med en længde overalt på </w:t>
            </w:r>
            <w:r>
              <w:rPr>
                <w:b/>
                <w:i/>
              </w:rPr>
              <w:t>under</w:t>
            </w:r>
            <w:r>
              <w:t xml:space="preserve"> 12 meter højst beholde én sydatlantisk kortfinnet makohaj om bord under en fangstrejse.</w:t>
            </w:r>
          </w:p>
        </w:tc>
        <w:tc>
          <w:tcPr>
            <w:tcW w:w="4876" w:type="dxa"/>
            <w:tcBorders>
              <w:top w:val="nil"/>
              <w:left w:val="nil"/>
              <w:bottom w:val="nil"/>
              <w:right w:val="nil"/>
            </w:tcBorders>
          </w:tcPr>
          <w:p>
            <w:pPr>
              <w:pStyle w:val="Normal6a"/>
            </w:pPr>
            <w:r>
              <w:t>7.</w:t>
            </w:r>
            <w:r>
              <w:tab/>
            </w:r>
            <w:r>
              <w:t xml:space="preserve">Ud over betingelserne i stk. 6, må EU-fiskerfartøjer med en længde overalt på </w:t>
            </w:r>
            <w:r>
              <w:rPr>
                <w:b/>
                <w:i/>
              </w:rPr>
              <w:t>mindre end</w:t>
            </w:r>
            <w:r>
              <w:t xml:space="preserve"> 12 meter højst beholde én sydatlantisk kortfinnet makohaj om bord under en fangstrejse.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Følgende ændringsforslag erstatter ændringsforslag 6.</w:t>
      </w:r>
    </w:p>
    <w:p>
      <w:r>
        <w:rPr>
          <w:rStyle w:val="HideTWBExt"/>
        </w:rPr>
        <w:t>&lt;/Amend&gt;</w:t>
      </w:r>
    </w:p>
    <w:p>
      <w:pPr>
        <w:pStyle w:val="AmNumberTabs"/>
      </w:pPr>
      <w:r>
        <w:rPr>
          <w:rStyle w:val="HideTWBExt"/>
        </w:rPr>
        <w:t>&lt;Amend&gt;</w:t>
      </w:r>
      <w:r>
        <w:t>Ændringsforslag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1 – stk. 1 – nr. 4</w:t>
      </w:r>
      <w:r>
        <w:rPr>
          <w:rStyle w:val="HideTWBExt"/>
        </w:rPr>
        <w:t>&lt;/Article&gt;</w:t>
      </w:r>
    </w:p>
    <w:p>
      <w:r>
        <w:rPr>
          <w:rStyle w:val="HideTWBExt"/>
        </w:rPr>
        <w:t>&lt;DocAmend2&gt;</w:t>
      </w:r>
      <w:r>
        <w:t>Forordning (EU) 2017/2107</w:t>
      </w:r>
      <w:r>
        <w:rPr>
          <w:rStyle w:val="HideTWBExt"/>
        </w:rPr>
        <w:t>&lt;/DocAmend2&gt;</w:t>
      </w:r>
    </w:p>
    <w:p>
      <w:r>
        <w:rPr>
          <w:rStyle w:val="HideTWBExt"/>
        </w:rPr>
        <w:t>&lt;Article2&gt;</w:t>
      </w:r>
      <w:r>
        <w:t>Artikel 35a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EU-fangstfartøjer skal i det omfang, det er praktisk muligt, straks genudsætte uskadte djævlerokker, så snart de ses i nettet, på krogen eller på dækket, på en måde, der medfører mindst mulig skade på de enkelte individer.</w:t>
            </w:r>
          </w:p>
        </w:tc>
        <w:tc>
          <w:tcPr>
            <w:tcW w:w="4876" w:type="dxa"/>
            <w:tcBorders>
              <w:top w:val="nil"/>
              <w:left w:val="nil"/>
              <w:bottom w:val="nil"/>
              <w:right w:val="nil"/>
            </w:tcBorders>
          </w:tcPr>
          <w:p>
            <w:pPr>
              <w:pStyle w:val="Normal6a"/>
            </w:pPr>
            <w:r>
              <w:t>2.</w:t>
            </w:r>
            <w:r>
              <w:tab/>
            </w:r>
            <w:r>
              <w:t xml:space="preserve">EU-fangstfartøjer skal i det omfang, det er praktisk muligt </w:t>
            </w:r>
            <w:r>
              <w:rPr>
                <w:b/>
                <w:i/>
              </w:rPr>
              <w:t>og under hensyntagen til de tekniske og sikkerhedsmæssige begrænsinger</w:t>
            </w:r>
            <w:r>
              <w:t>, straks genudsætte uskadte djævlerokker, så snart de ses i nettet, på krogen eller på dækket, på en måde, der medfører mindst mulig skade på de enkelte individer.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 – led d</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4 – nr. 20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"SPRFMO's register over godkendte inspektionsfartøjer og myndigheder med ansvar for inspektionsfartøjet": den liste over inspektionsfartøjer og myndigheder med tilladelse til at foretage bording og inspektion i SPRFMO-konventionsområdet, der er meddelt af de kontraherende parter og samarbejdende ikke-kontraherende parter, og som ajourføres af SPRFMO's sekretariat</w:t>
            </w:r>
          </w:p>
        </w:tc>
        <w:tc>
          <w:tcPr>
            <w:tcW w:w="4876" w:type="dxa"/>
            <w:tcBorders>
              <w:top w:val="nil"/>
              <w:left w:val="nil"/>
              <w:bottom w:val="nil"/>
              <w:right w:val="nil"/>
            </w:tcBorders>
          </w:tcPr>
          <w:p>
            <w:pPr>
              <w:pStyle w:val="Normal6a"/>
            </w:pPr>
            <w:r>
              <w:rPr>
                <w:b/>
                <w:i/>
              </w:rPr>
              <w:t>(</w:t>
            </w:r>
            <w:r>
              <w:t>20)</w:t>
            </w:r>
            <w:r>
              <w:tab/>
            </w:r>
            <w:r>
              <w:t xml:space="preserve">"SPRFMO's register over godkendte inspektionsfartøjer og myndigheder med ansvar for inspektionsfartøjet": den liste over inspektionsfartøjer og myndigheder med tilladelse til at foretage bording og inspektion i SPRFMO-konventionsområdet, der er meddelt af </w:t>
            </w:r>
            <w:r>
              <w:rPr>
                <w:b/>
                <w:i/>
              </w:rPr>
              <w:t>Kommissionen, EFCA,</w:t>
            </w:r>
            <w:r>
              <w:t xml:space="preserve"> de kontraherende parter og samarbejdende ikke-kontraherende parter, og som ajourføres af SPRFMO's sekretariat</w:t>
            </w:r>
            <w:r>
              <w:rPr>
                <w:b/>
                <w:i/>
              </w:rPr>
              <w:t>.</w:t>
            </w:r>
            <w:r>
              <w:t xml:space="preserve"> </w:t>
            </w:r>
            <w:r>
              <w:rPr>
                <w:b/>
                <w:i/>
              </w:rPr>
              <w:t>Medlemsstaterne meddeler Kommissionen eller EFCA deres inspektionsfartøjer og myndigheder, der har tilladelse til at borde en inspektion i SPRFMO-konventionsområdet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Følgende ændringsforslag erstatter ændringsforslag 18.</w:t>
      </w:r>
    </w:p>
    <w:p>
      <w:r>
        <w:rPr>
          <w:rStyle w:val="HideTWBExt"/>
        </w:rPr>
        <w:t>&lt;/Amend&gt;</w:t>
      </w:r>
    </w:p>
    <w:p>
      <w:pPr>
        <w:pStyle w:val="AmNumberTabs"/>
      </w:pPr>
      <w:r>
        <w:rPr>
          <w:rStyle w:val="HideTWBExt"/>
        </w:rPr>
        <w:t>&lt;Amend&gt;</w:t>
      </w:r>
      <w:r>
        <w:t>Ændringsforslag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12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Bundfiskeri i SPRFMO-konventionsområdet i henhold til dette kapitel må kun finde sted i de forvaltningsområder for bundtrawl, flydetrawl og bundline, der er fastsat i bilag XIV. I nævnte områder:</w:t>
            </w:r>
          </w:p>
        </w:tc>
        <w:tc>
          <w:tcPr>
            <w:tcW w:w="4876" w:type="dxa"/>
            <w:tcBorders>
              <w:top w:val="nil"/>
              <w:left w:val="nil"/>
              <w:bottom w:val="nil"/>
              <w:right w:val="nil"/>
            </w:tcBorders>
          </w:tcPr>
          <w:p>
            <w:pPr>
              <w:pStyle w:val="Normal6a"/>
            </w:pPr>
            <w:r>
              <w:t>1.</w:t>
            </w:r>
            <w:r>
              <w:tab/>
            </w:r>
            <w:r>
              <w:t>Bundfiskeri i SPRFMO-konventionsområdet i henhold til dette kapitel må kun finde sted i de forvaltningsområder for bundtrawl, flydetrawl og bundline, der er fastsat i bilag XIV</w:t>
            </w:r>
            <w:r>
              <w:rPr>
                <w:b/>
                <w:i/>
              </w:rPr>
              <w:t>, sådan som de følger af bindende afgørelser vedtaget i SPRFMO</w:t>
            </w:r>
            <w:r>
              <w:t>. I nævnte områder: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13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 medlemsstat, hvis fartøjer har til hensigt at udøve bundfiskeri i de forvaltningsområder, der er opført i bilag XIV, sender Kommissionen en anmodning om tilladelse mindst </w:t>
            </w:r>
            <w:r>
              <w:rPr>
                <w:b/>
                <w:i/>
              </w:rPr>
              <w:t>75</w:t>
            </w:r>
            <w:r>
              <w:t xml:space="preserve"> dage før det møde i SPRFMO's videnskabelige komité, som den ønsker sin anmodning behandlet på. Kommissionen videresender anmodningen til SPRFMO's sekretariat mindst 60 dage før mødet i SPRFMO's videnskabelige komité. Anmodningen skal indeholde en konsekvensanalyse af det foreslåede bundfiskeri.</w:t>
            </w:r>
          </w:p>
        </w:tc>
        <w:tc>
          <w:tcPr>
            <w:tcW w:w="4876" w:type="dxa"/>
            <w:tcBorders>
              <w:top w:val="nil"/>
              <w:left w:val="nil"/>
              <w:bottom w:val="nil"/>
              <w:right w:val="nil"/>
            </w:tcBorders>
          </w:tcPr>
          <w:p>
            <w:pPr>
              <w:pStyle w:val="Normal6a"/>
            </w:pPr>
            <w:r>
              <w:t>2.</w:t>
            </w:r>
            <w:r>
              <w:tab/>
            </w:r>
            <w:r>
              <w:t xml:space="preserve">En medlemsstat, hvis fartøjer har til hensigt at udøve bundfiskeri i de forvaltningsområder, der er opført i bilag XIV, sender Kommissionen en anmodning om tilladelse mindst </w:t>
            </w:r>
            <w:r>
              <w:rPr>
                <w:b/>
                <w:i/>
              </w:rPr>
              <w:t>45</w:t>
            </w:r>
            <w:r>
              <w:t xml:space="preserve"> dage før det møde i SPRFMO's videnskabelige komité, som den ønsker sin anmodning behandlet på. Kommissionen videresender anmodningen til SPRFMO's sekretariat mindst 60 dage før mødet i SPRFMO's videnskabelige komité. Anmodningen skal indeholde en </w:t>
            </w:r>
            <w:r>
              <w:rPr>
                <w:b/>
                <w:i/>
              </w:rPr>
              <w:t>foreløbig</w:t>
            </w:r>
            <w:r>
              <w:t xml:space="preserve"> konsekvensanalyse af det foreslåede bundfiskeri.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14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Medlemsstaterne</w:t>
            </w:r>
            <w:r>
              <w:t xml:space="preserve"> indberetter kontakter med sårbare marine økosystemer til </w:t>
            </w:r>
            <w:r>
              <w:rPr>
                <w:b/>
                <w:i/>
              </w:rPr>
              <w:t>Kommissionen</w:t>
            </w:r>
            <w:r>
              <w:t xml:space="preserve"> på grundlag af retningslinjerne i bilag IV, herunder en detaljeret beskrivelse af kontakten</w:t>
            </w:r>
            <w:r>
              <w:rPr>
                <w:b/>
                <w:i/>
              </w:rPr>
              <w:t>,</w:t>
            </w:r>
            <w:r>
              <w:t xml:space="preserve"> en sammenligning af kontakten med den eksisterende modelforudsigelse og foreslåede forvaltningsforanstaltninger til forebyggelse af betydelige skadelige virkninger på sårbare marine økosystemer med henblik på at kontrollere, om der er sandsynlighed for kontakt med et sårbart marint økosystem i kontaktområdet og/eller det omkringliggende område, om der har været en betydelig skadelig virkning, og om der er risiko for en betydelig skadelig virkning i fremtiden. Kommissionen videresender uden ophold oplysningerne til SPRFMO's sekretariat.</w:t>
            </w:r>
          </w:p>
        </w:tc>
        <w:tc>
          <w:tcPr>
            <w:tcW w:w="4876" w:type="dxa"/>
            <w:tcBorders>
              <w:top w:val="nil"/>
              <w:left w:val="nil"/>
              <w:bottom w:val="nil"/>
              <w:right w:val="nil"/>
            </w:tcBorders>
          </w:tcPr>
          <w:p>
            <w:pPr>
              <w:pStyle w:val="Normal6a"/>
            </w:pPr>
            <w:r>
              <w:t>2.</w:t>
            </w:r>
            <w:r>
              <w:tab/>
            </w:r>
            <w:r>
              <w:rPr>
                <w:b/>
                <w:i/>
              </w:rPr>
              <w:t>Fiskerfartøjerne</w:t>
            </w:r>
            <w:r>
              <w:t xml:space="preserve"> indberetter kontakter med sårbare marine økosystemer til </w:t>
            </w:r>
            <w:r>
              <w:rPr>
                <w:b/>
                <w:i/>
              </w:rPr>
              <w:t>flagmedlemsstaten</w:t>
            </w:r>
            <w:r>
              <w:t xml:space="preserve"> på grundlag af retningslinjerne i bilag IV, herunder en detaljeret beskrivelse af kontakten</w:t>
            </w:r>
            <w:r>
              <w:rPr>
                <w:b/>
                <w:i/>
              </w:rPr>
              <w:t>.</w:t>
            </w:r>
            <w:r>
              <w:t xml:space="preserve"> </w:t>
            </w:r>
            <w:r>
              <w:rPr>
                <w:b/>
                <w:i/>
              </w:rPr>
              <w:t>Flagmedlemsstaten foretager</w:t>
            </w:r>
            <w:r>
              <w:t xml:space="preserve"> en sammenligning af kontakten med den eksisterende modelforudsigelse og foreslåede forvaltningsforanstaltninger til forebyggelse af betydelige skadelige virkninger på sårbare marine økosystemer med henblik på at kontrollere, om der er sandsynlighed for kontakt med et sårbart marint økosystem i kontaktområdet og/eller det omkringliggende område, om der har været en betydelig skadelig virkning, og om der er risiko for en betydelig skadelig virkning i fremtiden. </w:t>
            </w:r>
            <w:r>
              <w:rPr>
                <w:b/>
                <w:i/>
              </w:rPr>
              <w:t>Medlemsstaten sender uden ophold disse rapporter til Kommissionen.</w:t>
            </w:r>
            <w:r>
              <w:t xml:space="preserve"> Kommissionen videresender uden ophold oplysningerne til SPRFMO's sekretariat.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Følgende ændringsforslag erstatter ændringsforslag 30.</w:t>
      </w:r>
    </w:p>
    <w:p>
      <w:r>
        <w:rPr>
          <w:rStyle w:val="HideTWBExt"/>
        </w:rPr>
        <w:t>&lt;/Amend&gt;</w:t>
      </w:r>
    </w:p>
    <w:p>
      <w:pPr>
        <w:pStyle w:val="AmNumberTabs"/>
      </w:pPr>
      <w:r>
        <w:rPr>
          <w:rStyle w:val="HideTWBExt"/>
        </w:rPr>
        <w:t>&lt;Amend&gt;</w:t>
      </w:r>
      <w:r>
        <w:t>Ændringsforslag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4</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17 – stk. 1 –litra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mindst </w:t>
            </w:r>
            <w:r>
              <w:rPr>
                <w:b/>
                <w:i/>
              </w:rPr>
              <w:t>130</w:t>
            </w:r>
            <w:r>
              <w:t xml:space="preserve"> dage før mødet i SPRFMO's videnskabelige komité en kortfattet beskrivelse af den påtænkte fiskeriplan til orientering ved hjælp af skabelonen for den kortfattede beskrivelse af fiskeriplanen</w:t>
            </w:r>
            <w:r>
              <w:rPr>
                <w:vertAlign w:val="superscript"/>
              </w:rPr>
              <w:t>15</w:t>
            </w:r>
            <w:r>
              <w:t>Kommissionen videresender disse oplysninger til SPRFMO's sekretariat mindst 120 dage før mødet i SPRFMO's videnskabelige komité.</w:t>
            </w:r>
          </w:p>
        </w:tc>
        <w:tc>
          <w:tcPr>
            <w:tcW w:w="4876" w:type="dxa"/>
            <w:tcBorders>
              <w:top w:val="nil"/>
              <w:left w:val="nil"/>
              <w:bottom w:val="nil"/>
              <w:right w:val="nil"/>
            </w:tcBorders>
          </w:tcPr>
          <w:p>
            <w:pPr>
              <w:pStyle w:val="Normal6a"/>
            </w:pPr>
            <w:r>
              <w:t>(a)</w:t>
            </w:r>
            <w:r>
              <w:tab/>
            </w:r>
            <w:r>
              <w:t xml:space="preserve">mindst </w:t>
            </w:r>
            <w:r>
              <w:rPr>
                <w:b/>
                <w:i/>
              </w:rPr>
              <w:t>75</w:t>
            </w:r>
            <w:r>
              <w:t xml:space="preserve"> dage før mødet i SPRFMO's videnskabelige komité en kortfattet beskrivelse af den påtænkte fiskeriplan til orientering ved hjælp af skabelonen for den kortfattede beskrivelse af fiskeriplanen</w:t>
            </w:r>
            <w:r>
              <w:rPr>
                <w:vertAlign w:val="superscript"/>
              </w:rPr>
              <w:t>15</w:t>
            </w:r>
            <w:r>
              <w:t xml:space="preserve"> Kommissionen videresender disse oplysninger til SPRFMO's sekretariat mindst 120 dage før mødet i SPRFMO's videnskabelige komité.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Tilgængelig her: https://www.sprfmo.int/science/</w:t>
            </w:r>
            <w:r>
              <w:rPr>
                <w:b/>
                <w:i/>
              </w:rPr>
              <w:t>.</w:t>
            </w:r>
          </w:p>
        </w:tc>
        <w:tc>
          <w:tcPr>
            <w:tcW w:w="4876" w:type="dxa"/>
            <w:tcBorders>
              <w:top w:val="nil"/>
              <w:left w:val="nil"/>
              <w:bottom w:val="nil"/>
              <w:right w:val="nil"/>
            </w:tcBorders>
          </w:tcPr>
          <w:p>
            <w:pPr>
              <w:pStyle w:val="Normal6a"/>
            </w:pPr>
            <w:r>
              <w:rPr>
                <w:vertAlign w:val="superscript"/>
              </w:rPr>
              <w:t>15</w:t>
            </w:r>
            <w:r>
              <w:t xml:space="preserve"> </w:t>
            </w:r>
            <w:r>
              <w:t>Tilgængelig her: https://www.sprfmo.int/science/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8</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24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 tilfælde af omladning af fiskeressourcer, der er fanget i SPRFMO-konventionsområdet, sender det modtagende EU-fiskerfartøjs flagmedlemsstat samtidigt Kommissionen og SPRFMO's sekretariat mindst 36 timer før det forventede starttidspunkt for en sådan omladning SPRFMO's forhåndsmeddelelse om omladning i overensstemmelse med bilag VII. Nævnte meddelelse er påkrævet, uanset hvor omladningen har fundet sted.</w:t>
            </w:r>
          </w:p>
        </w:tc>
        <w:tc>
          <w:tcPr>
            <w:tcW w:w="4876" w:type="dxa"/>
            <w:tcBorders>
              <w:top w:val="nil"/>
              <w:left w:val="nil"/>
              <w:bottom w:val="nil"/>
              <w:right w:val="nil"/>
            </w:tcBorders>
          </w:tcPr>
          <w:p>
            <w:pPr>
              <w:pStyle w:val="Normal6a"/>
            </w:pPr>
            <w:r>
              <w:t>1.</w:t>
            </w:r>
            <w:r>
              <w:tab/>
            </w:r>
            <w:r>
              <w:t>I tilfælde af omladning af fiskeressourcer, der er fanget i SPRFMO-konventionsområdet, sender det modtagende EU-fiskerfartøjs flagmedlemsstat samtidigt Kommissionen og SPRFMO's sekretariat</w:t>
            </w:r>
            <w:r>
              <w:rPr>
                <w:b/>
                <w:i/>
              </w:rPr>
              <w:t>, idet det sikres, at intet udpeget organ kan gribe ind i eller tilsidesætte nationale kontrolprocedurer,</w:t>
            </w:r>
            <w:r>
              <w:t xml:space="preserve"> mindst 36 timer før det forventede starttidspunkt for en sådan omladning SPRFMO's forhåndsmeddelelse om omladning i overensstemmelse med bilag VII. Nævnte meddelelse er påkrævet, uanset hvor omladningen har fundet sted.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8</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24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Hvis den omladning, der er omhandlet i stk. 1, ikke påbegyndes senest 72 timer efter det forventede starttidspunkt eller inden for 50 sømil fra den skønnede position, der er meddelt i forhåndsmeddelelsen om omladning, underretter det modtagende EU-fiskerfartøjs flagmedlemsstat hurtigst muligt samtidigt Kommissionen og SPRFMO's sekretariat om den ændrede SPRFMO-forhåndsmeddelelse i overensstemmelse med bilag VII.</w:t>
            </w:r>
          </w:p>
        </w:tc>
        <w:tc>
          <w:tcPr>
            <w:tcW w:w="4876" w:type="dxa"/>
            <w:tcBorders>
              <w:top w:val="nil"/>
              <w:left w:val="nil"/>
              <w:bottom w:val="nil"/>
              <w:right w:val="nil"/>
            </w:tcBorders>
          </w:tcPr>
          <w:p>
            <w:pPr>
              <w:pStyle w:val="Normal6a"/>
            </w:pPr>
            <w:r>
              <w:t>2.</w:t>
            </w:r>
            <w:r>
              <w:tab/>
            </w:r>
            <w:r>
              <w:t xml:space="preserve">Hvis den omladning, der er omhandlet i stk. 1, ikke påbegyndes senest 72 timer efter det forventede starttidspunkt eller inden for 50 sømil fra den skønnede position, der er meddelt i forhåndsmeddelelsen om omladning, underretter det modtagende EU-fiskerfartøjs flagmedlemsstat hurtigst muligt samtidigt Kommissionen og SPRFMO's sekretariat om den ændrede SPRFMO-forhåndsmeddelelse i overensstemmelse med bilag VII. </w:t>
            </w:r>
            <w:r>
              <w:rPr>
                <w:b/>
                <w:i/>
              </w:rPr>
              <w:t>Sådanne underretninger må ikke overlappe eksisterende nationale indberetningssystemer og kan foretages ved hjælp af en enkelt underretning, der indgives via den kompetente nationale myndighed.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8</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24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Hvis den omladning, der er givet meddelelse om, ikke finder sted, underretter det modtagende EU-fiskerfartøjs flagmedlemsstat hurtigst muligt og senest fem arbejdsdage efter det meddelte tidspunkt for omladningen samtidigt Kommissionen og SPRFMO's sekretariat herom.</w:t>
            </w:r>
          </w:p>
        </w:tc>
        <w:tc>
          <w:tcPr>
            <w:tcW w:w="4876" w:type="dxa"/>
            <w:tcBorders>
              <w:top w:val="nil"/>
              <w:left w:val="nil"/>
              <w:bottom w:val="nil"/>
              <w:right w:val="nil"/>
            </w:tcBorders>
          </w:tcPr>
          <w:p>
            <w:pPr>
              <w:pStyle w:val="Normal6a"/>
            </w:pPr>
            <w:r>
              <w:t>3.</w:t>
            </w:r>
            <w:r>
              <w:tab/>
            </w:r>
            <w:r>
              <w:t xml:space="preserve">Hvis den omladning, der er givet meddelelse om, ikke finder sted, underretter det modtagende EU-fiskerfartøjs flagmedlemsstat hurtigst muligt og senest fem arbejdsdage efter det meddelte tidspunkt for omladningen samtidigt Kommissionen og SPRFMO's sekretariat herom. </w:t>
            </w:r>
            <w:r>
              <w:rPr>
                <w:b/>
                <w:i/>
              </w:rPr>
              <w:t>Sådanne underretninger må ikke overlappe eksisterende nationale indberetningssystemer og kan foretages ved hjælp af en enkelt underretning, der indgives via den nationale kompetente myndighed.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10</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25 – stk.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Observatøren udfylder SPRFMO-omladningslogbogen i overensstemmelse med bilag VIII og sender disse oplysninger elektronisk til de kompetente myndigheder i den medlemsstat, hvis flag det modtagende EU-fiskerfartøj fører, senest </w:t>
            </w:r>
            <w:r>
              <w:rPr>
                <w:b/>
                <w:i/>
              </w:rPr>
              <w:t>20</w:t>
            </w:r>
            <w:r>
              <w:t xml:space="preserve"> dage efter at være gået fra borde.</w:t>
            </w:r>
          </w:p>
        </w:tc>
        <w:tc>
          <w:tcPr>
            <w:tcW w:w="4876" w:type="dxa"/>
            <w:tcBorders>
              <w:top w:val="nil"/>
              <w:left w:val="nil"/>
              <w:bottom w:val="nil"/>
              <w:right w:val="nil"/>
            </w:tcBorders>
          </w:tcPr>
          <w:p>
            <w:pPr>
              <w:pStyle w:val="Normal6a"/>
            </w:pPr>
            <w:r>
              <w:t>5.</w:t>
            </w:r>
            <w:r>
              <w:tab/>
            </w:r>
            <w:r>
              <w:t xml:space="preserve">Observatøren udfylder SPRFMO-omladningslogbogen i overensstemmelse med bilag VIII og sender disse oplysninger elektronisk til de kompetente myndigheder i den medlemsstat, hvis flag det modtagende EU-fiskerfartøj fører, senest </w:t>
            </w:r>
            <w:r>
              <w:rPr>
                <w:b/>
                <w:i/>
              </w:rPr>
              <w:t>5</w:t>
            </w:r>
            <w:r>
              <w:t xml:space="preserve"> dage efter at være gået fra borde.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28p – stk. 2 –litra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ubegrænset adgang til forplejning, indkvartering og sanitære faciliteter </w:t>
            </w:r>
            <w:r>
              <w:rPr>
                <w:b/>
                <w:i/>
              </w:rPr>
              <w:t>af en standard svarende til dem, der normalt er til rådighed for en officer om bord på</w:t>
            </w:r>
            <w:r>
              <w:t xml:space="preserve"> fartøjet, samt medicinske faciliteter, der opfylder internationale maritime standarder</w:t>
            </w:r>
          </w:p>
        </w:tc>
        <w:tc>
          <w:tcPr>
            <w:tcW w:w="4876" w:type="dxa"/>
            <w:tcBorders>
              <w:top w:val="nil"/>
              <w:left w:val="nil"/>
              <w:bottom w:val="nil"/>
              <w:right w:val="nil"/>
            </w:tcBorders>
          </w:tcPr>
          <w:p>
            <w:pPr>
              <w:pStyle w:val="Normal6a"/>
            </w:pPr>
            <w:r>
              <w:t>(h)</w:t>
            </w:r>
            <w:r>
              <w:tab/>
            </w:r>
            <w:r>
              <w:t xml:space="preserve">ubegrænset adgang til forplejning, indkvartering og sanitære faciliteter </w:t>
            </w:r>
            <w:r>
              <w:rPr>
                <w:b/>
                <w:i/>
              </w:rPr>
              <w:t>på et rimeligt niveau, i det omfang</w:t>
            </w:r>
            <w:r>
              <w:t xml:space="preserve"> fartøjet </w:t>
            </w:r>
            <w:r>
              <w:rPr>
                <w:b/>
                <w:i/>
              </w:rPr>
              <w:t>har kapacitet hertil og uden at bringe de minimale leveforhold for besætningen i fare</w:t>
            </w:r>
            <w:r>
              <w:t>, samt medicinske faciliteter, der opfylder internationale maritime standarder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28s – litra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sikrer, at fartøjer, der udøver aktiviteter i SPRFMO-konventionsområdet, har tilstrækkelig plads til, at observatøren ved en særlig prøvetagningsstation og med andet udstyr såsom vægte kan foretage prøveudtagning af bifangster eller anden prøveudtagning efter behov på en sikker måde, der begrænser forstyrrelsen af fartøjets aktiviteter</w:t>
            </w:r>
          </w:p>
        </w:tc>
        <w:tc>
          <w:tcPr>
            <w:tcW w:w="4876" w:type="dxa"/>
            <w:tcBorders>
              <w:top w:val="nil"/>
              <w:left w:val="nil"/>
              <w:bottom w:val="nil"/>
              <w:right w:val="nil"/>
            </w:tcBorders>
          </w:tcPr>
          <w:p>
            <w:pPr>
              <w:pStyle w:val="Normal6a"/>
            </w:pPr>
            <w:r>
              <w:t>(e)</w:t>
            </w:r>
            <w:r>
              <w:tab/>
            </w:r>
            <w:r>
              <w:t xml:space="preserve">sikrer, at fartøjer, der udøver aktiviteter i SPRFMO-konventionsområdet, </w:t>
            </w:r>
            <w:r>
              <w:rPr>
                <w:b/>
                <w:i/>
              </w:rPr>
              <w:t>inden for hvert fartøjs tekniske og driftsmæssige begrænsninger</w:t>
            </w:r>
            <w:r>
              <w:t xml:space="preserve"> har tilstrækkelig plads til, at observatøren ved en særlig prøvetagningsstation og med andet udstyr såsom vægte kan foretage prøveudtagning af bifangster eller anden prøveudtagning efter behov på en sikker måde, der begrænser forstyrrelsen af fartøjets aktiviteter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28s – litra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sørger for forplejning, indkvartering, passende sanitære faciliteter og medicinske faciliteter af en standard svarende til dem, der normalt er til rådighed for en officer om bord på fartøjet, mens observatøren befinder sig om bord på fartøjet, i henhold til almindeligt anerkendte internationale standarder, uden at </w:t>
            </w:r>
            <w:r>
              <w:rPr>
                <w:b/>
                <w:i/>
              </w:rPr>
              <w:t>dette resulterer i udgifter for observatøren, observatørprogrammet eller leverandøren af observatørtjenester</w:t>
            </w:r>
          </w:p>
        </w:tc>
        <w:tc>
          <w:tcPr>
            <w:tcW w:w="4876" w:type="dxa"/>
            <w:tcBorders>
              <w:top w:val="nil"/>
              <w:left w:val="nil"/>
              <w:bottom w:val="nil"/>
              <w:right w:val="nil"/>
            </w:tcBorders>
          </w:tcPr>
          <w:p>
            <w:pPr>
              <w:pStyle w:val="Normal6a"/>
            </w:pPr>
            <w:r>
              <w:t>(l)</w:t>
            </w:r>
            <w:r>
              <w:tab/>
            </w:r>
            <w:r>
              <w:t xml:space="preserve">sørger for forplejning, indkvartering, passende sanitære faciliteter og medicinske faciliteter af en standard svarende til dem, der normalt er til rådighed for en officer om bord på fartøjet, mens observatøren befinder sig om bord på fartøjet, i henhold til almindeligt anerkendte internationale standarder, </w:t>
            </w:r>
            <w:r>
              <w:rPr>
                <w:b/>
                <w:i/>
              </w:rPr>
              <w:t>i det omfang fartøjet har kapacitet hertil og</w:t>
            </w:r>
            <w:r>
              <w:t xml:space="preserve"> uden at </w:t>
            </w:r>
            <w:r>
              <w:rPr>
                <w:b/>
                <w:i/>
              </w:rPr>
              <w:t>bringe de minimale leveforhold for besætningen i fare,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2 – stk. 1 – nr. 13</w:t>
      </w:r>
      <w:r>
        <w:rPr>
          <w:rStyle w:val="HideTWBExt"/>
        </w:rPr>
        <w:t>&lt;/Article&gt;</w:t>
      </w:r>
    </w:p>
    <w:p>
      <w:r>
        <w:rPr>
          <w:rStyle w:val="HideTWBExt"/>
        </w:rPr>
        <w:t>&lt;DocAmend2&gt;</w:t>
      </w:r>
      <w:r>
        <w:t>Forordning (EU) 2018/975</w:t>
      </w:r>
      <w:r>
        <w:rPr>
          <w:rStyle w:val="HideTWBExt"/>
        </w:rPr>
        <w:t>&lt;/DocAmend2&gt;</w:t>
      </w:r>
    </w:p>
    <w:p>
      <w:r>
        <w:rPr>
          <w:rStyle w:val="HideTWBExt"/>
        </w:rPr>
        <w:t>&lt;Article2&gt;</w:t>
      </w:r>
      <w:r>
        <w:t>Artikel 28s – litra q</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sørger for tilstrækkelig plads til observatøren på broen eller et andet udpeget område til kontorarbejde samt tilstrækkelig plads på dækket eller i fabriksområdet til at udføre sine observatørpligter</w:t>
            </w:r>
          </w:p>
        </w:tc>
        <w:tc>
          <w:tcPr>
            <w:tcW w:w="4876" w:type="dxa"/>
            <w:tcBorders>
              <w:top w:val="nil"/>
              <w:left w:val="nil"/>
              <w:bottom w:val="nil"/>
              <w:right w:val="nil"/>
            </w:tcBorders>
          </w:tcPr>
          <w:p>
            <w:pPr>
              <w:pStyle w:val="Normal6a"/>
            </w:pPr>
            <w:r>
              <w:t>(q)</w:t>
            </w:r>
            <w:r>
              <w:tab/>
            </w:r>
            <w:r>
              <w:t xml:space="preserve">sørger for tilstrækkelig plads </w:t>
            </w:r>
            <w:r>
              <w:rPr>
                <w:b/>
                <w:i/>
              </w:rPr>
              <w:t>inden for hvert fartøjs begræsninger med hensyn til indretning</w:t>
            </w:r>
            <w:r>
              <w:t xml:space="preserve"> til observatøren på broen eller et andet udpeget område til kontorarbejde samt tilstrækkelig plads på dækket eller i fabriksområdet til at udføre sine observatørpligter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3 – stk. 1 – nr. 8</w:t>
      </w:r>
      <w:r>
        <w:rPr>
          <w:rStyle w:val="HideTWBExt"/>
        </w:rPr>
        <w:t>&lt;/Article&gt;</w:t>
      </w:r>
    </w:p>
    <w:p>
      <w:r>
        <w:rPr>
          <w:rStyle w:val="HideTWBExt"/>
        </w:rPr>
        <w:t>&lt;DocAmend2&gt;</w:t>
      </w:r>
      <w:r>
        <w:t>Forordning (EU) 833/2019</w:t>
      </w:r>
      <w:r>
        <w:rPr>
          <w:rStyle w:val="HideTWBExt"/>
        </w:rPr>
        <w:t>&lt;/DocAmend2&gt;</w:t>
      </w:r>
    </w:p>
    <w:p>
      <w:r>
        <w:rPr>
          <w:rStyle w:val="HideTWBExt"/>
        </w:rPr>
        <w:t>&lt;Article2&gt;</w:t>
      </w:r>
      <w:r>
        <w:t>Artikel 30 – stk. 3 – litra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fremsende overvågningsrapporten om den observation, der er omhandlet i stk. 2, til EFCA, der uden ophold videresender den for NAFO's eksekutivsekretariat </w:t>
            </w:r>
            <w:r>
              <w:rPr>
                <w:b/>
                <w:i/>
              </w:rPr>
              <w:t>med henblik på fremsendelse til fartøjets kontraherende flagstat</w:t>
            </w:r>
          </w:p>
        </w:tc>
        <w:tc>
          <w:tcPr>
            <w:tcW w:w="4876" w:type="dxa"/>
            <w:tcBorders>
              <w:top w:val="nil"/>
              <w:left w:val="nil"/>
              <w:bottom w:val="nil"/>
              <w:right w:val="nil"/>
            </w:tcBorders>
          </w:tcPr>
          <w:p>
            <w:pPr>
              <w:pStyle w:val="Normal6a"/>
            </w:pPr>
            <w:r>
              <w:t>b.</w:t>
            </w:r>
            <w:r>
              <w:tab/>
            </w:r>
            <w:r>
              <w:t>fremsende overvågningsrapporten om den observation, der er omhandlet i stk. 2, til EFCA, der uden ophold videresender den for NAFO's eksekutivsekretariat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Følgende ændringsforslag erstatter ændringsforslag 135.</w:t>
      </w:r>
    </w:p>
    <w:p>
      <w:r>
        <w:rPr>
          <w:rStyle w:val="HideTWBExt"/>
        </w:rPr>
        <w:t>&lt;/Amend&gt;</w:t>
      </w:r>
    </w:p>
    <w:p>
      <w:pPr>
        <w:pStyle w:val="AmNumberTabs"/>
      </w:pPr>
      <w:r>
        <w:rPr>
          <w:rStyle w:val="HideTWBExt"/>
        </w:rPr>
        <w:t>&lt;Amend&gt;</w:t>
      </w:r>
      <w:r>
        <w:t>Ændringsforslag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4 – stk. 1 – nr. 1</w:t>
      </w:r>
      <w:r>
        <w:rPr>
          <w:rStyle w:val="HideTWBExt"/>
        </w:rPr>
        <w:t>&lt;/Article&gt;</w:t>
      </w:r>
    </w:p>
    <w:p>
      <w:r>
        <w:rPr>
          <w:rStyle w:val="HideTWBExt"/>
        </w:rPr>
        <w:t>&lt;DocAmend2&gt;</w:t>
      </w:r>
      <w:r>
        <w:t>Forordning (EU) 2021/56</w:t>
      </w:r>
      <w:r>
        <w:rPr>
          <w:rStyle w:val="HideTWBExt"/>
        </w:rPr>
        <w:t>&lt;/DocAmend2&gt;</w:t>
      </w:r>
    </w:p>
    <w:p>
      <w:r>
        <w:rPr>
          <w:rStyle w:val="HideTWBExt"/>
        </w:rPr>
        <w:t>&lt;Article2&gt;</w:t>
      </w:r>
      <w:r>
        <w:t>Artikel 4 – stk.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Notfartøjer, der overskrider deres årlige fangstbegrænsning, </w:t>
            </w:r>
            <w:r>
              <w:rPr>
                <w:b/>
                <w:i/>
              </w:rPr>
              <w:t>er</w:t>
            </w:r>
            <w:r>
              <w:t xml:space="preserve"> omfattet af en </w:t>
            </w:r>
            <w:r>
              <w:rPr>
                <w:b/>
                <w:i/>
              </w:rPr>
              <w:t>forlænget forbudsperiode i det følgende år.</w:t>
            </w:r>
            <w:r>
              <w:t xml:space="preserve"> </w:t>
            </w:r>
            <w:r>
              <w:rPr>
                <w:b/>
                <w:i/>
              </w:rPr>
              <w:t>Den</w:t>
            </w:r>
            <w:r>
              <w:t xml:space="preserve"> forbudsperiode, der er omhandlet i </w:t>
            </w:r>
            <w:r>
              <w:rPr>
                <w:b/>
                <w:i/>
              </w:rPr>
              <w:t>denne artikels stk. 1, forlænges med yderligere 10 dage for notfartøjer, der har overskredet den årlige fangstbegrænsning på 1 200 ton storøjet tun</w:t>
            </w:r>
            <w:r>
              <w:t xml:space="preserve"> i det </w:t>
            </w:r>
            <w:r>
              <w:rPr>
                <w:b/>
                <w:i/>
              </w:rPr>
              <w:t>foregående år.</w:t>
            </w:r>
            <w:r>
              <w:t xml:space="preserve"> </w:t>
            </w:r>
            <w:r>
              <w:rPr>
                <w:b/>
                <w:i/>
              </w:rPr>
              <w:t>For notfartøjer, der har overskredet den årlige fangstbegrænsning på 1 500 ton storøjet tun, forlænges forbudsperioden med 13 dage.</w:t>
            </w:r>
            <w:r>
              <w:t xml:space="preserve"> </w:t>
            </w:r>
            <w:r>
              <w:rPr>
                <w:b/>
                <w:i/>
              </w:rPr>
              <w:t>For notfartøjer, der har overskredet den årlige fangstbegrænsning på 1 800 ton storøjet tun, forlænges forbudsperioden med 16 dage.</w:t>
            </w:r>
            <w:r>
              <w:t xml:space="preserve"> </w:t>
            </w:r>
            <w:r>
              <w:rPr>
                <w:b/>
                <w:i/>
              </w:rPr>
              <w:t>For notfartøjer, der har overskredet den årlige fangstbegrænsning på 2 100 ton, forlænges forbudsperioden med 19 dage, og for notfartøjer, der har overskredet den årlige fangstbegrænsning på 2 400 ton, forlænges forbudsperioden med 22 dage ud over det forbud, der er omhandlet i stk. 1.</w:t>
            </w:r>
            <w:r>
              <w:t xml:space="preserve"> </w:t>
            </w:r>
            <w:r>
              <w:rPr>
                <w:b/>
                <w:i/>
              </w:rPr>
              <w:t>De ekstra forbudsdage i henhold til dette stykke lægges i givet fald til begyndelsen af forbudsperioden for fartøjer, der er omfattet af den første forbudsperiode, og til slutningen af forbudsperioden for fartøjer, der er omfattet af den anden forbudsperiode, således at den første forbudsperiode altid slutter den 8. oktober, og den anden forbudsperiode altid begynder den 9. november hvert år.</w:t>
            </w:r>
          </w:p>
        </w:tc>
        <w:tc>
          <w:tcPr>
            <w:tcW w:w="4876" w:type="dxa"/>
            <w:tcBorders>
              <w:top w:val="nil"/>
              <w:left w:val="nil"/>
              <w:bottom w:val="nil"/>
              <w:right w:val="nil"/>
            </w:tcBorders>
          </w:tcPr>
          <w:p>
            <w:pPr>
              <w:pStyle w:val="Normal6a"/>
            </w:pPr>
            <w:r>
              <w:t>1a.</w:t>
            </w:r>
            <w:r>
              <w:tab/>
            </w:r>
            <w:r>
              <w:rPr>
                <w:b/>
                <w:i/>
              </w:rPr>
              <w:t>For årene 2026 og 2027-2028 er</w:t>
            </w:r>
            <w:r>
              <w:t xml:space="preserve"> notfartøjer, der </w:t>
            </w:r>
            <w:r>
              <w:rPr>
                <w:b/>
                <w:i/>
              </w:rPr>
              <w:t>i foregående år har</w:t>
            </w:r>
            <w:r>
              <w:t xml:space="preserve"> overskrider deres årlige fangstbegrænsning, omfattet af en </w:t>
            </w:r>
            <w:r>
              <w:rPr>
                <w:b/>
                <w:i/>
              </w:rPr>
              <w:t>længere</w:t>
            </w:r>
            <w:r>
              <w:t xml:space="preserve"> forbudsperiode, der er omhandlet i </w:t>
            </w:r>
            <w:r>
              <w:rPr>
                <w:b/>
                <w:i/>
              </w:rPr>
              <w:t>stk. 1,</w:t>
            </w:r>
            <w:r>
              <w:t xml:space="preserve"> i det </w:t>
            </w:r>
            <w:r>
              <w:rPr>
                <w:b/>
                <w:i/>
              </w:rPr>
              <w:t>følgende år, som følger: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for notfartøjer, der har overskredet den årlige fangstbegrænsning på 1 200 ton storøjet tun, forlænges forbudsperioden med 10 dage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for notfartøjer, der har overskredet den årlige fangstbegrænsning på 1 500 ton storøjet tun, forlænges forbudsperioden med 13 dage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for notfartøjer, der har overskredet den årlige fangstbegrænsning på 1 800 ton storøjet tun, forlænges forbudsperioden med 16 dage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For notfartøjer, der har overskredet den årlige fangstbegrænsning på 2 100 ton, forlænges forbudsperioden med 19 dage,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for notfartøjer, der har overskredet den årlige fangstbegrænsning på 2 400 ton, forlænges forbudsperioden med 22 dage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1aa De ekstra forbudsdage i henhold til stk. 1a lægges i givet fald til begyndelsen af forbudsperioden for fartøjer, der er omfattet af den første forbudsperiode, og til slutningen af forbudsperioden for fartøjer, der er omfattet af den anden forbudsperiode, således at den første forbudsperiode altid slutter den 8. oktober, og den anden forbudsperiode altid begynder den 9. november hvert 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Begrundelse</w:t>
      </w:r>
      <w:r>
        <w:rPr>
          <w:rStyle w:val="HideTWBExt"/>
        </w:rPr>
        <w:t>&lt;/TitreJust&gt;</w:t>
      </w:r>
    </w:p>
    <w:p>
      <w:pPr>
        <w:pStyle w:val="AmJustText"/>
      </w:pPr>
      <w:r>
        <w:t>Følgende ændringsforslag erstatter ændringsforslag 140.</w:t>
      </w:r>
    </w:p>
    <w:p>
      <w:r>
        <w:rPr>
          <w:rStyle w:val="HideTWBExt"/>
        </w:rPr>
        <w:t>&lt;/Amend&gt;</w:t>
      </w:r>
    </w:p>
    <w:p>
      <w:pPr>
        <w:pStyle w:val="AmNumberTabs"/>
      </w:pPr>
      <w:r>
        <w:rPr>
          <w:rStyle w:val="HideTWBExt"/>
        </w:rPr>
        <w:t>&lt;Amend&gt;</w:t>
      </w:r>
      <w:r>
        <w:t>Ændringsforslag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4 – stk. 1 – nr. 1</w:t>
      </w:r>
      <w:r>
        <w:rPr>
          <w:rStyle w:val="HideTWBExt"/>
        </w:rPr>
        <w:t>&lt;/Article&gt;</w:t>
      </w:r>
    </w:p>
    <w:p>
      <w:r>
        <w:rPr>
          <w:rStyle w:val="HideTWBExt"/>
        </w:rPr>
        <w:t>&lt;DocAmend2&gt;</w:t>
      </w:r>
      <w:r>
        <w:t>Forordning (EU) 2021/56</w:t>
      </w:r>
      <w:r>
        <w:rPr>
          <w:rStyle w:val="HideTWBExt"/>
        </w:rPr>
        <w:t>&lt;/DocAmend2&gt;</w:t>
      </w:r>
    </w:p>
    <w:p>
      <w:r>
        <w:rPr>
          <w:rStyle w:val="HideTWBExt"/>
        </w:rPr>
        <w:t>&lt;Article2&gt;</w:t>
      </w:r>
      <w:r>
        <w:t>Artikel 4 – stk.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Notfartøjer, der overskrider deres årlige fangstbegrænsning, er omfattet af en forlænget forbudsperiode </w:t>
            </w:r>
            <w:r>
              <w:rPr>
                <w:b/>
                <w:i/>
              </w:rPr>
              <w:t>i det følgende år</w:t>
            </w:r>
            <w:r>
              <w:t xml:space="preserve">. Den forbudsperiode, der er omhandlet i denne artikels stk. 1, forlænges med yderligere 10 dage for notfartøjer, der har overskredet den årlige fangstbegrænsning på </w:t>
            </w:r>
            <w:r>
              <w:rPr>
                <w:b/>
                <w:i/>
              </w:rPr>
              <w:t>1 200</w:t>
            </w:r>
            <w:r>
              <w:t xml:space="preserve"> ton storøjet tun i det foregående år. For notfartøjer, der har overskredet den årlige fangstbegrænsning på </w:t>
            </w:r>
            <w:r>
              <w:rPr>
                <w:b/>
                <w:i/>
              </w:rPr>
              <w:t>1 500</w:t>
            </w:r>
            <w:r>
              <w:t xml:space="preserve"> ton storøjet tun, forlænges forbudsperioden med 13 dage. For notfartøjer, der har overskredet den årlige fangstbegrænsning på </w:t>
            </w:r>
            <w:r>
              <w:rPr>
                <w:b/>
                <w:i/>
              </w:rPr>
              <w:t>1 800</w:t>
            </w:r>
            <w:r>
              <w:t xml:space="preserve"> ton storøjet tun, forlænges forbudsperioden med 16 dage. For notfartøjer, der har overskredet den årlige fangstbegrænsning på </w:t>
            </w:r>
            <w:r>
              <w:rPr>
                <w:b/>
                <w:i/>
              </w:rPr>
              <w:t>2 100</w:t>
            </w:r>
            <w:r>
              <w:t xml:space="preserve"> ton, forlænges forbudsperioden med 19 dage, og for notfartøjer, der har overskredet den årlige fangstbegrænsning på </w:t>
            </w:r>
            <w:r>
              <w:rPr>
                <w:b/>
                <w:i/>
              </w:rPr>
              <w:t>2 400</w:t>
            </w:r>
            <w:r>
              <w:t xml:space="preserve"> ton, forlænges forbudsperioden med 22 dage ud over det forbud, der er omhandlet i stk. 1. De ekstra forbudsdage i henhold til dette stykke lægges i givet fald til begyndelsen af forbudsperioden for fartøjer, der er omfattet af den første forbudsperiode, og til slutningen af forbudsperioden for fartøjer, der er omfattet af den anden forbudsperiode, således at den første forbudsperiode altid slutter den 8. oktober, og den anden forbudsperiode altid begynder den 9. november hvert år.</w:t>
            </w:r>
          </w:p>
        </w:tc>
        <w:tc>
          <w:tcPr>
            <w:tcW w:w="4876" w:type="dxa"/>
            <w:tcBorders>
              <w:top w:val="nil"/>
              <w:left w:val="nil"/>
              <w:bottom w:val="nil"/>
              <w:right w:val="nil"/>
            </w:tcBorders>
          </w:tcPr>
          <w:p>
            <w:pPr>
              <w:pStyle w:val="Normal6a"/>
            </w:pPr>
            <w:r>
              <w:t>1a.</w:t>
            </w:r>
            <w:r>
              <w:tab/>
            </w:r>
            <w:r>
              <w:t>Notfartøjer, der overskrider deres årlige fangstbegrænsning, er omfattet af en forlænget forbudsperiode</w:t>
            </w:r>
            <w:r>
              <w:rPr>
                <w:b/>
                <w:i/>
              </w:rPr>
              <w:t>, der gælder fra 2026 til 2028</w:t>
            </w:r>
            <w:r>
              <w:t xml:space="preserve">. Den forbudsperiode, der er omhandlet i denne artikels stk. 1, forlænges med yderligere 10 dage for notfartøjer, der har overskredet den årlige fangstbegrænsning på </w:t>
            </w:r>
            <w:r>
              <w:rPr>
                <w:b/>
                <w:i/>
              </w:rPr>
              <w:t>1 200</w:t>
            </w:r>
            <w:r>
              <w:t xml:space="preserve"> ton storøjet tun i det foregående år. For notfartøjer, der har overskredet den årlige fangstbegrænsning på </w:t>
            </w:r>
            <w:r>
              <w:rPr>
                <w:b/>
                <w:i/>
              </w:rPr>
              <w:t>1 500</w:t>
            </w:r>
            <w:r>
              <w:t xml:space="preserve"> ton storøjet tun, forlænges forbudsperioden med 13 dage. For notfartøjer, der har overskredet den årlige fangstbegrænsning på </w:t>
            </w:r>
            <w:r>
              <w:rPr>
                <w:b/>
                <w:i/>
              </w:rPr>
              <w:t>1 800</w:t>
            </w:r>
            <w:r>
              <w:t xml:space="preserve"> ton storøjet tun, forlænges forbudsperioden med 16 dage. For notfartøjer, der har overskredet den årlige fangstbegrænsning på </w:t>
            </w:r>
            <w:r>
              <w:rPr>
                <w:b/>
                <w:i/>
              </w:rPr>
              <w:t>2 100</w:t>
            </w:r>
            <w:r>
              <w:t xml:space="preserve"> ton, forlænges forbudsperioden med 19 dage, og for notfartøjer, der har overskredet den årlige fangstbegrænsning på </w:t>
            </w:r>
            <w:r>
              <w:rPr>
                <w:b/>
                <w:i/>
              </w:rPr>
              <w:t>2 400</w:t>
            </w:r>
            <w:r>
              <w:t xml:space="preserve"> ton, forlænges forbudsperioden med 22 dage ud over det forbud, der er omhandlet i stk. 1. De ekstra forbudsdage i henhold til dette stykke lægges i givet fald til begyndelsen af forbudsperioden for fartøjer, der er omfattet af den første forbudsperiode, og til slutningen af forbudsperioden for fartøjer, der er omfattet af den anden forbudsperiode, således at den første forbudsperiode altid slutter den 8. oktober, og den anden forbudsperiode altid begynder den 9. november hvert 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4 – stk. 1 – nr. 6</w:t>
      </w:r>
      <w:r>
        <w:rPr>
          <w:rStyle w:val="HideTWBExt"/>
        </w:rPr>
        <w:t>&lt;/Article&gt;</w:t>
      </w:r>
    </w:p>
    <w:p>
      <w:r>
        <w:rPr>
          <w:rStyle w:val="HideTWBExt"/>
        </w:rPr>
        <w:t>&lt;DocAmend2&gt;</w:t>
      </w:r>
      <w:r>
        <w:t>Forordning (EU) 2021/56</w:t>
      </w:r>
      <w:r>
        <w:rPr>
          <w:rStyle w:val="HideTWBExt"/>
        </w:rPr>
        <w:t>&lt;/DocAmend2&gt;</w:t>
      </w:r>
    </w:p>
    <w:p>
      <w:r>
        <w:rPr>
          <w:rStyle w:val="HideTWBExt"/>
        </w:rPr>
        <w:t>&lt;Article2&gt;</w:t>
      </w:r>
      <w:r>
        <w:t>Artikel 10 – nr.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EU-fiskerfartøjer må ikke fiske i områder, </w:t>
            </w:r>
            <w:r>
              <w:rPr>
                <w:b/>
                <w:i/>
              </w:rPr>
              <w:t>som</w:t>
            </w:r>
            <w:r>
              <w:t xml:space="preserve"> IATTC </w:t>
            </w:r>
            <w:r>
              <w:rPr>
                <w:b/>
                <w:i/>
              </w:rPr>
              <w:t>har</w:t>
            </w:r>
            <w:r>
              <w:t xml:space="preserve"> udpeget som gydeområder for silkehajen.</w:t>
            </w:r>
          </w:p>
        </w:tc>
        <w:tc>
          <w:tcPr>
            <w:tcW w:w="4876" w:type="dxa"/>
            <w:tcBorders>
              <w:top w:val="nil"/>
              <w:left w:val="nil"/>
              <w:bottom w:val="nil"/>
              <w:right w:val="nil"/>
            </w:tcBorders>
          </w:tcPr>
          <w:p>
            <w:pPr>
              <w:pStyle w:val="Normal6a"/>
            </w:pPr>
            <w:r>
              <w:t>9.</w:t>
            </w:r>
            <w:r>
              <w:tab/>
            </w:r>
            <w:r>
              <w:t xml:space="preserve">EU-fiskerfartøjer må ikke fiske i områder, </w:t>
            </w:r>
            <w:r>
              <w:rPr>
                <w:b/>
                <w:i/>
              </w:rPr>
              <w:t>der af</w:t>
            </w:r>
            <w:r>
              <w:t xml:space="preserve"> IATTC </w:t>
            </w:r>
            <w:r>
              <w:rPr>
                <w:b/>
                <w:i/>
              </w:rPr>
              <w:t>er</w:t>
            </w:r>
            <w:r>
              <w:t xml:space="preserve"> udpeget som gydeområder for silkehajen. </w:t>
            </w:r>
            <w:r>
              <w:rPr>
                <w:b/>
                <w:i/>
              </w:rPr>
              <w:t>Medlemsstaterne stiller oplysningerne om disse områder til rådighed for EU-fiskerfartøjernes operatører.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3</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5a – stk.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Medlemsstaterne kan beslutte at forbyde fartøjer, der fører deres flag, at fiske efter storøjet tun, gulfinnet tun og bugstribet bonit i IOTC-kompetenceområdet i en periode på mindst </w:t>
            </w:r>
            <w:r>
              <w:rPr>
                <w:b/>
                <w:i/>
              </w:rPr>
              <w:t>31</w:t>
            </w:r>
            <w:r>
              <w:t xml:space="preserve"> på hinanden følgende dage. Fartøjer med en længde overalt på under 12 m, der fisker i en medlemsstats EEZ, </w:t>
            </w:r>
            <w:r>
              <w:rPr>
                <w:b/>
                <w:i/>
              </w:rPr>
              <w:t>kan udelukkes</w:t>
            </w:r>
            <w:r>
              <w:t>.</w:t>
            </w:r>
          </w:p>
        </w:tc>
        <w:tc>
          <w:tcPr>
            <w:tcW w:w="4876" w:type="dxa"/>
            <w:tcBorders>
              <w:top w:val="nil"/>
              <w:left w:val="nil"/>
              <w:bottom w:val="nil"/>
              <w:right w:val="nil"/>
            </w:tcBorders>
          </w:tcPr>
          <w:p>
            <w:pPr>
              <w:pStyle w:val="Normal6a"/>
            </w:pPr>
            <w:r>
              <w:t>1.</w:t>
            </w:r>
            <w:r>
              <w:tab/>
            </w:r>
            <w:r>
              <w:t xml:space="preserve">Medlemsstaterne kan beslutte at forbyde fartøjer, der fører deres flag, at fiske efter storøjet tun, gulfinnet tun og bugstribet bonit i IOTC-kompetenceområdet i en periode på mindst </w:t>
            </w:r>
            <w:r>
              <w:rPr>
                <w:b/>
                <w:i/>
              </w:rPr>
              <w:t>20</w:t>
            </w:r>
            <w:r>
              <w:t xml:space="preserve"> på hinanden følgende dage. Fartøjer med en længde overalt på under 12 m, der fisker i en medlemsstats EEZ, </w:t>
            </w:r>
            <w:r>
              <w:rPr>
                <w:b/>
                <w:i/>
              </w:rPr>
              <w:t>er principielt undtaget fra dette forbud, medmindre medlemsstaten træffer anden afgørelse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4</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8 a – stk. 8 a (nyt)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Medlemsstaterne kan undtage fartøjer med en længde overalt på under 12 meter og fartøjer, der udelukkende udøver kystfiskeri af mindre omfang, fra forpligtelserne vedrørende anvendelse, overvågning og rapportering af DFAD'er, hvis disse fartøjer ikke anvender sådanne anordninger i deres regelmæssige aktiviteter.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5</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8b – stk. 2 – litra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fra den 1. januar 2026 ikke længere udsætte DFAD'er i kategori V og må kun anvende DFAD'er i bionedbrydelighedskategori I, II III og IV som defineret i bilag III</w:t>
            </w:r>
          </w:p>
        </w:tc>
        <w:tc>
          <w:tcPr>
            <w:tcW w:w="4876" w:type="dxa"/>
            <w:tcBorders>
              <w:top w:val="nil"/>
              <w:left w:val="nil"/>
              <w:bottom w:val="nil"/>
              <w:right w:val="nil"/>
            </w:tcBorders>
          </w:tcPr>
          <w:p>
            <w:pPr>
              <w:pStyle w:val="Normal6a"/>
            </w:pPr>
            <w:r>
              <w:t>(a)</w:t>
            </w:r>
            <w:r>
              <w:tab/>
            </w:r>
            <w:r>
              <w:t>fra den 1. januar 2026 ikke længere udsætte DFAD'er i kategori V og må kun anvende DFAD'er i bionedbrydelighedskategori I, II III og IV som defineret i bilag III</w:t>
            </w:r>
            <w:r>
              <w:rPr>
                <w:b/>
                <w:i/>
              </w:rPr>
              <w:t>.</w:t>
            </w:r>
            <w:r>
              <w:t xml:space="preserve"> </w:t>
            </w:r>
            <w:r>
              <w:rPr>
                <w:b/>
                <w:i/>
              </w:rPr>
              <w:t>Dette forbud gælder ikke for traditionelt eller ikkeindustrielt fiskeri, der ikke anvendes til industriel aggregering og ikke bidrager til nedfiskning af bestande.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5</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8b – stk.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Fra</w:t>
            </w:r>
            <w:r>
              <w:t xml:space="preserve"> den 1. januar 2026 skal DFAD'er være permanent mærket med en specifik entydig IOTC-DFAD-identifikator, der oplyses af IOTC's sekretariat. Mærkningen skal være adskilt fra mærkningen af den instrumenterede bøje.</w:t>
            </w:r>
          </w:p>
        </w:tc>
        <w:tc>
          <w:tcPr>
            <w:tcW w:w="4876" w:type="dxa"/>
            <w:tcBorders>
              <w:top w:val="nil"/>
              <w:left w:val="nil"/>
              <w:bottom w:val="nil"/>
              <w:right w:val="nil"/>
            </w:tcBorders>
          </w:tcPr>
          <w:p>
            <w:pPr>
              <w:pStyle w:val="Normal6a"/>
            </w:pPr>
            <w:r>
              <w:t>4.</w:t>
            </w:r>
            <w:r>
              <w:tab/>
            </w:r>
            <w:r>
              <w:rPr>
                <w:b/>
                <w:i/>
              </w:rPr>
              <w:t>Når IOTC's DFAD-identificeringsproces er etableret og ikke før</w:t>
            </w:r>
            <w:r>
              <w:t xml:space="preserve"> den 1. januar 2026</w:t>
            </w:r>
            <w:r>
              <w:rPr>
                <w:b/>
                <w:i/>
              </w:rPr>
              <w:t>,</w:t>
            </w:r>
            <w:r>
              <w:t xml:space="preserve"> skal DFAD'er være permanent mærket med en specifik entydig IOTC-DFAD-identifikator, der oplyses af IOTC's sekretariat. Mærkningen skal være adskilt fra mærkningen af den instrumenterede bøje.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6</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8c – stk.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EU-fiskerfartøjer sender ved udgangen af hvert kalenderår deres flagmedlemsstat oplysninger om det antal instrumenterede bøjer, de har fået tilladelse til at sætte ud, herunder instrumenterede bøjer, der er tabt, efterladt og/eller kasseret, idet oplysningerne angives for hver 1°x1°-gradkvadrat, for hver måned og for hver type DFAD. Oplysningerne </w:t>
            </w:r>
            <w:r>
              <w:rPr>
                <w:b/>
                <w:i/>
              </w:rPr>
              <w:t>stratificeres</w:t>
            </w:r>
            <w:r>
              <w:t xml:space="preserve"> efter flåde, år, måned og 1x1-gradkvadrater og udtrykkes som det gennemsnitlige daglige antal instrumenterede bøjer i drift i hvert stratum. Medlemsstaterne sender disse oplysninger til Kommissionen i overensstemmelse med artikel 51, stk. 2.</w:t>
            </w:r>
          </w:p>
        </w:tc>
        <w:tc>
          <w:tcPr>
            <w:tcW w:w="4876" w:type="dxa"/>
            <w:tcBorders>
              <w:top w:val="nil"/>
              <w:left w:val="nil"/>
              <w:bottom w:val="nil"/>
              <w:right w:val="nil"/>
            </w:tcBorders>
          </w:tcPr>
          <w:p>
            <w:pPr>
              <w:pStyle w:val="Normal6a"/>
            </w:pPr>
            <w:r>
              <w:t>2.</w:t>
            </w:r>
            <w:r>
              <w:tab/>
            </w:r>
            <w:r>
              <w:t xml:space="preserve">EU-fiskerfartøjer sender ved udgangen af hvert kalenderår deres flagmedlemsstat oplysninger om det antal instrumenterede bøjer, de har fået tilladelse til at sætte ud, herunder instrumenterede bøjer, der er tabt, efterladt og/eller kasseret, idet oplysningerne angives for hver 1°x1°-gradkvadrat, for hver måned og for hver type DFAD. </w:t>
            </w:r>
            <w:r>
              <w:rPr>
                <w:b/>
                <w:i/>
              </w:rPr>
              <w:t>Medlemsstaterne skal stratificere</w:t>
            </w:r>
            <w:r>
              <w:t xml:space="preserve"> oplysningerne efter flåde, år, måned og 1x1-gradkvadrater og udtrykkes som det gennemsnitlige daglige antal instrumenterede bøjer i drift i hvert stratum. Medlemsstaterne sender disse oplysninger til Kommissionen i overensstemmelse med artikel 51, stk.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6</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8c – stk.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Bøjernes ejere</w:t>
            </w:r>
            <w:r>
              <w:t xml:space="preserve"> skal inkludere bøjer, der er udsat inden DFAD-registrets ikrafttræden, og som stadig er i drift pr. 1. januar 2026, når DFAD-registret træder i kraft.</w:t>
            </w:r>
          </w:p>
        </w:tc>
        <w:tc>
          <w:tcPr>
            <w:tcW w:w="4876" w:type="dxa"/>
            <w:tcBorders>
              <w:top w:val="nil"/>
              <w:left w:val="nil"/>
              <w:bottom w:val="nil"/>
              <w:right w:val="nil"/>
            </w:tcBorders>
          </w:tcPr>
          <w:p>
            <w:pPr>
              <w:pStyle w:val="Normal6a"/>
            </w:pPr>
            <w:r>
              <w:t>5.</w:t>
            </w:r>
            <w:r>
              <w:tab/>
            </w:r>
            <w:r>
              <w:rPr>
                <w:b/>
                <w:i/>
              </w:rPr>
              <w:t>Medlemsstaterne</w:t>
            </w:r>
            <w:r>
              <w:t xml:space="preserve"> skal inkludere bøjer, der er udsat inden DFAD-registrets ikrafttræden, og som stadig er i drift pr. 1. januar 2026, når DFAD-registret træder i 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for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6 – stk. 1 – nr. 12</w:t>
      </w:r>
      <w:r>
        <w:rPr>
          <w:rStyle w:val="HideTWBExt"/>
        </w:rPr>
        <w:t>&lt;/Article&gt;</w:t>
      </w:r>
    </w:p>
    <w:p>
      <w:r>
        <w:rPr>
          <w:rStyle w:val="HideTWBExt"/>
        </w:rPr>
        <w:t>&lt;DocAmend2&gt;</w:t>
      </w:r>
      <w:r>
        <w:t>Forordning (EU) 2022/2343</w:t>
      </w:r>
      <w:r>
        <w:rPr>
          <w:rStyle w:val="HideTWBExt"/>
        </w:rPr>
        <w:t>&lt;/DocAmend2&gt;</w:t>
      </w:r>
    </w:p>
    <w:p>
      <w:r>
        <w:rPr>
          <w:rStyle w:val="HideTWBExt"/>
        </w:rPr>
        <w:t>&lt;Article2&gt;</w:t>
      </w:r>
      <w:r>
        <w:t>Artikel 30 – stk. 6 – litra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sikre, at der udarbejdes en fartøjsovervågningsplan som fastsat i bilag 11 </w:t>
            </w:r>
            <w:r>
              <w:rPr>
                <w:b/>
                <w:i/>
              </w:rPr>
              <w:t>for hvert fartøj, der har EM-udstyr om bord</w:t>
            </w:r>
            <w:r>
              <w:t>, og at den fremsendes til medlemsstatens kompetente myndigheder</w:t>
            </w:r>
          </w:p>
        </w:tc>
        <w:tc>
          <w:tcPr>
            <w:tcW w:w="4876" w:type="dxa"/>
            <w:tcBorders>
              <w:top w:val="nil"/>
              <w:left w:val="nil"/>
              <w:bottom w:val="nil"/>
              <w:right w:val="nil"/>
            </w:tcBorders>
          </w:tcPr>
          <w:p>
            <w:pPr>
              <w:pStyle w:val="Normal6a"/>
            </w:pPr>
            <w:r>
              <w:t>(a)</w:t>
            </w:r>
            <w:r>
              <w:tab/>
            </w:r>
            <w:r>
              <w:t>sikre, at der udarbejdes en fartøjsovervågningsplan som fastsat i bilag 11, og at den fremsendes til medlemsstatens kompetente myndigheder</w:t>
            </w:r>
            <w:r>
              <w:rPr>
                <w:b/>
                <w:i/>
              </w:rPr>
              <w:t>, som fortsat har fuld skønsbeføjelse til at afgøre, om EMS-installationen er hensigtsmæssig i lyset af de nationale flådekarakteristika og driftsforhold.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7 – stk. 2 – litra a</w:t>
      </w:r>
      <w:r>
        <w:rPr>
          <w:rStyle w:val="HideTWBExt"/>
        </w:rPr>
        <w:t>&lt;/Article&gt;</w:t>
      </w:r>
    </w:p>
    <w:p>
      <w:r>
        <w:rPr>
          <w:rStyle w:val="HideTWBExt"/>
        </w:rPr>
        <w:t>&lt;DocAmend2&gt;</w:t>
      </w:r>
      <w:r>
        <w:t>Forordning (EU) 2023/2053</w:t>
      </w:r>
      <w:r>
        <w:rPr>
          <w:rStyle w:val="HideTWBExt"/>
        </w:rPr>
        <w:t>&lt;/DocAmend2&gt;</w:t>
      </w:r>
    </w:p>
    <w:p>
      <w:r>
        <w:rPr>
          <w:rStyle w:val="HideTWBExt"/>
        </w:rPr>
        <w:t>&lt;Article2&gt;</w:t>
      </w:r>
      <w:r>
        <w:t>Artikel 34 – stk.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Uanset stk. 1 kan de medlemsstater, hvori der landes almindelig tun, fastsætte en kortere frist for den forhåndsmeddelelse</w:t>
            </w:r>
            <w:r>
              <w:rPr>
                <w:b/>
                <w:i/>
              </w:rPr>
              <w:t>, der er omhandlet i stk. 1, for de EU-fiskerfartøjer med en længde overalt på 12 meter eller derover, der er opført på den i artikel 26 omhandlede fartøjsliste, og som fanger færre end 3 individer af almindelig tun eller mindre end ét ton</w:t>
            </w:r>
            <w:r>
              <w:t>, idet de tager hensyn til typen af fiskevarer og afstanden mellem fiskepladserne og havnen eller landingsstedet, og forudsat at en sådan kortere frist for forhåndsmeddelelse ikke forringer den pågældende medlemsstats mulighed for at foretage inspektioner.</w:t>
            </w:r>
          </w:p>
        </w:tc>
        <w:tc>
          <w:tcPr>
            <w:tcW w:w="4876" w:type="dxa"/>
            <w:tcBorders>
              <w:top w:val="nil"/>
              <w:left w:val="nil"/>
              <w:bottom w:val="nil"/>
              <w:right w:val="nil"/>
            </w:tcBorders>
          </w:tcPr>
          <w:p>
            <w:pPr>
              <w:pStyle w:val="Normal6a"/>
            </w:pPr>
            <w:r>
              <w:t>3.</w:t>
            </w:r>
            <w:r>
              <w:tab/>
            </w:r>
            <w:r>
              <w:t xml:space="preserve">Uanset stk. 1 kan de medlemsstater, hvori der landes almindelig tun, fastsætte en kortere frist for den forhåndsmeddelelse, idet de tager hensyn til typen af fiskevarer og afstanden mellem fiskepladserne og havnen eller landingsstedet, og forudsat at en sådan kortere frist for forhåndsmeddelelse ikke forringer den pågældende medlemsstats mulighed for at foretage inspektioner. </w:t>
            </w:r>
            <w:r>
              <w:rPr>
                <w:b/>
                <w:i/>
              </w:rPr>
              <w:t>Medlemsstaterne må kun anvende denne undtagelse på de fartøjer, der er omhandlet i artikel 26, og som fanger mindre end 3 individer af almindelig tun eller mindre end et ton.</w:t>
            </w:r>
            <w:r>
              <w:t xml:space="preserve"> </w:t>
            </w:r>
            <w:r>
              <w:rPr>
                <w:b/>
                <w:i/>
              </w:rPr>
              <w:t>Hvis fangsterne tages mellem tidspunktet for forhåndsmeddelelsen og ankomst i havn, kan de anslåede mængder almindelig tun, der opbevares om bord, ændres når som helst inden ankomsten.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Artikel 7 – stk. 9</w:t>
      </w:r>
      <w:r>
        <w:rPr>
          <w:rStyle w:val="HideTWBExt"/>
        </w:rPr>
        <w:t>&lt;/Article&gt;</w:t>
      </w:r>
    </w:p>
    <w:p>
      <w:r>
        <w:rPr>
          <w:rStyle w:val="HideTWBExt"/>
        </w:rPr>
        <w:t>&lt;DocAmend2&gt;</w:t>
      </w:r>
      <w:r>
        <w:t>Forordning (EU) 2023/2053</w:t>
      </w:r>
      <w:r>
        <w:rPr>
          <w:rStyle w:val="HideTWBExt"/>
        </w:rPr>
        <w:t>&lt;/DocAmend2&gt;</w:t>
      </w:r>
    </w:p>
    <w:p>
      <w:r>
        <w:rPr>
          <w:rStyle w:val="HideTWBExt"/>
        </w:rPr>
        <w:t>&lt;Article2&gt;</w:t>
      </w:r>
      <w:r>
        <w:t>Artikel 65b – stk.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Akvakulturbrugmedlemsstatens kompetente myndighed kan tillade en fejlmargen på op til 5 % mellem det antal individer af almindelig tun, der fremkommer ved </w:t>
            </w:r>
            <w:r>
              <w:rPr>
                <w:b/>
                <w:i/>
              </w:rPr>
              <w:t>overførselsvurderingen</w:t>
            </w:r>
            <w:r>
              <w:t>, og det forventede antal individer i buret. Hvis differencen er større end fejlmargenen på 5 %, giver akvakulturbrugmedlemsstatens kompetente myndighed ordre om genudsætning af det dertil svarende antal individer af almindelig tun. Genudsætningen gennemføres i overensstemmelse med bilag XII. Der ydes ikke kompensation for forskelle mellem forskellige bure på akvakulturbruget.</w:t>
            </w:r>
          </w:p>
        </w:tc>
        <w:tc>
          <w:tcPr>
            <w:tcW w:w="4876" w:type="dxa"/>
            <w:tcBorders>
              <w:top w:val="nil"/>
              <w:left w:val="nil"/>
              <w:bottom w:val="nil"/>
              <w:right w:val="nil"/>
            </w:tcBorders>
          </w:tcPr>
          <w:p>
            <w:pPr>
              <w:pStyle w:val="Normal6a"/>
            </w:pPr>
            <w:r>
              <w:t>1a.</w:t>
            </w:r>
            <w:r>
              <w:tab/>
            </w:r>
            <w:r>
              <w:t xml:space="preserve">Akvakulturbrugmedlemsstatens kompetente myndighed kan tillade en fejlmargen på op til 5 % mellem det antal individer af almindelig tun, der fremkommer ved </w:t>
            </w:r>
            <w:r>
              <w:rPr>
                <w:b/>
                <w:i/>
              </w:rPr>
              <w:t>interne overførsler på akvakulturbrug</w:t>
            </w:r>
            <w:r>
              <w:t>, og det forventede antal individer i buret. Hvis differencen er større end fejlmargenen på 5 %, giver akvakulturbrugmedlemsstatens kompetente myndighed ordre om genudsætning af det dertil svarende antal individer af almindelig tun. Genudsætningen gennemføres i overensstemmelse med bilag XII. Der ydes ikke kompensation for forskelle mellem forskellige bure på akvakulturbruget.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781.389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AM\1333976DA.docx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AM\1333976DA.docx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AM\1333976DA.docx</w:t>
    </w:r>
    <w:r>
      <w:rPr>
        <w:rStyle w:val="HideTWBExt"/>
      </w:rPr>
      <w:t>&lt;/PathFdR&gt;</w:t>
    </w:r>
    <w:r>
      <w:tab/>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7423</Words>
  <Characters>47436</Characters>
  <Application>Microsoft Office Word</Application>
  <DocSecurity>0</DocSecurity>
  <Lines>1</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327322</vt:lpwstr>
  </property>
  <property fmtid="{D5CDD505-2E9C-101B-9397-08002B2CF9AE}" pid="7" name="dmxml.render.traceId">
    <vt:lpwstr>695b9503314f3d070acdaa54a810febe</vt:lpwstr>
  </property>
  <property fmtid="{D5CDD505-2E9C-101B-9397-08002B2CF9AE}" pid="8" name="FooterPath">
    <vt:lpwstr>AM\1333976DA.docx</vt:lpwstr>
  </property>
  <property fmtid="{D5CDD505-2E9C-101B-9397-08002B2CF9AE}" pid="9" name="PE Number">
    <vt:lpwstr>781.389</vt:lpwstr>
  </property>
  <property fmtid="{D5CDD505-2E9C-101B-9397-08002B2CF9AE}" pid="10" name="UID">
    <vt:lpwstr>eu.europa.europarl-DIN1-2025-0000246372_02.00-da-01.00_text-xml</vt:lpwstr>
  </property>
</Properties>
</file>