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Fiskeriutskottet</w:t>
      </w:r>
      <w:r>
        <w:rPr>
          <w:rStyle w:val="HideTWBExt"/>
        </w:rPr>
        <w:t>&lt;/Commission&gt;</w:t>
      </w:r>
    </w:p>
    <w:p>
      <w:pPr>
        <w:pStyle w:val="LineBottom"/>
      </w:pPr>
      <w:r>
        <w:t xml:space="preserve"> </w:t>
      </w:r>
    </w:p>
    <w:p>
      <w:pPr>
        <w:pStyle w:val="CoverReference"/>
      </w:pPr>
      <w:r>
        <w:rPr>
          <w:rStyle w:val="HideTWBExt"/>
        </w:rPr>
        <w:t>&lt;RefProc&gt;</w:t>
      </w:r>
      <w:r>
        <w:t>2025/0106</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{11/12/2025}</w:t>
      </w:r>
      <w:r>
        <w:t>11.12.2025</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272</w:t>
      </w:r>
      <w:r>
        <w:t xml:space="preserve"> - </w:t>
      </w:r>
      <w:r>
        <w:t>323</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Thomas Bajada</w:t>
      </w:r>
      <w:r>
        <w:rPr>
          <w:rStyle w:val="HideTWBExt"/>
        </w:rPr>
        <w:t>&lt;/Rapporteur&gt;</w:t>
      </w:r>
    </w:p>
    <w:p>
      <w:pPr>
        <w:pStyle w:val="CoverNormal24a"/>
      </w:pPr>
      <w:r>
        <w:rPr>
          <w:rStyle w:val="HideTWBExt"/>
        </w:rPr>
        <w:t>&lt;DocRefPE&gt;</w:t>
      </w:r>
      <w:r>
        <w:t>(PE779.561v01-00)</w:t>
      </w:r>
      <w:r>
        <w:rPr>
          <w:rStyle w:val="HideTWBExt"/>
        </w:rPr>
        <w:t>&lt;/DocRefPE&gt;</w:t>
      </w:r>
    </w:p>
    <w:p>
      <w:pPr>
        <w:pStyle w:val="CoverNormal24a"/>
      </w:pPr>
      <w:r>
        <w:rPr>
          <w:rStyle w:val="HideTWBExt"/>
        </w:rPr>
        <w:t>&lt;Titre&gt;</w:t>
      </w:r>
      <w:r>
        <w:t>Införlivande i unionsrätten av åtgärder som antagits av flera regionala fiskeriförvaltningsorganisationer</w:t>
      </w:r>
      <w:r>
        <w:rPr>
          <w:rStyle w:val="HideTWBExt"/>
        </w:rPr>
        <w:t>&lt;/Titre&gt;</w:t>
      </w:r>
    </w:p>
    <w:p>
      <w:pPr>
        <w:pStyle w:val="CoverNormal"/>
      </w:pPr>
      <w:r>
        <w:rPr>
          <w:rStyle w:val="HideTWBExt"/>
        </w:rPr>
        <w:t>&lt;DocAmend&gt;</w:t>
      </w:r>
      <w:r>
        <w:t>Förslag till förordning</w:t>
      </w:r>
      <w:r>
        <w:rPr>
          <w:rStyle w:val="HideTWBExt"/>
        </w:rPr>
        <w:t>&lt;/DocAmend&gt;</w:t>
      </w:r>
    </w:p>
    <w:p>
      <w:pPr>
        <w:pStyle w:val="CoverNormal24a"/>
      </w:pPr>
      <w:r>
        <w:rPr>
          <w:rStyle w:val="HideTWBExt"/>
        </w:rPr>
        <w:t>&lt;DocRef&gt;</w:t>
      </w:r>
      <w:r>
        <w:t>(COM(2025)0195 – 2025/0106(COD))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Vid sitt 28:e ordinarie möte 2023 antog Iccat också kontrollåtgärder för bevarande av fiskeresurser inom ramen för Iccats behörighet, vilka avsåg kvotutbyten mellan gemensamma fiskeinsatser, förhandsanmälan av landningar, övervakning med videokamera av överföring avseende levande blåfenad tonfisk, placering i kasse och kontrollverksamhet vid odlingsanläggningarna efter placering i kasse.</w:t>
            </w:r>
          </w:p>
        </w:tc>
        <w:tc>
          <w:tcPr>
            <w:tcW w:w="4876" w:type="dxa"/>
            <w:tcBorders>
              <w:top w:val="nil"/>
              <w:left w:val="nil"/>
              <w:bottom w:val="nil"/>
              <w:right w:val="nil"/>
            </w:tcBorders>
          </w:tcPr>
          <w:p>
            <w:pPr>
              <w:pStyle w:val="Normal6a"/>
            </w:pPr>
            <w:r>
              <w:t>(4)</w:t>
            </w:r>
            <w:r>
              <w:tab/>
            </w:r>
            <w:r>
              <w:t xml:space="preserve">Vid sitt 28:e ordinarie möte 2023 antog Iccat också kontrollåtgärder för bevarande av fiskeresurser inom ramen för Iccats behörighet, vilka avsåg kvotutbyten mellan gemensamma fiskeinsatser, förhandsanmälan av landningar, övervakning med videokamera av överföring avseende levande blåfenad tonfisk, placering i kasse och kontrollverksamhet vid odlingsanläggningarna efter placering i kasse. </w:t>
            </w:r>
            <w:r>
              <w:rPr>
                <w:b/>
                <w:i/>
              </w:rPr>
              <w:t>Det är emellertid viktigt att tillämpningen av dessa åtgärder sker på ett proportionellt sätt och på grundval av uppdaterade vetenskapliga data för att undvika onödiga administrativa bördor för europeiska flottor, och i synnerhet för flottor som redan är föremål för mycket stränga restriktioner såsom de i västra Medelhavet.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t>Vid sitt 28:e ordinarie möte 2023 antog Iccat också kontrollåtgärder för bevarande av fiskeresurser inom ramen för Iccats behörighet, vilka avsåg kvotutbyten mellan gemensamma fiskeinsatser, förhandsanmälan av landningar, övervakning med videokamera av överföring avseende levande blåfenad tonfisk, placering i kasse och kontrollverksamhet vid odlingsanläggningarna efter placering i kasse.</w:t>
            </w:r>
          </w:p>
        </w:tc>
        <w:tc>
          <w:tcPr>
            <w:tcW w:w="4876" w:type="dxa"/>
            <w:tcBorders>
              <w:top w:val="nil"/>
              <w:left w:val="nil"/>
              <w:bottom w:val="nil"/>
              <w:right w:val="nil"/>
            </w:tcBorders>
          </w:tcPr>
          <w:p>
            <w:pPr>
              <w:pStyle w:val="Normal6a"/>
            </w:pPr>
            <w:r>
              <w:rPr>
                <w:b/>
                <w:i/>
              </w:rPr>
              <w:t>4.</w:t>
            </w:r>
            <w:r>
              <w:tab/>
            </w:r>
            <w:r>
              <w:t>Vid sitt 28:e ordinarie möte 2023</w:t>
            </w:r>
            <w:r>
              <w:rPr>
                <w:b/>
                <w:i/>
              </w:rPr>
              <w:t> och också vid sitt 24:e särskilda möte 2024,</w:t>
            </w:r>
            <w:r>
              <w:t xml:space="preserve"> antog Iccat också kontrollåtgärder för bevarande av fiskeresurser inom ramen för Iccats behörighet, vilka avsåg kvotutbyten mellan gemensamma fiskeinsatser, förhandsanmälan av landningar, övervakning med videokamera av överföring avseende levande blåfenad tonfisk, placering i kasse och kontrollverksamhet vid odlingsanläggningarna efter placering i kasse.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Dessa åtgärder är bindande för unionen.</w:t>
            </w:r>
            <w:r>
              <w:t xml:space="preserve"> </w:t>
            </w:r>
            <w:r>
              <w:rPr>
                <w:b/>
                <w:i/>
              </w:rPr>
              <w:t>De bör därför genomföras i unionsrätten.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Tillämpningen av dessa förvaltningsåtgärder i Medelhavsområdet måste vara förenlig med det strategiska målet om livsmedelssuveränitet för EU.</w:t>
            </w:r>
            <w:r>
              <w:t xml:space="preserve"> </w:t>
            </w:r>
            <w:r>
              <w:rPr>
                <w:b/>
                <w:i/>
              </w:rPr>
              <w:t>Mot bakgrund av att kommissionen föreslår drastiska minskningar av fiskeansträngningen för 2026 i västra Medelhavet (på upp till 64 % för trålning) är det absolut nödvändigt att komplexiteten inte ökar ytterligare på grund av införlivandet av internationella normer, eftersom det skulle påskynda avvecklingen av flottan och oåterkalleligt öka beroendet av import av fisk och skaldjur från grannländerna.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SPRFMO-kommissionen antog vid sina årsmöten 2018, 2019, 2020, 2021, 2022, 2023 och 2024 ytterligare åtgärder för bevarande av fiskeresurser inom ramen för SPRFMO:s behörighet, vilka avsåg bottenfiske, omlastning, nät/garn, observatörsprogram och data och kontrollsystem för fartyg samt nya åtgärder, i synnerhet ett protokoll för bordning och inspektion på det fria havet, inbegripet förfaranden för påstådda överträdelser, och åtgärder avseende havsföroreningar och märkning och identifiering av fiskefartyg.</w:t>
            </w:r>
          </w:p>
        </w:tc>
        <w:tc>
          <w:tcPr>
            <w:tcW w:w="4876" w:type="dxa"/>
            <w:tcBorders>
              <w:top w:val="nil"/>
              <w:left w:val="nil"/>
              <w:bottom w:val="nil"/>
              <w:right w:val="nil"/>
            </w:tcBorders>
          </w:tcPr>
          <w:p>
            <w:pPr>
              <w:pStyle w:val="Normal6a"/>
            </w:pPr>
            <w:r>
              <w:t>(7)</w:t>
            </w:r>
            <w:r>
              <w:tab/>
            </w:r>
            <w:r>
              <w:t xml:space="preserve">SPRFMO-kommissionen antog vid sina årsmöten 2018, 2019, 2020, 2021, 2022, 2023 och 2024 ytterligare åtgärder för bevarande av fiskeresurser inom ramen för SPRFMO:s behörighet, vilka avsåg bottenfiske, omlastning, nät/garn, observatörsprogram och data och kontrollsystem för fartyg samt nya åtgärder, i synnerhet ett protokoll för bordning och inspektion på det fria havet, inbegripet förfaranden för påstådda överträdelser, och åtgärder avseende havsföroreningar och märkning och identifiering av fiskefartyg. </w:t>
            </w:r>
            <w:r>
              <w:rPr>
                <w:b/>
                <w:i/>
              </w:rPr>
              <w:t>För att säkerställa att de nya kraven är tekniskt och ekonomiskt hållbara måste de samordnas på lämpligt sätt med medlemsstaterna, särskilt i regioner där följderna av nyligen fattade kontroversiella förvaltningsbeslut gör sig kännbara, såsom de föreslagna nedskärningarna av trålflottorna i Medelhavet, vilket hotar sektorns kontinuitet och ökar beroendet av import från tredjeländer.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Dessa åtgärder är bindande för unionen.</w:t>
            </w:r>
            <w:r>
              <w:t xml:space="preserve"> </w:t>
            </w:r>
            <w:r>
              <w:rPr>
                <w:b/>
                <w:i/>
              </w:rPr>
              <w:t>De bör därför genomföras i unionsrätten.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Nafo antog vid sina årsmöten 2023 och 2024 ytterligare åtgärder för bevarande av fiskeresurser inom ramen för Nafos behörighet, vilka avsåg torsk i sektionerna 2J3K och bland annat omfattade stängning, bifångster och behållande ombord, observatörer, övervakning och relevanta ytterligare förfaranden vid allvarliga överträdelser.</w:t>
            </w:r>
          </w:p>
        </w:tc>
        <w:tc>
          <w:tcPr>
            <w:tcW w:w="4876" w:type="dxa"/>
            <w:tcBorders>
              <w:top w:val="nil"/>
              <w:left w:val="nil"/>
              <w:bottom w:val="nil"/>
              <w:right w:val="nil"/>
            </w:tcBorders>
          </w:tcPr>
          <w:p>
            <w:pPr>
              <w:pStyle w:val="Normal6a"/>
            </w:pPr>
            <w:r>
              <w:t>(10)</w:t>
            </w:r>
            <w:r>
              <w:tab/>
            </w:r>
            <w:r>
              <w:t xml:space="preserve">Nafo antog vid sina årsmöten 2023 och 2024 ytterligare åtgärder för bevarande av fiskeresurser inom ramen för Nafos behörighet, vilka avsåg torsk i sektionerna 2J3K och bland annat omfattade stängning, bifångster och behållande ombord, observatörer, övervakning och relevanta ytterligare förfaranden vid allvarliga överträdelser. </w:t>
            </w:r>
            <w:r>
              <w:rPr>
                <w:b/>
                <w:i/>
              </w:rPr>
              <w:t>Dessutom bör det vid alla framtida begränsningar av bottenredskap i känsliga områden i Atlanten göras skillnad mellan tekniker vars påverkan skiljer sig stort.</w:t>
            </w:r>
            <w:r>
              <w:t xml:space="preserve"> </w:t>
            </w:r>
            <w:r>
              <w:rPr>
                <w:b/>
                <w:i/>
              </w:rPr>
              <w:t>I synnerhet bör bottenlångrevar, som är mycket selektiva och har begränsad inverkan på bentiska ekosystem, undantas från de förbud som är tillämpliga i de 87 berörda Atlantområdena.</w:t>
            </w:r>
            <w:r>
              <w:t xml:space="preserve"> </w:t>
            </w:r>
            <w:r>
              <w:rPr>
                <w:b/>
                <w:i/>
              </w:rPr>
              <w:t>Tillämpningen av allmänna begränsningar utan åtskillnad skulle äventyra bärkraften av hållbara flottsegment utan att medföra några verkliga miljöfördelar.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Dessa åtgärder är bindande för unionen.</w:t>
            </w:r>
            <w:r>
              <w:t xml:space="preserve"> </w:t>
            </w:r>
            <w:r>
              <w:rPr>
                <w:b/>
                <w:i/>
              </w:rPr>
              <w:t>De bör därför genomföras i unionsrätten.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Dessa åtgärder är bindande för unionen. De bör därför genomföras i unionsrätten.</w:t>
            </w:r>
          </w:p>
        </w:tc>
        <w:tc>
          <w:tcPr>
            <w:tcW w:w="4876" w:type="dxa"/>
            <w:tcBorders>
              <w:top w:val="nil"/>
              <w:left w:val="nil"/>
              <w:bottom w:val="nil"/>
              <w:right w:val="nil"/>
            </w:tcBorders>
          </w:tcPr>
          <w:p>
            <w:pPr>
              <w:pStyle w:val="Normal6a"/>
            </w:pPr>
            <w:r>
              <w:t>(11)</w:t>
            </w:r>
            <w:r>
              <w:tab/>
            </w:r>
            <w:r>
              <w:t xml:space="preserve">Dessa åtgärder är bindande för unionen. De bör därför genomföras i unionsrätten </w:t>
            </w:r>
            <w:r>
              <w:rPr>
                <w:b/>
                <w:i/>
              </w:rPr>
              <w:t>på ett sätt som säkerställer fiskeriföretagens ekonomiska bärkraft, och hänsyn bör tas till de socioekonomiska konsekvenserna för de kustregioner som är beroende av fisket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IATTC antog vid sina årsmöten 2020, 2021, 2022, 2023 och 2024 åtgärder för bevarande av fiskeresurser inom ramen för IATTC:s behörighet, vilka rörde aktivering av bojar från FAD-anordningar, minskad användning av snärjande och biologiskt nedbrytbara FAD-anordningar, rapportering av fångst av stillahavstonfisk, minimikrav för fartygsdata, ändringar av fartygsövervakningssystem, införande av elektroniska övervakningssystem, inbegripet insamling av fiskeridata, skydd av silkeshajar, säkert frisläppande av hajar, insamling av data om hajarter och uppdatering av rapporter om efterlevnad.</w:t>
            </w:r>
          </w:p>
        </w:tc>
        <w:tc>
          <w:tcPr>
            <w:tcW w:w="4876" w:type="dxa"/>
            <w:tcBorders>
              <w:top w:val="nil"/>
              <w:left w:val="nil"/>
              <w:bottom w:val="nil"/>
              <w:right w:val="nil"/>
            </w:tcBorders>
          </w:tcPr>
          <w:p>
            <w:pPr>
              <w:pStyle w:val="Normal6a"/>
            </w:pPr>
            <w:r>
              <w:t>(13)</w:t>
            </w:r>
            <w:r>
              <w:tab/>
            </w:r>
            <w:r>
              <w:t xml:space="preserve">IATTC antog vid sina årsmöten 2020, 2021, 2022, 2023 och 2024 åtgärder för bevarande av fiskeresurser inom ramen för IATTC:s behörighet, vilka rörde aktivering av bojar från FAD-anordningar, minskad användning av snärjande och biologiskt nedbrytbara FAD-anordningar, rapportering av fångst av stillahavstonfisk, minimikrav för fartygsdata, ändringar av fartygsövervakningssystem, införande av elektroniska övervakningssystem, inbegripet insamling av fiskeridata, skydd av silkeshajar, säkert frisläppande av hajar, insamling av data om hajarter och uppdatering av rapporter om efterlevnad. </w:t>
            </w:r>
            <w:r>
              <w:rPr>
                <w:b/>
                <w:i/>
              </w:rPr>
              <w:t>Det måste säkerställas att datainsamlings- och övervakningssystemen är tillförlitliga.</w:t>
            </w:r>
            <w:r>
              <w:t xml:space="preserve"> </w:t>
            </w:r>
            <w:r>
              <w:rPr>
                <w:b/>
                <w:i/>
              </w:rPr>
              <w:t>Den senaste tidens fall av bristande transparens eller vissa medlemsstaters försenade inlämning av uppgifter är oroväckande och äventyrar det europeiska kontrollsystemets trovärdighet.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Dessa åtgärder är bindande för unionen.</w:t>
            </w:r>
            <w:r>
              <w:t xml:space="preserve"> </w:t>
            </w:r>
            <w:r>
              <w:rPr>
                <w:b/>
                <w:i/>
              </w:rPr>
              <w:t>De bör därför genomföras i unionsrätten.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t>WCPFC antog vid sina årsmöten 2022 och 2023 åtgärder avseende bunkringstjänster och skydd av hajar, användning av tafsar, stålledare och hajlinor på långrevsfartyg i unionen med ett förbud mot att behålla hajar ombord och en skyldighet att frisläppa, samt bestämmelser om överlämnande eller utkast av oavsiktligt fångade exemplar av årfenhaj och silkeshaj.</w:t>
            </w:r>
          </w:p>
        </w:tc>
        <w:tc>
          <w:tcPr>
            <w:tcW w:w="4876" w:type="dxa"/>
            <w:tcBorders>
              <w:top w:val="nil"/>
              <w:left w:val="nil"/>
              <w:bottom w:val="nil"/>
              <w:right w:val="nil"/>
            </w:tcBorders>
          </w:tcPr>
          <w:p>
            <w:pPr>
              <w:pStyle w:val="Normal6a"/>
            </w:pPr>
            <w:r>
              <w:rPr>
                <w:b/>
                <w:i/>
              </w:rPr>
              <w:t>16.</w:t>
            </w:r>
            <w:r>
              <w:tab/>
            </w:r>
            <w:r>
              <w:t xml:space="preserve">WCPFC antog vid sina årsmöten 2022 och 2023 åtgärder avseende bunkringstjänster och skydd av hajar, användning av tafsar, stålledare och hajlinor på långrevsfartyg i unionen med ett förbud mot att behålla hajar ombord och en skyldighet att frisläppa, samt bestämmelser om överlämnande eller utkast av oavsiktligt fångade exemplar av årfenhaj och silkeshaj. </w:t>
            </w:r>
            <w:r>
              <w:rPr>
                <w:b/>
                <w:i/>
              </w:rPr>
              <w:t>Unionen bör också säkerställa att tredjeländers flottor som bedriver verksamhet enligt WCPFC:s regler uppfyller samma övervaknings- och kontrollnivå, eftersom ojämlik efterlevnad undergräver unionsaktörernas konkurrenskraft.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Dessa åtgärder är bindande för unionen.</w:t>
            </w:r>
            <w:r>
              <w:t xml:space="preserve"> </w:t>
            </w:r>
            <w:r>
              <w:rPr>
                <w:b/>
                <w:i/>
              </w:rPr>
              <w:t>De bör därför genomföras i unionsrätten.</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IOTC antog sedan vid sina årsmöten 2022, 2023 och 2024 och sin sjätte extrasession åtgärder för bevarande av fiskeresurser inom IOTC:s behörighetsområde avseende förvaltningen av förankrade och drivande anordningar som samlar fisk, frivillig stängning av fiske, omlastning, bevarandeåtgärder för valar och havsfåglar, regionala observatörsprogram, fartygsövervakningsplaner, standarder för elektronisk övervakning och hamninspektioner.</w:t>
            </w:r>
          </w:p>
        </w:tc>
        <w:tc>
          <w:tcPr>
            <w:tcW w:w="4876" w:type="dxa"/>
            <w:tcBorders>
              <w:top w:val="nil"/>
              <w:left w:val="nil"/>
              <w:bottom w:val="nil"/>
              <w:right w:val="nil"/>
            </w:tcBorders>
          </w:tcPr>
          <w:p>
            <w:pPr>
              <w:pStyle w:val="Normal6a"/>
            </w:pPr>
            <w:r>
              <w:t>(19)</w:t>
            </w:r>
            <w:r>
              <w:tab/>
            </w:r>
            <w:r>
              <w:t xml:space="preserve">IOTC antog sedan vid sina årsmöten 2022, 2023 och 2024 och sin sjätte extrasession åtgärder för bevarande av fiskeresurser inom IOTC:s behörighetsområde avseende förvaltningen av förankrade och drivande anordningar som samlar fisk, frivillig stängning av fiske, omlastning, bevarandeåtgärder för valar och havsfåglar, regionala observatörsprogram, fartygsövervakningsplaner, standarder för elektronisk övervakning och hamninspektioner. </w:t>
            </w:r>
            <w:r>
              <w:rPr>
                <w:b/>
                <w:i/>
              </w:rPr>
              <w:t>De åtgärder som antas måste ta hänsyn till flottornas socioekonomiska omständigheter och det måste säkerställas att de ytterligare skyldigheterna inte äventyrar den europeiska flottans konkurrenskraft gentemot tredjeländer vars miljö- och arbetsnormer är betydligt lägre.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IOTC:s resolution 24/06 genomförde ett förbud mot utkast av storögd tonfisk, bonit och gulfenad tonfisk och av icke-målarter som fångas av fartyg i IOTC:s tillståndsregister som är verksamma inom IOTC:s behörighetsområde; unionsfiskefartyg som använder andra typer av redskap än de som används av snörpvadsfartyg uppmuntras att behålla ombord och sedan landa all fisk som är lämplig som livsmedel och att vidta alla rimliga åtgärder för att säkerställa ett säkert frisläppande av icke-målarter som fångas levande, i möjligaste mån och under beaktande av besättningens säkerhet, och att behålla ombord och sedan landa alla döda exemplar av icke-målarter, utom de som anses otjänliga som livsmedel eller som det är förbjudet att behålla ombord.</w:t>
            </w:r>
          </w:p>
        </w:tc>
        <w:tc>
          <w:tcPr>
            <w:tcW w:w="4876" w:type="dxa"/>
            <w:tcBorders>
              <w:top w:val="nil"/>
              <w:left w:val="nil"/>
              <w:bottom w:val="nil"/>
              <w:right w:val="nil"/>
            </w:tcBorders>
          </w:tcPr>
          <w:p>
            <w:pPr>
              <w:pStyle w:val="Normal6a"/>
            </w:pPr>
            <w:r>
              <w:t>(20)</w:t>
            </w:r>
            <w:r>
              <w:tab/>
            </w:r>
            <w:r>
              <w:t xml:space="preserve">IOTC:s resolution 24/06 genomförde ett förbud mot utkast av storögd tonfisk, bonit och gulfenad tonfisk och av icke-målarter som fångas av fartyg i IOTC:s tillståndsregister som är verksamma inom IOTC:s behörighetsområde; unionsfiskefartyg som använder andra typer av redskap än de som används av snörpvadsfartyg uppmuntras att behålla ombord och sedan landa all fisk som är lämplig som livsmedel och att vidta alla rimliga åtgärder för att säkerställa ett säkert frisläppande av icke-målarter som fångas levande, i möjligaste mån och under beaktande av besättningens säkerhet, och att behålla ombord och sedan landa alla döda exemplar av icke-målarter, utom de som anses otjänliga som livsmedel eller som det är förbjudet att behålla ombord. </w:t>
            </w:r>
            <w:r>
              <w:rPr>
                <w:b/>
                <w:i/>
              </w:rPr>
              <w:t>Denna åtgärd bör genomföras på ett pragmatiskt och flexibelt sätt som säkerställer att operatörer från unionen inte straffas för oundvikliga oavsiktliga fångster om de visar prov på aktsamhet, och det bör säkerställas att regional hamninfrastruktur har kapacitet att hantera sådana landningar utan avbrott i flottans logistikverksamhet.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t>Dessa åtgärder är bindande för unionen. De bör därför genomföras i unionsrätten.</w:t>
            </w:r>
          </w:p>
        </w:tc>
        <w:tc>
          <w:tcPr>
            <w:tcW w:w="4876" w:type="dxa"/>
            <w:tcBorders>
              <w:top w:val="nil"/>
              <w:left w:val="nil"/>
              <w:bottom w:val="nil"/>
              <w:right w:val="nil"/>
            </w:tcBorders>
          </w:tcPr>
          <w:p>
            <w:pPr>
              <w:pStyle w:val="Normal6a"/>
            </w:pPr>
            <w:r>
              <w:rPr>
                <w:b/>
                <w:i/>
              </w:rPr>
              <w:t>21.</w:t>
            </w:r>
            <w:r>
              <w:tab/>
            </w:r>
            <w:r>
              <w:t>Dessa åtgärder</w:t>
            </w:r>
            <w:r>
              <w:rPr>
                <w:b/>
                <w:i/>
              </w:rPr>
              <w:t>, som härrör från Iccat, SPRFMO, Nafo, IATTC, WCPFC och IOTC,</w:t>
            </w:r>
            <w:r>
              <w:t xml:space="preserve"> är bindande för unionen. De bör därför genomföras i unionsrätten </w:t>
            </w:r>
            <w:r>
              <w:rPr>
                <w:b/>
                <w:i/>
              </w:rPr>
              <w:t>på ett sätt som säkerställer lika villkor för unionsaktörer i förhållande till aktörer från andra avtalsslutande parter, utom när sådana rekommendationer redan beaktas fullt ut och omfattas av befintlig unionslagstiftning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Rekommendationerna måste införlivas strikt för att skapa lika villkor för alla aktörer, samtidigt som man minimerar den administrativa bördan och undviker alla skyldigheter utöver dem som anges i rekommendationerna.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21b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Det är absolut nödvändigt att unionen noggrant beaktar fiskeriförvaltningsåtgärdernas socioekonomiska konsekvenser och, när så är lämpligt, utvärderar deras inverkan på fiskerisektorn och kustsamhällena.</w:t>
            </w:r>
            <w:r>
              <w:t xml:space="preserve"> </w:t>
            </w:r>
            <w:r>
              <w:rPr>
                <w:b/>
                <w:i/>
              </w:rPr>
              <w:t>Sådana åtgärder ska bygga på bästa tillgängliga vetenskapliga rådgivning och vara förenliga med artikel 2 i den gemensamma fiskeripolitiken, säkerställa EU-fiskets livskraft och konkurrenskraft, främja hållbar flottkapacitet och stödja utvecklingen av kustfisket.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Vissa av SPRFMO:s, Nafos, IATTC:s, IOTC:s och Iccats bestämmelser ändras oftare och kan förväntas ändras i vid framtida årsmöten i SPRFMO, Nafo, IATTC, IOTC och Iccat. I syfte att snabbt genomföra sådana ändringar i unionsrätten bör befogenheten att anta akter i enlighet med artikel 290 i fördraget om Europeiska unionens funktionssätt delegeras till Europeiska kommissionen </w:t>
            </w:r>
            <w:r>
              <w:rPr>
                <w:b/>
                <w:i/>
              </w:rPr>
              <w:t>enligt</w:t>
            </w:r>
            <w:r>
              <w:t xml:space="preserve"> följande: i) När det gäller SPRFMO, med avseende på tidsgränserna, avstånd till påträffandeområdet, avstånd som rör anmälan av omlastning, data- och informationskrav samt tillhandahållande av fartygsinformation. När det gäller Nafo, med avseende på åtgärder som rör medlemsstaternas skyldigheter avseende meddelande av ändringar av bifångst som behålls ombord, stängningsperioder, observatörers kvalifikationer, skyldigheter, utbildning, validering av observatörsdata, säkerhetsutrustning för observatörer, rättigheter och skyldigheter för unionsfartygs operatörer och befälhavare samt förfaranden i nödsituationer. ii) När det gäller Nafos bevarande- och tillämpningsföreskrifter, ändringar av stängningsperioder, fångst som behålls ombord, befälhavares skyldigheter i fråga om övergivna redskap, bärgning av övergivna redskap, undantag från observatörsprogrammet och hänvisning till dokument om fartygsiakttagelser som ska användas av medlemsstaterna. iii) När det gäller IATTC, med avseende på åtgärder som rör IATTC:s hänvisningar till riktlinjer för säkert frisläppande av hajar, och medlemsstaternas frågeformulär om efterlevnad. iv) När det gäller IOTC, med avseende på åtgärder som rör IOTC:s rapporteringskrav för anordningar som samlar fisk. v) För Iccats reglering av blåfenad tonfisk, tidsfrister för rapporteringsskyldigheter, tidsperioder för fiskesäsonger, procentandel och referenspunkter och information som ska lämnas till kommissionen.</w:t>
            </w:r>
          </w:p>
        </w:tc>
        <w:tc>
          <w:tcPr>
            <w:tcW w:w="4876" w:type="dxa"/>
            <w:tcBorders>
              <w:top w:val="nil"/>
              <w:left w:val="nil"/>
              <w:bottom w:val="nil"/>
              <w:right w:val="nil"/>
            </w:tcBorders>
          </w:tcPr>
          <w:p>
            <w:pPr>
              <w:pStyle w:val="Normal6a"/>
            </w:pPr>
            <w:r>
              <w:t>(22)</w:t>
            </w:r>
            <w:r>
              <w:tab/>
            </w:r>
            <w:r>
              <w:t>Vissa av SPRFMO:s, Nafos, IATTC:s, IOTC:s och Iccats bestämmelser ändras oftare och kan förväntas ändras i vid framtida årsmöten i SPRFMO, Nafo, IATTC, IOTC och Iccat. I syfte att snabbt genomföra sådana ändringar i unionsrätten bör befogenheten att anta akter i enlighet med artikel 290 i fördraget om Europeiska unionens funktionssätt delegeras till Europeiska kommissionen</w:t>
            </w:r>
            <w:r>
              <w:rPr>
                <w:b/>
                <w:i/>
              </w:rPr>
              <w:t>, men denna skyndsamhet bör inte kunna utnyttjas för att införa extra skyldigheter som inte debatterats med Europaparlamentet och medlemsstaterna.</w:t>
            </w:r>
            <w:r>
              <w:t xml:space="preserve"> </w:t>
            </w:r>
            <w:r>
              <w:rPr>
                <w:b/>
                <w:i/>
              </w:rPr>
              <w:t>I detta sammanhang understryks vikten av förstärkt vaksamhet för att förhindra att delegerade akter används ensidigt för att införa ytterligare minskningar av fiskeansträngningar, såsom de som nyligen föreslogs för Medelhavet och som i allmänhet avvisas av de berörda sektorerna och skulle kunna äventyra fiskesamhällenas socioekonomiska bärkraft.</w:t>
            </w:r>
            <w:r>
              <w:t xml:space="preserve"> </w:t>
            </w:r>
            <w:r>
              <w:rPr>
                <w:b/>
                <w:i/>
              </w:rPr>
              <w:t>På grundval av detta bör de delegerade befogenheterna utövas strikt inom de gränser som fastställts av lagstiftaren och tillämpas i enlighet med</w:t>
            </w:r>
            <w:r>
              <w:t xml:space="preserve"> följande </w:t>
            </w:r>
            <w:r>
              <w:rPr>
                <w:b/>
                <w:i/>
              </w:rPr>
              <w:t>bestämmelser</w:t>
            </w:r>
            <w:r>
              <w:t>: i) När det gäller SPRFMO, med avseende på tidsgränserna, avstånd till påträffandeområdet, avstånd som rör anmälan av omlastning, data- och informationskrav samt tillhandahållande av fartygsinformation. När det gäller Nafo, med avseende på åtgärder som rör medlemsstaternas skyldigheter avseende meddelande av ändringar av bifångst som behålls ombord, stängningsperioder, observatörers kvalifikationer, skyldigheter, utbildning, validering av observatörsdata, säkerhetsutrustning för observatörer, rättigheter och skyldigheter för unionsfartygs operatörer och befälhavare samt förfaranden i nödsituationer. ii) När det gäller Nafos bevarande- och tillämpningsföreskrifter, ändringar av stängningsperioder, fångst som behålls ombord, befälhavares skyldigheter i fråga om övergivna redskap, bärgning av övergivna redskap, undantag från observatörsprogrammet och hänvisning till dokument om fartygsiakttagelser som ska användas av medlemsstaterna. iii) När det gäller IATTC, med avseende på åtgärder som rör IATTC:s hänvisningar till riktlinjer för säkert frisläppande av hajar, och medlemsstaternas frågeformulär om efterlevnad. iv) När det gäller IOTC, med avseende på åtgärder som rör IOTC:s rapporteringskrav för anordningar som samlar fisk. v) För Iccats reglering av blåfenad tonfisk, tidsfrister för rapporteringsskyldigheter, tidsperioder för fiskesäsonger, procentandel och referenspunkter och information som ska lämnas till kommissionen.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Nora Junco García, Stephen Nikola Bartulica,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Det är särskilt viktigt att kommissionen genomför lämpliga samråd under sitt förberedande arbete, inklusive på expertnivå, och att dessa samråd genomförs i enlighet med principerna i det interinstitutionella avtalet av den 13 april 2016 om bättre lagstiftning</w:t>
            </w:r>
            <w:r>
              <w:rPr>
                <w:vertAlign w:val="superscript"/>
              </w:rPr>
              <w:t>13</w:t>
            </w:r>
            <w: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pPr>
              <w:pStyle w:val="Normal6a"/>
            </w:pPr>
            <w:r>
              <w:t>(23)</w:t>
            </w:r>
            <w:r>
              <w:tab/>
            </w:r>
            <w:r>
              <w:t xml:space="preserve">Det är särskilt viktigt att kommissionen genomför lämpliga samråd under sitt förberedande arbete, inklusive på expertnivå </w:t>
            </w:r>
            <w:r>
              <w:rPr>
                <w:b/>
                <w:i/>
              </w:rPr>
              <w:t>och med direkta företrädare för fiskerisektorn såsom rådgivande nämnder och producentorganisationer</w:t>
            </w:r>
            <w:r>
              <w:t>, och att dessa samråd genomförs i enlighet med principerna i det interinstitutionella avtalet av den 13 april 2016 om bättre lagstiftning</w:t>
            </w:r>
            <w:r>
              <w:rPr>
                <w:vertAlign w:val="superscript"/>
              </w:rPr>
              <w:t>13</w:t>
            </w:r>
            <w:r>
              <w:rPr>
                <w:b/>
                <w:i/>
              </w:rPr>
              <w:t>, i syfte att säkerställa att delegerade akter anpassas till flottans verkliga operativa omständigheter</w:t>
            </w:r>
            <w: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EUT L 123, 12.5.2016, s. 1, ELI: http://data.europa.eu/eli/agree_interinstit/2016/512/oj.</w:t>
            </w:r>
          </w:p>
        </w:tc>
        <w:tc>
          <w:tcPr>
            <w:tcW w:w="4876" w:type="dxa"/>
            <w:tcBorders>
              <w:top w:val="nil"/>
              <w:left w:val="nil"/>
              <w:bottom w:val="nil"/>
              <w:right w:val="nil"/>
            </w:tcBorders>
          </w:tcPr>
          <w:p>
            <w:pPr>
              <w:pStyle w:val="Normal6a"/>
            </w:pPr>
            <w:r>
              <w:rPr>
                <w:vertAlign w:val="superscript"/>
              </w:rPr>
              <w:t>13</w:t>
            </w:r>
            <w:r>
              <w:t xml:space="preserve"> </w:t>
            </w:r>
            <w:r>
              <w:t>EUT L 123, 12.5.2016, s. 1, ELI: http://data.europa.eu/eli/agree_interinstit/2016/512/oj.</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t>Det är särskilt viktigt att kommissionen genomför lämpliga samråd under sitt förberedande arbete, inklusive på expertnivå, och att dessa samråd genomförs i enlighet med principerna i det interinstitutionella avtalet av den 13 april 2016 om bättre lagstiftning</w:t>
            </w:r>
            <w:r>
              <w:rPr>
                <w:vertAlign w:val="superscript"/>
              </w:rPr>
              <w:t>13</w:t>
            </w:r>
            <w:r>
              <w:t>.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pPr>
              <w:pStyle w:val="Normal6a"/>
            </w:pPr>
            <w:r>
              <w:rPr>
                <w:b/>
                <w:i/>
              </w:rPr>
              <w:t>23.</w:t>
            </w:r>
            <w:r>
              <w:tab/>
            </w:r>
            <w:r>
              <w:t>Det är särskilt viktigt att kommissionen genomför lämpliga samråd under sitt förberedande arbete, inklusive på expertnivå, och att dessa samråd genomförs i enlighet med principerna i det interinstitutionella avtalet av den 13 april 2016 om bättre lagstiftning</w:t>
            </w:r>
            <w:r>
              <w:rPr>
                <w:vertAlign w:val="superscript"/>
              </w:rPr>
              <w:t>13</w:t>
            </w:r>
            <w:r>
              <w:t xml:space="preserve">.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 </w:t>
            </w:r>
            <w:r>
              <w:rPr>
                <w:b/>
                <w:i/>
              </w:rPr>
              <w:t>samt utnyttjar möjligheten att kommissionen kan bjudas in till möten i Europaparlamentet eller rådet för ytterligare diskussioner om förberedelsen av delegerade akter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EUT L 123, 12.5.2016, s. 1, ELI: http://data.europa.eu/eli/agree_interinstit/2016/512/oj.</w:t>
            </w:r>
          </w:p>
        </w:tc>
        <w:tc>
          <w:tcPr>
            <w:tcW w:w="4876" w:type="dxa"/>
            <w:tcBorders>
              <w:top w:val="nil"/>
              <w:left w:val="nil"/>
              <w:bottom w:val="nil"/>
              <w:right w:val="nil"/>
            </w:tcBorders>
          </w:tcPr>
          <w:p>
            <w:pPr>
              <w:pStyle w:val="Normal6a"/>
            </w:pPr>
            <w:r>
              <w:rPr>
                <w:vertAlign w:val="superscript"/>
              </w:rPr>
              <w:t>13</w:t>
            </w:r>
            <w:r>
              <w:t xml:space="preserve"> </w:t>
            </w:r>
            <w:r>
              <w:t>EUT L 123, 12.5.2016, s. 1,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Kommissionen ska samarbeta med parlamentet och rådet för att diskutera den gemensamma processen för införlivande av regionala fiskeriförvaltningsorganisationer, där flera olika förordningar ändras före nästa antagande, och bör därefter bedöma processen inom tre år från offentliggörandet av den nuvarande förordningen och vart tredje år från den dagen.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Unionens deltagande i regionala fiskeriförvaltningsorganisationer måste respektera medlemsstaternas befogenheter.</w:t>
            </w:r>
            <w:r>
              <w:t xml:space="preserve"> </w:t>
            </w:r>
            <w:r>
              <w:rPr>
                <w:b/>
                <w:i/>
              </w:rPr>
              <w:t>Införlivandet bör inte försvaga det nationella oberoendet eller medföra oproportionerliga skyldigheter för det småskaliga fisket, särskilt i Medelhavet, som inte är orsaken till överkapacitet.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Om de regionala fiskeriförvaltningsorganisationernas åtgärder konsekvent inte säkerställer lika villkor gentemot tredjeländers flottor eller inför obalanserade restriktioner för unionens aktörer, ska unionen ompröva sitt stöd för sådana åtgärder och vid behov begära en översyn av 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stycke 1 – led 3</w:t>
      </w:r>
      <w:r>
        <w:rPr>
          <w:rStyle w:val="HideTWBExt"/>
        </w:rPr>
        <w:t>&lt;/Article&gt;</w:t>
      </w:r>
    </w:p>
    <w:p>
      <w:r>
        <w:rPr>
          <w:rStyle w:val="HideTWBExt"/>
        </w:rPr>
        <w:t>&lt;DocAmend2&gt;</w:t>
      </w:r>
      <w:r>
        <w:t>Förordning (EU) 2021/2107</w:t>
      </w:r>
      <w:r>
        <w:rPr>
          <w:rStyle w:val="HideTWBExt"/>
        </w:rPr>
        <w:t>&lt;/DocAmend2&gt;</w:t>
      </w:r>
    </w:p>
    <w:p>
      <w:r>
        <w:rPr>
          <w:rStyle w:val="HideTWBExt"/>
        </w:rPr>
        <w:t>&lt;Article2&gt;</w:t>
      </w:r>
      <w:r>
        <w:t>Artikel 33a – punkt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Utöver de villkor som anges i punkt 6 får varje unionsfiskefartyg med en total längd på mindre än tolv meter, behålla högst ett exemplar av sydatlantisk mako vid varje fiskeresa.</w:t>
            </w:r>
          </w:p>
        </w:tc>
        <w:tc>
          <w:tcPr>
            <w:tcW w:w="4876" w:type="dxa"/>
            <w:tcBorders>
              <w:top w:val="nil"/>
              <w:left w:val="nil"/>
              <w:bottom w:val="nil"/>
              <w:right w:val="nil"/>
            </w:tcBorders>
          </w:tcPr>
          <w:p>
            <w:pPr>
              <w:pStyle w:val="Normal6a"/>
            </w:pPr>
            <w:r>
              <w:t>7.</w:t>
            </w:r>
            <w:r>
              <w:tab/>
            </w:r>
            <w:r>
              <w:t>Utöver de villkor som anges i punkt 6 får varje unionsfiskefartyg med en total längd på mindre än tolv meter, behålla högst ett exemplar av sydatlantisk mako vid varje fiskeresa.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Följande ändringsförslag ersätter ändringsförslag 6.</w:t>
      </w:r>
    </w:p>
    <w:p>
      <w:r>
        <w:rPr>
          <w:rStyle w:val="HideTWBExt"/>
        </w:rPr>
        <w:t>&lt;/Amend&gt;</w:t>
      </w:r>
    </w:p>
    <w:p>
      <w:pPr>
        <w:pStyle w:val="AmNumberTabs"/>
      </w:pPr>
      <w:r>
        <w:rPr>
          <w:rStyle w:val="HideTWBExt"/>
        </w:rPr>
        <w:t>&lt;Amend&gt;</w:t>
      </w:r>
      <w:r>
        <w:t>Ändringsförslag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1 – stycke1 – led 4</w:t>
      </w:r>
      <w:r>
        <w:rPr>
          <w:rStyle w:val="HideTWBExt"/>
        </w:rPr>
        <w:t>&lt;/Article&gt;</w:t>
      </w:r>
    </w:p>
    <w:p>
      <w:r>
        <w:rPr>
          <w:rStyle w:val="HideTWBExt"/>
        </w:rPr>
        <w:t>&lt;DocAmend2&gt;</w:t>
      </w:r>
      <w:r>
        <w:t>Förordning (EU) 2017/2107</w:t>
      </w:r>
      <w:r>
        <w:rPr>
          <w:rStyle w:val="HideTWBExt"/>
        </w:rPr>
        <w:t>&lt;/DocAmend2&gt;</w:t>
      </w:r>
    </w:p>
    <w:p>
      <w:r>
        <w:rPr>
          <w:rStyle w:val="HideTWBExt"/>
        </w:rPr>
        <w:t>&lt;Article2&gt;</w:t>
      </w:r>
      <w:r>
        <w:t>Artikel 35a – punkt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Unionsfångstfartyg ska omedelbart frisläppa vingrockor oskadade, i den mån det är praktiskt möjligt, så snart de upptäcks i nätredskapet, på kroken eller på fartyget, på ett sätt som leder till minsta möjliga skada på individerna.</w:t>
            </w:r>
          </w:p>
        </w:tc>
        <w:tc>
          <w:tcPr>
            <w:tcW w:w="4876" w:type="dxa"/>
            <w:tcBorders>
              <w:top w:val="nil"/>
              <w:left w:val="nil"/>
              <w:bottom w:val="nil"/>
              <w:right w:val="nil"/>
            </w:tcBorders>
          </w:tcPr>
          <w:p>
            <w:pPr>
              <w:pStyle w:val="Normal6a"/>
            </w:pPr>
            <w:r>
              <w:t>2.</w:t>
            </w:r>
            <w:r>
              <w:tab/>
            </w:r>
            <w:r>
              <w:t xml:space="preserve">Unionsfångstfartyg ska omedelbart frisläppa vingrockor oskadade, i den mån det är praktiskt möjligt </w:t>
            </w:r>
            <w:r>
              <w:rPr>
                <w:b/>
                <w:i/>
              </w:rPr>
              <w:t>och med hänsyn tagen till de tekniska och säkerhetsmässiga begränsningarna</w:t>
            </w:r>
            <w:r>
              <w:t>, så snart de upptäcks i nätredskapet, på kroken eller på fartyget, på ett sätt som leder till minsta möjliga skada på individerna.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1 – led d</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4 – led 20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t>SPRFMO:s register över behöriga inspektionsfartyg och inspektionsfartygens myndigheter: den förteckning över inspektionsfartyg och myndigheter som är behöriga att utföra bordning och inspektion i SPRFMO:s konventionsområde och som anmälts av konventionsslutande parter och samarbetande icke konventionsslutande parter, vilken förs av SPRFMO:s sekretariat.</w:t>
            </w:r>
          </w:p>
        </w:tc>
        <w:tc>
          <w:tcPr>
            <w:tcW w:w="4876" w:type="dxa"/>
            <w:tcBorders>
              <w:top w:val="nil"/>
              <w:left w:val="nil"/>
              <w:bottom w:val="nil"/>
              <w:right w:val="nil"/>
            </w:tcBorders>
          </w:tcPr>
          <w:p>
            <w:pPr>
              <w:pStyle w:val="Normal6a"/>
            </w:pPr>
            <w:r>
              <w:rPr>
                <w:b/>
                <w:i/>
              </w:rPr>
              <w:t>(20)</w:t>
            </w:r>
            <w:r>
              <w:tab/>
            </w:r>
            <w:r>
              <w:t xml:space="preserve">SPRFMO:s register över behöriga inspektionsfartyg och inspektionsfartygens myndigheter: den förteckning över inspektionsfartyg och myndigheter som är behöriga att utföra bordning och inspektion i SPRFMO:s konventionsområde och som anmälts av </w:t>
            </w:r>
            <w:r>
              <w:rPr>
                <w:b/>
                <w:i/>
              </w:rPr>
              <w:t>kommissionen eller EFCA,</w:t>
            </w:r>
            <w:r>
              <w:t xml:space="preserve"> konventionsslutande parter och samarbetande icke konventionsslutande parter, vilken förs av SPRFMO:s sekretariat. </w:t>
            </w:r>
            <w:r>
              <w:rPr>
                <w:b/>
                <w:i/>
              </w:rPr>
              <w:t>Medlemsstaterna ska underrätta kommissionen eller EFCA om sina inspektionsfartyg och myndigheter som har tillstånd att gå ombord för att utföra inspektioner i SPRFMO:s konventionsområde.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Följande ändringsförslag ersätter ändringsförslag 18.</w:t>
      </w:r>
    </w:p>
    <w:p>
      <w:r>
        <w:rPr>
          <w:rStyle w:val="HideTWBExt"/>
        </w:rPr>
        <w:t>&lt;/Amend&gt;</w:t>
      </w:r>
    </w:p>
    <w:p>
      <w:pPr>
        <w:pStyle w:val="AmNumberTabs"/>
      </w:pPr>
      <w:r>
        <w:rPr>
          <w:rStyle w:val="HideTWBExt"/>
        </w:rPr>
        <w:t>&lt;Amend&gt;</w:t>
      </w:r>
      <w:r>
        <w:t>Ändringsförslag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Séverine Werbrouck,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3</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29 – punkt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Bottenfiske i SPRFMO:s konventionsområde enligt detta kapitel får endast ske i de förvaltningsområden för bottentrålning, flyttrålning och fiske med bottenrev som anges i bilaga XIV. I dessa områden ska följande gälla:</w:t>
            </w:r>
          </w:p>
        </w:tc>
        <w:tc>
          <w:tcPr>
            <w:tcW w:w="4876" w:type="dxa"/>
            <w:tcBorders>
              <w:top w:val="nil"/>
              <w:left w:val="nil"/>
              <w:bottom w:val="nil"/>
              <w:right w:val="nil"/>
            </w:tcBorders>
          </w:tcPr>
          <w:p>
            <w:pPr>
              <w:pStyle w:val="Normal6a"/>
            </w:pPr>
            <w:r>
              <w:t>1.</w:t>
            </w:r>
            <w:r>
              <w:tab/>
            </w:r>
            <w:r>
              <w:t>Bottenfiske i SPRFMO:s konventionsområde enligt detta kapitel får endast ske i de förvaltningsområden för bottentrålning, flyttrålning och fiske med bottenrev som anges i bilaga XIV</w:t>
            </w:r>
            <w:r>
              <w:rPr>
                <w:b/>
                <w:i/>
              </w:rPr>
              <w:t>, såsom följer av de bindande beslut som fattats inom SPRFMO</w:t>
            </w:r>
            <w:r>
              <w:t>. I dessa områden ska följande gälla: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3</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13 – punkt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Medlemsstater vars fartyg har för avsikt att bedriva bottenfiske i de förvaltningsområden som anges i bilaga XIV ska lämna in en begäran om tillstånd till kommissionen senast </w:t>
            </w:r>
            <w:r>
              <w:rPr>
                <w:b/>
                <w:i/>
              </w:rPr>
              <w:t>75</w:t>
            </w:r>
            <w:r>
              <w:t xml:space="preserve"> dagar före det möte i SPRFMO:s vetenskapliga kommitté vid vilket de önskar få begäran behandlad. Kommissionen ska vidarebefordra begäran till SPRFMO:s sekretariat senast 60 dagar före mötet i SPRFMO:s vetenskapliga kommitté. Begäran ska innehålla en konsekvensbedömning av bottenfiske med avseende på den föreslagna fiskeverksamheten.</w:t>
            </w:r>
          </w:p>
        </w:tc>
        <w:tc>
          <w:tcPr>
            <w:tcW w:w="4876" w:type="dxa"/>
            <w:tcBorders>
              <w:top w:val="nil"/>
              <w:left w:val="nil"/>
              <w:bottom w:val="nil"/>
              <w:right w:val="nil"/>
            </w:tcBorders>
          </w:tcPr>
          <w:p>
            <w:pPr>
              <w:pStyle w:val="Normal6a"/>
            </w:pPr>
            <w:r>
              <w:t>2.</w:t>
            </w:r>
            <w:r>
              <w:tab/>
            </w:r>
            <w:r>
              <w:t xml:space="preserve">Medlemsstater vars fartyg har för avsikt att bedriva bottenfiske i de förvaltningsområden som anges i bilaga XIV ska lämna in en begäran om tillstånd till kommissionen senast </w:t>
            </w:r>
            <w:r>
              <w:rPr>
                <w:b/>
                <w:i/>
              </w:rPr>
              <w:t>45</w:t>
            </w:r>
            <w:r>
              <w:t xml:space="preserve"> dagar före det möte i SPRFMO:s vetenskapliga kommitté vid vilket de önskar få begäran behandlad. Kommissionen ska vidarebefordra begäran till SPRFMO:s sekretariat senast 60 dagar före mötet i SPRFMO:s vetenskapliga kommitté. Begäran ska innehålla en </w:t>
            </w:r>
            <w:r>
              <w:rPr>
                <w:b/>
                <w:i/>
              </w:rPr>
              <w:t>preliminär</w:t>
            </w:r>
            <w:r>
              <w:t xml:space="preserve"> konsekvensbedömning av bottenfiske med avseende på den föreslagna fiskeverksamheten.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3</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14 – stycke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Medlemsstaterna</w:t>
            </w:r>
            <w:r>
              <w:t xml:space="preserve"> ska rapportera påträffanden av känsliga marina ekosystem till </w:t>
            </w:r>
            <w:r>
              <w:rPr>
                <w:b/>
                <w:i/>
              </w:rPr>
              <w:t>kommissionen</w:t>
            </w:r>
            <w:r>
              <w:t xml:space="preserve"> på grundval av riktlinjerna i bilaga IV, inbegripet en detaljerad beskrivning av påträffandet</w:t>
            </w:r>
            <w:r>
              <w:rPr>
                <w:b/>
                <w:i/>
              </w:rPr>
              <w:t>,</w:t>
            </w:r>
            <w:r>
              <w:t xml:space="preserve"> en jämförelse mellan påträffandet och den befintliga modellprognosen och förslag till förvaltningsåtgärder för att förhindra betydande negativ påverkan på känsliga marina ekosystem, i syfte att kontrollera om ett känsligt marint ekosystem sannolikt finns i påträffandeområdet och/eller det omgivande området, om en betydande negativ påverkan har uppstått och om det finns en risk för betydande negativ påverkan i framtiden. Kommissionen ska vidarebefordra informationen till SPRFMO:s sekretariat utan dröjsmål.</w:t>
            </w:r>
          </w:p>
        </w:tc>
        <w:tc>
          <w:tcPr>
            <w:tcW w:w="4876" w:type="dxa"/>
            <w:tcBorders>
              <w:top w:val="nil"/>
              <w:left w:val="nil"/>
              <w:bottom w:val="nil"/>
              <w:right w:val="nil"/>
            </w:tcBorders>
          </w:tcPr>
          <w:p>
            <w:pPr>
              <w:pStyle w:val="Normal6a"/>
            </w:pPr>
            <w:r>
              <w:t>2.</w:t>
            </w:r>
            <w:r>
              <w:tab/>
            </w:r>
            <w:r>
              <w:rPr>
                <w:b/>
                <w:i/>
              </w:rPr>
              <w:t>Fiskefartyg</w:t>
            </w:r>
            <w:r>
              <w:t xml:space="preserve"> ska rapportera påträffanden av känsliga marina ekosystem till </w:t>
            </w:r>
            <w:r>
              <w:rPr>
                <w:b/>
                <w:i/>
              </w:rPr>
              <w:t>flaggmedlemsstaten</w:t>
            </w:r>
            <w:r>
              <w:t xml:space="preserve"> på grundval av riktlinjerna i bilaga IV, inbegripet en detaljerad beskrivning av påträffandet</w:t>
            </w:r>
            <w:r>
              <w:rPr>
                <w:b/>
                <w:i/>
              </w:rPr>
              <w:t>.</w:t>
            </w:r>
            <w:r>
              <w:t xml:space="preserve"> </w:t>
            </w:r>
            <w:r>
              <w:rPr>
                <w:b/>
                <w:i/>
              </w:rPr>
              <w:t>Flaggmedlemsstaten ska göra</w:t>
            </w:r>
            <w:r>
              <w:t xml:space="preserve"> en jämförelse mellan påträffandet och den befintliga modellprognosen och förslag till förvaltningsåtgärder för att förhindra betydande negativ påverkan på känsliga marina ekosystem, i syfte att kontrollera om ett känsligt marint ekosystem sannolikt finns i påträffandeområdet och/eller det omgivande området, om en betydande negativ påverkan har uppstått och om det finns en risk för betydande negativ påverkan i framtiden. </w:t>
            </w:r>
            <w:r>
              <w:rPr>
                <w:b/>
                <w:i/>
              </w:rPr>
              <w:t>Medlemsstaten ska utan dröjsmål översända dessa rapporter till kommissionen.</w:t>
            </w:r>
            <w:r>
              <w:t xml:space="preserve"> Kommissionen ska vidarebefordra informationen till SPRFMO:s sekretariat utan dröjsmål.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Följande ändringsförslag ersätter ändringsförslag 30.</w:t>
      </w:r>
    </w:p>
    <w:p>
      <w:r>
        <w:rPr>
          <w:rStyle w:val="HideTWBExt"/>
        </w:rPr>
        <w:t>&lt;/Amend&gt;</w:t>
      </w:r>
    </w:p>
    <w:p>
      <w:pPr>
        <w:pStyle w:val="AmNumberTabs"/>
      </w:pPr>
      <w:r>
        <w:rPr>
          <w:rStyle w:val="HideTWBExt"/>
        </w:rPr>
        <w:t>&lt;Amend&gt;</w:t>
      </w:r>
      <w:r>
        <w:t>Ändringsförslag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4</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17 – punkt 1 – led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Senast </w:t>
            </w:r>
            <w:r>
              <w:rPr>
                <w:b/>
                <w:i/>
              </w:rPr>
              <w:t>130</w:t>
            </w:r>
            <w:r>
              <w:t xml:space="preserve"> dagar före mötet i SPRFMO:s vetenskapliga kommitté, en kortfattad beskrivning av den tänkta fiskeinsatsplanen, i informationssyfte, som utarbetats med hjälp av mallen för kortfattad beskrivning av en fiskeinsatsplan</w:t>
            </w:r>
            <w:r>
              <w:rPr>
                <w:vertAlign w:val="superscript"/>
              </w:rPr>
              <w:t>15</w:t>
            </w:r>
            <w:r>
              <w:t>. Kommissionen ska vidarebefordra denna information till SPRFMO:s sekretariat senast 120 dagar före mötet i SPRFMO:s vetenskapliga kommitté.</w:t>
            </w:r>
          </w:p>
        </w:tc>
        <w:tc>
          <w:tcPr>
            <w:tcW w:w="4876" w:type="dxa"/>
            <w:tcBorders>
              <w:top w:val="nil"/>
              <w:left w:val="nil"/>
              <w:bottom w:val="nil"/>
              <w:right w:val="nil"/>
            </w:tcBorders>
          </w:tcPr>
          <w:p>
            <w:pPr>
              <w:pStyle w:val="Normal6a"/>
            </w:pPr>
            <w:r>
              <w:rPr>
                <w:b/>
                <w:i/>
              </w:rPr>
              <w:t>a)</w:t>
            </w:r>
            <w:r>
              <w:tab/>
            </w:r>
            <w:r>
              <w:t xml:space="preserve">Senast </w:t>
            </w:r>
            <w:r>
              <w:rPr>
                <w:b/>
                <w:i/>
              </w:rPr>
              <w:t>75</w:t>
            </w:r>
            <w:r>
              <w:t xml:space="preserve"> dagar före mötet i SPRFMO:s vetenskapliga kommitté, en kortfattad beskrivning av den tänkta fiskeinsatsplanen, i informationssyfte, som utarbetats med hjälp av mallen för kortfattad beskrivning av en fiskeinsatsplan</w:t>
            </w:r>
            <w:r>
              <w:rPr>
                <w:vertAlign w:val="superscript"/>
              </w:rPr>
              <w:t>15</w:t>
            </w:r>
            <w:r>
              <w:t>. Kommissionen ska vidarebefordra denna information till SPRFMO:s sekretariat senast 120 dagar före mötet i SPRFMO:s vetenskapliga kommitté.</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Finns på: https://www.sprfmo.int/science/</w:t>
            </w:r>
            <w:r>
              <w:rPr>
                <w:b/>
                <w:i/>
              </w:rPr>
              <w:t>.</w:t>
            </w:r>
          </w:p>
        </w:tc>
        <w:tc>
          <w:tcPr>
            <w:tcW w:w="4876" w:type="dxa"/>
            <w:tcBorders>
              <w:top w:val="nil"/>
              <w:left w:val="nil"/>
              <w:bottom w:val="nil"/>
              <w:right w:val="nil"/>
            </w:tcBorders>
          </w:tcPr>
          <w:p>
            <w:pPr>
              <w:pStyle w:val="Normal6a"/>
            </w:pPr>
            <w:r>
              <w:rPr>
                <w:vertAlign w:val="superscript"/>
              </w:rPr>
              <w:t>15</w:t>
            </w:r>
            <w:r>
              <w:t xml:space="preserve"> </w:t>
            </w:r>
            <w:r>
              <w:t>Finns på: https://www.sprfmo.int/science/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 – led 8</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24 – stycke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Vid omlastning av fiskeresurser som fångats i SPRFMO:s konventionsområde ska det mottagande unionsfiskefartygets flaggmedlemsstat, minst 36 timmar före beräknad starttid för omlastningen, samtidigt till kommissionen och SPRFMO:s sekretariat översända SPRFMO:s förhandsanmälan av omlastning i enlighet med bilaga VII. En sådan anmälan ska göras oavsett var omlastningen har ägt rum.</w:t>
            </w:r>
          </w:p>
        </w:tc>
        <w:tc>
          <w:tcPr>
            <w:tcW w:w="4876" w:type="dxa"/>
            <w:tcBorders>
              <w:top w:val="nil"/>
              <w:left w:val="nil"/>
              <w:bottom w:val="nil"/>
              <w:right w:val="nil"/>
            </w:tcBorders>
          </w:tcPr>
          <w:p>
            <w:pPr>
              <w:pStyle w:val="Normal6a"/>
            </w:pPr>
            <w:r>
              <w:t>1.</w:t>
            </w:r>
            <w:r>
              <w:tab/>
            </w:r>
            <w:r>
              <w:t>Vid omlastning av fiskeresurser som fångats i SPRFMO:s konventionsområde ska det mottagande unionsfiskefartygets flaggmedlemsstat, minst 36 timmar före beräknad starttid för omlastningen, samtidigt till kommissionen och SPRFMO:s sekretariat</w:t>
            </w:r>
            <w:r>
              <w:rPr>
                <w:b/>
                <w:i/>
              </w:rPr>
              <w:t>, samtidigt som det säkerställs att inget utsett organ får ingripa i eller åtsidosätta nationella kontrollförfaranden,</w:t>
            </w:r>
            <w:r>
              <w:t xml:space="preserve"> översända SPRFMO:s förhandsanmälan av omlastning i enlighet med bilaga VII. En sådan anmälan ska göras oavsett var omlastningen har ägt 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 – led 8</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24 – punkt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den omlastning som avses i punkt 1 inte inleds inom 72 timmar från den anmälda beräknade starttiden för omlastningen eller inom 50 nautiska mil från den beräknade plats som angetts i förhandsanmälan av omlastning, ska det mottagande unionsfiskefartygets flaggstat samtidigt till kommissionen och SPRFMO:s sekretariat anmäla den ändrade informationen i SPRFMO:s förhandsanmälan i enlighet med bilaga VII, så snart som möjligt.</w:t>
            </w:r>
          </w:p>
        </w:tc>
        <w:tc>
          <w:tcPr>
            <w:tcW w:w="4876" w:type="dxa"/>
            <w:tcBorders>
              <w:top w:val="nil"/>
              <w:left w:val="nil"/>
              <w:bottom w:val="nil"/>
              <w:right w:val="nil"/>
            </w:tcBorders>
          </w:tcPr>
          <w:p>
            <w:pPr>
              <w:pStyle w:val="Normal6a"/>
            </w:pPr>
            <w:r>
              <w:t>2.</w:t>
            </w:r>
            <w:r>
              <w:tab/>
            </w:r>
            <w:r>
              <w:t xml:space="preserve">Om den omlastning som avses i punkt 1 inte inleds inom 72 timmar från den anmälda beräknade starttiden för omlastningen eller inom 50 nautiska mil från den beräknade plats som angetts i förhandsanmälan av omlastning, ska det mottagande unionsfiskefartygets flaggstat samtidigt till kommissionen och SPRFMO:s sekretariat anmäla den ändrade informationen i SPRFMO:s förhandsanmälan i enlighet med bilaga VII, så snart som möjligt. </w:t>
            </w:r>
            <w:r>
              <w:rPr>
                <w:b/>
                <w:i/>
              </w:rPr>
              <w:t>Sådana anmälningar får inte överlappa befintliga nationella rapporteringssystem och får göras med hjälp av en enda anmälan som lämnas in via den behöriga nationella 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 – led 8</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24 – stycke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Om en anmäld omlastning inte äger rum ska det mottagande unionsfiskefartygets flaggmedlemsstat samtidigt anmäla detta till kommissionen och SPRFMO:s sekretariat så snart som möjligt, dock senast fem arbetsdagar efter den anmälda tidpunkten för omlastningen.</w:t>
            </w:r>
          </w:p>
        </w:tc>
        <w:tc>
          <w:tcPr>
            <w:tcW w:w="4876" w:type="dxa"/>
            <w:tcBorders>
              <w:top w:val="nil"/>
              <w:left w:val="nil"/>
              <w:bottom w:val="nil"/>
              <w:right w:val="nil"/>
            </w:tcBorders>
          </w:tcPr>
          <w:p>
            <w:pPr>
              <w:pStyle w:val="Normal6a"/>
            </w:pPr>
            <w:r>
              <w:t>3.</w:t>
            </w:r>
            <w:r>
              <w:tab/>
            </w:r>
            <w:r>
              <w:t xml:space="preserve">Om en anmäld omlastning inte äger rum ska det mottagande unionsfiskefartygets flaggmedlemsstat samtidigt anmäla detta till kommissionen och SPRFMO:s sekretariat så snart som möjligt, dock senast fem arbetsdagar efter den anmälda tidpunkten för omlastningen. </w:t>
            </w:r>
            <w:r>
              <w:rPr>
                <w:b/>
                <w:i/>
              </w:rPr>
              <w:t>Sådana anmälningar får inte överlappa befintliga nationella rapporteringssystem och får göras med hjälp av en enda anmälan som lämnas in via den nationella behöriga 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10</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25 – punkt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Observatören ska fylla i SPRFMO:s observatörsloggbok för omlastning i enlighet med bilaga VIII och lämna denna information på elektronisk väg till de behöriga myndigheterna i den medlemsstat vars flagg det mottagande unionsfiskefartyget för senast </w:t>
            </w:r>
            <w:r>
              <w:rPr>
                <w:b/>
                <w:i/>
              </w:rPr>
              <w:t>20</w:t>
            </w:r>
            <w:r>
              <w:t xml:space="preserve"> dagar efter ilandstigningen.</w:t>
            </w:r>
          </w:p>
        </w:tc>
        <w:tc>
          <w:tcPr>
            <w:tcW w:w="4876" w:type="dxa"/>
            <w:tcBorders>
              <w:top w:val="nil"/>
              <w:left w:val="nil"/>
              <w:bottom w:val="nil"/>
              <w:right w:val="nil"/>
            </w:tcBorders>
          </w:tcPr>
          <w:p>
            <w:pPr>
              <w:pStyle w:val="Normal6a"/>
            </w:pPr>
            <w:r>
              <w:t>5.</w:t>
            </w:r>
            <w:r>
              <w:tab/>
            </w:r>
            <w:r>
              <w:t xml:space="preserve">Observatören ska fylla i SPRFMO:s observatörsloggbok för omlastning i enlighet med bilaga VIII och lämna denna information på elektronisk väg till de behöriga myndigheterna i den medlemsstat vars flagg det mottagande unionsfiskefartyget för senast </w:t>
            </w:r>
            <w:r>
              <w:rPr>
                <w:b/>
                <w:i/>
              </w:rPr>
              <w:t>5</w:t>
            </w:r>
            <w:r>
              <w:t xml:space="preserve"> dagar efter ilandstigningen.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13</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28p – punkt 2 – led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t xml:space="preserve">Obegränsad tillgång till mat, logi och sanitära utrymmen av </w:t>
            </w:r>
            <w:r>
              <w:rPr>
                <w:b/>
                <w:i/>
              </w:rPr>
              <w:t>samma</w:t>
            </w:r>
            <w:r>
              <w:t xml:space="preserve"> standard </w:t>
            </w:r>
            <w:r>
              <w:rPr>
                <w:b/>
                <w:i/>
              </w:rPr>
              <w:t>som de som normalt är tillgängliga för befäl ombord på fartyget</w:t>
            </w:r>
            <w:r>
              <w:t xml:space="preserve"> samt sjukvårdsutrustning som uppfyller internationella sjöfartsnormer.</w:t>
            </w:r>
          </w:p>
        </w:tc>
        <w:tc>
          <w:tcPr>
            <w:tcW w:w="4876" w:type="dxa"/>
            <w:tcBorders>
              <w:top w:val="nil"/>
              <w:left w:val="nil"/>
              <w:bottom w:val="nil"/>
              <w:right w:val="nil"/>
            </w:tcBorders>
          </w:tcPr>
          <w:p>
            <w:pPr>
              <w:pStyle w:val="Normal6a"/>
            </w:pPr>
            <w:r>
              <w:rPr>
                <w:b/>
                <w:i/>
              </w:rPr>
              <w:t>h)</w:t>
            </w:r>
            <w:r>
              <w:tab/>
            </w:r>
            <w:r>
              <w:t xml:space="preserve">Obegränsad tillgång till mat, logi och sanitära utrymmen av </w:t>
            </w:r>
            <w:r>
              <w:rPr>
                <w:b/>
                <w:i/>
              </w:rPr>
              <w:t>rimlig</w:t>
            </w:r>
            <w:r>
              <w:t xml:space="preserve"> standard</w:t>
            </w:r>
            <w:r>
              <w:rPr>
                <w:b/>
                <w:i/>
              </w:rPr>
              <w:t>, inom ramen för fartygets lastkapacitet och utan att äventyra besättningens minimilevnadsvillkor,</w:t>
            </w:r>
            <w:r>
              <w:t xml:space="preserve"> samt sjukvårdsutrustning som uppfyller internationella sjöfartsnormer.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13</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28s – led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Säkerställa att fartyg som är verksamma i SPRFMO:s konventionsområde har tillräckligt utrymme för att observatören vid behov ska kunna utföra provtagning av bifångster eller annan provtagning, på ett säkert sätt som begränsar störningar av fartygets insatser, med en särskild provtagningsstation och annan utrustning, såsom vågar.</w:t>
            </w:r>
          </w:p>
        </w:tc>
        <w:tc>
          <w:tcPr>
            <w:tcW w:w="4876" w:type="dxa"/>
            <w:tcBorders>
              <w:top w:val="nil"/>
              <w:left w:val="nil"/>
              <w:bottom w:val="nil"/>
              <w:right w:val="nil"/>
            </w:tcBorders>
          </w:tcPr>
          <w:p>
            <w:pPr>
              <w:pStyle w:val="Normal6a"/>
            </w:pPr>
            <w:r>
              <w:rPr>
                <w:b/>
                <w:i/>
              </w:rPr>
              <w:t>e)</w:t>
            </w:r>
            <w:r>
              <w:tab/>
            </w:r>
            <w:r>
              <w:t>Säkerställa att fartyg som är verksamma i SPRFMO:s konventionsområde</w:t>
            </w:r>
            <w:r>
              <w:rPr>
                <w:b/>
                <w:i/>
              </w:rPr>
              <w:t>, inom varje fartygs tekniska och driftsmässiga begränsningar,</w:t>
            </w:r>
            <w:r>
              <w:t xml:space="preserve"> har tillräckligt utrymme för att observatören vid behov ska kunna utföra provtagning av bifångster eller annan provtagning, på ett säkert sätt som begränsar störningar av fartygets insatser, med en särskild provtagningsstation och annan utrustning, såsom vågar.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13</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28s – led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w:t>
            </w:r>
            <w:r>
              <w:tab/>
            </w:r>
            <w:r>
              <w:t>Under den tid som observatören befinner sig ombord på fartyget, utan kostnad för observatören, observatörsprogrammet eller tjänsteleverantören, erbjuda observatören mat, logi, lämpliga sanitära utrymmen och sjukvårdsutrustning av samma standard som de som normalt är tillgängliga för befäl ombord på fartyget i enlighet med allmänt vedertagna internationella normer.</w:t>
            </w:r>
          </w:p>
        </w:tc>
        <w:tc>
          <w:tcPr>
            <w:tcW w:w="4876" w:type="dxa"/>
            <w:tcBorders>
              <w:top w:val="nil"/>
              <w:left w:val="nil"/>
              <w:bottom w:val="nil"/>
              <w:right w:val="nil"/>
            </w:tcBorders>
          </w:tcPr>
          <w:p>
            <w:pPr>
              <w:pStyle w:val="Normal6a"/>
            </w:pPr>
            <w:r>
              <w:rPr>
                <w:b/>
                <w:i/>
              </w:rPr>
              <w:t>l)</w:t>
            </w:r>
            <w:r>
              <w:tab/>
            </w:r>
            <w:r>
              <w:t>Under den tid som observatören befinner sig ombord på fartyget, utan kostnad för observatören, observatörsprogrammet eller tjänsteleverantören, erbjuda observatören mat, logi, lämpliga sanitära utrymmen och sjukvårdsutrustning av samma standard som de som normalt är tillgängliga för befäl ombord på fartyget i enlighet med allmänt vedertagna internationella normer</w:t>
            </w:r>
            <w:r>
              <w:rPr>
                <w:b/>
                <w:i/>
              </w:rPr>
              <w:t>, i den utsträckning fartyget har kapacitet till detta och utan att riskera de minimala levnadsförhållandena för besättningen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Séverine Werbrouck, Ton Diepeveen,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stycke 1 – led 13</w:t>
      </w:r>
      <w:r>
        <w:rPr>
          <w:rStyle w:val="HideTWBExt"/>
        </w:rPr>
        <w:t>&lt;/Article&gt;</w:t>
      </w:r>
    </w:p>
    <w:p>
      <w:r>
        <w:rPr>
          <w:rStyle w:val="HideTWBExt"/>
        </w:rPr>
        <w:t>&lt;DocAmend2&gt;</w:t>
      </w:r>
      <w:r>
        <w:t>Förordning (EU) 2018/975</w:t>
      </w:r>
      <w:r>
        <w:rPr>
          <w:rStyle w:val="HideTWBExt"/>
        </w:rPr>
        <w:t>&lt;/DocAmend2&gt;</w:t>
      </w:r>
    </w:p>
    <w:p>
      <w:r>
        <w:rPr>
          <w:rStyle w:val="HideTWBExt"/>
        </w:rPr>
        <w:t>&lt;Article2&gt;</w:t>
      </w:r>
      <w:r>
        <w:t>Artikel 28s – led q</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t>Ge observatören tillräckligt utrymme på bryggan eller i andra särskilda utrymmen för kontorsarbete samt tillräckligt utrymme på däck eller vid beredningsanläggningar för att denne ska kunna fullgöra sina skyldigheter.</w:t>
            </w:r>
          </w:p>
        </w:tc>
        <w:tc>
          <w:tcPr>
            <w:tcW w:w="4876" w:type="dxa"/>
            <w:tcBorders>
              <w:top w:val="nil"/>
              <w:left w:val="nil"/>
              <w:bottom w:val="nil"/>
              <w:right w:val="nil"/>
            </w:tcBorders>
          </w:tcPr>
          <w:p>
            <w:pPr>
              <w:pStyle w:val="Normal6a"/>
            </w:pPr>
            <w:r>
              <w:rPr>
                <w:b/>
                <w:i/>
              </w:rPr>
              <w:t>q)</w:t>
            </w:r>
            <w:r>
              <w:tab/>
            </w:r>
            <w:r>
              <w:t>Ge observatören</w:t>
            </w:r>
            <w:r>
              <w:rPr>
                <w:b/>
                <w:i/>
              </w:rPr>
              <w:t>, inom varje fartygs begränsningar avseende inredning,</w:t>
            </w:r>
            <w:r>
              <w:t xml:space="preserve"> tillräckligt utrymme på bryggan eller i andra särskilda utrymmen för kontorsarbete samt tillräckligt utrymme på däck eller vid beredningsanläggningar för att denne ska kunna fullgöra sina skyldigheter.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stycke 1 – led 8</w:t>
      </w:r>
      <w:r>
        <w:rPr>
          <w:rStyle w:val="HideTWBExt"/>
        </w:rPr>
        <w:t>&lt;/Article&gt;</w:t>
      </w:r>
    </w:p>
    <w:p>
      <w:r>
        <w:rPr>
          <w:rStyle w:val="HideTWBExt"/>
        </w:rPr>
        <w:t>&lt;DocAmend2&gt;</w:t>
      </w:r>
      <w:r>
        <w:t>Förordning (EU) 833/2019</w:t>
      </w:r>
      <w:r>
        <w:rPr>
          <w:rStyle w:val="HideTWBExt"/>
        </w:rPr>
        <w:t>&lt;/DocAmend2&gt;</w:t>
      </w:r>
    </w:p>
    <w:p>
      <w:r>
        <w:rPr>
          <w:rStyle w:val="HideTWBExt"/>
        </w:rPr>
        <w:t>&lt;Article2&gt;</w:t>
      </w:r>
      <w:r>
        <w:t>Artikel 30 – punkt 3 – led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översända övervakningsrapporten rörande en iakttagelse enligt punkt 2 till EFCA, som utan dröjsmål ska överlämna den till Nafos sekretariatschef </w:t>
            </w:r>
            <w:r>
              <w:rPr>
                <w:b/>
                <w:i/>
              </w:rPr>
              <w:t>för vidarebefordran till den avtalsslutande part som är fartygets flaggstat</w:t>
            </w:r>
            <w:r>
              <w:t>,</w:t>
            </w:r>
          </w:p>
        </w:tc>
        <w:tc>
          <w:tcPr>
            <w:tcW w:w="4876" w:type="dxa"/>
            <w:tcBorders>
              <w:top w:val="nil"/>
              <w:left w:val="nil"/>
              <w:bottom w:val="nil"/>
              <w:right w:val="nil"/>
            </w:tcBorders>
          </w:tcPr>
          <w:p>
            <w:pPr>
              <w:pStyle w:val="Normal6a"/>
            </w:pPr>
            <w:r>
              <w:t>b.</w:t>
            </w:r>
            <w:r>
              <w:tab/>
            </w:r>
            <w:r>
              <w:t>översända övervakningsrapporten rörande en iakttagelse enligt punkt 2 till EFCA, som utan dröjsmål ska överlämna den till Nafos sekretariatschef,</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Följande ändringsförslag ersätter ändringsförslag 135.</w:t>
      </w:r>
    </w:p>
    <w:p>
      <w:r>
        <w:rPr>
          <w:rStyle w:val="HideTWBExt"/>
        </w:rPr>
        <w:t>&lt;/Amend&gt;</w:t>
      </w:r>
    </w:p>
    <w:p>
      <w:pPr>
        <w:pStyle w:val="AmNumberTabs"/>
      </w:pPr>
      <w:r>
        <w:rPr>
          <w:rStyle w:val="HideTWBExt"/>
        </w:rPr>
        <w:t>&lt;Amend&gt;</w:t>
      </w:r>
      <w:r>
        <w:t>Ändringsförslag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Thomas Bajada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stycke 1 – led 1</w:t>
      </w:r>
      <w:r>
        <w:rPr>
          <w:rStyle w:val="HideTWBExt"/>
        </w:rPr>
        <w:t>&lt;/Article&gt;</w:t>
      </w:r>
    </w:p>
    <w:p>
      <w:r>
        <w:rPr>
          <w:rStyle w:val="HideTWBExt"/>
        </w:rPr>
        <w:t>&lt;DocAmend2&gt;</w:t>
      </w:r>
      <w:r>
        <w:t>Förordning (EU) 2021/56</w:t>
      </w:r>
      <w:r>
        <w:rPr>
          <w:rStyle w:val="HideTWBExt"/>
        </w:rPr>
        <w:t>&lt;/DocAmend2&gt;</w:t>
      </w:r>
    </w:p>
    <w:p>
      <w:r>
        <w:rPr>
          <w:rStyle w:val="HideTWBExt"/>
        </w:rPr>
        <w:t>&lt;Article2&gt;</w:t>
      </w:r>
      <w:r>
        <w:t>Artikel 4 – punkt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Snörpvadsfartyg som </w:t>
            </w:r>
            <w:r>
              <w:rPr>
                <w:b/>
                <w:i/>
              </w:rPr>
              <w:t>överskrider</w:t>
            </w:r>
            <w:r>
              <w:t xml:space="preserve"> sin årliga fångstbegränsning </w:t>
            </w:r>
            <w:r>
              <w:rPr>
                <w:b/>
                <w:i/>
              </w:rPr>
              <w:t>ska</w:t>
            </w:r>
            <w:r>
              <w:t xml:space="preserve"> omfattas av en </w:t>
            </w:r>
            <w:r>
              <w:rPr>
                <w:b/>
                <w:i/>
              </w:rPr>
              <w:t>förlängd</w:t>
            </w:r>
            <w:r>
              <w:t xml:space="preserve"> stängningsperiod under det påföljande året</w:t>
            </w:r>
            <w:r>
              <w:rPr>
                <w:b/>
                <w:i/>
              </w:rPr>
              <w:t>.</w:t>
            </w:r>
            <w:r>
              <w:t xml:space="preserve"> </w:t>
            </w:r>
            <w:r>
              <w:rPr>
                <w:b/>
                <w:i/>
              </w:rPr>
              <w:t>Den stängningsperiod som avses i punkt 1 ska förlängas med ytterligare tio dagar för snörpvadsfartyg som överskred den årliga fångstbegränsningen på 1 200 ton storögd tonfisk under det föregående året.</w:t>
            </w:r>
            <w:r>
              <w:t xml:space="preserve"> </w:t>
            </w:r>
            <w:r>
              <w:rPr>
                <w:b/>
                <w:i/>
              </w:rPr>
              <w:t>För snörpvadsfartyg som överskred den årliga fångstbegränsningen på 1 500 ton storögd tonfisk ska stängningsperioden förlängas med 13 dagar.</w:t>
            </w:r>
            <w:r>
              <w:t xml:space="preserve"> </w:t>
            </w:r>
            <w:r>
              <w:rPr>
                <w:b/>
                <w:i/>
              </w:rPr>
              <w:t>För snörpvadsfartyg som överskred den årliga fångstbegränsningen på 1 800 ton storögd tonfisk ska stängningsperioden förlängas med 16 dagar</w:t>
            </w:r>
            <w:r>
              <w:t xml:space="preserve">, </w:t>
            </w:r>
            <w:r>
              <w:rPr>
                <w:b/>
                <w:i/>
              </w:rPr>
              <w:t>för snörpvadsfartyg som överskred den årliga fångstbegränsningen på 2 100 ton ska stängningsperioden förlängas med 19 dagar, och för snörpvadsfartyg som överskred den årliga fångstbegränsningen på 2 400 ton ska stängningsperioden förlängas med 22 dagar, utöver den stängning som avses i punkt 1.</w:t>
            </w:r>
            <w:r>
              <w:t xml:space="preserve"> </w:t>
            </w:r>
            <w:r>
              <w:rPr>
                <w:b/>
                <w:i/>
              </w:rPr>
              <w:t>De ytterligare stängningsdagarna</w:t>
            </w:r>
            <w:r>
              <w:t xml:space="preserve"> enligt </w:t>
            </w:r>
            <w:r>
              <w:rPr>
                <w:b/>
                <w:i/>
              </w:rPr>
              <w:t>denna punkt ska vid behov läggas till i början av stängningen för fartyg som iakttar den första perioden och i slutet av stängningen för fartyg som iakttar den andra perioden, så att den första perioden alltid avslutas den 8 oktober och den andra perioden alltid inleds den 9 november varje år.</w:t>
            </w:r>
          </w:p>
        </w:tc>
        <w:tc>
          <w:tcPr>
            <w:tcW w:w="4876" w:type="dxa"/>
            <w:tcBorders>
              <w:top w:val="nil"/>
              <w:left w:val="nil"/>
              <w:bottom w:val="nil"/>
              <w:right w:val="nil"/>
            </w:tcBorders>
          </w:tcPr>
          <w:p>
            <w:pPr>
              <w:pStyle w:val="Normal6a"/>
            </w:pPr>
            <w:r>
              <w:t>1a.</w:t>
            </w:r>
            <w:r>
              <w:tab/>
            </w:r>
            <w:r>
              <w:rPr>
                <w:b/>
                <w:i/>
              </w:rPr>
              <w:t>För åren 2026 och 2027–2028 ska</w:t>
            </w:r>
            <w:r>
              <w:t xml:space="preserve"> snörpvadsfartyg som </w:t>
            </w:r>
            <w:r>
              <w:rPr>
                <w:b/>
                <w:i/>
              </w:rPr>
              <w:t>föregående år har överskridit</w:t>
            </w:r>
            <w:r>
              <w:t xml:space="preserve"> sin årliga fångstbegränsning omfattas av en </w:t>
            </w:r>
            <w:r>
              <w:rPr>
                <w:b/>
                <w:i/>
              </w:rPr>
              <w:t>längre</w:t>
            </w:r>
            <w:r>
              <w:t xml:space="preserve"> stängningsperiod </w:t>
            </w:r>
            <w:r>
              <w:rPr>
                <w:b/>
                <w:i/>
              </w:rPr>
              <w:t>enligt punkt 1</w:t>
            </w:r>
            <w:r>
              <w:t xml:space="preserve"> under det påföljande året, enligt </w:t>
            </w:r>
            <w:r>
              <w:rPr>
                <w:b/>
                <w:i/>
              </w:rPr>
              <w:t>följande: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För snörpvadsfartyg som överskred den årliga fångstbegränsningen på 1 200 ton storögd tonfisk ska stängningsperioden förlängas med tio dagar.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För snörpvadsfartyg som överskred den årliga fångstbegränsningen på 1 500 ton storögd tonfisk ska stängningsperioden förlängas med 13 dagar.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För snörpvadsfartyg som överskred den årliga fångstbegränsningen på 1 800 ton storögd tonfisk ska stängningsperioden förlängas med 16 dagar.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För snörpvadsfartyg som överskred den årliga fångstbegränsningen på 2 100 ton ska stängningsperioden förlängas med 19 dagar.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För snörpvadsfartyg som överskred den årliga fångstbegränsningen på 2 400 ton ska stängningsperioden förlängas med 22 dagar.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aa. De ytterligare stängningsdagarna enligt punkt 1a ska vid behov läggas till i början av stängningen för fartyg som iakttar den första perioden och i slutet av stängningen för fartyg som iakttar den andra perioden, så att den första perioden alltid avslutas den 8 oktober och den andra perioden alltid inleds den 9 november varje år.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Följande ändringsförslag ersätter ändringsförslag 140.</w:t>
      </w:r>
    </w:p>
    <w:p>
      <w:r>
        <w:rPr>
          <w:rStyle w:val="HideTWBExt"/>
        </w:rPr>
        <w:t>&lt;/Amend&gt;</w:t>
      </w:r>
    </w:p>
    <w:p>
      <w:pPr>
        <w:pStyle w:val="AmNumberTabs"/>
      </w:pPr>
      <w:r>
        <w:rPr>
          <w:rStyle w:val="HideTWBExt"/>
        </w:rPr>
        <w:t>&lt;Amend&gt;</w:t>
      </w:r>
      <w:r>
        <w:t>Ändringsförslag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stycke 1 – led 1</w:t>
      </w:r>
      <w:r>
        <w:rPr>
          <w:rStyle w:val="HideTWBExt"/>
        </w:rPr>
        <w:t>&lt;/Article&gt;</w:t>
      </w:r>
    </w:p>
    <w:p>
      <w:r>
        <w:rPr>
          <w:rStyle w:val="HideTWBExt"/>
        </w:rPr>
        <w:t>&lt;DocAmend2&gt;</w:t>
      </w:r>
      <w:r>
        <w:t>Förordning (EU) 2021/56</w:t>
      </w:r>
      <w:r>
        <w:rPr>
          <w:rStyle w:val="HideTWBExt"/>
        </w:rPr>
        <w:t>&lt;/DocAmend2&gt;</w:t>
      </w:r>
    </w:p>
    <w:p>
      <w:r>
        <w:rPr>
          <w:rStyle w:val="HideTWBExt"/>
        </w:rPr>
        <w:t>&lt;Article2&gt;</w:t>
      </w:r>
      <w:r>
        <w:t>Artikel 4 – punkt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Snörpvadsfartyg som överskrider sin årliga fångstbegränsning ska omfattas av en förlängd stängningsperiod under det påföljande året. Den stängningsperiod som avses i punkt 1 ska förlängas med ytterligare tio dagar för snörpvadsfartyg som överskred den årliga fångstbegränsningen på </w:t>
            </w:r>
            <w:r>
              <w:rPr>
                <w:b/>
                <w:i/>
              </w:rPr>
              <w:t>1 200</w:t>
            </w:r>
            <w:r>
              <w:t xml:space="preserve"> ton storögd tonfisk under det föregående året. För snörpvadsfartyg som överskred den årliga fångstbegränsningen på </w:t>
            </w:r>
            <w:r>
              <w:rPr>
                <w:b/>
                <w:i/>
              </w:rPr>
              <w:t>1 500</w:t>
            </w:r>
            <w:r>
              <w:t xml:space="preserve"> ton storögd tonfisk ska stängningsperioden förlängas med 13 dagar. För snörpvadsfartyg som överskred den årliga fångstbegränsningen på </w:t>
            </w:r>
            <w:r>
              <w:rPr>
                <w:b/>
                <w:i/>
              </w:rPr>
              <w:t>1 800</w:t>
            </w:r>
            <w:r>
              <w:t xml:space="preserve"> ton storögd tonfisk ska stängningsperioden förlängas med 16 dagar, för snörpvadsfartyg som överskred den årliga fångstbegränsningen på </w:t>
            </w:r>
            <w:r>
              <w:rPr>
                <w:b/>
                <w:i/>
              </w:rPr>
              <w:t>2 100</w:t>
            </w:r>
            <w:r>
              <w:t xml:space="preserve"> ton ska stängningsperioden förlängas med 19 dagar, och för snörpvadsfartyg som överskred den årliga fångstbegränsningen på </w:t>
            </w:r>
            <w:r>
              <w:rPr>
                <w:b/>
                <w:i/>
              </w:rPr>
              <w:t>2 400</w:t>
            </w:r>
            <w:r>
              <w:t xml:space="preserve"> ton ska stängningsperioden förlängas med 22 dagar, utöver den stängning som avses i punkt 1. De ytterligare stängningsdagarna enligt denna punkt ska vid behov läggas till i början av stängningen för fartyg som iakttar den första perioden och i slutet av stängningen för fartyg som iakttar den andra perioden, så att den första perioden alltid avslutas den 8 oktober och den andra perioden alltid inleds den 9 november varje år.</w:t>
            </w:r>
          </w:p>
        </w:tc>
        <w:tc>
          <w:tcPr>
            <w:tcW w:w="4876" w:type="dxa"/>
            <w:tcBorders>
              <w:top w:val="nil"/>
              <w:left w:val="nil"/>
              <w:bottom w:val="nil"/>
              <w:right w:val="nil"/>
            </w:tcBorders>
          </w:tcPr>
          <w:p>
            <w:pPr>
              <w:pStyle w:val="Normal6a"/>
            </w:pPr>
            <w:r>
              <w:t>1a.</w:t>
            </w:r>
            <w:r>
              <w:tab/>
            </w:r>
            <w:r>
              <w:t>Snörpvadsfartyg som överskrider sin årliga fångstbegränsning ska omfattas av en förlängd stängningsperiod under det påföljande året</w:t>
            </w:r>
            <w:r>
              <w:rPr>
                <w:b/>
                <w:i/>
              </w:rPr>
              <w:t>, som ska gälla från 2026 till 2028.</w:t>
            </w:r>
            <w:r>
              <w:t xml:space="preserve">. Den stängningsperiod som avses i punkt 1 ska förlängas med ytterligare tio dagar för snörpvadsfartyg som överskred den årliga fångstbegränsningen på </w:t>
            </w:r>
            <w:r>
              <w:rPr>
                <w:b/>
                <w:i/>
              </w:rPr>
              <w:t>1 200</w:t>
            </w:r>
            <w:r>
              <w:t xml:space="preserve"> ton storögd tonfisk under det föregående året. För snörpvadsfartyg som överskred den årliga fångstbegränsningen på </w:t>
            </w:r>
            <w:r>
              <w:rPr>
                <w:b/>
                <w:i/>
              </w:rPr>
              <w:t>1 500</w:t>
            </w:r>
            <w:r>
              <w:t xml:space="preserve"> ton storögd tonfisk ska stängningsperioden förlängas med 13 dagar. För snörpvadsfartyg som överskred den årliga fångstbegränsningen på </w:t>
            </w:r>
            <w:r>
              <w:rPr>
                <w:b/>
                <w:i/>
              </w:rPr>
              <w:t>1 800</w:t>
            </w:r>
            <w:r>
              <w:t xml:space="preserve"> ton storögd tonfisk ska stängningsperioden förlängas med 16 dagar, för snörpvadsfartyg som överskred den årliga fångstbegränsningen på </w:t>
            </w:r>
            <w:r>
              <w:rPr>
                <w:b/>
                <w:i/>
              </w:rPr>
              <w:t>2 100</w:t>
            </w:r>
            <w:r>
              <w:t xml:space="preserve"> ton ska stängningsperioden förlängas med 19 dagar, och för snörpvadsfartyg som överskred den årliga fångstbegränsningen på </w:t>
            </w:r>
            <w:r>
              <w:rPr>
                <w:b/>
                <w:i/>
              </w:rPr>
              <w:t>2 400</w:t>
            </w:r>
            <w:r>
              <w:t xml:space="preserve"> ton ska stängningsperioden förlängas med 22 dagar, utöver den stängning som avses i punkt 1. De ytterligare stängningsdagarna enligt denna punkt ska vid behov läggas till i början av stängningen för fartyg som iakttar den första perioden och i slutet av stängningen för fartyg som iakttar den andra perioden, så att den första perioden alltid avslutas den 8 oktober och den andra perioden alltid inleds den 9 november varje 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stycke 1 – led 6</w:t>
      </w:r>
      <w:r>
        <w:rPr>
          <w:rStyle w:val="HideTWBExt"/>
        </w:rPr>
        <w:t>&lt;/Article&gt;</w:t>
      </w:r>
    </w:p>
    <w:p>
      <w:r>
        <w:rPr>
          <w:rStyle w:val="HideTWBExt"/>
        </w:rPr>
        <w:t>&lt;DocAmend2&gt;</w:t>
      </w:r>
      <w:r>
        <w:t>Förordning (EU) 2021/56</w:t>
      </w:r>
      <w:r>
        <w:rPr>
          <w:rStyle w:val="HideTWBExt"/>
        </w:rPr>
        <w:t>&lt;/DocAmend2&gt;</w:t>
      </w:r>
    </w:p>
    <w:p>
      <w:r>
        <w:rPr>
          <w:rStyle w:val="HideTWBExt"/>
        </w:rPr>
        <w:t>&lt;Article2&gt;</w:t>
      </w:r>
      <w:r>
        <w:t>Artikel 10 – led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Unionsfiskefartyg får inte fiska i yngelområden för silkeshaj som har identifierats av IATTC.</w:t>
            </w:r>
          </w:p>
        </w:tc>
        <w:tc>
          <w:tcPr>
            <w:tcW w:w="4876" w:type="dxa"/>
            <w:tcBorders>
              <w:top w:val="nil"/>
              <w:left w:val="nil"/>
              <w:bottom w:val="nil"/>
              <w:right w:val="nil"/>
            </w:tcBorders>
          </w:tcPr>
          <w:p>
            <w:pPr>
              <w:pStyle w:val="Normal6a"/>
            </w:pPr>
            <w:r>
              <w:t>9.</w:t>
            </w:r>
            <w:r>
              <w:tab/>
            </w:r>
            <w:r>
              <w:t xml:space="preserve">Unionsfiskefartyg får inte fiska i yngelområden för silkeshaj som har identifierats av IATTC. </w:t>
            </w:r>
            <w:r>
              <w:rPr>
                <w:b/>
                <w:i/>
              </w:rPr>
              <w:t>Medlemsstaterna ska göra informationen om dessa områden tillgänglig för unionsfiskefartygens operatörer.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Séverine Werbrouck,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stycke 1 – led 3</w:t>
      </w:r>
      <w:r>
        <w:rPr>
          <w:rStyle w:val="HideTWBExt"/>
        </w:rPr>
        <w:t>&lt;/Article&gt;</w:t>
      </w:r>
    </w:p>
    <w:p>
      <w:r>
        <w:rPr>
          <w:rStyle w:val="HideTWBExt"/>
        </w:rPr>
        <w:t>&lt;DocAmend2&gt;</w:t>
      </w:r>
      <w:r>
        <w:t>Förordning (EU) 2022/2343</w:t>
      </w:r>
      <w:r>
        <w:rPr>
          <w:rStyle w:val="HideTWBExt"/>
        </w:rPr>
        <w:t>&lt;/DocAmend2&gt;</w:t>
      </w:r>
    </w:p>
    <w:p>
      <w:r>
        <w:rPr>
          <w:rStyle w:val="HideTWBExt"/>
        </w:rPr>
        <w:t>&lt;Article2&gt;</w:t>
      </w:r>
      <w:r>
        <w:t>Artikel 5a – punkt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Medlemsstaterna får besluta att förbjuda fartyg som för deras flagg att fiska efter storögd tonfisk, gulfenad tonfisk och bonit i IOTC:s behörighetsområde under period av minst </w:t>
            </w:r>
            <w:r>
              <w:rPr>
                <w:b/>
                <w:i/>
              </w:rPr>
              <w:t>31</w:t>
            </w:r>
            <w:r>
              <w:t xml:space="preserve"> dagar i följd. Fartyg med en största längd (LOA) på mindre än 12 meter som fiskar i en medlemsstats exklusiva ekonomiska zon </w:t>
            </w:r>
            <w:r>
              <w:rPr>
                <w:b/>
                <w:i/>
              </w:rPr>
              <w:t>får</w:t>
            </w:r>
            <w:r>
              <w:t xml:space="preserve"> undantas.</w:t>
            </w:r>
          </w:p>
        </w:tc>
        <w:tc>
          <w:tcPr>
            <w:tcW w:w="4876" w:type="dxa"/>
            <w:tcBorders>
              <w:top w:val="nil"/>
              <w:left w:val="nil"/>
              <w:bottom w:val="nil"/>
              <w:right w:val="nil"/>
            </w:tcBorders>
          </w:tcPr>
          <w:p>
            <w:pPr>
              <w:pStyle w:val="Normal6a"/>
            </w:pPr>
            <w:r>
              <w:t>1.</w:t>
            </w:r>
            <w:r>
              <w:tab/>
            </w:r>
            <w:r>
              <w:t xml:space="preserve">Medlemsstaterna får besluta att förbjuda fartyg som för deras flagg att fiska efter storögd tonfisk, gulfenad tonfisk och bonit i IOTC:s behörighetsområde under period av minst </w:t>
            </w:r>
            <w:r>
              <w:rPr>
                <w:b/>
                <w:i/>
              </w:rPr>
              <w:t>20</w:t>
            </w:r>
            <w:r>
              <w:t xml:space="preserve"> dagar i följd. Fartyg med en största längd (LOA) på mindre än 12 meter som fiskar i en medlemsstats exklusiva ekonomiska zon </w:t>
            </w:r>
            <w:r>
              <w:rPr>
                <w:b/>
                <w:i/>
              </w:rPr>
              <w:t>ska i princip</w:t>
            </w:r>
            <w:r>
              <w:t xml:space="preserve"> undantas </w:t>
            </w:r>
            <w:r>
              <w:rPr>
                <w:b/>
                <w:i/>
              </w:rPr>
              <w:t>från detta förbud, såvida inte medlemsstaten beslutar något annat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stycke 1 – led 4</w:t>
      </w:r>
      <w:r>
        <w:rPr>
          <w:rStyle w:val="HideTWBExt"/>
        </w:rPr>
        <w:t>&lt;/Article&gt;</w:t>
      </w:r>
    </w:p>
    <w:p>
      <w:r>
        <w:rPr>
          <w:rStyle w:val="HideTWBExt"/>
        </w:rPr>
        <w:t>&lt;DocAmend2&gt;</w:t>
      </w:r>
      <w:r>
        <w:t>Förordning (EU) 2022/2343</w:t>
      </w:r>
      <w:r>
        <w:rPr>
          <w:rStyle w:val="HideTWBExt"/>
        </w:rPr>
        <w:t>&lt;/DocAmend2&gt;</w:t>
      </w:r>
    </w:p>
    <w:p>
      <w:r>
        <w:rPr>
          <w:rStyle w:val="HideTWBExt"/>
        </w:rPr>
        <w:t>&lt;Article2&gt;</w:t>
      </w:r>
      <w:r>
        <w:t>Artikel 8a – stycke 8a (ny)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Medlemsstaterna får undanta fartyg med en största längd (LOA) på mindre än 12 meter och fartyg som uteslutande bedriver småskaligt kustfiske från skyldigheterna i samband med utplacering, övervakning och rapportering av drivande anordningar som samlar fisk, om dessa fartyg inte använder sådana anordningar i sin reguljära verksamhet.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stycke 1 – led 5</w:t>
      </w:r>
      <w:r>
        <w:rPr>
          <w:rStyle w:val="HideTWBExt"/>
        </w:rPr>
        <w:t>&lt;/Article&gt;</w:t>
      </w:r>
    </w:p>
    <w:p>
      <w:r>
        <w:rPr>
          <w:rStyle w:val="HideTWBExt"/>
        </w:rPr>
        <w:t>&lt;DocAmend2&gt;</w:t>
      </w:r>
      <w:r>
        <w:t>Förordning (EU) 2022/2343</w:t>
      </w:r>
      <w:r>
        <w:rPr>
          <w:rStyle w:val="HideTWBExt"/>
        </w:rPr>
        <w:t>&lt;/DocAmend2&gt;</w:t>
      </w:r>
    </w:p>
    <w:p>
      <w:r>
        <w:rPr>
          <w:rStyle w:val="HideTWBExt"/>
        </w:rPr>
        <w:t>&lt;Article2&gt;</w:t>
      </w:r>
      <w:r>
        <w:t>Artikel 8b – stycke 2 – led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från och med den 1 januari 2026 inte längre använda drivande anordningar som samlar fisk i kategori V och endast använda drivande anordningar som samlar fisk i kategorierna I, II, III och IV, enligt definitionen i bilaga III</w:t>
            </w:r>
            <w:r>
              <w:rPr>
                <w:b/>
                <w:i/>
              </w:rPr>
              <w:t>,</w:t>
            </w:r>
          </w:p>
        </w:tc>
        <w:tc>
          <w:tcPr>
            <w:tcW w:w="4876" w:type="dxa"/>
            <w:tcBorders>
              <w:top w:val="nil"/>
              <w:left w:val="nil"/>
              <w:bottom w:val="nil"/>
              <w:right w:val="nil"/>
            </w:tcBorders>
          </w:tcPr>
          <w:p>
            <w:pPr>
              <w:pStyle w:val="Normal6a"/>
            </w:pPr>
            <w:r>
              <w:rPr>
                <w:b/>
                <w:i/>
              </w:rPr>
              <w:t>a)</w:t>
            </w:r>
            <w:r>
              <w:tab/>
            </w:r>
            <w:r>
              <w:t>från och med den 1 januari 2026 inte längre använda drivande anordningar som samlar fisk i kategori V och endast använda drivande anordningar som samlar fisk i kategorierna I, II, III och IV, enligt definitionen i bilaga III</w:t>
            </w:r>
            <w:r>
              <w:rPr>
                <w:b/>
                <w:i/>
              </w:rPr>
              <w:t>.</w:t>
            </w:r>
            <w:r>
              <w:t xml:space="preserve"> </w:t>
            </w:r>
            <w:r>
              <w:rPr>
                <w:b/>
                <w:i/>
              </w:rPr>
              <w:t>Detta förbud ska inte gälla traditionella eller icke-industriella fiskeredskap som inte används för industriell aggregering och inte bidrar till utarmning av bestånden.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stycke 1 – led 5</w:t>
      </w:r>
      <w:r>
        <w:rPr>
          <w:rStyle w:val="HideTWBExt"/>
        </w:rPr>
        <w:t>&lt;/Article&gt;</w:t>
      </w:r>
    </w:p>
    <w:p>
      <w:r>
        <w:rPr>
          <w:rStyle w:val="HideTWBExt"/>
        </w:rPr>
        <w:t>&lt;DocAmend2&gt;</w:t>
      </w:r>
      <w:r>
        <w:t>Förordning (EU) 2022/2343</w:t>
      </w:r>
      <w:r>
        <w:rPr>
          <w:rStyle w:val="HideTWBExt"/>
        </w:rPr>
        <w:t>&lt;/DocAmend2&gt;</w:t>
      </w:r>
    </w:p>
    <w:p>
      <w:r>
        <w:rPr>
          <w:rStyle w:val="HideTWBExt"/>
        </w:rPr>
        <w:t>&lt;Article2&gt;</w:t>
      </w:r>
      <w:r>
        <w:t>Artikel 8b – stycke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Från och med</w:t>
            </w:r>
            <w:r>
              <w:t xml:space="preserve"> den 1 januari 2026 ska drivande anordningar som samlar fisk vara permanent märkta med en särskild unik IOTC-identifikationskod för drivande anordning som samlar fisk, som tillhandahålls av IOTC:s sekretariat. Märkningen ska vara åtskild från instrumentbojens egen märkning.</w:t>
            </w:r>
          </w:p>
        </w:tc>
        <w:tc>
          <w:tcPr>
            <w:tcW w:w="4876" w:type="dxa"/>
            <w:tcBorders>
              <w:top w:val="nil"/>
              <w:left w:val="nil"/>
              <w:bottom w:val="nil"/>
              <w:right w:val="nil"/>
            </w:tcBorders>
          </w:tcPr>
          <w:p>
            <w:pPr>
              <w:pStyle w:val="Normal6a"/>
            </w:pPr>
            <w:r>
              <w:t>4.</w:t>
            </w:r>
            <w:r>
              <w:tab/>
            </w:r>
            <w:r>
              <w:rPr>
                <w:b/>
                <w:i/>
              </w:rPr>
              <w:t>När IOTC:s förfarande för identifiering av drivande anordningar som samlar fisk har inrättats och tidigast</w:t>
            </w:r>
            <w:r>
              <w:t xml:space="preserve"> den 1 januari 2026 ska drivande anordningar som samlar fisk vara permanent märkta med en särskild unik IOTC-identifikationskod för drivande anordning som samlar fisk, som tillhandahålls av IOTC:s sekretariat. Märkningen ska vara åtskild från instrumentbojens egen märkning.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stycke 1 – led 6</w:t>
      </w:r>
      <w:r>
        <w:rPr>
          <w:rStyle w:val="HideTWBExt"/>
        </w:rPr>
        <w:t>&lt;/Article&gt;</w:t>
      </w:r>
    </w:p>
    <w:p>
      <w:r>
        <w:rPr>
          <w:rStyle w:val="HideTWBExt"/>
        </w:rPr>
        <w:t>&lt;DocAmend2&gt;</w:t>
      </w:r>
      <w:r>
        <w:t>Förordning (EU) 2022/2343</w:t>
      </w:r>
      <w:r>
        <w:rPr>
          <w:rStyle w:val="HideTWBExt"/>
        </w:rPr>
        <w:t>&lt;/DocAmend2&gt;</w:t>
      </w:r>
    </w:p>
    <w:p>
      <w:r>
        <w:rPr>
          <w:rStyle w:val="HideTWBExt"/>
        </w:rPr>
        <w:t>&lt;Article2&gt;</w:t>
      </w:r>
      <w:r>
        <w:t>Artikel 8c – stycke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Unionsfiskefartyg ska vid utgången av varje kalenderår lämna information till sin flaggmedlemsstat om det antal instrumentbojar som tilldelats dem, inbegripet instrumentbojar som har förlorats eller övergetts och/eller kasserats; denna information ska lämnas för varje 1°×1°-ruta, för varje månad och för varje typ av drivande anordning som samlar fisk. Informationen </w:t>
            </w:r>
            <w:r>
              <w:rPr>
                <w:b/>
                <w:i/>
              </w:rPr>
              <w:t>ska stratifieras</w:t>
            </w:r>
            <w:r>
              <w:t xml:space="preserve"> per flotta, år, månad och 1x1-gradnät, och uttryckas som det genomsnittliga antalet aktiva instrumentbojar per dag i varje stratum. Medlemsstaterna ska skicka den informationen till kommissionen, i enlighet med artikel 51.2.</w:t>
            </w:r>
          </w:p>
        </w:tc>
        <w:tc>
          <w:tcPr>
            <w:tcW w:w="4876" w:type="dxa"/>
            <w:tcBorders>
              <w:top w:val="nil"/>
              <w:left w:val="nil"/>
              <w:bottom w:val="nil"/>
              <w:right w:val="nil"/>
            </w:tcBorders>
          </w:tcPr>
          <w:p>
            <w:pPr>
              <w:pStyle w:val="Normal6a"/>
            </w:pPr>
            <w:r>
              <w:t>2.</w:t>
            </w:r>
            <w:r>
              <w:tab/>
            </w:r>
            <w:r>
              <w:t xml:space="preserve">Unionsfiskefartyg ska vid utgången av varje kalenderår lämna information till sin flaggmedlemsstat om det antal instrumentbojar som tilldelats dem, inbegripet instrumentbojar som har förlorats eller övergetts och/eller kasserats; denna information ska lämnas för varje 1°×1°-ruta, för varje månad och för varje typ av drivande anordning som samlar fisk. </w:t>
            </w:r>
            <w:r>
              <w:rPr>
                <w:b/>
                <w:i/>
              </w:rPr>
              <w:t>Medlemsstaterna ska stratifiera</w:t>
            </w:r>
            <w:r>
              <w:t xml:space="preserve"> informationen per flotta, år, månad och 1x1-gradnät, och uttryckas som det genomsnittliga antalet aktiva instrumentbojar per dag i varje stratum. Medlemsstaterna ska skicka den informationen till kommissionen, i enlighet med artikel 51.2.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stycke 1 – led 6</w:t>
      </w:r>
      <w:r>
        <w:rPr>
          <w:rStyle w:val="HideTWBExt"/>
        </w:rPr>
        <w:t>&lt;/Article&gt;</w:t>
      </w:r>
    </w:p>
    <w:p>
      <w:r>
        <w:rPr>
          <w:rStyle w:val="HideTWBExt"/>
        </w:rPr>
        <w:t>&lt;DocAmend2&gt;</w:t>
      </w:r>
      <w:r>
        <w:t>Förordning (EU) 2022/2343</w:t>
      </w:r>
      <w:r>
        <w:rPr>
          <w:rStyle w:val="HideTWBExt"/>
        </w:rPr>
        <w:t>&lt;/DocAmend2&gt;</w:t>
      </w:r>
    </w:p>
    <w:p>
      <w:r>
        <w:rPr>
          <w:rStyle w:val="HideTWBExt"/>
        </w:rPr>
        <w:t>&lt;Article2&gt;</w:t>
      </w:r>
      <w:r>
        <w:t>Artikel 8c – stycke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Ägare till bojar</w:t>
            </w:r>
            <w:r>
              <w:t xml:space="preserve"> ska inkludera bojar som tagits i bruk före ikraftträdandet av registret för drivande anordningar som samlar fisk och som fortfarande är aktiva den 1 januari 2026, som är den dag då registret träder i kraft.</w:t>
            </w:r>
          </w:p>
        </w:tc>
        <w:tc>
          <w:tcPr>
            <w:tcW w:w="4876" w:type="dxa"/>
            <w:tcBorders>
              <w:top w:val="nil"/>
              <w:left w:val="nil"/>
              <w:bottom w:val="nil"/>
              <w:right w:val="nil"/>
            </w:tcBorders>
          </w:tcPr>
          <w:p>
            <w:pPr>
              <w:pStyle w:val="Normal6a"/>
            </w:pPr>
            <w:r>
              <w:t>5.</w:t>
            </w:r>
            <w:r>
              <w:tab/>
            </w:r>
            <w:r>
              <w:rPr>
                <w:b/>
                <w:i/>
              </w:rPr>
              <w:t>Medlemsstaterna</w:t>
            </w:r>
            <w:r>
              <w:t xml:space="preserve"> ska inkludera bojar som tagits i bruk före ikraftträdandet av registret för drivande anordningar som samlar fisk och som fortfarande är aktiva den 1 januari 2026, som är den dag då registret träder i 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r>
        <w:rPr>
          <w:rStyle w:val="HideTWBExt"/>
          <w:b w:val="0"/>
        </w:rPr>
        <w:t>&lt;AuNomDe&gt;</w:t>
      </w:r>
      <w:r>
        <w:rPr>
          <w:rStyle w:val="HideTWBInt"/>
        </w:rPr>
        <w:t>{ESN}</w:t>
      </w:r>
      <w:r>
        <w:t>för ESN-gruppen</w:t>
      </w:r>
      <w:r>
        <w:rPr>
          <w:rStyle w:val="HideTWBExt"/>
          <w:b w:val="0"/>
        </w:rPr>
        <w:t>&lt;/AuNomDe&gt;</w:t>
      </w:r>
    </w:p>
    <w:p>
      <w:pPr>
        <w:pStyle w:val="NormalBold"/>
      </w:pPr>
      <w:r>
        <w:rPr>
          <w:rStyle w:val="HideTWBExt"/>
          <w:b w:val="0"/>
        </w:rPr>
        <w:t>&lt;Members&gt;</w:t>
      </w:r>
      <w:r>
        <w:t>Siegbert Frank Droese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stycke 1 – led 12</w:t>
      </w:r>
      <w:r>
        <w:rPr>
          <w:rStyle w:val="HideTWBExt"/>
        </w:rPr>
        <w:t>&lt;/Article&gt;</w:t>
      </w:r>
    </w:p>
    <w:p>
      <w:r>
        <w:rPr>
          <w:rStyle w:val="HideTWBExt"/>
        </w:rPr>
        <w:t>&lt;DocAmend2&gt;</w:t>
      </w:r>
      <w:r>
        <w:t>Förordning (EU) 2022/2343</w:t>
      </w:r>
      <w:r>
        <w:rPr>
          <w:rStyle w:val="HideTWBExt"/>
        </w:rPr>
        <w:t>&lt;/DocAmend2&gt;</w:t>
      </w:r>
    </w:p>
    <w:p>
      <w:r>
        <w:rPr>
          <w:rStyle w:val="HideTWBExt"/>
        </w:rPr>
        <w:t>&lt;Article2&gt;</w:t>
      </w:r>
      <w:r>
        <w:t>Artikel 30 – punkt 6 – led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säkerställa att en fartygsövervakningsplan enligt bilaga 11 utarbetas för varje fartyg som är utrustat med EM-utrustning och överlämnas till medlemsstatens behöriga myndigheter,</w:t>
            </w:r>
          </w:p>
        </w:tc>
        <w:tc>
          <w:tcPr>
            <w:tcW w:w="4876" w:type="dxa"/>
            <w:tcBorders>
              <w:top w:val="nil"/>
              <w:left w:val="nil"/>
              <w:bottom w:val="nil"/>
              <w:right w:val="nil"/>
            </w:tcBorders>
          </w:tcPr>
          <w:p>
            <w:pPr>
              <w:pStyle w:val="Normal6a"/>
            </w:pPr>
            <w:r>
              <w:rPr>
                <w:b/>
                <w:i/>
              </w:rPr>
              <w:t>a)</w:t>
            </w:r>
            <w:r>
              <w:tab/>
            </w:r>
            <w:r>
              <w:t xml:space="preserve">säkerställa att en fartygsövervakningsplan enligt bilaga 11 utarbetas för varje fartyg som är utrustat med EM-utrustning och överlämnas till medlemsstatens behöriga myndigheter, </w:t>
            </w:r>
            <w:r>
              <w:rPr>
                <w:b/>
                <w:i/>
              </w:rPr>
              <w:t>som har full frihet att avgöra om EMS-installationen är lämplig mot bakgrund av den nationella flottans egenskaper och driftsförhållandena.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punkt 2 – led a</w:t>
      </w:r>
      <w:r>
        <w:rPr>
          <w:rStyle w:val="HideTWBExt"/>
        </w:rPr>
        <w:t>&lt;/Article&gt;</w:t>
      </w:r>
    </w:p>
    <w:p>
      <w:r>
        <w:rPr>
          <w:rStyle w:val="HideTWBExt"/>
        </w:rPr>
        <w:t>&lt;DocAmend2&gt;</w:t>
      </w:r>
      <w:r>
        <w:t>Förordning (EU) 2023/2053</w:t>
      </w:r>
      <w:r>
        <w:rPr>
          <w:rStyle w:val="HideTWBExt"/>
        </w:rPr>
        <w:t>&lt;/DocAmend2&gt;</w:t>
      </w:r>
    </w:p>
    <w:p>
      <w:r>
        <w:rPr>
          <w:rStyle w:val="HideTWBExt"/>
        </w:rPr>
        <w:t>&lt;Article2&gt;</w:t>
      </w:r>
      <w:r>
        <w:t>Artikel 34 – stycke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Genom undantag från punkt 1 får medlemsstater där blåfenad tonfisk landas fastställa en kortare period för förhandsanmälan </w:t>
            </w:r>
            <w:r>
              <w:rPr>
                <w:b/>
                <w:i/>
              </w:rPr>
              <w:t>i punkt 1 för de unionsfiskefartyg med en totallängd på 12 meter eller mer som finns upptagna i fartygsförteckningen enligt artikel 26 och som fångar mindre än tre exemplar av blåfenad tonfisk eller mindre än ett ton,</w:t>
            </w:r>
            <w:r>
              <w:t xml:space="preserve"> med beaktande av typen av fiskeriprodukter och avståndet mellan fiskeområdena och hamnen eller landningsplatsen, och förutsatt att en sådan kortare period för förhandsanmälan inte innebär att medlemsstatens möjlighet att utföra inspektioner påverkas negativt.</w:t>
            </w:r>
          </w:p>
        </w:tc>
        <w:tc>
          <w:tcPr>
            <w:tcW w:w="4876" w:type="dxa"/>
            <w:tcBorders>
              <w:top w:val="nil"/>
              <w:left w:val="nil"/>
              <w:bottom w:val="nil"/>
              <w:right w:val="nil"/>
            </w:tcBorders>
          </w:tcPr>
          <w:p>
            <w:pPr>
              <w:pStyle w:val="Normal6a"/>
            </w:pPr>
            <w:r>
              <w:t>3.</w:t>
            </w:r>
            <w:r>
              <w:tab/>
            </w:r>
            <w:r>
              <w:t xml:space="preserve">Genom undantag från punkt 1 får medlemsstater där blåfenad tonfisk landas fastställa en kortare period för förhandsanmälan med beaktande av typen av fiskeriprodukter och avståndet mellan fiskeområdena och hamnen eller landningsplatsen, och förutsatt att en sådan kortare period för förhandsanmälan inte innebär att medlemsstatens möjlighet att utföra inspektioner påverkas negativt. </w:t>
            </w:r>
            <w:r>
              <w:rPr>
                <w:b/>
                <w:i/>
              </w:rPr>
              <w:t xml:space="preserve">Medlemsstaterna får tillämpa detta undantag endast på de fartyg som avses i artikel 26 och som fångar mindre än tre exemplar av blåfenad tonfisk eller mindre än ett ton. </w:t>
            </w:r>
            <w:r>
              <w:t xml:space="preserve"> </w:t>
            </w:r>
            <w:r>
              <w:rPr>
                <w:b/>
                <w:i/>
              </w:rPr>
              <w:t>Om fångster tas mellan tidpunkten för förhandsanmälan och ankomsten till hamnen får de uppskattade kvantiteter blåfenad tonfisk som finns ombord ändras när som helst före ankomsten.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stycke 9</w:t>
      </w:r>
      <w:r>
        <w:rPr>
          <w:rStyle w:val="HideTWBExt"/>
        </w:rPr>
        <w:t>&lt;/Article&gt;</w:t>
      </w:r>
    </w:p>
    <w:p>
      <w:r>
        <w:rPr>
          <w:rStyle w:val="HideTWBExt"/>
        </w:rPr>
        <w:t>&lt;DocAmend2&gt;</w:t>
      </w:r>
      <w:r>
        <w:t>Förordning (EU) 2023/2053</w:t>
      </w:r>
      <w:r>
        <w:rPr>
          <w:rStyle w:val="HideTWBExt"/>
        </w:rPr>
        <w:t>&lt;/DocAmend2&gt;</w:t>
      </w:r>
    </w:p>
    <w:p>
      <w:r>
        <w:rPr>
          <w:rStyle w:val="HideTWBExt"/>
        </w:rPr>
        <w:t>&lt;Article2&gt;</w:t>
      </w:r>
      <w:r>
        <w:t>Artikel 65b – punkt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1a.</w:t>
            </w:r>
            <w:r>
              <w:tab/>
            </w:r>
            <w:r>
              <w:t xml:space="preserve">Den behöriga myndigheten i odlingsanläggningens medlemsstat får tillåta en felmarginal på upp till 5 % mellan det antal exemplar av blåfenad tonfisk som följer av </w:t>
            </w:r>
            <w:r>
              <w:rPr>
                <w:b/>
                <w:i/>
              </w:rPr>
              <w:t>överföringsbedömningen</w:t>
            </w:r>
            <w:r>
              <w:t xml:space="preserve"> och det antal exemplar som förväntas finnas i kassen. Om skillnaden är större än 5 % ska den behöriga myndigheten i odlingsanläggningens medlemsstat begära föreläggande om återutsättning av motsvarande antal exemplar av blåfenad tonfisk. Återutsättningen ska genomföras i enlighet med bilaga XII. Kompensation för skillnader mellan olika kassar vid odlingsanläggningen ska inte vara tillåten.</w:t>
            </w:r>
          </w:p>
        </w:tc>
        <w:tc>
          <w:tcPr>
            <w:tcW w:w="4876" w:type="dxa"/>
            <w:tcBorders>
              <w:top w:val="nil"/>
              <w:left w:val="nil"/>
              <w:bottom w:val="nil"/>
              <w:right w:val="nil"/>
            </w:tcBorders>
          </w:tcPr>
          <w:p>
            <w:pPr>
              <w:pStyle w:val="Normal6a"/>
            </w:pPr>
            <w:r>
              <w:t>1a.</w:t>
            </w:r>
            <w:r>
              <w:tab/>
            </w:r>
            <w:r>
              <w:t xml:space="preserve">Den behöriga myndigheten i odlingsanläggningens medlemsstat får tillåta en felmarginal på upp till 5 % mellan det antal exemplar av blåfenad tonfisk som följer av </w:t>
            </w:r>
            <w:r>
              <w:rPr>
                <w:b/>
                <w:i/>
              </w:rPr>
              <w:t>överföringar inom odlingsanläggningar</w:t>
            </w:r>
            <w:r>
              <w:t xml:space="preserve"> och det antal exemplar som förväntas finnas i kassen. Om skillnaden är större än 5 % ska den behöriga myndigheten i odlingsanläggningens medlemsstat begära föreläggande om återutsättning av motsvarande antal exemplar av blåfenad tonfisk. Återutsättningen ska genomföras i enlighet med bilaga XII. Kompensation för skillnader mellan olika kassar vid odlingsanläggningen ska inte vara tillåten.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781.389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33</w:t>
    </w:r>
    <w:r>
      <w:fldChar w:fldCharType="end"/>
    </w:r>
    <w:r>
      <w:tab/>
    </w:r>
    <w:r>
      <w:rPr>
        <w:rStyle w:val="HideTWBExt"/>
      </w:rPr>
      <w:t>&lt;PathFdR&gt;</w:t>
    </w:r>
    <w:r>
      <w:t>AM\1333976SV.docx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AM\1333976SV.docx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33</w:t>
    </w:r>
    <w:r>
      <w:fldChar w:fldCharType="end"/>
    </w:r>
    <w:r>
      <w:tab/>
    </w:r>
    <w:r>
      <w:t>PE</w:t>
    </w:r>
    <w:r>
      <w:rPr>
        <w:rStyle w:val="HideTWBExt"/>
      </w:rPr>
      <w:t>&lt;NoPE&gt;</w:t>
    </w:r>
    <w:r>
      <w:t>781.389</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AM\1333976SV.docx</w:t>
    </w:r>
    <w:r>
      <w:rPr>
        <w:rStyle w:val="HideTWBExt"/>
      </w:rPr>
      <w:t>&lt;/PathFdR&gt;</w:t>
    </w:r>
    <w:r>
      <w:tab/>
    </w:r>
    <w:r>
      <w:tab/>
    </w:r>
    <w:r>
      <w:t>PE</w:t>
    </w:r>
    <w:r>
      <w:rPr>
        <w:rStyle w:val="HideTWBExt"/>
      </w:rPr>
      <w:t>&lt;NoPE&gt;</w:t>
    </w:r>
    <w:r>
      <w:t>781.389</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33</Pages>
  <Words>7377</Words>
  <Characters>47198</Characters>
  <Application>Microsoft Office Word</Application>
  <DocSecurity>0</DocSecurity>
  <Lines>1</Lines>
  <Paragraphs>577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1333976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328424</vt:lpwstr>
  </property>
  <property fmtid="{D5CDD505-2E9C-101B-9397-08002B2CF9AE}" pid="7" name="dmxml.render.traceId">
    <vt:lpwstr>695cc140203185456d1d24b8f499553b</vt:lpwstr>
  </property>
  <property fmtid="{D5CDD505-2E9C-101B-9397-08002B2CF9AE}" pid="8" name="FooterPath">
    <vt:lpwstr>AM\1333976SV.docx</vt:lpwstr>
  </property>
  <property fmtid="{D5CDD505-2E9C-101B-9397-08002B2CF9AE}" pid="9" name="PE Number">
    <vt:lpwstr>781.389</vt:lpwstr>
  </property>
  <property fmtid="{D5CDD505-2E9C-101B-9397-08002B2CF9AE}" pid="10" name="UID">
    <vt:lpwstr>eu.europa.europarl-DIN1-2025-0000246372_02.00-sv-01.00_text-xml</vt:lpwstr>
  </property>
</Properties>
</file>