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Europski parlament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{PECH}</w:t>
      </w:r>
      <w:r>
        <w:t>Odbor za ribarstvo</w:t>
      </w:r>
      <w:r>
        <w:rPr>
          <w:rStyle w:val="HideTWBExt"/>
        </w:rPr>
        <w:t>&lt;/Commission&gt;</w:t>
      </w:r>
    </w:p>
    <w:p>
      <w:pPr>
        <w:pStyle w:val="LineBottom"/>
      </w:pPr>
      <w:r>
        <w:t xml:space="preserve"> </w:t>
      </w:r>
    </w:p>
    <w:p>
      <w:pPr>
        <w:pStyle w:val="CoverReference"/>
      </w:pPr>
      <w:r>
        <w:rPr>
          <w:rStyle w:val="HideTWBExt"/>
        </w:rPr>
        <w:t>&lt;RefProc&gt;</w:t>
      </w:r>
      <w:r>
        <w:t>2025/0235</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{12/06/2026}</w:t>
      </w:r>
      <w:r>
        <w:t>12.6.2026</w:t>
      </w:r>
      <w:r>
        <w:rPr>
          <w:rStyle w:val="HideTWBExt"/>
        </w:rPr>
        <w:t>&lt;/Date&gt;</w:t>
      </w:r>
    </w:p>
    <w:p>
      <w:pPr>
        <w:pStyle w:val="CoverDocType"/>
      </w:pPr>
      <w:r>
        <w:rPr>
          <w:rStyle w:val="HideTWBExt"/>
        </w:rPr>
        <w:t>&lt;TypeAM&gt;</w:t>
      </w:r>
      <w:r>
        <w:t>AMANDMANI</w:t>
      </w:r>
      <w:r>
        <w:rPr>
          <w:rStyle w:val="HideTWBExt"/>
        </w:rPr>
        <w:t>&lt;/TypeAM&gt;</w:t>
      </w:r>
    </w:p>
    <w:p>
      <w:pPr>
        <w:pStyle w:val="CoverDocType24a"/>
      </w:pPr>
      <w:r>
        <w:rPr>
          <w:rStyle w:val="HideTWBExt"/>
        </w:rPr>
        <w:t>&lt;RangeAM&gt;</w:t>
      </w:r>
      <w:r>
        <w:t>284</w:t>
      </w:r>
      <w:r>
        <w:t xml:space="preserve"> - </w:t>
      </w:r>
      <w:r>
        <w:t>362</w:t>
      </w:r>
      <w:r>
        <w:rPr>
          <w:rStyle w:val="HideTWBExt"/>
        </w:rPr>
        <w:t>&lt;/RangeAM&gt;</w:t>
      </w:r>
    </w:p>
    <w:p>
      <w:pPr>
        <w:pStyle w:val="CoverBold"/>
      </w:pPr>
      <w:r>
        <w:rPr>
          <w:rStyle w:val="HideTWBExt"/>
        </w:rPr>
        <w:t>&lt;TitreType&gt;</w:t>
      </w:r>
      <w:r>
        <w:t>Nacrt mišljenja</w:t>
      </w:r>
      <w:r>
        <w:rPr>
          <w:rStyle w:val="HideTWBExt"/>
        </w:rPr>
        <w:t>&lt;/TitreType&gt;</w:t>
      </w:r>
    </w:p>
    <w:p>
      <w:pPr>
        <w:pStyle w:val="CoverBold"/>
      </w:pPr>
      <w:r>
        <w:rPr>
          <w:rStyle w:val="HideTWBExt"/>
        </w:rPr>
        <w:t>&lt;Rapporteur&gt;</w:t>
      </w:r>
      <w:r>
        <w:t>Niclas Herbst</w:t>
      </w:r>
      <w:r>
        <w:rPr>
          <w:rStyle w:val="HideTWBExt"/>
        </w:rPr>
        <w:t>&lt;/Rapporteur&gt;</w:t>
      </w:r>
    </w:p>
    <w:p>
      <w:pPr>
        <w:pStyle w:val="CoverNormal24a"/>
      </w:pPr>
      <w:r>
        <w:rPr>
          <w:rStyle w:val="HideTWBExt"/>
        </w:rPr>
        <w:t>&lt;DocRefPE&gt;</w:t>
      </w:r>
      <w:r>
        <w:t>(PE788.825v01-00)</w:t>
      </w:r>
      <w:r>
        <w:rPr>
          <w:rStyle w:val="HideTWBExt"/>
        </w:rPr>
        <w:t>&lt;/DocRefPE&gt;</w:t>
      </w:r>
    </w:p>
    <w:p>
      <w:pPr>
        <w:pStyle w:val="CoverNormal24a"/>
      </w:pPr>
      <w:r>
        <w:rPr>
          <w:rStyle w:val="HideTWBExt"/>
        </w:rPr>
        <w:t>&lt;Titre&gt;</w:t>
      </w:r>
      <w:r>
        <w:t>Utvrđivanje uvjeta za provedbu potpore Unije zajedničkoj ribarstvenoj politici, Europskom paktu o oceanima i politici Unije u području pomorstva i akvakulture u okviru Nacionalnog i regionalnog partnerskog fonda utvrđenog u Uredbi (EU) [NRP fond] za razdoblje od 2028. do 2034.</w:t>
      </w:r>
      <w:r>
        <w:rPr>
          <w:rStyle w:val="HideTWBExt"/>
        </w:rPr>
        <w:t>&lt;/Titre&gt;</w:t>
      </w:r>
    </w:p>
    <w:p>
      <w:pPr>
        <w:pStyle w:val="CoverNormal"/>
      </w:pPr>
      <w:r>
        <w:rPr>
          <w:rStyle w:val="HideTWBExt"/>
        </w:rPr>
        <w:t>&lt;DocAmend&gt;</w:t>
      </w:r>
      <w:r>
        <w:t>Prijedlog uredbe</w:t>
      </w:r>
      <w:r>
        <w:rPr>
          <w:rStyle w:val="HideTWBExt"/>
        </w:rPr>
        <w:t>&lt;/DocAmend&gt;</w:t>
      </w:r>
    </w:p>
    <w:p>
      <w:pPr>
        <w:pStyle w:val="CoverNormal24a"/>
      </w:pPr>
      <w:r>
        <w:rPr>
          <w:rStyle w:val="HideTWBExt"/>
        </w:rPr>
        <w:t>&lt;DocRef&gt;</w:t>
      </w:r>
      <w:r>
        <w:t>(COM(2025)0559 – 2025/0235(COD))</w:t>
      </w:r>
      <w:r>
        <w:rPr>
          <w:rStyle w:val="HideTWBExt"/>
        </w:rPr>
        <w:t>&lt;/DocRef&gt;</w:t>
      </w:r>
    </w:p>
    <w:p>
      <w:r>
        <w:br w:type="page"/>
      </w:r>
      <w:r>
        <w:t>AM_Com_LegOpinion</w:t>
      </w:r>
    </w:p>
    <w:p>
      <w:pPr>
        <w:pStyle w:val="AmNumberTabs"/>
      </w:pPr>
      <w:r>
        <w:br w:type="page"/>
      </w:r>
      <w:r>
        <w:rPr>
          <w:rStyle w:val="HideTWBExt"/>
        </w:rPr>
        <w:t>&lt;RepeatBlock-Amend&gt;</w:t>
      </w:r>
      <w:r>
        <w:rPr>
          <w:rStyle w:val="HideTWBExt"/>
        </w:rPr>
        <w:t>&lt;Amend&gt;</w:t>
      </w:r>
      <w:r>
        <w:t>Amandman</w:t>
      </w:r>
      <w:r>
        <w:tab/>
      </w:r>
      <w:r>
        <w:tab/>
      </w:r>
      <w:r>
        <w:rPr>
          <w:rStyle w:val="HideTWBExt"/>
        </w:rPr>
        <w:t>&lt;NumAm&gt;</w:t>
      </w:r>
      <w:r>
        <w:t>284</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 dodjeljuje se potpora </w:t>
            </w:r>
            <w:r>
              <w:rPr>
                <w:b/>
                <w:i/>
              </w:rPr>
              <w:t>ribarskoj floti ili subjektima koji nisu</w:t>
            </w:r>
            <w:r>
              <w:t xml:space="preserve"> u skladu </w:t>
            </w:r>
            <w:r>
              <w:rPr>
                <w:b/>
                <w:i/>
              </w:rPr>
              <w:t>sa Sporazumom</w:t>
            </w:r>
            <w:r>
              <w:t xml:space="preserve"> WTO-a o subvencijama za ribarstvo </w:t>
            </w:r>
            <w:r>
              <w:rPr>
                <w:b/>
                <w:i/>
              </w:rPr>
              <w:t>i ciljevima ZRP-a iz članka 43. stavka 2. UFEU-a i članka 2. Uredbe o ZRP-u</w:t>
            </w:r>
            <w:r>
              <w:t>.</w:t>
            </w:r>
          </w:p>
        </w:tc>
        <w:tc>
          <w:tcPr>
            <w:tcW w:w="4876" w:type="dxa"/>
            <w:tcBorders>
              <w:top w:val="nil"/>
              <w:left w:val="nil"/>
              <w:bottom w:val="nil"/>
              <w:right w:val="nil"/>
            </w:tcBorders>
          </w:tcPr>
          <w:p>
            <w:pPr>
              <w:pStyle w:val="Normal6a"/>
            </w:pPr>
            <w:r>
              <w:t>1.</w:t>
            </w:r>
            <w:r>
              <w:tab/>
            </w:r>
            <w:r>
              <w:t xml:space="preserve">Ne dodjeljuje se potpora </w:t>
            </w:r>
            <w:r>
              <w:rPr>
                <w:b/>
                <w:i/>
              </w:rPr>
              <w:t>koja nije</w:t>
            </w:r>
            <w:r>
              <w:t xml:space="preserve"> u skladu </w:t>
            </w:r>
            <w:r>
              <w:rPr>
                <w:b/>
                <w:i/>
              </w:rPr>
              <w:t>s kriterijima iz Sporazuma</w:t>
            </w:r>
            <w:r>
              <w:t xml:space="preserve"> WTO-a o subvencijama za ribarstvo </w:t>
            </w:r>
            <w:r>
              <w:rPr>
                <w:b/>
                <w:i/>
              </w:rPr>
              <w:t>ni potpora ribarskim flotama ili subjektima koji su počinili teške prekršaje pravila ZRP-a tijekom razdoblja utvrđenog u stavku 2. ili koji su predmet upravne ili sudske odluke.</w:t>
            </w:r>
            <w:r>
              <w:t xml:space="preserve"> </w:t>
            </w:r>
            <w:r>
              <w:rPr>
                <w:b/>
                <w:i/>
              </w:rPr>
              <w:t>Međutim, u cilju poticanja generacijske obnove i borbe protiv starenja tog sektora, potpora se može dodijeliti mladim ribarima mlađima od 40 godina za kupnju njihova prvog ribarskog plovila, pod uvjetom da je to plovilo kategorizirano kao plovilo za artizanalni ribolov kraće od 15 metara te da je osigurana ravnoteža flote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285</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Ne dodjeljuje se potpora ribarskoj floti ili subjektima koji nisu u skladu sa Sporazumom WTO-a o subvencijama za ribarstvo i ciljevima ZRP-a iz članka 43. stavka 2. UFEU-a i članka 2. Uredbe o ZRP-u.</w:t>
            </w:r>
          </w:p>
        </w:tc>
        <w:tc>
          <w:tcPr>
            <w:tcW w:w="4876" w:type="dxa"/>
            <w:tcBorders>
              <w:top w:val="nil"/>
              <w:left w:val="nil"/>
              <w:bottom w:val="nil"/>
              <w:right w:val="nil"/>
            </w:tcBorders>
          </w:tcPr>
          <w:p>
            <w:pPr>
              <w:pStyle w:val="Normal6a"/>
            </w:pPr>
            <w:r>
              <w:t>1.</w:t>
            </w:r>
            <w:r>
              <w:tab/>
            </w:r>
            <w:r>
              <w:t>Ne dodjeljuje se potpora ribarskoj floti ili subjektima koji nisu u skladu sa Sporazumom WTO-a o subvencijama za ribarstvo i ciljevima ZRP-a iz članka 43. stavka 2. UFEU-a i članka 2. Uredbe o ZRP-u.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Države članice u svojim nacionalnim i regionalnim planovima opisuju kako će osigurati sljedeće: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da određeni oblici ribolova koji doprinose prekoračenju kapaciteta i prelovu budu isključeni iz potpore 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da se ne dodjeljuju subvencije koje bi mogle doprinijeti nezakonitom, neprijavljenom ili nereguliranom ribolovu.</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Obrazloženje</w:t>
      </w:r>
      <w:r>
        <w:rPr>
          <w:rStyle w:val="HideTWBExt"/>
        </w:rPr>
        <w:t>&lt;/TitreJust&gt;</w:t>
      </w:r>
    </w:p>
    <w:p>
      <w:pPr>
        <w:pStyle w:val="AmJustText"/>
      </w:pPr>
      <w:r>
        <w:t>Sporazum WTO-a glasi: „Nijedna članica ne odobrava niti održava subvencije za ribolov ili aktivnosti povezane s ribolovom prelovljenih stokova.” i „Nijedna članica ne odobrava niti održava subvencije za plovila ili subjekte koji obavljaju nezakoniti, neprijavljeni i neregulirani (NNN) ribolov ili aktivnosti povezane s ribolovom kojima se podupire ribolov NNN.”</w:t>
      </w:r>
    </w:p>
    <w:p>
      <w:r>
        <w:rPr>
          <w:rStyle w:val="HideTWBExt"/>
        </w:rPr>
        <w:t>&lt;/Amend&gt;</w:t>
      </w:r>
    </w:p>
    <w:p>
      <w:pPr>
        <w:pStyle w:val="AmNumberTabs"/>
      </w:pPr>
      <w:r>
        <w:rPr>
          <w:rStyle w:val="HideTWBExt"/>
        </w:rPr>
        <w:t>&lt;Amend&gt;</w:t>
      </w:r>
      <w:r>
        <w:t>Amandman</w:t>
      </w:r>
      <w:r>
        <w:tab/>
      </w:r>
      <w:r>
        <w:tab/>
      </w:r>
      <w:r>
        <w:rPr>
          <w:rStyle w:val="HideTWBExt"/>
        </w:rPr>
        <w:t>&lt;NumAm&gt;</w:t>
      </w:r>
      <w:r>
        <w:t>286</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 dodjeljuje se</w:t>
            </w:r>
            <w:r>
              <w:t xml:space="preserve"> potpora </w:t>
            </w:r>
            <w:r>
              <w:rPr>
                <w:b/>
                <w:i/>
              </w:rPr>
              <w:t>ribarskoj floti ili subjektima koji nisu u skladu sa Sporazumom WTO-a o subvencijama za ribarstvo i ciljevima ZRP-a iz članka 43. stavka 2. UFEU-a i članka 2.</w:t>
            </w:r>
            <w:r>
              <w:t xml:space="preserve"> Uredbe </w:t>
            </w:r>
            <w:r>
              <w:rPr>
                <w:b/>
                <w:i/>
              </w:rPr>
              <w:t>o ZRP-u.</w:t>
            </w:r>
          </w:p>
        </w:tc>
        <w:tc>
          <w:tcPr>
            <w:tcW w:w="4876" w:type="dxa"/>
            <w:tcBorders>
              <w:top w:val="nil"/>
              <w:left w:val="nil"/>
              <w:bottom w:val="nil"/>
              <w:right w:val="nil"/>
            </w:tcBorders>
          </w:tcPr>
          <w:p>
            <w:pPr>
              <w:pStyle w:val="Normal6a"/>
            </w:pPr>
            <w:r>
              <w:t>1.</w:t>
            </w:r>
            <w:r>
              <w:tab/>
            </w:r>
            <w:r>
              <w:rPr>
                <w:b/>
                <w:i/>
              </w:rPr>
              <w:t>1.</w:t>
            </w:r>
            <w:r>
              <w:t xml:space="preserve"> Potpora </w:t>
            </w:r>
            <w:r>
              <w:rPr>
                <w:b/>
                <w:i/>
              </w:rPr>
              <w:t>na temelju ove</w:t>
            </w:r>
            <w:r>
              <w:t xml:space="preserve"> Uredbe </w:t>
            </w:r>
            <w:r>
              <w:rPr>
                <w:b/>
                <w:i/>
              </w:rPr>
              <w:t>ne pruža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287</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Ne dodjeljuje se potpora ribarskoj floti ili subjektima koji nisu u skladu sa Sporazumom WTO-a o subvencijama za ribarstvo i ciljevima ZRP-a iz članka 43. stavka 2. UFEU-a i članka 2. Uredbe o ZRP-u.</w:t>
            </w:r>
          </w:p>
        </w:tc>
        <w:tc>
          <w:tcPr>
            <w:tcW w:w="4876" w:type="dxa"/>
            <w:tcBorders>
              <w:top w:val="nil"/>
              <w:left w:val="nil"/>
              <w:bottom w:val="nil"/>
              <w:right w:val="nil"/>
            </w:tcBorders>
          </w:tcPr>
          <w:p>
            <w:pPr>
              <w:pStyle w:val="Normal6a"/>
            </w:pPr>
            <w:r>
              <w:t>1.</w:t>
            </w:r>
            <w:r>
              <w:tab/>
            </w:r>
            <w:r>
              <w:t xml:space="preserve">Ne dodjeljuje se potpora ribarskoj floti ili subjektima koji nisu u skladu sa Sporazumom WTO-a o subvencijama za ribarstvo i ciljevima ZRP-a iz članka 43. stavka 2. UFEU-a i članka 2. Uredbe o ZRP-u. </w:t>
            </w:r>
            <w:r>
              <w:rPr>
                <w:b/>
                <w:i/>
              </w:rPr>
              <w:t>Potpora se ne dodjeljuje ako doprinosi prekoračenju kapaciteta ili prelovu.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sa</w:t>
            </w:r>
            <w:r>
              <w:t xml:space="preserve"> Sporazumom WTO-a o subvencijama za ribarstvo i ciljevima ZRP-a iz članka 43. stavka 2. UFEU-a i članka 2. Uredbe o ZRP-u.</w:t>
            </w:r>
          </w:p>
        </w:tc>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 ciljem održivog razvoja UN-a 14.6.,</w:t>
            </w:r>
            <w:r>
              <w:t xml:space="preserve"> Sporazumom WTO-a o subvencijama za ribarstvo i ciljevima ZRP-a iz članka 43. stavka 2. UFEU-a </w:t>
            </w:r>
            <w:r>
              <w:rPr>
                <w:b/>
                <w:i/>
              </w:rPr>
              <w:t>, načela „ne nanosi bitnu štetu”</w:t>
            </w:r>
            <w:r>
              <w:t xml:space="preserve"> i članka 2. Uredbe o ZRP-u.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289</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 dodjeljuje se potpora ribarskoj floti ili subjektima koji nisu u skladu sa Sporazumom WTO-a o subvencijama za ribarstvo </w:t>
            </w:r>
            <w:r>
              <w:rPr>
                <w:b/>
                <w:i/>
              </w:rPr>
              <w:t>i</w:t>
            </w:r>
            <w:r>
              <w:t xml:space="preserve"> ciljevima ZRP-a iz članka 43. stavka 2. UFEU-a i članka 2. Uredbe o </w:t>
            </w:r>
            <w:r>
              <w:rPr>
                <w:b/>
                <w:i/>
              </w:rPr>
              <w:t>ZRP-u</w:t>
            </w:r>
            <w:r>
              <w:t>.</w:t>
            </w:r>
          </w:p>
        </w:tc>
        <w:tc>
          <w:tcPr>
            <w:tcW w:w="4876" w:type="dxa"/>
            <w:tcBorders>
              <w:top w:val="nil"/>
              <w:left w:val="nil"/>
              <w:bottom w:val="nil"/>
              <w:right w:val="nil"/>
            </w:tcBorders>
          </w:tcPr>
          <w:p>
            <w:pPr>
              <w:pStyle w:val="Normal6a"/>
            </w:pPr>
            <w:r>
              <w:t>1.</w:t>
            </w:r>
            <w:r>
              <w:tab/>
            </w:r>
            <w:r>
              <w:t>Ne dodjeljuje se potpora ribarskoj floti ili subjektima koji nisu u skladu sa Sporazumom WTO-a o subvencijama za ribarstvo</w:t>
            </w:r>
            <w:r>
              <w:rPr>
                <w:b/>
                <w:i/>
              </w:rPr>
              <w:t>, kako je odobren Odlukom Vijeća (EU) 2023/1116, i s</w:t>
            </w:r>
            <w:r>
              <w:t xml:space="preserve"> ciljevima ZRP-a iz članka 43. stavka 2. UFEU-a i članka 2. Uredbe o </w:t>
            </w:r>
            <w:r>
              <w:rPr>
                <w:b/>
                <w:i/>
              </w:rPr>
              <w:t>(EU) br</w:t>
            </w:r>
            <w:r>
              <w:t xml:space="preserve">. </w:t>
            </w:r>
            <w:r>
              <w:rPr>
                <w:b/>
                <w:i/>
              </w:rPr>
              <w:t>1380/2013.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290</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sa Sporazumom WTO-a o subvencijama za ribarstvo i</w:t>
            </w:r>
            <w:r>
              <w:t xml:space="preserve"> ciljevima ZRP-a iz članka 43. stavka 2. UFEU-a i članka 2. Uredbe o ZRP-u.</w:t>
            </w:r>
          </w:p>
        </w:tc>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w:t>
            </w:r>
            <w:r>
              <w:t xml:space="preserve"> ciljevima ZRP-a iz članka 43. stavka 2. UFEU-a i članka 2. Uredbe o ZRP-u.</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291</w:t>
      </w:r>
      <w:r>
        <w:rPr>
          <w:rStyle w:val="HideTWBExt"/>
        </w:rPr>
        <w:t>&lt;/NumAm&gt;</w:t>
      </w:r>
    </w:p>
    <w:p>
      <w:pPr>
        <w:pStyle w:val="NormalBold"/>
      </w:pPr>
      <w:r>
        <w:rPr>
          <w:rStyle w:val="HideTWBExt"/>
          <w:b w:val="0"/>
        </w:rPr>
        <w:t>&lt;RepeatBlock-By&gt;</w:t>
      </w:r>
      <w:r>
        <w:rPr>
          <w:rStyle w:val="HideTWBExt"/>
          <w:b w:val="0"/>
        </w:rPr>
        <w:t>&lt;Members&gt;</w:t>
      </w:r>
      <w:r>
        <w:t>Luke Ming Flanagan, 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Ne dodjeljuje se potpora ribarskoj floti ili subjektima koji nisu u skladu sa Sporazumom WTO-a o subvencijama za ribarstvo i ciljevima ZRP-a iz članka 43. stavka 2. UFEU-a i članka 2. Uredbe o ZRP-u.</w:t>
            </w:r>
          </w:p>
        </w:tc>
        <w:tc>
          <w:tcPr>
            <w:tcW w:w="4876" w:type="dxa"/>
            <w:tcBorders>
              <w:top w:val="nil"/>
              <w:left w:val="nil"/>
              <w:bottom w:val="nil"/>
              <w:right w:val="nil"/>
            </w:tcBorders>
          </w:tcPr>
          <w:p>
            <w:pPr>
              <w:pStyle w:val="Normal6a"/>
            </w:pPr>
            <w:r>
              <w:t>1.</w:t>
            </w:r>
            <w:r>
              <w:tab/>
            </w:r>
            <w:r>
              <w:t>Ne dodjeljuje se potpora ribarskoj floti ili subjektima koji nisu u skladu sa Sporazumom WTO-a o subvencijama za ribarstvo</w:t>
            </w:r>
            <w:r>
              <w:rPr>
                <w:b/>
                <w:i/>
              </w:rPr>
              <w:t>, ciljem održivog razvoja 14.6.</w:t>
            </w:r>
            <w:r>
              <w:t xml:space="preserve"> i ciljevima ZRP-a iz članka 43. stavka 2. UFEU-a i članka 2. Uredbe o ZRP-u.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292</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sa Sporazumom WTO-a o subvencijama za ribarstvo i</w:t>
            </w:r>
            <w:r>
              <w:t xml:space="preserve"> ciljevima ZRP-a iz članka 43. stavka 2. UFEU-a i članka 2. Uredbe o ZRP-u.</w:t>
            </w:r>
          </w:p>
        </w:tc>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w:t>
            </w:r>
            <w:r>
              <w:t xml:space="preserve"> ciljevima ZRP-a iz članka 43. stavka 2. UFEU-a i članka 2. Uredbe o ZRP-u.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293</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sa Sporazumom WTO-a o subvencijama za ribarstvo i</w:t>
            </w:r>
            <w:r>
              <w:t xml:space="preserve"> ciljevima ZRP-a iz članka 43. stavka 2. UFEU-a i članka 2. Uredbe o ZRP-u.</w:t>
            </w:r>
          </w:p>
        </w:tc>
        <w:tc>
          <w:tcPr>
            <w:tcW w:w="4876" w:type="dxa"/>
            <w:tcBorders>
              <w:top w:val="nil"/>
              <w:left w:val="nil"/>
              <w:bottom w:val="nil"/>
              <w:right w:val="nil"/>
            </w:tcBorders>
          </w:tcPr>
          <w:p>
            <w:pPr>
              <w:pStyle w:val="Normal6a"/>
            </w:pPr>
            <w:r>
              <w:t>1.</w:t>
            </w:r>
            <w:r>
              <w:tab/>
            </w:r>
            <w:r>
              <w:t xml:space="preserve">Ne dodjeljuje se potpora ribarskoj floti ili subjektima koji nisu u skladu </w:t>
            </w:r>
            <w:r>
              <w:rPr>
                <w:b/>
                <w:i/>
              </w:rPr>
              <w:t>s</w:t>
            </w:r>
            <w:r>
              <w:t xml:space="preserve"> ciljevima ZRP-a iz članka 43. stavka 2. UFEU-a i članka 2. Uredbe o ZRP-u.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294</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rPr>
                <w:b/>
                <w:i/>
              </w:rPr>
              <w:t>Ne</w:t>
            </w:r>
            <w:r>
              <w:t xml:space="preserve"> dodjeljuje se </w:t>
            </w:r>
            <w:r>
              <w:rPr>
                <w:b/>
                <w:i/>
              </w:rPr>
              <w:t>potpora ribarskoj floti ili subjektima koji nisu</w:t>
            </w:r>
            <w:r>
              <w:t xml:space="preserve"> u skladu sa Sporazumom WTO-a o subvencijama za ribarstvo </w:t>
            </w:r>
            <w:r>
              <w:rPr>
                <w:b/>
                <w:i/>
              </w:rPr>
              <w:t>i ciljevima ZRP-a iz članka 43</w:t>
            </w:r>
            <w:r>
              <w:t xml:space="preserve">. </w:t>
            </w:r>
            <w:r>
              <w:rPr>
                <w:b/>
                <w:i/>
              </w:rPr>
              <w:t>stavka 2. UFEU-a i članka 2. Uredbe o ZRP-u.</w:t>
            </w:r>
          </w:p>
        </w:tc>
        <w:tc>
          <w:tcPr>
            <w:tcW w:w="4876" w:type="dxa"/>
            <w:tcBorders>
              <w:top w:val="nil"/>
              <w:left w:val="nil"/>
              <w:bottom w:val="nil"/>
              <w:right w:val="nil"/>
            </w:tcBorders>
          </w:tcPr>
          <w:p>
            <w:pPr>
              <w:pStyle w:val="Normal6a"/>
            </w:pPr>
            <w:r>
              <w:t>1.</w:t>
            </w:r>
            <w:r>
              <w:tab/>
            </w:r>
            <w:r>
              <w:rPr>
                <w:b/>
                <w:i/>
              </w:rPr>
              <w:t>Potpora Unije</w:t>
            </w:r>
            <w:r>
              <w:t xml:space="preserve"> dodjeljuje se </w:t>
            </w:r>
            <w:r>
              <w:rPr>
                <w:b/>
                <w:i/>
              </w:rPr>
              <w:t>samo pod uvjetom da je</w:t>
            </w:r>
            <w:r>
              <w:t xml:space="preserve"> u skladu </w:t>
            </w:r>
            <w:r>
              <w:rPr>
                <w:b/>
                <w:i/>
              </w:rPr>
              <w:t>s ciljevima ZRP-a i s odredbama utvrđenima u ovoj Uredbi koje se odnose na usklađenost</w:t>
            </w:r>
            <w:r>
              <w:t xml:space="preserve"> sa Sporazumom WTO-a o subvencijama za ribarstvo</w:t>
            </w:r>
            <w:r>
              <w:rPr>
                <w:b/>
                <w:i/>
                <w:vertAlign w:val="superscript"/>
              </w:rPr>
              <w:t>14a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14a</w:t>
            </w:r>
            <w:r>
              <w:t xml:space="preserve"> </w:t>
            </w:r>
            <w:r>
              <w:rPr>
                <w:b/>
                <w:i/>
              </w:rPr>
              <w:t>Protokol o izmjeni Sporazuma iz Marakeša o osnivanju Svjetske trgovinske organizacije – Sporazum o subvencijama za ribarstvo (SL L 148, 8.6.2023., str.</w:t>
            </w:r>
            <w:r>
              <w:t xml:space="preserve"> </w:t>
            </w:r>
            <w:r>
              <w:rPr>
                <w:b/>
                <w:i/>
              </w:rPr>
              <w:t>3., ELI: http://data.europa.eu/eli/prot/2023/1116/oj).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295</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 – točka a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Flote ili subjekti koji nisu u skladu sa Sporazumom WTO-a o subvencijama za ribarstvo i ciljevima ZRP-a iz članka 43. stavka 2. UFEU-a i članka 2. Uredbe o ZRP-u.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296</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 – točka b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w:t>
            </w:r>
            <w:r>
              <w:tab/>
            </w:r>
            <w:r>
              <w:rPr>
                <w:b/>
                <w:i/>
              </w:rPr>
              <w:t>Korisnici koji se ne pridržavaju ZRP-a te koji su u razdoblju od pet godina počinili prekršaj ili kazneno djelo iz članka 3. stavka 4. točaka od (a) do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297</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 – točka c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w:t>
            </w:r>
            <w:r>
              <w:tab/>
            </w:r>
            <w:r>
              <w:rPr>
                <w:b/>
                <w:i/>
              </w:rPr>
              <w:t>Prijenos ribarskih plovila u treće zemlje ili promjena zastave ribarskih plovila u zastavu treće zemlje, među ostalim osnivanjem zajedničkih pothvata s partnerima iz trećih zemalja i prijenosom vlasništva nad poduzećem.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298</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 – točka d (nova)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w:t>
            </w:r>
            <w:r>
              <w:tab/>
            </w:r>
            <w:r>
              <w:rPr>
                <w:b/>
                <w:i/>
              </w:rPr>
              <w:t>Operacije dubokomorskog rudarenja.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299</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1.a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Javna potpora može se dodijeliti za trajni prestanak ribolovnih aktivnosti, kao što je stavljanje malih i artizanalnih ribarskih plovila izvan pogona, pod uvjetom da je stavljanje izvan pogona opravdano ekonomskom neprofitabilnošću plovila, manjkom kvota ili restriktivnim planovima upravljanja, uz istodobno osiguravanje pravedne naknade.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300</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w:t>
            </w:r>
            <w:r>
              <w:tab/>
            </w:r>
            <w:r>
              <w:rPr>
                <w:b/>
                <w:i/>
              </w:rPr>
              <w:t>Korisnici su obvezni i dalje se pridržavati ZRP-a te u razdoblju od pet godina ne smiju počiniti nijedan prekršaj ili kazneno djelo iz članka 3. stavka 4. točaka od (a) do (c).</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301</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Korisnici su obvezni i dalje se pridržavati ZRP-a te u razdoblju od pet godina ne smiju počiniti nijedan prekršaj ili kazneno djelo iz članka 3. stavka 4. točaka od (a) do </w:t>
            </w:r>
            <w:r>
              <w:rPr>
                <w:b/>
                <w:i/>
              </w:rPr>
              <w:t>(c)</w:t>
            </w:r>
            <w:r>
              <w:t>.</w:t>
            </w:r>
          </w:p>
        </w:tc>
        <w:tc>
          <w:tcPr>
            <w:tcW w:w="4876" w:type="dxa"/>
            <w:tcBorders>
              <w:top w:val="nil"/>
              <w:left w:val="nil"/>
              <w:bottom w:val="nil"/>
              <w:right w:val="nil"/>
            </w:tcBorders>
          </w:tcPr>
          <w:p>
            <w:pPr>
              <w:pStyle w:val="Normal6a"/>
            </w:pPr>
            <w:r>
              <w:t>2.</w:t>
            </w:r>
            <w:r>
              <w:tab/>
            </w:r>
            <w:r>
              <w:t xml:space="preserve">Korisnici su obvezni i dalje se pridržavati ZRP-a te u razdoblju od pet godina ne smiju počiniti nijedan prekršaj ili kazneno djelo iz članka 3. stavka 4. točaka od (a) do </w:t>
            </w:r>
            <w:r>
              <w:rPr>
                <w:b/>
                <w:i/>
              </w:rPr>
              <w:t>(ca)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Operacija koja se sastoji od trajnog prestanka ribolovnih aktivnosti vraća doprinos iz Fonda ako se u roku od deset godina od završnog plaćanja ne poštuju pravila iz članka 22. Uredbe br. 1380/2013, odnosno ako se ribolovni kapacitet koji odgovara ribarskim plovilima povučenima uz javnu potporu ne zamijeni.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302</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rPr>
                <w:b/>
                <w:i/>
              </w:rPr>
              <w:t>Korisnici su obvezni i dalje se pridržavati ZRP-a te u razdoblju od pet godina ne smiju počiniti nijedan prekršaj ili kazneno djelo iz članka 3. stavka 4. točaka od (a) do (c)</w:t>
            </w:r>
            <w:r>
              <w:t>.</w:t>
            </w:r>
          </w:p>
        </w:tc>
        <w:tc>
          <w:tcPr>
            <w:tcW w:w="4876" w:type="dxa"/>
            <w:tcBorders>
              <w:top w:val="nil"/>
              <w:left w:val="nil"/>
              <w:bottom w:val="nil"/>
              <w:right w:val="nil"/>
            </w:tcBorders>
          </w:tcPr>
          <w:p>
            <w:pPr>
              <w:pStyle w:val="Normal6a"/>
            </w:pPr>
            <w:r>
              <w:t>2.</w:t>
            </w:r>
            <w:r>
              <w:tab/>
            </w:r>
            <w:r>
              <w:rPr>
                <w:b/>
                <w:i/>
              </w:rPr>
              <w:t>Financijska potpora Unije subjektima uvjetovana je njihovim poštovanjem pravila ZRP-a.</w:t>
            </w:r>
            <w:r>
              <w:t xml:space="preserve"> </w:t>
            </w:r>
            <w:r>
              <w:rPr>
                <w:b/>
                <w:i/>
              </w:rPr>
              <w:t>Stoga, uz moguća ograničenja ili zabrane pristupa javnom financiranju nametnute upravnom ili sudskom odlukom, države članice osiguravaju da dodjela financijske potpore Unije podliježe uvjetu da subjektu nije izrečena sankcija zbog teškog prekršaja tijekom godine koja prethodi datumu podnošenja zahtjeva za financijsku potporu Unije</w:t>
            </w:r>
            <w:r>
              <w:t>.</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303</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Korisnici su obvezni i dalje se pridržavati ZRP-a te u razdoblju od pet godina ne smiju počiniti nijedan prekršaj ili kazneno djelo </w:t>
            </w:r>
            <w:r>
              <w:rPr>
                <w:b/>
                <w:i/>
              </w:rPr>
              <w:t>iz članka 3</w:t>
            </w:r>
            <w:r>
              <w:t xml:space="preserve">. </w:t>
            </w:r>
            <w:r>
              <w:rPr>
                <w:b/>
                <w:i/>
              </w:rPr>
              <w:t>stavka 4. točaka od (a) do (c).</w:t>
            </w:r>
          </w:p>
        </w:tc>
        <w:tc>
          <w:tcPr>
            <w:tcW w:w="4876" w:type="dxa"/>
            <w:tcBorders>
              <w:top w:val="nil"/>
              <w:left w:val="nil"/>
              <w:bottom w:val="nil"/>
              <w:right w:val="nil"/>
            </w:tcBorders>
          </w:tcPr>
          <w:p>
            <w:pPr>
              <w:pStyle w:val="Normal6a"/>
            </w:pPr>
            <w:r>
              <w:t>2.</w:t>
            </w:r>
            <w:r>
              <w:tab/>
            </w:r>
            <w:r>
              <w:t>Korisnici su obvezni i dalje se pridržavati ZRP-a</w:t>
            </w:r>
            <w:r>
              <w:rPr>
                <w:b/>
                <w:i/>
              </w:rPr>
              <w:t>, prava Unije u području okoliša, dobrobiti životinja, zaštite prirode i zakonodavstva kojim se štite ranjive i zaštićene vrste</w:t>
            </w:r>
            <w:r>
              <w:t xml:space="preserve"> te u razdoblju od pet godina ne smiju počiniti nijedan prekršaj ili kazneno djelo.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304</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Korisnici su obvezni i dalje se pridržavati ZRP-a te u razdoblju od pet godina ne smiju počiniti nijedan prekršaj ili kazneno djelo iz članka 3. stavka </w:t>
            </w:r>
            <w:r>
              <w:rPr>
                <w:b/>
                <w:i/>
              </w:rPr>
              <w:t>4</w:t>
            </w:r>
            <w:r>
              <w:t>. točaka od (a) do (c).</w:t>
            </w:r>
          </w:p>
        </w:tc>
        <w:tc>
          <w:tcPr>
            <w:tcW w:w="4876" w:type="dxa"/>
            <w:tcBorders>
              <w:top w:val="nil"/>
              <w:left w:val="nil"/>
              <w:bottom w:val="nil"/>
              <w:right w:val="nil"/>
            </w:tcBorders>
          </w:tcPr>
          <w:p>
            <w:pPr>
              <w:pStyle w:val="Normal6a"/>
            </w:pPr>
            <w:r>
              <w:t>2.</w:t>
            </w:r>
            <w:r>
              <w:tab/>
            </w:r>
            <w:r>
              <w:t xml:space="preserve">Korisnici su obvezni i dalje se pridržavati ZRP-a te u razdoblju od pet godina </w:t>
            </w:r>
            <w:r>
              <w:rPr>
                <w:b/>
                <w:i/>
              </w:rPr>
              <w:t>nakon dodjele potpore</w:t>
            </w:r>
            <w:r>
              <w:t xml:space="preserve"> ne smiju počiniti nijedan prekršaj ili kazneno djelo iz članka 3.</w:t>
            </w:r>
            <w:r>
              <w:rPr>
                <w:b/>
                <w:i/>
              </w:rPr>
              <w:t>d</w:t>
            </w:r>
            <w:r>
              <w:t xml:space="preserve"> stavka </w:t>
            </w:r>
            <w:r>
              <w:rPr>
                <w:b/>
                <w:i/>
              </w:rPr>
              <w:t>1</w:t>
            </w:r>
            <w:r>
              <w:t>. točaka od (a) do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305</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Korisnici su obvezni i dalje se pridržavati ZRP-a te u razdoblju od </w:t>
            </w:r>
            <w:r>
              <w:rPr>
                <w:b/>
                <w:i/>
              </w:rPr>
              <w:t>pet godina</w:t>
            </w:r>
            <w:r>
              <w:t xml:space="preserve"> ne smiju počiniti nijedan prekršaj ili kazneno djelo iz članka 3. stavka 4. točaka od (a) do (c).</w:t>
            </w:r>
          </w:p>
        </w:tc>
        <w:tc>
          <w:tcPr>
            <w:tcW w:w="4876" w:type="dxa"/>
            <w:tcBorders>
              <w:top w:val="nil"/>
              <w:left w:val="nil"/>
              <w:bottom w:val="nil"/>
              <w:right w:val="nil"/>
            </w:tcBorders>
          </w:tcPr>
          <w:p>
            <w:pPr>
              <w:pStyle w:val="Normal6a"/>
            </w:pPr>
            <w:r>
              <w:t>2.</w:t>
            </w:r>
            <w:r>
              <w:tab/>
            </w:r>
            <w:r>
              <w:t xml:space="preserve">Korisnici su obvezni i dalje se pridržavati ZRP-a te u razdoblju od </w:t>
            </w:r>
            <w:r>
              <w:rPr>
                <w:b/>
                <w:i/>
              </w:rPr>
              <w:t>šest mjeseci</w:t>
            </w:r>
            <w:r>
              <w:t xml:space="preserve"> ne smiju počiniti nijedan prekršaj ili kazneno djelo iz članka 3. stavka 4. točaka od (a) do (c).</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306</w:t>
      </w:r>
      <w:r>
        <w:rPr>
          <w:rStyle w:val="HideTWBExt"/>
        </w:rPr>
        <w:t>&lt;/NumAm&gt;</w:t>
      </w:r>
    </w:p>
    <w:p>
      <w:pPr>
        <w:pStyle w:val="NormalBold"/>
      </w:pPr>
      <w:r>
        <w:rPr>
          <w:rStyle w:val="HideTWBExt"/>
          <w:b w:val="0"/>
        </w:rPr>
        <w:t>&lt;RepeatBlock-By&gt;</w:t>
      </w:r>
      <w:r>
        <w:rPr>
          <w:rStyle w:val="HideTWBExt"/>
          <w:b w:val="0"/>
        </w:rPr>
        <w:t>&lt;Members&gt;</w:t>
      </w:r>
      <w:r>
        <w:t>Asger Christensen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Korisnici su obvezni i dalje se pridržavati ZRP-a te u razdoblju od </w:t>
            </w:r>
            <w:r>
              <w:rPr>
                <w:b/>
                <w:i/>
              </w:rPr>
              <w:t>pet godina</w:t>
            </w:r>
            <w:r>
              <w:t xml:space="preserve"> ne smiju počiniti nijedan prekršaj ili kazneno djelo iz članka 3. stavka 4. točaka od (a) do (c).</w:t>
            </w:r>
          </w:p>
        </w:tc>
        <w:tc>
          <w:tcPr>
            <w:tcW w:w="4876" w:type="dxa"/>
            <w:tcBorders>
              <w:top w:val="nil"/>
              <w:left w:val="nil"/>
              <w:bottom w:val="nil"/>
              <w:right w:val="nil"/>
            </w:tcBorders>
          </w:tcPr>
          <w:p>
            <w:pPr>
              <w:pStyle w:val="Normal6a"/>
            </w:pPr>
            <w:r>
              <w:t>2.</w:t>
            </w:r>
            <w:r>
              <w:tab/>
            </w:r>
            <w:r>
              <w:t xml:space="preserve">Korisnici su obvezni i dalje se pridržavati ZRP-a te u razdoblju od </w:t>
            </w:r>
            <w:r>
              <w:rPr>
                <w:b/>
                <w:i/>
              </w:rPr>
              <w:t>tri godine</w:t>
            </w:r>
            <w:r>
              <w:t xml:space="preserve"> ne smiju počiniti nijedan prekršaj ili kazneno djelo iz članka 3. stavka 4. točaka od (a) do (c).</w:t>
            </w:r>
          </w:p>
        </w:tc>
      </w:tr>
    </w:tbl>
    <w:p>
      <w:pPr>
        <w:pStyle w:val="AmOrLang"/>
      </w:pPr>
      <w:r>
        <w:t xml:space="preserve">Or. </w:t>
      </w:r>
      <w:r>
        <w:rPr>
          <w:rStyle w:val="HideTWBExt"/>
        </w:rPr>
        <w:t>&lt;Original&gt;</w:t>
      </w:r>
      <w:r>
        <w:rPr>
          <w:rStyle w:val="HideTWBInt"/>
        </w:rPr>
        <w:t>{DA}</w:t>
      </w:r>
      <w:r>
        <w:t>da</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307</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Prijenos ribarskih plovila u treće zemlje ili promjena zastave ribarskih plovila u zastavu treće zemlje, među ostalim osnivanjem zajedničkih pothvata s partnerima iz trećih zemalja i prijenosom vlasništva nad poduzećem, nisu prihvatljivi za primanje potpore.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308</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w:t>
            </w:r>
            <w:r>
              <w:tab/>
            </w:r>
            <w:r>
              <w:rPr>
                <w:b/>
                <w:i/>
              </w:rPr>
              <w:t>Prijenos ribarskih plovila u treće zemlje ili promjena zastave ribarskih plovila u zastavu treće zemlje, među ostalim osnivanjem zajedničkih pothvata s partnerima iz trećih zemalja i prijenosom vlasništva nad poduzećem, nisu prihvatljivi za primanje potpore.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309</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Prijenos ribarskih plovila u treće zemlje ili promjena zastave ribarskih plovila u zastavu treće zemlje, među ostalim osnivanjem zajedničkih pothvata s partnerima iz trećih zemalja </w:t>
            </w:r>
            <w:r>
              <w:rPr>
                <w:b/>
                <w:i/>
              </w:rPr>
              <w:t>i prijenosom vlasništva nad poduzećem</w:t>
            </w:r>
            <w:r>
              <w:t>, nisu prihvatljivi za primanje potpore.</w:t>
            </w:r>
          </w:p>
        </w:tc>
        <w:tc>
          <w:tcPr>
            <w:tcW w:w="4876" w:type="dxa"/>
            <w:tcBorders>
              <w:top w:val="nil"/>
              <w:left w:val="nil"/>
              <w:bottom w:val="nil"/>
              <w:right w:val="nil"/>
            </w:tcBorders>
          </w:tcPr>
          <w:p>
            <w:pPr>
              <w:pStyle w:val="Normal6a"/>
            </w:pPr>
            <w:r>
              <w:t>3.</w:t>
            </w:r>
            <w:r>
              <w:tab/>
            </w:r>
            <w:r>
              <w:t>Prijenos ribarskih plovila u treće zemlje ili promjena zastave ribarskih plovila u zastavu treće zemlje, među ostalim osnivanjem zajedničkih pothvata s partnerima iz trećih zemalja, nisu prihvatljivi za primanje potpore.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310</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Prijenos </w:t>
            </w:r>
            <w:r>
              <w:rPr>
                <w:b/>
                <w:i/>
              </w:rPr>
              <w:t>ribarskih plovila u treće zemlje</w:t>
            </w:r>
            <w:r>
              <w:t xml:space="preserve"> ili promjena zastave ribarskih plovila u zastavu treće zemlje, </w:t>
            </w:r>
            <w:r>
              <w:rPr>
                <w:b/>
                <w:i/>
              </w:rPr>
              <w:t>među ostalim osnivanjem</w:t>
            </w:r>
            <w:r>
              <w:t xml:space="preserve"> zajedničkih pothvata s partnerima iz trećih zemalja </w:t>
            </w:r>
            <w:r>
              <w:rPr>
                <w:b/>
                <w:i/>
              </w:rPr>
              <w:t>i prijenosom vlasništva nad poduzećem</w:t>
            </w:r>
            <w:r>
              <w:t>, nisu prihvatljivi za primanje potpore.</w:t>
            </w:r>
          </w:p>
        </w:tc>
        <w:tc>
          <w:tcPr>
            <w:tcW w:w="4876" w:type="dxa"/>
            <w:tcBorders>
              <w:top w:val="nil"/>
              <w:left w:val="nil"/>
              <w:bottom w:val="nil"/>
              <w:right w:val="nil"/>
            </w:tcBorders>
          </w:tcPr>
          <w:p>
            <w:pPr>
              <w:pStyle w:val="Normal6a"/>
            </w:pPr>
            <w:r>
              <w:t>3.</w:t>
            </w:r>
            <w:r>
              <w:tab/>
            </w:r>
            <w:r>
              <w:t xml:space="preserve">Prijenos </w:t>
            </w:r>
            <w:r>
              <w:rPr>
                <w:b/>
                <w:i/>
              </w:rPr>
              <w:t>vlasništva poduzeća</w:t>
            </w:r>
            <w:r>
              <w:t xml:space="preserve"> ili promjena zastave ribarskih plovila u zastavu treće zemlje, </w:t>
            </w:r>
            <w:r>
              <w:rPr>
                <w:b/>
                <w:i/>
              </w:rPr>
              <w:t>osim u slučaju osnivanja</w:t>
            </w:r>
            <w:r>
              <w:t xml:space="preserve"> zajedničkih pothvata s partnerima iz trećih zemalja, nisu prihvatljivi za primanje potpore.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311</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Odstupajući od stavka 3., kupnja ribarskog plovila ili kupnja djelomičnog vlasništva nad ribarskim plovilom može biti prihvatljivo ako se potpora dodjeljuje: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fizičkoj osobi koja nije starija od 40 godina na dan podnošenja zahtjeva za potporu i koja je najmanje pet godina radila kao ribar ili je stekla odgovarajuću kvalifikaciju;</w:t>
            </w:r>
            <w:r>
              <w:rPr>
                <w:b/>
                <w:i/>
              </w:rPr>
              <w:t>ili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pravnoj osobi koja je u potpunosti u vlasništvu jedne ili više fizičkih osoba koje sve ispunjavaju uvjete iz točke (a).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312</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3.b</w:t>
            </w:r>
            <w:r>
              <w:tab/>
            </w:r>
            <w:r>
              <w:rPr>
                <w:b/>
                <w:i/>
              </w:rPr>
              <w:t>Potpora iz ovog članka može se dodijeliti za zajedničku prvu kupnju ribarskog plovila od strane više fizičkih osoba koje sve ispunjavaju uvjete iz stavka 3.a.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313</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3.c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3.c</w:t>
            </w:r>
            <w:r>
              <w:tab/>
            </w:r>
            <w:r>
              <w:rPr>
                <w:b/>
                <w:i/>
              </w:rPr>
              <w:t>Potpora iz ovog članka može se dodijeliti i za stjecanje djelomičnog vlasništva nad ribarskim plovilom fizičkoj osobi koja ispunjava uvjete utvrđene u stavku 3.a i za koju se smatra da ima upravljačka prava nad tim plovilom jer je u vlasništvu najmanje 33 % plovila ili udjela u plovilu ili pravnom subjektu koji ispunjava uvjete iz stavka 3.a i za kojeg se smatra da ima upravljačka prava nad tim plovilom jer je u vlasništvu najmanje 33 % plovila ili udjela u plovilu.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314</w:t>
      </w:r>
      <w:r>
        <w:rPr>
          <w:rStyle w:val="HideTWBExt"/>
        </w:rPr>
        <w:t>&lt;/NumAm&gt;</w:t>
      </w:r>
    </w:p>
    <w:p>
      <w:pPr>
        <w:pStyle w:val="NormalBold"/>
      </w:pPr>
      <w:r>
        <w:rPr>
          <w:rStyle w:val="HideTWBExt"/>
          <w:b w:val="0"/>
        </w:rPr>
        <w:t>&lt;RepeatBlock-By&gt;</w:t>
      </w:r>
      <w:r>
        <w:rPr>
          <w:rStyle w:val="HideTWBExt"/>
          <w:b w:val="0"/>
        </w:rPr>
        <w:t>&lt;Members&gt;</w:t>
      </w:r>
      <w:r>
        <w:t>France Jamet, 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Ne dodjeljuje se potpora za dubokomorsko rudarenje.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315</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Ne dodjeljuje se potpora za dubokomorsko rudarenje.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316</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4.</w:t>
            </w:r>
            <w:r>
              <w:tab/>
            </w:r>
            <w:r>
              <w:rPr>
                <w:b/>
                <w:i/>
              </w:rPr>
              <w:t>Ne dodjeljuje se potpora za dubokomorsko rudarenje.</w:t>
            </w:r>
          </w:p>
        </w:tc>
        <w:tc>
          <w:tcPr>
            <w:tcW w:w="4876" w:type="dxa"/>
            <w:tcBorders>
              <w:top w:val="nil"/>
              <w:left w:val="nil"/>
              <w:bottom w:val="nil"/>
              <w:right w:val="nil"/>
            </w:tcBorders>
          </w:tcPr>
          <w:p>
            <w:pPr>
              <w:pStyle w:val="Normal6a"/>
            </w:pPr>
            <w:r>
              <w:rPr>
                <w:b/>
                <w:i/>
              </w:rPr>
              <w:t>Briše 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317</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Ne dodjeljuje se potpora za dubokomorsko rudarenje.</w:t>
            </w:r>
          </w:p>
        </w:tc>
        <w:tc>
          <w:tcPr>
            <w:tcW w:w="4876" w:type="dxa"/>
            <w:tcBorders>
              <w:top w:val="nil"/>
              <w:left w:val="nil"/>
              <w:bottom w:val="nil"/>
              <w:right w:val="nil"/>
            </w:tcBorders>
          </w:tcPr>
          <w:p>
            <w:pPr>
              <w:pStyle w:val="Normal6a"/>
            </w:pPr>
            <w:r>
              <w:t>4.</w:t>
            </w:r>
            <w:r>
              <w:tab/>
            </w:r>
            <w:r>
              <w:t>Ne dodjeljuje se potpora za dubokomorsko rudarenje.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Aktivnosti povezane s praćenjem i istraživanjem morskih bioloških resursa na područjima izvan nacionalne jurisdikcije mogu se podupirati ako doprinose provedbi Sporazuma BBNJ.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318</w:t>
      </w:r>
      <w:r>
        <w:rPr>
          <w:rStyle w:val="HideTWBExt"/>
        </w:rPr>
        <w:t>&lt;/NumAm&gt;</w:t>
      </w:r>
    </w:p>
    <w:p>
      <w:pPr>
        <w:pStyle w:val="NormalBold"/>
      </w:pPr>
      <w:r>
        <w:rPr>
          <w:rStyle w:val="HideTWBExt"/>
          <w:b w:val="0"/>
        </w:rPr>
        <w:t>&lt;RepeatBlock-By&gt;</w:t>
      </w:r>
      <w:r>
        <w:rPr>
          <w:rStyle w:val="HideTWBExt"/>
          <w:b w:val="0"/>
        </w:rPr>
        <w:t>&lt;Members&gt;</w:t>
      </w:r>
      <w:r>
        <w:t>Paulo do Nascimento Cabral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Ne dodjeljuje se potpora za dubokomorsko rudarenje.</w:t>
            </w:r>
          </w:p>
        </w:tc>
        <w:tc>
          <w:tcPr>
            <w:tcW w:w="4876" w:type="dxa"/>
            <w:tcBorders>
              <w:top w:val="nil"/>
              <w:left w:val="nil"/>
              <w:bottom w:val="nil"/>
              <w:right w:val="nil"/>
            </w:tcBorders>
          </w:tcPr>
          <w:p>
            <w:pPr>
              <w:pStyle w:val="Normal6a"/>
            </w:pPr>
            <w:r>
              <w:t>4.</w:t>
            </w:r>
            <w:r>
              <w:tab/>
            </w:r>
            <w:r>
              <w:t>Ne dodjeljuje se potpora za dubokomorsko rudarenje</w:t>
            </w:r>
            <w:r>
              <w:rPr>
                <w:b/>
                <w:i/>
              </w:rPr>
              <w:t> te ono ne prelazi u fazu istraživanja sve dok je na snazi moratorij i dok se u potpunosti ne procijene učinci na okoliš, društvo i gospodarstvo na temelju pouzdanih i neovisnih znanstvenih spoznaja</w:t>
            </w:r>
            <w:r>
              <w:t>.</w:t>
            </w:r>
          </w:p>
        </w:tc>
      </w:tr>
    </w:tbl>
    <w:p>
      <w:pPr>
        <w:pStyle w:val="AmOrLang"/>
      </w:pPr>
      <w:r>
        <w:t xml:space="preserve">Or. </w:t>
      </w:r>
      <w:r>
        <w:rPr>
          <w:rStyle w:val="HideTWBExt"/>
        </w:rPr>
        <w:t>&lt;Original&gt;</w:t>
      </w:r>
      <w:r>
        <w:rPr>
          <w:rStyle w:val="HideTWBInt"/>
        </w:rPr>
        <w:t>{PT}</w:t>
      </w:r>
      <w:r>
        <w:t>pt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319</w:t>
      </w:r>
      <w:r>
        <w:rPr>
          <w:rStyle w:val="HideTWBExt"/>
        </w:rPr>
        <w:t>&lt;/NumAm&gt;</w:t>
      </w:r>
    </w:p>
    <w:p>
      <w:pPr>
        <w:pStyle w:val="NormalBold"/>
      </w:pPr>
      <w:r>
        <w:rPr>
          <w:rStyle w:val="HideTWBExt"/>
          <w:b w:val="0"/>
        </w:rPr>
        <w:t>&lt;RepeatBlock-By&gt;</w:t>
      </w:r>
      <w:r>
        <w:rPr>
          <w:rStyle w:val="HideTWBExt"/>
          <w:b w:val="0"/>
        </w:rPr>
        <w:t>&lt;Members&gt;</w:t>
      </w:r>
      <w:r>
        <w:t>Anna Maria Cisint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Ne dodjeljuje se potpora za dubokomorsko rudarenje.</w:t>
            </w:r>
          </w:p>
        </w:tc>
        <w:tc>
          <w:tcPr>
            <w:tcW w:w="4876" w:type="dxa"/>
            <w:tcBorders>
              <w:top w:val="nil"/>
              <w:left w:val="nil"/>
              <w:bottom w:val="nil"/>
              <w:right w:val="nil"/>
            </w:tcBorders>
          </w:tcPr>
          <w:p>
            <w:pPr>
              <w:pStyle w:val="Normal6a"/>
            </w:pPr>
            <w:r>
              <w:t>4.</w:t>
            </w:r>
            <w:r>
              <w:tab/>
            </w:r>
            <w:r>
              <w:t xml:space="preserve">Ne dodjeljuje se potpora za dubokomorsko rudarenje </w:t>
            </w:r>
            <w:r>
              <w:rPr>
                <w:b/>
                <w:i/>
              </w:rPr>
              <w:t>kako se ne bi dodatno povećao pritisak na riblje stokove</w:t>
            </w:r>
            <w:r>
              <w:t>.</w:t>
            </w:r>
          </w:p>
        </w:tc>
      </w:tr>
    </w:tbl>
    <w:p>
      <w:pPr>
        <w:pStyle w:val="AmOrLang"/>
      </w:pPr>
      <w:r>
        <w:t xml:space="preserve">Or. </w:t>
      </w:r>
      <w:r>
        <w:rPr>
          <w:rStyle w:val="HideTWBExt"/>
        </w:rPr>
        <w:t>&lt;Original&gt;</w:t>
      </w:r>
      <w:r>
        <w:rPr>
          <w:rStyle w:val="HideTWBInt"/>
        </w:rPr>
        <w:t>{IT}</w:t>
      </w:r>
      <w:r>
        <w:t>it</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320</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Za potporu su prihvatljive dobrovoljne obveze koje su preuzeli ribari, uključujući prelazak na segment flote s manjim utjecajem na okoliš i selektivnije ribolovne prakse kojima se može smanjiti sustavno uklanjanje veće i starije ribe i bolje zaštititi potencijal za prirast stoka.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Potpora za tranzicijsko djelovanje dodjeljuje se na temelju prijelaznog akcijskog plana koji je sastavio ribar i koji je odobren i ocijenjen u pogledu usklađenosti s akcijskim planom za segmente flote s utvrđenim strukturnim prekomjernim kapacitetom koji je država članica podnijela Komisiji u skladu s člankom 22. Uredbe (EU) br.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Ako prijelazno djelovanje obuhvaća privremeni prestanak ribolovnih aktivnosti, prijelazni akcijski plan uključuje informacije o trajanju prestanka i stokovima koji od njega imaju koristi.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Privremeni prestanak obuhvaća samo razdoblje ribolovne sezone za predmetni stok i u potpunosti obuhvaća to razdoblje.</w:t>
            </w:r>
            <w:r>
              <w:t xml:space="preserve"> </w:t>
            </w:r>
            <w:r>
              <w:rPr>
                <w:b/>
                <w:i/>
              </w:rPr>
              <w:t>Privremeni prestanak ribolovnih aktivnosti prihvatljiv je samo za plovila duljine do 33 metra.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321</w:t>
      </w:r>
      <w:r>
        <w:rPr>
          <w:rStyle w:val="HideTWBExt"/>
        </w:rPr>
        <w:t>&lt;/NumAm&gt;</w:t>
      </w:r>
    </w:p>
    <w:p>
      <w:pPr>
        <w:pStyle w:val="NormalBold"/>
      </w:pPr>
      <w:r>
        <w:rPr>
          <w:rStyle w:val="HideTWBExt"/>
          <w:b w:val="0"/>
        </w:rPr>
        <w:t>&lt;RepeatBlock-By&gt;</w:t>
      </w:r>
      <w:r>
        <w:rPr>
          <w:rStyle w:val="HideTWBExt"/>
          <w:b w:val="0"/>
        </w:rPr>
        <w:t>&lt;Members&gt;</w:t>
      </w:r>
      <w:r>
        <w:t>Siegbert Frank Droese, Volker Schnurrbusch</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Provedbene ovlasti i status smjernica Komisije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rPr>
                <w:b/>
                <w:i/>
              </w:rPr>
              <w:t>Na temelju ove Uredbe Komisiji se ne dodjeljuje ovlast za donošenje delegiranih akata.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rPr>
                <w:b/>
                <w:i/>
              </w:rPr>
              <w:t>Ako su pravila potrebna za ujednačenu provedbu ove Uredbe, donose se provedbenim aktima u skladu s postupkom ispitivanja iz članka 5. Uredbe (EU) br. 182/2011, čime se državama članicama jamči kontrola.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Sve smjernice, upute ili drugi neobvezujući instrumenti koje Komisija izda u vezi s ovom Uredbom ili nacionalnim i regionalnim partnerskim fondom služe samo u informativne svrhe.</w:t>
            </w:r>
            <w:r>
              <w:t xml:space="preserve"> </w:t>
            </w:r>
            <w:r>
              <w:rPr>
                <w:b/>
                <w:i/>
              </w:rPr>
              <w:t>Njima se ne stvaraju obveze za države članice, regionalna ili lokalna tijela ili korisnike, ne koriste se kao uvjet za pristup financiranju i ne služe kao osnova za pravno tumačenje u upravnim ili sudskim postupcima.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322</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Države članice daju prednost subjektima koji doprinose zaštiti i obnovi morske bioraznolikosti, smanjenju usputnog i odbačenog ulova, zaštiti osjetljivih i zaštićenih vrsta, smanjenju emisija stakleničkih plinova i onečišćenja, prelasku na metode selektivnog ribolova s malim utjecajem na okoliš te poboljšanju dobrobiti životinja u akvakulturi i ribarstvu.</w:t>
            </w:r>
            <w:r>
              <w:t xml:space="preserve"> </w:t>
            </w:r>
            <w:r>
              <w:rPr>
                <w:b/>
                <w:i/>
              </w:rPr>
              <w:t>Potporu ne primaju subjekti koji se koriste pridnenim povlačnim mrežama (koćama) i drugim aktivnostima štetnima za morsko dno.</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Potpora se ne dodjeljuje plovilima koja upotrebljavaju povlačne ribolovne alate kako su definirani u članku 2. točki 1. Uredbe Vijeća (EZ) br. 1967/2006, osim ako je riječ o ribarskim plovilima čija je duljina preko svega jednaka ili manja od 33 metra, u posebnom slučaju prelaska s povlačnih ribolovnih alata kako su definirani u članku 2. točki 1. Uredbe Vijeća (EZ) br. 1967/2006 ili za obvezne programe trajnog prestanka ribolovnih aktivnosti.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324</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Nikakva potpora ne dodjeljuje se vlasnicima ili subjektima koji upravljaju ribarskim plovilima Unije koja upotrebljavaju povlačne ribolovne alate kako su definirani u članku 2. točki 1. Uredbe Vijeća (EZ) br. 1967/2006, osim u posebnom slučaju prelaska s povlačnih ribolovnih alata kako su definirani u članku 2. točki 1. Uredbe Vijeća (EZ) br. 1967/2006 ili za obvezne programe trajnog prestanka ribolovnih aktivnosti.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325</w:t>
      </w:r>
      <w:r>
        <w:rPr>
          <w:rStyle w:val="HideTWBExt"/>
        </w:rPr>
        <w:t>&lt;/NumAm&gt;</w:t>
      </w:r>
    </w:p>
    <w:p>
      <w:pPr>
        <w:pStyle w:val="NormalBold"/>
      </w:pPr>
      <w:r>
        <w:rPr>
          <w:rStyle w:val="HideTWBExt"/>
          <w:b w:val="0"/>
        </w:rPr>
        <w:t>&lt;RepeatBlock-By&gt;</w:t>
      </w:r>
      <w:r>
        <w:rPr>
          <w:rStyle w:val="HideTWBExt"/>
          <w:b w:val="0"/>
        </w:rPr>
        <w:t>&lt;Members&gt;</w:t>
      </w:r>
      <w:r>
        <w:t>Nora Junco García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Osim ako je ovom Uredbom izričito predviđeno drukčije, smatra se da je dopuštena svaka potpora koja nije izričito zabranjena, čime se jamči pravna sigurnost i za države članice i za korisnike.</w:t>
            </w:r>
          </w:p>
        </w:tc>
      </w:tr>
    </w:tbl>
    <w:p>
      <w:pPr>
        <w:pStyle w:val="AmOrLang"/>
      </w:pPr>
      <w:r>
        <w:t xml:space="preserve">Or. </w:t>
      </w:r>
      <w:r>
        <w:rPr>
          <w:rStyle w:val="HideTWBExt"/>
        </w:rPr>
        <w:t>&lt;Original&gt;</w:t>
      </w:r>
      <w:r>
        <w:rPr>
          <w:rStyle w:val="HideTWBInt"/>
        </w:rPr>
        <w:t>{ES}</w:t>
      </w:r>
      <w:r>
        <w:t>es</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326</w:t>
      </w:r>
      <w:r>
        <w:rPr>
          <w:rStyle w:val="HideTWBExt"/>
        </w:rPr>
        <w:t>&lt;/NumAm&gt;</w:t>
      </w:r>
    </w:p>
    <w:p>
      <w:pPr>
        <w:pStyle w:val="NormalBold"/>
      </w:pPr>
      <w:r>
        <w:rPr>
          <w:rStyle w:val="HideTWBExt"/>
          <w:b w:val="0"/>
        </w:rPr>
        <w:t>&lt;RepeatBlock-By&gt;</w:t>
      </w:r>
      <w:r>
        <w:rPr>
          <w:rStyle w:val="HideTWBExt"/>
          <w:b w:val="0"/>
        </w:rPr>
        <w:t>&lt;Members&gt;</w:t>
      </w:r>
      <w:r>
        <w:t>Bert-Jan Ruissen, Sander Smit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4.a</w:t>
            </w:r>
            <w:r>
              <w:tab/>
            </w:r>
            <w:r>
              <w:rPr>
                <w:b/>
                <w:i/>
              </w:rPr>
              <w:t>Financiranje i aktivnosti povezane s ribarstvom i akvakulturom izuzeti su od primjene načela „ne nanosi bitnu štetu”.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327</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Mogu se podupirati aktivnosti koje se provode u kontekstu provedbe ciljeva povezanih s oceanima iz plana provedenog u skladu s primjenjivom pravnom stečevinom u području okoliša, kao što je Uredba (EU) 2024/1991, među ostalim u vezi s praćenjem i istraživanjem.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Potpora vlasnicima i subjektima koji upravljaju ribarskim plovilima Unije za financiranje uvjetovana je time da dotično ribarsko plovilo u potpunosti ispunjava barem obvezne zahtjeve za sustave daljinskog elektroničkog praćenja (REM).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329</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Potpora se ne dodjeljuje za akvakulturu mesojeda, uzgoj hobotnica i akvakulturu koja uzrokuje ili povećava patnju životinja, onečišćenje, rizik od bolesti, ovisnost o antimikrobnim sredstvima ili pritisak na divlje riblje stokove.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4.b</w:t>
            </w:r>
            <w:r>
              <w:tab/>
            </w:r>
            <w:r>
              <w:rPr>
                <w:b/>
                <w:i/>
              </w:rPr>
              <w:t>Ne dodjeljuje se potpora ni za koju metodu ili tehniku koja bi mogla povećati ribolovni kapacitet ribarskog plovila.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331</w:t>
      </w:r>
      <w:r>
        <w:rPr>
          <w:rStyle w:val="HideTWBExt"/>
        </w:rPr>
        <w:t>&lt;/NumAm&gt;</w:t>
      </w:r>
    </w:p>
    <w:p>
      <w:pPr>
        <w:pStyle w:val="NormalBold"/>
      </w:pPr>
      <w:r>
        <w:rPr>
          <w:rStyle w:val="HideTWBExt"/>
          <w:b w:val="0"/>
        </w:rPr>
        <w:t>&lt;RepeatBlock-By&gt;</w:t>
      </w:r>
      <w:r>
        <w:rPr>
          <w:rStyle w:val="HideTWBExt"/>
          <w:b w:val="0"/>
        </w:rPr>
        <w:t>&lt;Members&gt;</w:t>
      </w:r>
      <w:r>
        <w:t>Michal Wiezik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Trajni prestanak ribolovnih aktivnosti podupire se pod uvjetom da mu prethodi oduzimanje povlastice za ribolov i odobrenja za ribolov te da ispunjava sve sljedeće uvjete: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potpora se odnosi na plovila duljine veće od 33 metra s utvrđenim strukturnim prekomjernim kapacitetom, kako je država članica utvrdila u akcijskom planu Komisiji u skladu s člankom 22. Uredbe (EU) br.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potpora pomaže u obnovi važnih mrijestilišta i rastilišta ribe ili dovodi do uklanjanja pritisaka koji omogućuju stabilizaciju morskog dna, s izravnom vezom s mjerama nacionalnog plana obnove kako ih je propisno ocijenilo i potvrdilo tijelo države članice;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ako je potpora prestanku ribolovne aktivnosti u obliku programa uništenja, zahtjev uključuje plan recikliranja broda specifičan za pojedini brod u skladu s Uredbom (EU) br. 1257/2013 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časna izjava gospodarskog subjekta priložena zahtjevu za potporu potvrđuje da je potpora u skladu s pravilima iz članka 22. stavka 6. Uredbe br. 1380/2013 te da se potpora ne ulaže i neće ponovno ulagati u sektor.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332</w:t>
      </w:r>
      <w:r>
        <w:rPr>
          <w:rStyle w:val="HideTWBExt"/>
        </w:rPr>
        <w:t>&lt;/NumAm&gt;</w:t>
      </w:r>
    </w:p>
    <w:p>
      <w:pPr>
        <w:pStyle w:val="NormalBold"/>
      </w:pPr>
      <w:r>
        <w:rPr>
          <w:rStyle w:val="HideTWBExt"/>
          <w:b w:val="0"/>
        </w:rPr>
        <w:t>&lt;RepeatBlock-By&gt;</w:t>
      </w:r>
      <w:r>
        <w:rPr>
          <w:rStyle w:val="HideTWBExt"/>
          <w:b w:val="0"/>
        </w:rPr>
        <w:t>&lt;Members&gt;</w:t>
      </w:r>
      <w:r>
        <w:t>Sebastian Everding, Anja Hazekamp</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Potpora se ne dodjeljuje za operacije koje doprinose prelovu, prekoračenju kapaciteta, destruktivnim ribolovnim praksama, znatnim poremećajima na morskom dnu, degradaciji morskih staništa, povećanom usputnom ulovu neciljanih vrsta ili patnji akvatičnih životinja.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333</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Ne dodjeljuje se potpora ni za koju metodu ili tehniku koja bi mogla povećati kapacitet ribarskog plovila za otkrivanje ili lovljenje ribe.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334</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4.c</w:t>
            </w:r>
            <w:r>
              <w:tab/>
            </w:r>
            <w:r>
              <w:rPr>
                <w:b/>
                <w:i/>
              </w:rPr>
              <w:t>Ne dodjeljuje se potpora ni za koju metodu ili tehniku koja bi mogla povećati ribolovni kapacitet ribarskog plovila.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335</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4.d</w:t>
            </w:r>
            <w:r>
              <w:tab/>
            </w:r>
            <w:r>
              <w:rPr>
                <w:b/>
                <w:i/>
              </w:rPr>
              <w:t>Ne dodjeljuje se potpora ni za koju metodu ili tehniku koja bi mogla povećati kapacitet ribarskog plovila za otkrivanje ili lovljenje ribe.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4.d</w:t>
            </w:r>
            <w:r>
              <w:tab/>
            </w:r>
            <w:r>
              <w:rPr>
                <w:b/>
                <w:i/>
              </w:rPr>
              <w:t>Ne dodjeljuje se potpora za fosilna goriva.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4.e</w:t>
            </w:r>
            <w:r>
              <w:tab/>
            </w:r>
            <w:r>
              <w:rPr>
                <w:b/>
                <w:i/>
              </w:rPr>
              <w:t>Potpora za nabavu, zamjenu, izgradnju ili uvoz ribarskih plovila ne dodjeljuje se, osim za plovila čija duljina preko svega iznosi 33 metra ili manje, samo u sljedećim posebnim slučajevima: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 za napuštanje povlačnih ribolovnih alata kako su definirani u članku 2. točki 1. Uredbe Vijeća (EZ) br. 1967/2006, ili;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za dekarbonizaciju ribarskih plovila koja ne upotrebljavaju povlačne ribolovne alate kako su definirani u članku 2. točki 1. Uredbe Vijeća (EZ) br. 1967/2006, pod uvjetom da je dokazano da se mjerama poboljšava okolišna učinkovitost ribolovnih operacija te da se njima ne perpetuira i ne nanosi nova šteta morskim ekosustavima, posebno u slučaju zamjene alata.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338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4.e</w:t>
            </w:r>
            <w:r>
              <w:tab/>
            </w:r>
            <w:r>
              <w:rPr>
                <w:b/>
                <w:i/>
              </w:rPr>
              <w:t>Ne dodjeljuje se potpora za operativne troškove, uključujući subvencije za fosilna goriva.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Obrazloženje</w:t>
      </w:r>
      <w:r>
        <w:rPr>
          <w:rStyle w:val="HideTWBExt"/>
        </w:rPr>
        <w:t>&lt;/TitreJust&gt;</w:t>
      </w:r>
    </w:p>
    <w:p>
      <w:pPr>
        <w:pStyle w:val="AmJustText"/>
      </w:pPr>
      <w:r>
        <w:t>Pružanjem subvencija EU-a za troškove fosilnih goriva ugrozili bi se potrebni napori u skladu s Pariškim sporazumom.</w:t>
      </w:r>
    </w:p>
    <w:p>
      <w:r>
        <w:rPr>
          <w:rStyle w:val="HideTWBExt"/>
        </w:rPr>
        <w:t>&lt;/Amend&gt;</w:t>
      </w:r>
    </w:p>
    <w:p>
      <w:pPr>
        <w:pStyle w:val="AmNumberTabs"/>
      </w:pPr>
      <w:r>
        <w:rPr>
          <w:rStyle w:val="HideTWBExt"/>
        </w:rPr>
        <w:t>&lt;Amend&gt;</w:t>
      </w:r>
      <w:r>
        <w:t>Amandman</w:t>
      </w:r>
      <w:r>
        <w:tab/>
      </w:r>
      <w:r>
        <w:tab/>
      </w:r>
      <w:r>
        <w:rPr>
          <w:rStyle w:val="HideTWBExt"/>
        </w:rPr>
        <w:t>&lt;NumAm&gt;</w:t>
      </w:r>
      <w:r>
        <w:t>339</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4.f</w:t>
            </w:r>
            <w:r>
              <w:tab/>
            </w:r>
            <w:r>
              <w:rPr>
                <w:b/>
                <w:i/>
              </w:rPr>
              <w:t>Potpora za privremeni prestanak ribolovnih aktivnosti dodjeljuje se samo pod uvjetom da takva potpora dovede do neto smanjenja ukupnog ribolovnog napora koje se ne nadoknađuje povećanim naporom drugdje te da je popraćena odgovarajućim mjerama upravljanja kojima se osigurava dugoročna održivost dotičnih ribljih populacija i s njima povezanih ekosustava, uključujući neotvaranje ribolova, ako znanstveni savjeti i šira razmatranja o ekosustavu upućuju na to da bi to ugrozilo ciljeve Direktive 2008/56/EZ.</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340</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4.f</w:t>
            </w:r>
            <w:r>
              <w:tab/>
            </w:r>
            <w:r>
              <w:rPr>
                <w:b/>
                <w:i/>
              </w:rPr>
              <w:t>Potpora za zamjenu motora na fosilna goriva ne dodjeljuje se, osim za prelazak na elektrifikaciju i pogon na vjetar za plovila čija duljina preko svega iznosi 33 metra ili manje i koja ne upotrebljavaju povlačne ribolovne alate kako su definirani u članku 2. točki 1. Uredbe Vijeća (EZ) br. 1967/2006.</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341</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4.g</w:t>
            </w:r>
            <w:r>
              <w:tab/>
            </w:r>
            <w:r>
              <w:rPr>
                <w:b/>
                <w:i/>
              </w:rPr>
              <w:t>Ne dodjeljuje se potpora za kupnju, zamjenu, izgradnju ili uvoz ribarskih plovila.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342</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4.g</w:t>
            </w:r>
            <w:r>
              <w:tab/>
            </w:r>
            <w:r>
              <w:rPr>
                <w:b/>
                <w:i/>
              </w:rPr>
              <w:t>Ne dodjeljuje se potpora za ribolov električnim impulsima.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343</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4.h</w:t>
            </w:r>
            <w:r>
              <w:tab/>
            </w:r>
            <w:r>
              <w:rPr>
                <w:b/>
                <w:i/>
              </w:rPr>
              <w:t>Potpora za operacije ili rashode za zamjenu ili osuvremenjivanje glavnog ili pomoćnog motora ribarskog plovila prihvatljiva je samo pod sljedećim uvjetima: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 duljina plovila preko svega iznosi do 24 metra;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 plovilo je registrirano u registru flote Unije najmanje pet kalendarskih godina koje su prethodile godini u kojoj je podnesen zahtjev za potporu;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iii. plovilo pripada segmentu ribarske flote za koji je u najnovijem izvješću o ribolovnom kapacitetu iz članka 22. stavka 2. Uredbe (EU) br. 1380/2013 utvrđeno da je uravnotežen s ribolovnim mogućnostima koje su dostupne tom segmentu;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iv. svako smanjenje ribolovnog kapaciteta u kW zbog zamjene ili modernizacije glavnog ili pomoćnog motora trajno se briše iz registra flote Unije;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 država članica provela je fizičku inspekciju snage motora ribarskog plovila kako bi se zajamčilo da ne prelazi snagu motora utvrđenu u povlastici za ribolov;</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 novi ili osuvremenjeni motor nema veću snagu u kW od dosadašnjeg motora;</w:t>
            </w:r>
            <w:r>
              <w:rPr>
                <w:b/>
                <w:i/>
              </w:rPr>
              <w: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vii. novi ili osuvremenjeni motor temelji se na tehnologijama s nultim emisijama u skladu s člankom 3. stavkom 7. Uredbe (EU) 2023/1805.</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344</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4.h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4.h</w:t>
            </w:r>
            <w:r>
              <w:tab/>
            </w:r>
            <w:r>
              <w:rPr>
                <w:b/>
                <w:i/>
              </w:rPr>
              <w:t>Ne dodjeljuje se potpora za dubokomorski ribolov.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345</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4.i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4.i</w:t>
            </w:r>
            <w:r>
              <w:tab/>
            </w:r>
            <w:r>
              <w:rPr>
                <w:b/>
                <w:i/>
              </w:rPr>
              <w:t>Ne dodjeljuje se potpora za izgradnju, nabavu ili uporabu bilo koje vrste uređaja za privlačenje ribe.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346</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4.i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4.i</w:t>
            </w:r>
            <w:r>
              <w:tab/>
            </w:r>
            <w:r>
              <w:rPr>
                <w:b/>
                <w:i/>
              </w:rPr>
              <w:t>Ne podupire se širenje akvakulture mesojeda, ni u smislu količine ni u smislu novijih vrsta.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347</w:t>
      </w:r>
      <w:r>
        <w:rPr>
          <w:rStyle w:val="HideTWBExt"/>
        </w:rPr>
        <w:t>&lt;/NumAm&gt;</w:t>
      </w:r>
    </w:p>
    <w:p>
      <w:pPr>
        <w:pStyle w:val="NormalBold"/>
      </w:pPr>
      <w:r>
        <w:rPr>
          <w:rStyle w:val="HideTWBExt"/>
          <w:b w:val="0"/>
        </w:rPr>
        <w:t>&lt;RepeatBlock-By&gt;</w:t>
      </w:r>
      <w:r>
        <w:rPr>
          <w:rStyle w:val="HideTWBExt"/>
          <w:b w:val="0"/>
        </w:rPr>
        <w:t>&lt;Members&gt;</w:t>
      </w:r>
      <w:r>
        <w:t>Emma Fourreau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4.j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4.j</w:t>
            </w:r>
            <w:r>
              <w:tab/>
            </w:r>
            <w:r>
              <w:rPr>
                <w:b/>
                <w:i/>
              </w:rPr>
              <w:t>Ne podupire se izgradnja ribogojilišta lososa koja upotrebljavaju recirkulacijske akvakulturne sustave za fazu rasta.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348</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4.j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4.j</w:t>
            </w:r>
            <w:r>
              <w:tab/>
            </w:r>
            <w:r>
              <w:rPr>
                <w:b/>
                <w:i/>
              </w:rPr>
              <w:t>Ne dodjeljuje se potpora za ribolov električnim impulsima.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349</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4.k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4.k</w:t>
            </w:r>
            <w:r>
              <w:tab/>
            </w:r>
            <w:r>
              <w:rPr>
                <w:b/>
                <w:i/>
              </w:rPr>
              <w:t>Ne dodjeljuje se potpora za dubokomorski ribolov.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350</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4.l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4.l</w:t>
            </w:r>
            <w:r>
              <w:tab/>
            </w:r>
            <w:r>
              <w:rPr>
                <w:b/>
                <w:i/>
              </w:rPr>
              <w:t>Ne dodjeljuje se potpora za istraživački ribolov;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351</w:t>
      </w:r>
      <w:r>
        <w:rPr>
          <w:rStyle w:val="HideTWBExt"/>
        </w:rPr>
        <w:t>&lt;/NumAm&gt;</w:t>
      </w:r>
    </w:p>
    <w:p>
      <w:pPr>
        <w:pStyle w:val="NormalBold"/>
      </w:pPr>
      <w:r>
        <w:rPr>
          <w:rStyle w:val="HideTWBExt"/>
          <w:b w:val="0"/>
        </w:rPr>
        <w:t>&lt;RepeatBlock-By&gt;</w:t>
      </w:r>
      <w:r>
        <w:rPr>
          <w:rStyle w:val="HideTWBExt"/>
          <w:b w:val="0"/>
        </w:rPr>
        <w:t>&lt;Members&gt;</w:t>
      </w:r>
      <w:r>
        <w:t>Isabella Lövin</w:t>
      </w:r>
      <w:r>
        <w:rPr>
          <w:rStyle w:val="HideTWBExt"/>
          <w:b w:val="0"/>
        </w:rPr>
        <w:t>&lt;/Members&gt;</w:t>
      </w:r>
    </w:p>
    <w:p>
      <w:r>
        <w:rPr>
          <w:rStyle w:val="HideTWBExt"/>
          <w:b w:val="0"/>
        </w:rPr>
        <w:t>&lt;AuNomDe&gt;</w:t>
      </w:r>
      <w:r>
        <w:rPr>
          <w:rStyle w:val="HideTWBInt"/>
        </w:rPr>
        <w:t>{Verts/ALE}</w:t>
      </w:r>
      <w:r>
        <w:t>u ime Kluba zastupnika Verts/ALE-a</w:t>
      </w:r>
      <w:r>
        <w:rPr>
          <w:rStyle w:val="HideTWBExt"/>
          <w:b w:val="0"/>
        </w:rPr>
        <w:t>&lt;/AuNomDe&gt;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 – stavak 4.m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4.m</w:t>
            </w:r>
            <w:r>
              <w:tab/>
            </w:r>
            <w:r>
              <w:rPr>
                <w:b/>
                <w:i/>
              </w:rPr>
              <w:t>Ne dodjeljuje se potpora za izravno poribljavanje, osim izričito kao mjera ponovnog uvođenja ili druga mjera očuvanja.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352</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Sustav kontrole za zajedničku ribarstvenu politiku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Države članice u okviru kontrola iz članka 58. [Uredbe o NRPP-u] provjeravaju usklađenost korisnika.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Države članice upotrebljavaju svoje sustave kontrole i izvršenja propisa u područjima klime i okoliša, javnog zdravlja, zdravlja bilja i dobrobiti životinja, socijalnog i radnog zakonodavstva, primjenjivih radnih standarda, ribarstva i akvakulture kako bi osigurale da korisnici potpore ispunjavaju zahtjeve utvrđene u prvom stavku.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Upravljačko tijelo ili agencija za plaćanja obavješćuje se, prema potrebi, najmanje jednom godišnje o slučajevima neusklađenosti ako su u tom pogledu donesene izvršive odluke u okviru primjenjivih sustava kontrole i izvršenja propisa iz stavka 2.</w:t>
            </w:r>
            <w:r>
              <w:t xml:space="preserve"> </w:t>
            </w:r>
            <w:r>
              <w:rPr>
                <w:b/>
                <w:i/>
              </w:rPr>
              <w:t>Ta obavijest uključuje procjenu i ocjenu ozbiljnosti, opsega, trajanja ili ponavljanja te postojanje namjere dotične nesukladnosti.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U slučaju nesukladnosti s ovom Uredbom, potpora isplaćena korisniku vraća se, a zahtjev za potporu koji je podnio korisnik neprihvatljiv je tijekom određenog razdoblja utvrđenog u skladu sa stavkom 8. ovog članka ako je konačnom odlukom dotičnog nadležnog tijela utvrđeno da je korisnik počinio prijevaru.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Ako se slučaj iz članka XX. ove Uredbe dogodi između razdoblja primjene i razdoblja od pet godina nakon završnog plaćanja, iznos potpore isplaćen korisniku vraća se.</w:t>
            </w:r>
            <w:r>
              <w:t xml:space="preserve"> </w:t>
            </w:r>
            <w:r>
              <w:rPr>
                <w:b/>
                <w:i/>
              </w:rPr>
              <w:t>Povrat mora biti razmjeran prirodi, težini, trajanju i ponavljanju teških povreda ili kaznenih djela dotičnog korisnika te važnosti potpore gospodarskoj aktivnosti tog korisnika.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Kako bi se osigurali jednaki uvjeti među državama članicama te djelotvornost, proporcionalnost i odvraćajući učinak kazni iz stavka 5. te povrata i neprihvatljivosti iz članka ove Uredbe i stavaka 4. i 5. ovog članka, Komisija je ovlaštena za donošenje delegiranih akata u skladu s člankom 4.b kojima se ova Uredba dopunjuje: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detaljnim pravilima o primjeni i izračunu kazni;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utvrđivanjem praga aktivacije i razdoblja neprihvatljivosti, kao i postupaka za osiguravanje povrata dodijeljene potpore, uključujući pragove aktivacije.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353</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Krizna plaćanja ribarima nakon prirodnih katastrofa, nepovoljnih klimatskih prilika i katastrofalnih događaja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Države članice mogu osigurati krizna plaćanja ribarima i proizvođačima u akvakulturi te drugim subjektima u lancu vrijednosti ribarstva i akvakulture pogođenima prirodnim katastrofama, nepovoljnim klimatskim prilikama ili katastrofalnim događajima.</w:t>
            </w:r>
            <w:r>
              <w:t xml:space="preserve"> </w:t>
            </w:r>
            <w:r>
              <w:rPr>
                <w:b/>
                <w:i/>
              </w:rPr>
              <w:t>Tim se plaćanjima nastoji osigurati kontinuitet djelatnosti te se na njih primjenjuju uvjeti utvrđeni u ovom članku i kako su ih dodatno odredile države članice.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Potpora na temelju ovog članka, uključujući potporu za naknadu za privremeni prestanak ribolovnih aktivnosti i aktivnosti akvakulture, može se dodijeliti za: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mjere očuvanja iz članka 7. stavka 1. točaka (a), (b), (c), (i) i (j) Uredbe (EU) br. 1380/2013 ili, ako su primjenjive na Uniju, jednakovrijedne mjere očuvanja koje donose RFMO-ovi;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mjere Komisije uslijed ozbiljne prijetnje morskim biološkim resursima, kako je navedeno u članku 12. Uredbe (EU) br. 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hitne mjere država članica na temelju članka 13. Uredbe (EU) br.1380/2013;</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prekid primjene sporazuma o partnerstvu u održivom ribarstvu ili njegova protokola zbog razloga više sile;</w:t>
            </w:r>
            <w:r>
              <w:t xml:space="preserve"> </w:t>
            </w:r>
            <w:r>
              <w:rPr>
                <w:b/>
                <w:i/>
              </w:rPr>
              <w:t>ili u slučaju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(e) prirodnih katastrofa, okolišnih incidenata, zdravstvenih kriza ili katastrofalnih događaja koje je službeno priznalo nadležno tijelo relevantne države članice.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Države članice utvrđuju stope potpore primjenjive za nadoknadu gubitka proizvodnje, izgubljenog prihoda ili nastalih dodatnih troškova.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Pri dodjeli potpore na temelju ovog članka države članice dužne su izbjeći prekomjernu naknadu zbog kombinacije te potpore s drugim nacionalnim instrumentima potpore, instrumentima potpore Unije ili privatnim programima osiguranja.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354</w:t>
      </w:r>
      <w:r>
        <w:rPr>
          <w:rStyle w:val="HideTWBExt"/>
        </w:rPr>
        <w:t>&lt;/NumAm&gt;</w:t>
      </w:r>
    </w:p>
    <w:p>
      <w:pPr>
        <w:pStyle w:val="NormalBold"/>
      </w:pPr>
      <w:r>
        <w:rPr>
          <w:rStyle w:val="HideTWBExt"/>
          <w:b w:val="0"/>
        </w:rPr>
        <w:t>&lt;RepeatBlock-By&gt;</w:t>
      </w:r>
      <w:r>
        <w:rPr>
          <w:rStyle w:val="HideTWBExt"/>
          <w:b w:val="0"/>
        </w:rPr>
        <w:t>&lt;Members&gt;</w:t>
      </w:r>
      <w:r>
        <w:t>Francisco José Millán Mon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4.a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4.a</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Načelo nenanošenja bitne štete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Smatra se da je potpora dodijeljena za postizanje ciljeva utvrđenih u ovoj Uredbi u skladu s načelom nenanošenja bitne štete, pod uvjetom da je u skladu s ciljevima ZRP-a.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355</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Sustav kontrole za zajedničku ribarstvenu politiku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U skladu s člankom 58. Uredbe (EU).../... [Uredba o NRP-ovima] države članice provjeravaju usklađenost korisnika sa zahtjevima iz članka 3.d.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Države članice koriste se svojim sustavima kontrole i izvršenja propisa u području ribarstva i akvakulture kako bi osigurale da korisnici potpore ispunjavaju zahtjeve utvrđene u prvom stavku.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Upravljačko tijelo ili agencija za plaćanja iz članka 58. Uredbe (EU).../... [Uredba o NRP-ovima] obavješćuje se, prema potrebi, najmanje jednom godišnje o slučajevima neusklađenosti ako su u tom pogledu donesene izvršive odluke u okviru primjenjivih sustava kontrole i izvršenja propisa iz stavka 2.</w:t>
            </w:r>
            <w:r>
              <w:t xml:space="preserve"> </w:t>
            </w:r>
            <w:r>
              <w:rPr>
                <w:b/>
                <w:i/>
              </w:rPr>
              <w:t>Ta obavijest uključuje procjenu i ocjenu ozbiljnosti, opsega, trajanja ili ponavljanja te postojanje namjere dotične nesukladnosti.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U slučaju nesukladnosti s člankom 3.d, potpora isplaćena korisniku vraća se, a zahtjev za potporu koji je podnio korisnik neprihvatljiv je tijekom određenog razdoblja utvrđenog u skladu sa stavkom 6. ovog članka ako je konačnom odlukom dotičnog nadležnog tijela utvrđeno da je korisnik počinio prijevaru.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Ako se slučaj iz članka 3.d dogodi između razdoblja primjene i razdoblja od pet godina nakon dodjele potpore, iznos potpore isplaćen korisniku vraća se.</w:t>
            </w:r>
            <w:r>
              <w:t xml:space="preserve"> </w:t>
            </w:r>
            <w:r>
              <w:rPr>
                <w:b/>
                <w:i/>
              </w:rPr>
              <w:t>Povrat mora biti razmjeran prirodi, težini, trajanju i ponavljanju teških povreda ili kaznenih djela dotičnog korisnika te važnosti potpore gospodarskoj aktivnosti tog korisnika.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Kako bi se osigurali jednaki uvjeti među državama članicama te djelotvornost, proporcionalnost i odvraćajući učinak povrata i neprihvatljivosti iz članka 3.d i stavaka 4. i 5. ovog članka, Komisija je ovlaštena za donošenje delegiranih akata u skladu s člankom 4.g kojima se ova Uredba dopunjuje: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detaljnim pravilima o primjeni i izračunu povrata;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utvrđivanjem praga aktivacije i razdoblja neprihvatljivosti, kao i postupaka za osiguravanje povrata dodijeljene potpore, uključujući pragove aktivacije.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356</w:t>
      </w:r>
      <w:r>
        <w:rPr>
          <w:rStyle w:val="HideTWBExt"/>
        </w:rPr>
        <w:t>&lt;/NumAm&gt;</w:t>
      </w:r>
    </w:p>
    <w:p>
      <w:pPr>
        <w:pStyle w:val="NormalBold"/>
      </w:pPr>
      <w:r>
        <w:rPr>
          <w:rStyle w:val="HideTWBExt"/>
          <w:b w:val="0"/>
        </w:rPr>
        <w:t>&lt;RepeatBlock-By&gt;</w:t>
      </w:r>
      <w:r>
        <w:rPr>
          <w:rStyle w:val="HideTWBExt"/>
          <w:b w:val="0"/>
        </w:rPr>
        <w:t>&lt;Members&gt;</w:t>
      </w:r>
      <w:r>
        <w:t>Asger Christensen, Emma Wiesner, Oihane Agirregoitia Martínez</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4.b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4.b</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Izvršavanje delegiranja ovlasti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Ovlast za donošenje delegiranih akata dodjeljuje se Komisiji podložno uvjetima utvrđenima u ovom članku.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Ovlast za donošenje delegiranih akata iz članka 4.a dodjeljuje se Komisiji na neodređeno vrijeme počevši od datuma stupanja na snagu ove Uredbe.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Europski parlament ili Vijeće u svakom trenutku mogu opozvati delegiranje ovlasti iz članka 4.a</w:t>
            </w:r>
            <w:r>
              <w:t xml:space="preserve"> </w:t>
            </w:r>
            <w:r>
              <w:rPr>
                <w:b/>
                <w:i/>
              </w:rPr>
              <w:t>Odlukom o opozivu prekida se delegiranje ovlasti koje je u njoj navedeno.</w:t>
            </w:r>
            <w:r>
              <w:t xml:space="preserve"> </w:t>
            </w:r>
            <w:r>
              <w:rPr>
                <w:b/>
                <w:i/>
              </w:rPr>
              <w:t>Opoziv počinje proizvoditi učinke sljedećeg dana od dana objave odluke u Službenom listu Europske unije ili na kasniji datum naveden u toj odluci.</w:t>
            </w:r>
            <w:r>
              <w:t xml:space="preserve"> </w:t>
            </w:r>
            <w:r>
              <w:rPr>
                <w:b/>
                <w:i/>
              </w:rPr>
              <w:t>On ne utječe na valjanost delegiranih akata koji su već na snazi.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Prije donošenja delegiranog akta Komisija se savjetuje sa stručnjacima koje je imenovala svaka država članica u skladu s načelima utvrđenima u Međuinstitucijskom sporazumu o boljoj izradi zakonodavstva od 13. travnja 2016.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Čim donese delegirani akt, Komisija ga istodobno priopćuje Europskom parlamentu i Vijeću.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Delegirani akt donesen na temelju stavka 5. stupa na snagu samo ako ni Europski parlament ni Vijeće u roku od mjesec dana od priopćenja tog akta Europskom parlamentu i Vijeću na njega ne podnesu nikakav prigovor ili ako su prije isteka tog roka i Europski parlament i Vijeće obavijestili Komisiju da neće podnijeti prigovore.</w:t>
            </w:r>
            <w:r>
              <w:t xml:space="preserve"> </w:t>
            </w:r>
            <w:r>
              <w:rPr>
                <w:b/>
                <w:i/>
              </w:rPr>
              <w:t>Taj se rok produljuje za mjesec dana na inicijativu Europskog parlamenta ili Vijeća.</w:t>
            </w:r>
            <w:r>
              <w:t xml:space="preserve"> </w:t>
            </w:r>
            <w:r>
              <w:rPr>
                <w:b/>
                <w:i/>
              </w:rPr>
              <w:t>Ovlasti dodijeljene Komisiji u okviru članka 3. stavka 5. Uredbe (EU) br. 1303/2013</w:t>
            </w:r>
            <w:r>
              <w:rPr>
                <w:b/>
                <w:i/>
                <w:vertAlign w:val="superscript"/>
              </w:rPr>
              <w:t>1a</w:t>
            </w:r>
            <w:r>
              <w:t xml:space="preserve"> </w:t>
            </w:r>
            <w:r>
              <w:rPr>
                <w:b/>
                <w:i/>
              </w:rPr>
              <w:t>da donese delegirani akt kako bi se uspostavio europski kodeks ponašanja za partnerstvo ostaju na snazi za programsko razdoblje 2028. – 202X.</w:t>
            </w:r>
            <w:r>
              <w:t xml:space="preserve"> </w:t>
            </w:r>
            <w:r>
              <w:rPr>
                <w:b/>
                <w:i/>
              </w:rPr>
              <w:t>Delegiranje ovlasti izvršava se u skladu s člankom 4.b ove Uredbe.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Uredba (EU) br. 1303/2013 Europskog parlamenta i Vijeća od 17. prosinca 2013. o utvrđivanju zajedničkih odredbi o Europskom fondu za regionalni razvoj, Europskom socijalnom fondu, Kohezijskom fondu, Europskom poljoprivrednom fondu za ruralni razvoj i Europskom fondu za pomorstvo i ribarstvo i o utvrđivanju općih odredbi o Europskom fondu za regionalni razvoj, Europskom socijalnom fondu, Kohezijskom fondu i Europskom fondu za pomorstvo i ribarstvo te o stavljanju izvan snage Uredbe Vijeća (EZ) br. 1083/2006 (SL L 347, 20.12.2013., str.</w:t>
            </w:r>
            <w:r>
              <w:t xml:space="preserve"> </w:t>
            </w:r>
            <w:r>
              <w:rPr>
                <w:b/>
                <w:i/>
              </w:rPr>
              <w:t>320., ELI: http://data.europa.eu/eli/reg/2013/883/oj).</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357</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4.c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4.c</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Lokalni razvoj pod vodstvom zajednice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Potpora iz ovog članka obuhvaća intervencije kojima se doprinosi omogućivanju održivog plavoga gospodarstva u obalnim, otočnim i kopnenim područjima te poticanje održivog razvoja ribarskih i akvakulturnih zajednica.</w:t>
            </w:r>
            <w:r>
              <w:t xml:space="preserve"> </w:t>
            </w:r>
            <w:r>
              <w:rPr>
                <w:b/>
                <w:i/>
              </w:rPr>
              <w:t>Kako bi se to postiglo, potpora se provodi putem lokalnog razvoja pod vodstvom zajednice utvrđenog u članku 76. Uredbe (EU).../... [Uredba o NRP-ovima].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Za potrebe ovog članka, strategije lokalnog razvoja pod vodstvom zajednice iz članka 76. Uredbe (EU).../... [Uredba o NRP-ovima] izrađuje se s posebnim naglaskom na obalna, otočna i kopnena područja te se razvijaju neovisno.</w:t>
            </w:r>
            <w:r>
              <w:t xml:space="preserve"> </w:t>
            </w:r>
            <w:r>
              <w:rPr>
                <w:b/>
                <w:i/>
              </w:rPr>
              <w:t>Tim strategijama lokalnog razvoja pod vodstvom zajednice lokalnim zajednicama mora se omogućiti da u području ribarstva ili akvakulture bolje iskoriste i ostvare dobit iz prilika koje im nudi održivo plavo gospodarstvo te da iskoriste i ojačaju okolišne, kulturne, socijalne i ljudske resurse.</w:t>
            </w:r>
            <w:r>
              <w:t xml:space="preserve"> </w:t>
            </w:r>
            <w:r>
              <w:rPr>
                <w:b/>
                <w:i/>
              </w:rPr>
              <w:t>Te strategije lokalnog razvoja pod vodstvom zajednice mogu biti različite, od onih usmjerenih na ribarstvo ili akvakulturu do širih strategija usmjerenih na diversifikaciju lokalnih zajednica.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Najmanje 12 % financijske potpore Unije dodijeljene državi članici u skladu s člankom 10. stavkom 2. točkom (a) Uredbe EU.../... [Uredba o NRP-ovima] dodjeljuje se u NRP planu za specifični cilj iz stavka 1.</w:t>
            </w:r>
            <w:r>
              <w:t xml:space="preserve"> </w:t>
            </w:r>
            <w:r>
              <w:rPr>
                <w:b/>
                <w:i/>
              </w:rPr>
              <w:t>Države članice koje nemaju pristup vodama Unije mogu primijeniti niži postotak s obzirom na razinu svojih zadataka u pogledu kontrole i prikupljanja podataka.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358</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4.d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4.d</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Državne potpore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Osim ako je ovim člankom predviđeno drukčije, članci 107., 108. i 109. Ugovora o funkcioniranju Europske unije (UFEU) primjenjuju se na potpore koje države članice dodjeljuju poduzetnicima u sektorima ribarstva i akvakulture Unije.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Članci 107., 108. i 109. UFEU-a ne primjenjuju se na potpore koje države članice dodjeljuju poduzetnicima u sektoru ribarstva i akvakulture Unije na temelju ove Uredbe i Uredbe (EU).../... [Uredba o NRP-ovima] i u skladu s njima, a koje su obuhvaćene područjem primjene članka 42. UFEU-a.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Za ribarske i akvakulturne proizvode obuhvaćene Prilogom I. UFEU-u, na koje se primjenjuju njegovi članci 107., 108. i 109., Komisija u skladu s člankom 108. UFEU-a može odobriti operativnu potporu u sektorima proizvodnje, prerade i prodaje tih proizvoda kako bi se ublažila posebna ograničenja na ribarsku i akvakulturnu proizvodnju u najudaljenijim regijama i na manjim egejskim otocima, koja su posljedica njihove izoliranosti, otočne naravi, male veličine i iznimne udaljenosti.</w:t>
            </w:r>
            <w:r>
              <w:t xml:space="preserve"> </w:t>
            </w:r>
            <w:r>
              <w:rPr>
                <w:b/>
                <w:i/>
              </w:rPr>
              <w:t>Države članice u skladu s ovom Uredbom mogu dodijeliti dodatna financijska sredstva za provedbu intervencija u najudaljenijim regijama i na manjim egejskim otocima.</w:t>
            </w:r>
            <w:r>
              <w:t xml:space="preserve"> </w:t>
            </w:r>
            <w:r>
              <w:rPr>
                <w:b/>
                <w:i/>
              </w:rPr>
              <w:t>U takvim slučajevima države članice obavješćuju Komisiju o dodatnom financiranju, a Komisija ga može odobriti u skladu s ovom Uredbom kao dio planova.</w:t>
            </w:r>
            <w:r>
              <w:t xml:space="preserve"> </w:t>
            </w:r>
            <w:r>
              <w:rPr>
                <w:b/>
                <w:i/>
              </w:rPr>
              <w:t>Za državnu potporu o kojoj je tako obaviješteno također se smatra da je o njoj obaviješteno u smislu prve rečenice članka 108. stavka 3. UFEU-a.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Potporom se može pokriti nasljeđivanje plovila za ribolov, uključujući prijenos vlasništva nad plovilom ili kontrolnim udjelom u plovilu, kako bi se olakšala generacijska obnova i kontinuitet ribolovnih aktivnosti, kako je utvrđeno u članku 4. ove Uredbe.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359</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4.e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4.e</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Godišnje izvješće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Komisija 31. srpnja 2029. i svake godine nakon toga podnosi izvješće Europskom parlamentu i Vijeću o provedbi, uspješnosti i rezultatima EFPRA-e.</w:t>
            </w:r>
            <w:r>
              <w:t xml:space="preserve"> </w:t>
            </w:r>
            <w:r>
              <w:rPr>
                <w:b/>
                <w:i/>
              </w:rPr>
              <w:t>U tome izvješću Komisija upotrebljava ključne pokazatelje uspješnosti navedene u Prilogu I. Uredbi (EU) …./…. [Uredba o okviru uspješnosti].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Uz opća pravila iz poglavlja 3. Uredbe (EU) …./…. [Uredba o okviru uspješnosti].Uredbe (EU), upravljačko tijelo Komisiji dostavlja relevantne podatke o provedbi na razini operacija koji uključuju ključne značajke korisnika (ime/naziv, vrstu korisnika, veličinu poduzeća, rod i podatke za kontakt) i poduprijetih operacija (posebni cilj, vrstu operacije, sektor na koji se operacije odnose, vrijednosti pokazatelja, stanje napretka operacije, broj u zajedničkom registru flote, financijske podatke i oblik potpore).</w:t>
            </w:r>
            <w:r>
              <w:t xml:space="preserve"> </w:t>
            </w:r>
            <w:r>
              <w:rPr>
                <w:b/>
                <w:i/>
              </w:rPr>
              <w:t>Ti podaci dostavljaju se 31. siječnja i 31. srpnja svake godine.</w:t>
            </w:r>
            <w:r>
              <w:t xml:space="preserve"> </w:t>
            </w:r>
            <w:r>
              <w:rPr>
                <w:b/>
                <w:i/>
              </w:rPr>
              <w:t>Prvi prijenos tih podataka mora se izvršiti do 31. siječnja 2029.</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Komisija donosi provedbene akte kojima se utvrđuju pravila za daljnje podrobnije utvrđivanje konkretnih podataka iz stavka 2. ovog članka i njihovo predstavljanje.</w:t>
            </w:r>
            <w:r>
              <w:t xml:space="preserve"> </w:t>
            </w:r>
            <w:r>
              <w:rPr>
                <w:b/>
                <w:i/>
              </w:rPr>
              <w:t>Ti se provedbeni akti donose u skladu s postupkom ispitivanja iz članka 4.g.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Komisija je ovlaštena za donošenje delegiranih akata u skladu s člankom 4.h radi izmjene Priloga I. Uredbi (EU).../... [Uredba o okviru uspješnosti] dodavanjem ključnih pokazatelja uspješnosti radi prilagodbe promjenama do kojih dođe tijekom programskog razdoblja.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360</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4.f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4.f</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Postupak odbora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Komisiji pomaže Odbor za Europski fond za pomorstvo, ribarstvo i akvakulturu.</w:t>
            </w:r>
            <w:r>
              <w:t xml:space="preserve"> </w:t>
            </w:r>
            <w:r>
              <w:rPr>
                <w:b/>
                <w:i/>
              </w:rPr>
              <w:t>Navedeni odbor je odbor u smislu Uredbe (EU) br. 182/2011.</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Pri upućivanju na ovaj stavak primjenjuje se članak 5. Uredbe (EU) br. 182/2011.</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361</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4.g (novi)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Članak 4.g</w:t>
            </w:r>
            <w:r>
              <w:tab/>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jc w:val="center"/>
            </w:pPr>
            <w:r>
              <w:rPr>
                <w:b/>
                <w:i/>
              </w:rPr>
              <w:t>Izvršavanje delegiranja ovlasti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w:t>
            </w:r>
            <w:r>
              <w:t xml:space="preserve"> </w:t>
            </w:r>
            <w:r>
              <w:rPr>
                <w:b/>
                <w:i/>
              </w:rPr>
              <w:t>Ovlast za donošenje delegiranih akata dodjeljuje se Komisiji podložno uvjetima utvrđenima u ovom članku.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w:t>
            </w:r>
            <w:r>
              <w:t xml:space="preserve"> </w:t>
            </w:r>
            <w:r>
              <w:rPr>
                <w:b/>
                <w:i/>
              </w:rPr>
              <w:t>Ovlast za donošenje delegiranih akata iz članka 3.d dodjeljuje se Komisiji na neodređeno vrijeme počevši od datuma stupanja na snagu ove Uredbe.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w:t>
            </w:r>
            <w:r>
              <w:t xml:space="preserve"> </w:t>
            </w:r>
            <w:r>
              <w:rPr>
                <w:b/>
                <w:i/>
              </w:rPr>
              <w:t>Europski parlament ili Vijeće u svakom trenutku mogu opozvati delegiranje ovlasti iz članka 3.d</w:t>
            </w:r>
            <w:r>
              <w:t xml:space="preserve"> </w:t>
            </w:r>
            <w:r>
              <w:rPr>
                <w:b/>
                <w:i/>
              </w:rPr>
              <w:t>Odlukom o opozivu prekida se delegiranje ovlasti koje je u njoj navedeno.</w:t>
            </w:r>
            <w:r>
              <w:t xml:space="preserve"> </w:t>
            </w:r>
            <w:r>
              <w:rPr>
                <w:b/>
                <w:i/>
              </w:rPr>
              <w:t>Opoziv počinje proizvoditi učinke sljedećeg dana od dana objave odluke u Službenom listu Europske unije ili na kasniji datum naveden u toj odluci.</w:t>
            </w:r>
            <w:r>
              <w:t xml:space="preserve"> </w:t>
            </w:r>
            <w:r>
              <w:rPr>
                <w:b/>
                <w:i/>
              </w:rPr>
              <w:t>On ne utječe na valjanost delegiranih akata koji su već na snazi.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w:t>
            </w:r>
            <w:r>
              <w:t xml:space="preserve"> </w:t>
            </w:r>
            <w:r>
              <w:rPr>
                <w:b/>
                <w:i/>
              </w:rPr>
              <w:t>Prije donošenja delegiranog akta Komisija se savjetuje sa stručnjacima koje je imenovala svaka država članica u skladu s načelima utvrđenima u Međuinstitucijskom sporazumu o boljoj izradi zakonodavstva od 13. travnja 2016.</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w:t>
            </w:r>
            <w:r>
              <w:t xml:space="preserve"> </w:t>
            </w:r>
            <w:r>
              <w:rPr>
                <w:b/>
                <w:i/>
              </w:rPr>
              <w:t>Čim donese delegirani akt, Komisija ga istodobno priopćuje Europskom parlamentu i Vijeću.</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w:t>
            </w:r>
            <w:r>
              <w:t xml:space="preserve"> </w:t>
            </w:r>
            <w:r>
              <w:rPr>
                <w:b/>
                <w:i/>
              </w:rPr>
              <w:t>Delegirani akt donesen na temelju stavka 5. stupa na snagu samo ako ni Europski parlament ni Vijeće u roku od mjesec dana od priopćenja tog akta Europskom parlamentu i Vijeću na njega ne podnesu nikakav prigovor ili ako su prije isteka tog roka i Europski parlament i Vijeće obavijestili Komisiju da neće podnijeti prigovore.</w:t>
            </w:r>
            <w:r>
              <w:t xml:space="preserve"> </w:t>
            </w:r>
            <w:r>
              <w:rPr>
                <w:b/>
                <w:i/>
              </w:rPr>
              <w:t>Taj se rok produljuje za mjesec dana na inicijativu Europskog parlamenta ili Vijeća.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Amandman</w:t>
      </w:r>
      <w:r>
        <w:tab/>
      </w:r>
      <w:r>
        <w:tab/>
      </w:r>
      <w:r>
        <w:rPr>
          <w:rStyle w:val="HideTWBExt"/>
        </w:rPr>
        <w:t>&lt;NumAm&gt;</w:t>
      </w:r>
      <w:r>
        <w:t>362</w:t>
      </w:r>
      <w:r>
        <w:rPr>
          <w:rStyle w:val="HideTWBExt"/>
        </w:rPr>
        <w:t>&lt;/NumAm&gt;</w:t>
      </w:r>
    </w:p>
    <w:p>
      <w:pPr>
        <w:pStyle w:val="NormalBold"/>
      </w:pPr>
      <w:r>
        <w:rPr>
          <w:rStyle w:val="HideTWBExt"/>
          <w:b w:val="0"/>
        </w:rPr>
        <w:t>&lt;RepeatBlock-By&gt;</w:t>
      </w:r>
      <w:r>
        <w:rPr>
          <w:rStyle w:val="HideTWBExt"/>
          <w:b w:val="0"/>
        </w:rPr>
        <w:t>&lt;Members&gt;</w:t>
      </w:r>
      <w:r>
        <w:t>Nicolás González Casares, André Franqueira Rodrigues, Idoia Mendia, Sérgio Gonçalves, Thomas Bajada, Eric Sargiacomo, Giuseppe Lupo, Sakis Arnaoutoglou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Prijedlog uredbe</w:t>
      </w:r>
      <w:r>
        <w:rPr>
          <w:rStyle w:val="HideTWBExt"/>
        </w:rPr>
        <w:t>&lt;/DocAmend&gt;</w:t>
      </w:r>
    </w:p>
    <w:p>
      <w:pPr>
        <w:pStyle w:val="NormalBold"/>
      </w:pPr>
      <w:r>
        <w:rPr>
          <w:rStyle w:val="HideTWBExt"/>
        </w:rPr>
        <w:t>&lt;Article&gt;</w:t>
      </w:r>
      <w:r>
        <w:t>Članak 5. – stavak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Tekst koji je predložila Komisija</w:t>
            </w:r>
          </w:p>
        </w:tc>
        <w:tc>
          <w:tcPr>
            <w:tcW w:w="4876" w:type="dxa"/>
            <w:tcBorders>
              <w:top w:val="nil"/>
              <w:left w:val="nil"/>
              <w:bottom w:val="nil"/>
              <w:right w:val="nil"/>
            </w:tcBorders>
          </w:tcPr>
          <w:p>
            <w:pPr>
              <w:pStyle w:val="AmColumnHeading"/>
            </w:pPr>
            <w:r>
              <w:t>Izmjena</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 xml:space="preserve">Ova je Uredba u cijelosti obvezujuća i izravno se primjenjuje u državama članicama </w:t>
            </w:r>
            <w:r>
              <w:rPr>
                <w:b/>
                <w:i/>
              </w:rPr>
              <w:t>u skladu s Ugovorima</w:t>
            </w:r>
            <w:r>
              <w:t>.</w:t>
            </w:r>
          </w:p>
        </w:tc>
        <w:tc>
          <w:tcPr>
            <w:tcW w:w="4876" w:type="dxa"/>
            <w:tcBorders>
              <w:top w:val="nil"/>
              <w:left w:val="nil"/>
              <w:bottom w:val="nil"/>
              <w:right w:val="nil"/>
            </w:tcBorders>
          </w:tcPr>
          <w:p>
            <w:pPr>
              <w:pStyle w:val="Normal6a"/>
            </w:pPr>
            <w:r>
              <w:t xml:space="preserve">Ova je Uredba u cijelosti obvezujuća i izravno se primjenjuje u </w:t>
            </w:r>
            <w:r>
              <w:rPr>
                <w:b/>
                <w:i/>
              </w:rPr>
              <w:t>svim</w:t>
            </w:r>
            <w:r>
              <w:t xml:space="preserve"> državama članicama.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789.935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44</w:t>
    </w:r>
    <w:r>
      <w:fldChar w:fldCharType="end"/>
    </w:r>
    <w:r>
      <w:t>/</w:t>
    </w:r>
    <w:r>
      <w:fldChar w:fldCharType="begin"/>
    </w:r>
    <w:r>
      <w:instrText xml:space="preserve"> NUMPAGES </w:instrText>
    </w:r>
    <w:r>
      <w:fldChar w:fldCharType="separate"/>
    </w:r>
    <w:r>
      <w:t>44</w:t>
    </w:r>
    <w:r>
      <w:fldChar w:fldCharType="end"/>
    </w:r>
    <w:r>
      <w:tab/>
    </w:r>
    <w:r>
      <w:rPr>
        <w:rStyle w:val="HideTWBExt"/>
      </w:rPr>
      <w:t>&lt;PathFdR&gt;</w:t>
    </w:r>
    <w:r>
      <w:t>AM\1345550HR.docx</w:t>
    </w:r>
    <w:r>
      <w:rPr>
        <w:rStyle w:val="HideTWBExt"/>
      </w:rPr>
      <w:t>&lt;/PathFdR&gt;</w:t>
    </w:r>
  </w:p>
  <w:p>
    <w:pPr>
      <w:pStyle w:val="EPFooter2"/>
    </w:pPr>
    <w:r>
      <w:t>HR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AM\1345550HR.docx</w:t>
    </w:r>
    <w:r>
      <w:rPr>
        <w:rStyle w:val="HideTWBExt"/>
      </w:rPr>
      <w:t>&lt;/PathFdR&gt;</w:t>
    </w:r>
    <w:r>
      <w:tab/>
    </w:r>
    <w:r>
      <w:fldChar w:fldCharType="begin"/>
    </w:r>
    <w:r>
      <w:instrText xml:space="preserve"> PAGE </w:instrText>
    </w:r>
    <w:r>
      <w:fldChar w:fldCharType="separate"/>
    </w:r>
    <w:r>
      <w:t>43</w:t>
    </w:r>
    <w:r>
      <w:fldChar w:fldCharType="end"/>
    </w:r>
    <w:r>
      <w:t>/</w:t>
    </w:r>
    <w:r>
      <w:fldChar w:fldCharType="begin"/>
    </w:r>
    <w:r>
      <w:instrText xml:space="preserve"> NUMPAGES </w:instrText>
    </w:r>
    <w:r>
      <w:fldChar w:fldCharType="separate"/>
    </w:r>
    <w:r>
      <w:t>44</w:t>
    </w:r>
    <w:r>
      <w:fldChar w:fldCharType="end"/>
    </w:r>
    <w:r>
      <w:tab/>
    </w:r>
    <w:r>
      <w:t>PE</w:t>
    </w:r>
    <w:r>
      <w:rPr>
        <w:rStyle w:val="HideTWBExt"/>
      </w:rPr>
      <w:t>&lt;NoPE&gt;</w:t>
    </w:r>
    <w:r>
      <w:t>789.935</w:t>
    </w:r>
    <w:r>
      <w:rPr>
        <w:rStyle w:val="HideTWBExt"/>
      </w:rPr>
      <w:t>&lt;/NoPE&gt;</w:t>
    </w:r>
    <w:r>
      <w:rPr>
        <w:rStyle w:val="HideTWBExt"/>
      </w:rPr>
      <w:t>&lt;Version&gt;</w:t>
    </w:r>
    <w:r>
      <w:t>v01-00</w:t>
    </w:r>
    <w:r>
      <w:rPr>
        <w:rStyle w:val="HideTWBExt"/>
      </w:rPr>
      <w:t>&lt;/Version&gt;</w:t>
    </w:r>
  </w:p>
  <w:p>
    <w:pPr>
      <w:pStyle w:val="EPFooter2"/>
    </w:pPr>
    <w:r>
      <w:tab/>
    </w:r>
    <w:r>
      <w:tab/>
    </w:r>
    <w:r>
      <w:t>HR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AM\1345550HR.docx</w:t>
    </w:r>
    <w:r>
      <w:rPr>
        <w:rStyle w:val="HideTWBExt"/>
      </w:rPr>
      <w:t>&lt;/PathFdR&gt;</w:t>
    </w:r>
    <w:r>
      <w:tab/>
    </w:r>
    <w:r>
      <w:tab/>
    </w:r>
    <w:r>
      <w:t>PE</w:t>
    </w:r>
    <w:r>
      <w:rPr>
        <w:rStyle w:val="HideTWBExt"/>
      </w:rPr>
      <w:t>&lt;NoPE&gt;</w:t>
    </w:r>
    <w:r>
      <w:t>789.935</w:t>
    </w:r>
    <w:r>
      <w:rPr>
        <w:rStyle w:val="HideTWBExt"/>
      </w:rPr>
      <w:t>&lt;/NoPE&gt;</w:t>
    </w:r>
    <w:r>
      <w:rPr>
        <w:rStyle w:val="HideTWBExt"/>
      </w:rPr>
      <w:t>&lt;Version&gt;</w:t>
    </w:r>
    <w:r>
      <w:t>v01-00</w:t>
    </w:r>
    <w:r>
      <w:rPr>
        <w:rStyle w:val="HideTWBExt"/>
      </w:rPr>
      <w:t>&lt;/Version&gt;</w:t>
    </w:r>
  </w:p>
  <w:p>
    <w:pPr>
      <w:pStyle w:val="EPFooter2"/>
    </w:pPr>
    <w:r>
      <w:t>HR</w:t>
    </w:r>
    <w:r>
      <w:tab/>
    </w:r>
    <w:r>
      <w:rPr>
        <w:rStyle w:val="EPFooter2Motto"/>
      </w:rPr>
      <w:t>Ujedinjena u raznolikosti</w:t>
    </w:r>
    <w:r>
      <w:tab/>
    </w:r>
    <w:r>
      <w:t>HR</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968246 HideTWBExt;}}{\*\rsidtbl \rsid24658\rsid358857\rsid735077\rsid787282\rsid2892074\rsid3622648\rsid4666813\rsid5708216\rsid6641733\rsid7553164\rsid8465581\rsid8681905\rsid8724649_x000d__x000a_\rsid9636012\rsid9708692\rsid9862312\rsid10968246\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968246\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70869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708692 \chftnsepc _x000d__x000a_\par }}{\*\aftnsep \ltrpar \pard\plain \ltrpar\ql \li0\ri0\widctlpar\wrapdefault\aspalpha\aspnum\faauto\adjustright\rin0\lin0\itap0 \rtlch\fcs1 \af0\afs20\alang1025 \ltrch\fcs0 \fs24\lang2057\langfe2057\cgrid\langnp2057\langfenp2057 {\rtlch\fcs1 \af0 _x000d__x000a_\ltrch\fcs0 \insrsid9708692 \chftnsep _x000d__x000a_\par }}{\*\aftnsepc \ltrpar \pard\plain \ltrpar\ql \li0\ri0\widctlpar\wrapdefault\aspalpha\aspnum\faauto\adjustright\rin0\lin0\itap0 \rtlch\fcs1 \af0\afs20\alang1025 \ltrch\fcs0 \fs24\lang2057\langfe2057\cgrid\langnp2057\langfenp2057 {\rtlch\fcs1 \af0 _x000d__x000a_\ltrch\fcs0 \insrsid970869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0968246 \rtlch\fcs1 \af0\afs20\alang1025 \ltrch\fcs0 \fs24\lang2057\langfe2057\cgrid\langnp2057\langfenp2057 {\rtlch\fcs1 \af0 \ltrch\fcs0 _x000d__x000a_\cs15\v\f1\fs20\cf9\insrsid10968246\charrsid12784134 {\*\bkmkstart EndA}&lt;&lt;&lt;}{\rtlch\fcs1 \af0 \ltrch\fcs0 \insrsid10968246\charrsid12784134 #@&gt;ZOTHAMA&lt;@#}{\rtlch\fcs1 \af0 \ltrch\fcs0 \cs15\v\f1\fs20\cf9\insrsid10968246\charrsid12784134 _x000d__x000a_&lt;/RepeatBlock-AmendA&gt;}{\rtlch\fcs1 \af0 \ltrch\fcs0 \insrsid10968246\charrsid12784134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e2_x000d__x000a_f51c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29374 HideTWBExt;}}{\*\rsidtbl \rsid24658\rsid229374\rsid358857\rsid735077\rsid787282\rsid2892074\rsid3622648\rsid4666813\rsid5708216\rsid6641733\rsid7553164\rsid8465581\rsid8681905_x000d__x000a_\rsid8724649\rsid9636012\rsid9862312\rsid1051123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2937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51123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511232 \chftnsepc _x000d__x000a_\par }}{\*\aftnsep \ltrpar \pard\plain \ltrpar\ql \li0\ri0\widctlpar\wrapdefault\aspalpha\aspnum\faauto\adjustright\rin0\lin0\itap0 \rtlch\fcs1 \af0\afs20\alang1025 \ltrch\fcs0 \fs24\lang2057\langfe2057\cgrid\langnp2057\langfenp2057 {\rtlch\fcs1 \af0 _x000d__x000a_\ltrch\fcs0 \insrsid10511232 \chftnsep _x000d__x000a_\par }}{\*\aftnsepc \ltrpar \pard\plain \ltrpar\ql \li0\ri0\widctlpar\wrapdefault\aspalpha\aspnum\faauto\adjustright\rin0\lin0\itap0 \rtlch\fcs1 \af0\afs20\alang1025 \ltrch\fcs0 \fs24\lang2057\langfe2057\cgrid\langnp2057\langfenp2057 {\rtlch\fcs1 \af0 _x000d__x000a_\ltrch\fcs0 \insrsid1051123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229374\charrsid12784134 {\*\bkmkstart EndB}&lt;&lt;&lt;}{\rtlch\fcs1 \af0 \ltrch\fcs0 \insrsid229374\charrsid12784134 #@&gt;ZOTHAMB&lt;@#}{\rtlch\fcs1 \af0 \ltrch\fcs0 \cs15\v\f1\fs20\cf9\insrsid229374\charrsid12784134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99_x000d__x000a_751d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6502470 HideTWBExt;}}{\*\rsidtbl \rsid24658\rsid358857\rsid735077\rsid787282\rsid1577781\rsid2892074\rsid3622648\rsid4666813\rsid5708216\rsid6502470\rsid6641733\rsid7553164\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650247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577781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577781 \chftnsepc _x000d__x000a_\par }}{\*\aftnsep \ltrpar \pard\plain \ltrpar\ql \li0\ri0\widctlpar\wrapdefault\aspalpha\aspnum\faauto\adjustright\rin0\lin0\itap0 \rtlch\fcs1 \af0\afs20\alang1025 \ltrch\fcs0 \fs24\lang2057\langfe2057\cgrid\langnp2057\langfenp2057 {\rtlch\fcs1 \af0 _x000d__x000a_\ltrch\fcs0 \insrsid1577781 \chftnsep _x000d__x000a_\par }}{\*\aftnsepc \ltrpar \pard\plain \ltrpar\ql \li0\ri0\widctlpar\wrapdefault\aspalpha\aspnum\faauto\adjustright\rin0\lin0\itap0 \rtlch\fcs1 \af0\afs20\alang1025 \ltrch\fcs0 \fs24\lang2057\langfe2057\cgrid\langnp2057\langfenp2057 {\rtlch\fcs1 \af0 _x000d__x000a_\ltrch\fcs0 \insrsid1577781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6502470\charrsid12784134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cf_x000d__x000a_f91b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366112 HideTWBExt;}}{\*\rsidtbl \rsid24658\rsid358857\rsid735077\rsid787282\rsid2892074\rsid3622648\rsid4666813\rsid5708216\rsid6641733\rsid7553164\rsid8465581\rsid8681905\rsid8724649_x000d__x000a_\rsid9584078\rsid9636012\rsid9862312\rsid11215221\rsid11366112\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2\min7}{\revtim\yr2019\mo7\dy3\hr12\min7}{\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366112\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8407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84078 \chftnsepc _x000d__x000a_\par }}{\*\aftnsep \ltrpar \pard\plain \ltrpar\ql \li0\ri0\widctlpar\wrapdefault\aspalpha\aspnum\faauto\adjustright\rin0\lin0\itap0 \rtlch\fcs1 \af0\afs20\alang1025 \ltrch\fcs0 \fs24\lang2057\langfe2057\cgrid\langnp2057\langfenp2057 {\rtlch\fcs1 \af0 _x000d__x000a_\ltrch\fcs0 \insrsid9584078 \chftnsep _x000d__x000a_\par }}{\*\aftnsepc \ltrpar \pard\plain \ltrpar\ql \li0\ri0\widctlpar\wrapdefault\aspalpha\aspnum\faauto\adjustright\rin0\lin0\itap0 \rtlch\fcs1 \af0\afs20\alang1025 \ltrch\fcs0 \fs24\lang2057\langfe2057\cgrid\langnp2057\langfenp2057 {\rtlch\fcs1 \af0 _x000d__x000a_\ltrch\fcs0 \insrsid958407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1366112\charrsid12784134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45_x000d__x000a_7c1c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814430 HideTWBExt;}{\s16\ql \li0\ri0\sa120\nowidctlpar\wrapdefault\aspalpha\aspnum\faauto\adjustright\rin0\lin0\itap0 \rtlch\fcs1 \af0\afs20\alang1025 \ltrch\fcs0 _x000d__x000a_\fs24\lang2057\langfe2057\cgrid\langnp2057\langfenp2057 \sbasedon0 \snext16 \spriority0 \styrsid8814430 Normal6a;}{\s17\ql \li0\ri0\nowidctlpar\wrapdefault\aspalpha\aspnum\faauto\adjustright\rin0\lin0\itap0 \rtlch\fcs1 \af0\afs20\alang1025 \ltrch\fcs0 _x000d__x000a_\b\fs24\lang2057\langfe2057\cgrid\langnp2057\langfenp2057 \sbasedon0 \snext17 \spriority0 \styrsid8814430 NormalBold;}{\s18\qr \li0\ri0\sb240\sa240\nowidctlpar\wrapdefault\aspalpha\aspnum\faauto\adjustright\rin0\lin0\itap0 \rtlch\fcs1 _x000d__x000a_\af0\afs20\alang1025 \ltrch\fcs0 \fs24\lang2057\langfe2057\cgrid\langnp2057\langfenp2057 \sbasedon0 \snext18 \spriority0 \styrsid8814430 AmOrLang;}{\s19\qc \li0\ri0\sa240\nowidctlpar\wrapdefault\aspalpha\aspnum\faauto\adjustright\rin0\lin0\itap0 _x000d__x000a_\rtlch\fcs1 \af0\afs20\alang1025 \ltrch\fcs0 \i\fs24\lang2057\langfe2057\cgrid\langnp2057\langfenp2057 \sbasedon0 \snext19 \spriority0 \styrsid8814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8814430 AmNumberTabs;}}{\*\rsidtbl \rsid24658\rsid358857\rsid735077\rsid787282\rsid2892074\rsid3622648\rsid4666813\rsid5708216\rsid6641733_x000d__x000a_\rsid7553164\rsid8465581\rsid8681905\rsid8724649\rsid8814430\rsid9636012\rsid9862312\rsid11215221\rsid11280678\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2\min7}_x000d__x000a_{\revtim\yr2019\mo7\dy3\hr12\min7}{\version1}{\edmins0}{\nofpages1}{\nofwords48}{\nofchars279}{\*\company European Parliament}{\nofcharsws326}{\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814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280678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280678 \chftnsepc _x000d__x000a_\par }}{\*\aftnsep \ltrpar \pard\plain \ltrpar\ql \li0\ri0\widctlpar\wrapdefault\aspalpha\aspnum\faauto\adjustright\rin0\lin0\itap0 \rtlch\fcs1 \af0\afs20\alang1025 \ltrch\fcs0 \fs24\lang2057\langfe2057\cgrid\langnp2057\langfenp2057 {\rtlch\fcs1 \af0 _x000d__x000a_\ltrch\fcs0 \insrsid11280678 \chftnsep _x000d__x000a_\par }}{\*\aftnsepc \ltrpar \pard\plain \ltrpar\ql \li0\ri0\widctlpar\wrapdefault\aspalpha\aspnum\faauto\adjustright\rin0\lin0\itap0 \rtlch\fcs1 \af0\afs20\alang1025 \ltrch\fcs0 \fs24\lang2057\langfe2057\cgrid\langnp2057\langfenp2057 {\rtlch\fcs1 \af0 _x000d__x000a_\ltrch\fcs0 \insrsid11280678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8814430 \rtlch\fcs1 \af0\afs20\alang1025 \ltrch\fcs0 \b\fs24\lang2057\langfe2057\cgrid\langnp2057\langfenp2057 {\rtlch\fcs1 \af0 \ltrch\fcs0 \cs15\b0\v\f1\fs20\cf9\insrsid8814430\charrsid12784134 {\*\bkmkstart restartA}&lt;AmendA&gt;}{_x000d__x000a_\rtlch\fcs1 \af0 \ltrch\fcs0 \insrsid8814430\charrsid12784134 [ZAMENDMENT]\tab \tab }{\rtlch\fcs1 \af0 \ltrch\fcs0 \cs15\b0\v\f1\fs20\cf9\insrsid8814430\charrsid12784134 &lt;NumAmA&gt;}{\rtlch\fcs1 \af0 \ltrch\fcs0 \insrsid8814430\charrsid12784134 [ZNRAM]}{_x000d__x000a_\rtlch\fcs1 \af0 \ltrch\fcs0 \cs15\b0\v\f1\fs20\cf9\insrsid8814430\charrsid12784134 &lt;/NumAmA&gt;}{\rtlch\fcs1 \af0 \ltrch\fcs0 \insrsid8814430\charrsid12784134 _x000d__x000a_\par }\pard\plain \ltrpar\s17\ql \li0\ri0\nowidctlpar\wrapdefault\aspalpha\aspnum\faauto\adjustright\rin0\lin0\itap0\pararsid8814430 \rtlch\fcs1 \af0\afs20\alang1025 \ltrch\fcs0 \b\fs24\lang2057\langfe2057\cgrid\langnp2057\langfenp2057 {\rtlch\fcs1 \af0 _x000d__x000a_\ltrch\fcs0 \cs15\b0\v\f1\fs20\cf9\lang1024\langfe1024\noproof\insrsid8814430\charrsid14699840 &lt;RepeatBlock-By&gt;}{\rtlch\fcs1 \af0 \ltrch\fcs0 \lang1024\langfe1024\noproof\insrsid8814430\charrsid14699840 [RepeatMembers]}{\rtlch\fcs1 \af0 \ltrch\fcs0 _x000d__x000a_\cs15\b0\v\f1\fs20\cf9\lang1024\langfe1024\noproof\insrsid8814430\charrsid14699840 &lt;Members&gt;}{\rtlch\fcs1 \af0 \ltrch\fcs0 \insrsid8814430\charrsid14699840 [ZMEMBERS]}{\rtlch\fcs1 \af0 \ltrch\fcs0 _x000d__x000a_\cs15\b0\v\f1\fs20\cf9\lang1024\langfe1024\noproof\insrsid8814430\charrsid14699840 &lt;/Members&gt;}{\rtlch\fcs1 \af0 \ltrch\fcs0 \insrsid8814430\charrsid14699840 _x000d__x000a_\par }\pard\plain \ltrpar\ql \li0\ri0\widctlpar\wrapdefault\aspalpha\aspnum\faauto\adjustright\rin0\lin0\itap0\pararsid8814430 \rtlch\fcs1 \af0\afs20\alang1025 \ltrch\fcs0 \fs24\lang2057\langfe2057\cgrid\langnp2057\langfenp2057 {\rtlch\fcs1 \af0 \ltrch\fcs0 _x000d__x000a_\cs15\v\f1\fs20\cf9\lang1024\langfe1024\noproof\langnp1043\insrsid8814430\charrsid6110050 &lt;AuNomDe&gt;&lt;OptDel&gt;}{\rtlch\fcs1 \af0 \ltrch\fcs0 \lang1024\langfe1024\noproof\langnp1043\insrsid8814430\charrsid6110050 [ZONBEHALF]}{\rtlch\fcs1 \af0 \ltrch\fcs0 _x000d__x000a_\cs15\v\f1\fs20\cf9\lang1024\langfe1024\noproof\langnp1043\insrsid8814430\charrsid6110050 &lt;/OptDel&gt;&lt;/AuNomDe&gt;}{\rtlch\fcs1 \af0 \ltrch\fcs0 \lang1043\langfe2057\langnp1043\insrsid8814430\charrsid6110050 _x000d__x000a_\par }{\rtlch\fcs1 \af0 \ltrch\fcs0 \insrsid8814430\charrsid14699840 &lt;&lt;&lt;}{\rtlch\fcs1 \af0 \ltrch\fcs0 \cs15\v\f1\fs20\cf9\lang1024\langfe1024\noproof\insrsid8814430\charrsid14699840 &lt;/RepeatBlock-By&gt;}{\rtlch\fcs1 \af0 \ltrch\fcs0 _x000d__x000a_\insrsid8814430\charrsid14699840 _x000d__x000a_\par }\pard\plain \ltrpar\s17\ql \li0\ri0\nowidctlpar\wrapdefault\aspalpha\aspnum\faauto\adjustright\rin0\lin0\itap0\pararsid8814430 \rtlch\fcs1 \af0\afs20\alang1025 \ltrch\fcs0 \b\fs24\lang2057\langfe2057\cgrid\langnp2057\langfenp2057 {\rtlch\fcs1 \af0 _x000d__x000a_\ltrch\fcs0 \cs15\b0\v\f1\fs20\cf9\insrsid8814430\charrsid12784134 &lt;DocAmend&gt;}{\rtlch\fcs1 \af0 \ltrch\fcs0 \insrsid8814430\charrsid12784134 [ZRESOLUTION]}{\rtlch\fcs1 \af0 \ltrch\fcs0 \cs15\b0\v\f1\fs20\cf9\insrsid8814430\charrsid12784134 &lt;/DocAmend&gt;}{_x000d__x000a_\rtlch\fcs1 \af0 \ltrch\fcs0 \insrsid8814430\charrsid12784134 _x000d__x000a_\par }{\rtlch\fcs1 \af0 \ltrch\fcs0 \cs15\b0\v\f1\fs20\cf9\lang1024\langfe1024\noproof\insrsid8814430\charrsid8741043 &lt;Article&gt;}{\rtlch\fcs1 \af0 \ltrch\fcs0 \insrsid8814430\charrsid8741043 [ZRESPART]}{\rtlch\fcs1 \af0 \ltrch\fcs0 _x000d__x000a_\cs15\b0\v\f1\fs20\cf9\lang1024\langfe1024\noproof\insrsid8814430\charrsid8741043 &lt;/Article&gt;}{\rtlch\fcs1 \af0 \ltrch\fcs0 \insrsid8814430\charrsid8741043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4786594 \rtlch\fcs1 \af0\afs20\alang1025 \ltrch\fcs0 _x000d__x000a_\fs24\lang2057\langfe2057\cgrid\langnp2057\langfenp2057 {\rtlch\fcs1 \af0 \ltrch\fcs0 \insrsid8814430\charrsid12784134 \cell }\pard\plain \ltrpar\ql \li0\ri0\widctlpar\intbl\wrapdefault\aspalpha\aspnum\faauto\adjustright\rin0\lin0 \rtlch\fcs1 _x000d__x000a_\af0\afs20\alang1025 \ltrch\fcs0 \fs24\lang2057\langfe2057\cgrid\langnp2057\langfenp2057 {\rtlch\fcs1 \af0 \ltrch\fcs0 \insrsid8814430\charrsid12784134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4786594 \rtlch\fcs1 \af0\afs20\alang1025 \ltrch\fcs0 \i\fs24\lang2057\langfe2057\cgrid\langnp2057\langfenp2057 {_x000d__x000a_\rtlch\fcs1 \af0 \ltrch\fcs0 \insrsid8814430\charrsid12784134 [ZLEFTA]\cell [ZRIGHT]\cell }\pard\plain \ltrpar\ql \li0\ri0\widctlpar\intbl\wrapdefault\aspalpha\aspnum\faauto\adjustright\rin0\lin0 \rtlch\fcs1 \af0\afs20\alang1025 \ltrch\fcs0 _x000d__x000a_\fs24\lang2057\langfe2057\cgrid\langnp2057\langfenp2057 {\rtlch\fcs1 \af0 \ltrch\fcs0 \insrsid8814430\charrsid12784134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8814430\charrsid12784134 [ZTEXTL]\cell }\pard \ltrpar\s16\ql \li0\ri0\sa120\nowidctlpar\intbl\wrapdefault\aspalpha\aspnum\faauto\adjustright\rin0\lin0\pararsid4786594 {\rtlch\fcs1 \af0 \ltrch\fcs0 \insrsid8814430\charrsid12784134 [ZTEXTR]}{_x000d__x000a_\rtlch\fcs1 \af0\afs24 \ltrch\fcs0 \insrsid8814430\charrsid12784134 \cell }\pard\plain \ltrpar\ql \li0\ri0\widctlpar\intbl\wrapdefault\aspalpha\aspnum\faauto\adjustright\rin0\lin0 \rtlch\fcs1 \af0\afs20\alang1025 \ltrch\fcs0 _x000d__x000a_\fs24\lang2057\langfe2057\cgrid\langnp2057\langfenp2057 {\rtlch\fcs1 \af0 \ltrch\fcs0 \insrsid8814430\charrsid12784134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8814430 \rtlch\fcs1 \af0\afs20\alang1025 \ltrch\fcs0 \fs24\lang2057\langfe2057\cgrid\langnp2057\langfenp2057 {\rtlch\fcs1 \af0 \ltrch\fcs0 _x000d__x000a_\insrsid8814430\charrsid12784134 Or. }{\rtlch\fcs1 \af0 \ltrch\fcs0 \cs15\v\f1\fs20\cf9\insrsid8814430\charrsid12784134 &lt;Original&gt;}{\rtlch\fcs1 \af0 \ltrch\fcs0 \insrsid8814430\charrsid12784134 [ZORLANG]}{\rtlch\fcs1 \af0 \ltrch\fcs0 _x000d__x000a_\cs15\v\f1\fs20\cf9\insrsid8814430\charrsid12784134 &lt;/Original&gt;}{\rtlch\fcs1 \af0 \ltrch\fcs0 \insrsid8814430\charrsid12784134 _x000d__x000a_\par }\pard\plain \ltrpar\ql \li0\ri0\widctlpar\wrapdefault\aspalpha\aspnum\faauto\adjustright\rin0\lin0\itap0\pararsid8814430 \rtlch\fcs1 \af0\afs20\alang1025 \ltrch\fcs0 \fs24\lang2057\langfe2057\cgrid\langnp2057\langfenp2057 {\rtlch\fcs1 \af0 \ltrch\fcs0 _x000d__x000a_\cs15\v\f1\fs20\cf9\insrsid8814430\charrsid12784134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4_x000d__x000a_f41d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2065326 HideTWBExt;}{\s16\ql \li0\ri0\sa120\nowidctlpar\wrapdefault\aspalpha\aspnum\faauto\adjustright\rin0\lin0\itap0 \rtlch\fcs1 \af0\afs20\alang1025 \ltrch\fcs0 _x000d__x000a_\fs24\lang2057\langfe2057\cgrid\langnp2057\langfenp2057 \sbasedon0 \snext16 \spriority0 \styrsid12065326 Normal6a;}{\s17\ql \li0\ri0\nowidctlpar\wrapdefault\aspalpha\aspnum\faauto\adjustright\rin0\lin0\itap0 \rtlch\fcs1 \af0\afs20\alang1025 \ltrch\fcs0 _x000d__x000a_\b\fs24\lang2057\langfe2057\cgrid\langnp2057\langfenp2057 \sbasedon0 \snext17 \spriority0 \styrsid12065326 NormalBold;}{\s18\ql \li0\ri0\sa240\nowidctlpar\wrapdefault\aspalpha\aspnum\faauto\adjustright\rin0\lin0\itap0 \rtlch\fcs1 \af0\afs20\alang1025 _x000d__x000a_\ltrch\fcs0 \i\fs24\lang2057\langfe2057\cgrid\langnp2057\langfenp2057 \sbasedon0 \snext18 \spriority0 \styrsid12065326 AmJustText;}{\s19\qc \li0\ri0\sb240\sa240\nowidctlpar\wrapdefault\aspalpha\aspnum\faauto\adjustright\rin0\lin0\itap0 \rtlch\fcs1 _x000d__x000a_\af0\afs20\alang1025 \ltrch\fcs0 \i\fs24\lang2057\langfe2057\cgrid\langnp2057\langfenp2057 \sbasedon0 \snext19 \spriority0 \styrsid12065326 AmCrossRef;}{_x000d__x000a_\s20\qc \li0\ri0\sb240\sa240\keepn\nowidctlpar\wrapdefault\aspalpha\aspnum\faauto\adjustright\rin0\lin0\itap0 \rtlch\fcs1 \af0\afs20\alang1025 \ltrch\fcs0 \i\fs24\lang2057\langfe2057\cgrid\langnp2057\langfenp2057 _x000d__x000a_\sbasedon0 \snext18 \spriority0 \styrsid12065326 AmJustTitle;}{\s21\qr \li0\ri0\sb240\sa240\nowidctlpar\wrapdefault\aspalpha\aspnum\faauto\adjustright\rin0\lin0\itap0 \rtlch\fcs1 \af0\afs20\alang1025 \ltrch\fcs0 _x000d__x000a_\fs24\lang2057\langfe2057\cgrid\langnp2057\langfenp2057 \sbasedon0 \snext21 \spriority0 \styrsid12065326 AmOrLang;}{\s22\qc \li0\ri0\sa240\nowidctlpar\wrapdefault\aspalpha\aspnum\faauto\adjustright\rin0\lin0\itap0 \rtlch\fcs1 \af0\afs20\alang1025 _x000d__x000a_\ltrch\fcs0 \i\fs24\lang2057\langfe2057\cgrid\langnp2057\langfenp2057 \sbasedon0 \snext22 \spriority0 \styrsid1206532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2065326 AmNumberTabs;}}{\*\rsidtbl \rsid24658\rsid358857\rsid735077\rsid787282\rsid2892074\rsid3622648\rsid3883069\rsid4666813\rsid5708216_x000d__x000a_\rsid6641733\rsid7553164\rsid8465581\rsid8681905\rsid8724649\rsid9636012\rsid9862312\rsid11215221\rsid11370291\rsid11434737\rsid11607138\rsid11824949\rsid12065326\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2\min7}_x000d__x000a_{\revtim\yr2019\mo7\dy3\hr12\min7}{\version1}{\edmins0}{\nofpages1}{\nofwords78}{\nofchars447}{\*\company European Parliament}{\nofcharsws52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2065326\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883069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883069 \chftnsepc _x000d__x000a_\par }}{\*\aftnsep \ltrpar \pard\plain \ltrpar\ql \li0\ri0\widctlpar\wrapdefault\aspalpha\aspnum\faauto\adjustright\rin0\lin0\itap0 \rtlch\fcs1 \af0\afs20\alang1025 \ltrch\fcs0 \fs24\lang2057\langfe2057\cgrid\langnp2057\langfenp2057 {\rtlch\fcs1 \af0 _x000d__x000a_\ltrch\fcs0 \insrsid3883069 \chftnsep _x000d__x000a_\par }}{\*\aftnsepc \ltrpar \pard\plain \ltrpar\ql \li0\ri0\widctlpar\wrapdefault\aspalpha\aspnum\faauto\adjustright\rin0\lin0\itap0 \rtlch\fcs1 \af0\afs20\alang1025 \ltrch\fcs0 \fs24\lang2057\langfe2057\cgrid\langnp2057\langfenp2057 {\rtlch\fcs1 \af0 _x000d__x000a_\ltrch\fcs0 \insrsid3883069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2065326 \rtlch\fcs1 \af0\afs20\alang1025 \ltrch\fcs0 \b\fs24\lang2057\langfe2057\cgrid\langnp2057\langfenp2057 {\rtlch\fcs1 \af0 \ltrch\fcs0 \cs15\b0\v\f1\fs20\cf9\insrsid12065326\charrsid12784134 {\*\bkmkstart restartB}&lt;AmendB&gt;}{_x000d__x000a_\rtlch\fcs1 \af0 \ltrch\fcs0 \insrsid12065326\charrsid12784134 [ZAMENDMENT]\tab \tab }{\rtlch\fcs1 \af0 \ltrch\fcs0 \cs15\b0\v\f1\fs20\cf9\insrsid12065326\charrsid12784134 &lt;NumAmB&gt;}{\rtlch\fcs1 \af0 \ltrch\fcs0 \insrsid12065326\charrsid12784134 [ZNRAM]}{_x000d__x000a_\rtlch\fcs1 \af0 \ltrch\fcs0 \cs15\b0\v\f1\fs20\cf9\insrsid12065326\charrsid12784134 &lt;/NumAmB&gt;}{\rtlch\fcs1 \af0 \ltrch\fcs0 \insrsid12065326\charrsid12784134 _x000d__x000a_\par }\pard\plain \ltrpar\s17\ql \li0\ri0\nowidctlpar\wrapdefault\aspalpha\aspnum\faauto\adjustright\rin0\lin0\itap0\pararsid12065326 \rtlch\fcs1 \af0\afs20\alang1025 \ltrch\fcs0 \b\fs24\lang2057\langfe2057\cgrid\langnp2057\langfenp2057 {\rtlch\fcs1 \af0 _x000d__x000a_\ltrch\fcs0 \cs15\b0\v\f1\fs20\cf9\lang1024\langfe1024\noproof\insrsid12065326\charrsid14699840 &lt;RepeatBlock-By&gt;}{\rtlch\fcs1 \af0 \ltrch\fcs0 \lang1024\langfe1024\noproof\insrsid12065326\charrsid14699840 [RepeatMembers]}{\rtlch\fcs1 \af0 \ltrch\fcs0 _x000d__x000a_\cs15\b0\v\f1\fs20\cf9\lang1024\langfe1024\noproof\insrsid12065326\charrsid14699840 &lt;Members&gt;}{\rtlch\fcs1 \af0 \ltrch\fcs0 \insrsid12065326\charrsid14699840 [ZMEMBERS]}{\rtlch\fcs1 \af0 \ltrch\fcs0 _x000d__x000a_\cs15\b0\v\f1\fs20\cf9\lang1024\langfe1024\noproof\insrsid12065326\charrsid14699840 &lt;/Members&gt;}{\rtlch\fcs1 \af0 \ltrch\fcs0 \insrsid12065326\charrsid14699840 _x000d__x000a_\par }\pard\plain \ltrpar\ql \li0\ri0\widctlpar\wrapdefault\aspalpha\aspnum\faauto\adjustright\rin0\lin0\itap0\pararsid12065326 \rtlch\fcs1 \af0\afs20\alang1025 \ltrch\fcs0 \fs24\lang2057\langfe2057\cgrid\langnp2057\langfenp2057 {\rtlch\fcs1 \af0 \ltrch\fcs0 _x000d__x000a_\cs15\v\f1\fs20\cf9\lang1024\langfe1024\noproof\langnp1043\insrsid12065326\charrsid6110050 &lt;AuNomDe&gt;&lt;OptDel&gt;}{\rtlch\fcs1 \af0 \ltrch\fcs0 \lang1024\langfe1024\noproof\langnp1043\insrsid12065326\charrsid6110050 [ZONBEHALF]}{\rtlch\fcs1 \af0 \ltrch\fcs0 _x000d__x000a_\cs15\v\f1\fs20\cf9\lang1024\langfe1024\noproof\langnp1043\insrsid12065326\charrsid6110050 &lt;/OptDel&gt;&lt;/AuNomDe&gt;}{\rtlch\fcs1 \af0 \ltrch\fcs0 \lang1043\langfe2057\langnp1043\insrsid12065326\charrsid6110050 _x000d__x000a_\par }{\rtlch\fcs1 \af0 \ltrch\fcs0 \insrsid12065326\charrsid14699840 &lt;&lt;&lt;}{\rtlch\fcs1 \af0 \ltrch\fcs0 \cs15\v\f1\fs20\cf9\lang1024\langfe1024\noproof\insrsid12065326\charrsid14699840 &lt;/RepeatBlock-By&gt;}{\rtlch\fcs1 \af0 \ltrch\fcs0 _x000d__x000a_\insrsid12065326\charrsid14699840 _x000d__x000a_\par }\pard\plain \ltrpar\s17\ql \li0\ri0\nowidctlpar\wrapdefault\aspalpha\aspnum\faauto\adjustright\rin0\lin0\itap0\pararsid12065326 \rtlch\fcs1 \af0\afs20\alang1025 \ltrch\fcs0 \b\fs24\lang2057\langfe2057\cgrid\langnp2057\langfenp2057 {\rtlch\fcs1 \af0 _x000d__x000a_\ltrch\fcs0 \cs15\b0\v\f1\fs20\cf9\insrsid12065326\charrsid12784134 &lt;DocAmend&gt;}{\rtlch\fcs1 \af0 \ltrch\fcs0 \insrsid12065326\charrsid12784134 [}{\rtlch\fcs1 \af0 \ltrch\fcs0 \insrsid12065326 ZAMDOC}{\rtlch\fcs1 \af0 \ltrch\fcs0 _x000d__x000a_\insrsid12065326\charrsid12784134 ]}{\rtlch\fcs1 \af0 \ltrch\fcs0 \cs15\b0\v\f1\fs20\cf9\insrsid12065326\charrsid12784134 &lt;/DocAmend&gt;}{\rtlch\fcs1 \af0 \ltrch\fcs0 \insrsid12065326\charrsid12784134 _x000d__x000a_\par }\pard \ltrpar\s17\ql \li0\ri0\keepn\nowidctlpar\wrapdefault\aspalpha\aspnum\faauto\adjustright\rin0\lin0\itap0\pararsid12065326 {\rtlch\fcs1 \af0 \ltrch\fcs0 \cs15\b0\v\f1\fs20\cf9\insrsid12065326\charrsid12784134 &lt;Article&gt;}{\rtlch\fcs1 \af0 \ltrch\fcs0 _x000d__x000a_\insrsid12065326\charrsid12784134 [ZAMPART]}{\rtlch\fcs1 \af0 \ltrch\fcs0 \cs15\b0\v\f1\fs20\cf9\insrsid12065326\charrsid12784134 &lt;/Article&gt;}{\rtlch\fcs1 \af0 \ltrch\fcs0 \insrsid12065326\charrsid12784134 _x000d__x000a_\par }\pard\plain \ltrpar\ql \li0\ri0\keepn\widctlpar\wrapdefault\aspalpha\aspnum\faauto\adjustright\rin0\lin0\itap0\pararsid12065326 \rtlch\fcs1 \af0\afs20\alang1025 \ltrch\fcs0 \fs24\lang2057\langfe2057\cgrid\langnp2057\langfenp2057 {\rtlch\fcs1 \af0 _x000d__x000a_\ltrch\fcs0 \cs15\v\f1\fs20\cf9\lang1043\langfe2057\langnp1043\insrsid12065326\charrsid6110050 &lt;DocAmend2&gt;&lt;OptDel&gt;}{\rtlch\fcs1 \af0 \ltrch\fcs0 \lang1043\langfe2057\langnp1043\insrsid12065326\charrsid6110050 [ZNRACT]}{\rtlch\fcs1 \af0 \ltrch\fcs0 _x000d__x000a_\cs15\v\f1\fs20\cf9\lang1043\langfe2057\langnp1043\insrsid12065326\charrsid6110050 &lt;/OptDel&gt;&lt;/DocAmend2&gt;}{\rtlch\fcs1 \af0 \ltrch\fcs0 \lang1043\langfe2057\langnp1043\insrsid12065326\charrsid6110050 _x000d__x000a_\par }\pard \ltrpar\ql \li0\ri0\widctlpar\wrapdefault\aspalpha\aspnum\faauto\adjustright\rin0\lin0\itap0\pararsid12065326 {\rtlch\fcs1 \af0 \ltrch\fcs0 \cs15\v\f1\fs20\cf9\lang1036\langfe2057\langnp1036\insrsid12065326\charrsid6110050 &lt;Article2&gt;&lt;OptDel&gt;}{_x000d__x000a_\rtlch\fcs1 \af0 \ltrch\fcs0 \lang1036\langfe2057\langnp1036\insrsid12065326\charrsid6110050 [ZACTPART]}{\rtlch\fcs1 \af0 \ltrch\fcs0 \cs15\v\f1\fs20\cf9\lang1036\langfe2057\langnp1036\insrsid12065326\charrsid6110050 &lt;/OptDel&gt;&lt;/Article2&gt;}{\rtlch\fcs1 _x000d__x000a_\af0 \ltrch\fcs0 \lang1036\langfe2057\langnp1036\insrsid12065326\charrsid6110050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4786594 \rtlch\fcs1 \af0\afs20\alang1025 \ltrch\fcs0 _x000d__x000a_\fs24\lang2057\langfe2057\cgrid\langnp2057\langfenp2057 {\rtlch\fcs1 \af0 \ltrch\fcs0 \lang1036\langfe2057\langnp1036\insrsid12065326\charrsid6110050 \cell }\pard\plain \ltrpar_x000d__x000a_\ql \li0\ri0\widctlpar\intbl\wrapdefault\aspalpha\aspnum\faauto\adjustright\rin0\lin0 \rtlch\fcs1 \af0\afs20\alang1025 \ltrch\fcs0 \fs24\lang2057\langfe2057\cgrid\langnp2057\langfenp2057 {\rtlch\fcs1 \af0 \ltrch\fcs0 \insrsid12065326\charrsid6035183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4786594 \rtlch\fcs1 \af0\afs20\alang1025 \ltrch\fcs0 \i\fs24\lang2057\langfe2057\cgrid\langnp2057\langfenp2057 {\rtlch\fcs1 \af0 \ltrch\fcs0 _x000d__x000a_\insrsid12065326\charrsid12784134 [ZLEFTB]\cell [ZRIGHT]\cell }\pard\plain \ltrpar\ql \li0\ri0\widctlpar\intbl\wrapdefault\aspalpha\aspnum\faauto\adjustright\rin0\lin0 \rtlch\fcs1 \af0\afs20\alang1025 \ltrch\fcs0 _x000d__x000a_\fs24\lang2057\langfe2057\cgrid\langnp2057\langfenp2057 {\rtlch\fcs1 \af0 \ltrch\fcs0 \insrsid12065326\charrsid12784134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12065326\charrsid12784134 [ZTEXTL]\cell }\pard \ltrpar\s16\ql \li0\ri0\sa120\nowidctlpar\intbl\wrapdefault\aspalpha\aspnum\faauto\adjustright\rin0\lin0\pararsid4786594 {\rtlch\fcs1 \af0 \ltrch\fcs0 \insrsid12065326\charrsid12784134 [ZTEXTR]}{_x000d__x000a_\rtlch\fcs1 \af0\afs24 \ltrch\fcs0 \insrsid12065326\charrsid12784134 \cell }\pard\plain \ltrpar\ql \li0\ri0\widctlpar\intbl\wrapdefault\aspalpha\aspnum\faauto\adjustright\rin0\lin0 \rtlch\fcs1 \af0\afs20\alang1025 \ltrch\fcs0 _x000d__x000a_\fs24\lang2057\langfe2057\cgrid\langnp2057\langfenp2057 {\rtlch\fcs1 \af0 \ltrch\fcs0 \insrsid12065326\charrsid12784134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2065326 \rtlch\fcs1 \af0\afs20\alang1025 \ltrch\fcs0 \fs24\lang2057\langfe2057\cgrid\langnp2057\langfenp2057 {\rtlch\fcs1 \af0 \ltrch\fcs0 _x000d__x000a_\insrsid12065326\charrsid12784134 Or. }{\rtlch\fcs1 \af0 \ltrch\fcs0 \cs15\v\f1\fs20\cf9\insrsid12065326\charrsid12784134 &lt;Original&gt;}{\rtlch\fcs1 \af0 \ltrch\fcs0 \insrsid12065326\charrsid12784134 [ZORLANG]}{\rtlch\fcs1 \af0 \ltrch\fcs0 _x000d__x000a_\cs15\v\f1\fs20\cf9\insrsid12065326\charrsid12784134 &lt;/Original&gt;}{\rtlch\fcs1 \af0 \ltrch\fcs0 \insrsid12065326\charrsid12784134 _x000d__x000a_\par }\pard\plain \ltrpar\s19\qc \li0\ri0\sb240\sa240\nowidctlpar\wrapdefault\aspalpha\aspnum\faauto\adjustright\rin0\lin0\itap0\pararsid12065326 \rtlch\fcs1 \af0\afs20\alang1025 \ltrch\fcs0 \i\fs24\lang2057\langfe2057\cgrid\langnp2057\langfenp2057 {_x000d__x000a_\rtlch\fcs1 \af0 \ltrch\fcs0 \cs15\i0\v\f1\fs20\cf9\insrsid12065326\charrsid12784134 &lt;OptDel&gt;}{\rtlch\fcs1 \af0 \ltrch\fcs0 \insrsid12065326\charrsid12784134 [ZCROSSREF]}{\rtlch\fcs1 \af0 \ltrch\fcs0 _x000d__x000a_\cs15\i0\v\f1\fs20\cf9\insrsid12065326\charrsid12784134 &lt;/OptDel&gt;}{\rtlch\fcs1 \af0 \ltrch\fcs0 \insrsid12065326\charrsid12784134 _x000d__x000a_\par }\pard\plain \ltrpar\s20\qc \li0\ri0\sb240\sa240\keepn\nowidctlpar\wrapdefault\aspalpha\aspnum\faauto\adjustright\rin0\lin0\itap0\pararsid12065326 \rtlch\fcs1 \af0\afs20\alang1025 \ltrch\fcs0 \i\fs24\lang2057\langfe2057\cgrid\langnp2057\langfenp2057 {_x000d__x000a_\rtlch\fcs1 \af0 \ltrch\fcs0 \cs15\i0\v\f1\fs20\cf9\insrsid12065326\charrsid12784134 &lt;TitreJust&gt;}{\rtlch\fcs1 \af0 \ltrch\fcs0 \insrsid12065326\charrsid12784134 [ZJUSTIFICATION]}{\rtlch\fcs1 \af0 \ltrch\fcs0 _x000d__x000a_\cs15\i0\v\f1\fs20\cf9\insrsid12065326\charrsid12784134 &lt;/TitreJust&gt;}{\rtlch\fcs1 \af0 \ltrch\fcs0 \insrsid12065326\charrsid12784134 _x000d__x000a_\par }\pard\plain \ltrpar\s18\ql \li0\ri0\sa240\nowidctlpar\wrapdefault\aspalpha\aspnum\faauto\adjustright\rin0\lin0\itap0\pararsid12065326 \rtlch\fcs1 \af0\afs20\alang1025 \ltrch\fcs0 \i\fs24\lang2057\langfe2057\cgrid\langnp2057\langfenp2057 {\rtlch\fcs1 _x000d__x000a_\af0 \ltrch\fcs0 \cs15\i0\v\f1\fs20\cf9\insrsid12065326\charrsid12784134 &lt;OptDelPrev&gt;}{\rtlch\fcs1 \af0 \ltrch\fcs0 \insrsid12065326\charrsid12784134 [ZTEXTJUST]}{\rtlch\fcs1 \af0 \ltrch\fcs0 \cs15\i0\v\f1\fs20\cf9\insrsid12065326\charrsid12784134 _x000d__x000a_&lt;/OptDelPrev&gt;}{\rtlch\fcs1 \af0 \ltrch\fcs0 \insrsid12065326\charrsid12784134 _x000d__x000a_\par }\pard\plain \ltrpar\ql \li0\ri0\widctlpar\wrapdefault\aspalpha\aspnum\faauto\adjustright\rin0\lin0\itap0\pararsid12065326 \rtlch\fcs1 \af0\afs20\alang1025 \ltrch\fcs0 \fs24\lang2057\langfe2057\cgrid\langnp2057\langfenp2057 {\rtlch\fcs1 \af0 \ltrch\fcs0 _x000d__x000a_\cs15\v\f1\fs20\cf9\insrsid12065326\charrsid12784134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5_x000d__x000a_791e87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r-H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7619</Words>
  <Characters>43204</Characters>
  <Application>Microsoft Office Word</Application>
  <DocSecurity>0</DocSecurity>
  <Lines>1</Lines>
  <Paragraphs>784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AM_Com_LegOpinion</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1345550</vt:lpwstr>
  </property>
  <property fmtid="{D5CDD505-2E9C-101B-9397-08002B2CF9AE}" pid="4" name="&lt;Model&gt;">
    <vt:lpwstr>AM_Com_LegOpinion</vt:lpwstr>
  </property>
  <property fmtid="{D5CDD505-2E9C-101B-9397-08002B2CF9AE}" pid="5" name="&lt;Type&gt;">
    <vt:lpwstr>AM</vt:lpwstr>
  </property>
  <property fmtid="{D5CDD505-2E9C-101B-9397-08002B2CF9AE}" pid="6" name="dmxml.render.id">
    <vt:lpwstr>546013</vt:lpwstr>
  </property>
  <property fmtid="{D5CDD505-2E9C-101B-9397-08002B2CF9AE}" pid="7" name="dmxml.render.traceId">
    <vt:lpwstr>6a3cedd8685b73bd940c9ab3bc1e61f2</vt:lpwstr>
  </property>
  <property fmtid="{D5CDD505-2E9C-101B-9397-08002B2CF9AE}" pid="8" name="FooterPath">
    <vt:lpwstr>AM\1345550HR.docx</vt:lpwstr>
  </property>
  <property fmtid="{D5CDD505-2E9C-101B-9397-08002B2CF9AE}" pid="9" name="PE Number">
    <vt:lpwstr>789.935</vt:lpwstr>
  </property>
  <property fmtid="{D5CDD505-2E9C-101B-9397-08002B2CF9AE}" pid="10" name="UID">
    <vt:lpwstr>eu.europa.europarl-DIN1-2026-0000166813_02.00-hr-01.00_text-xml</vt:lpwstr>
  </property>
</Properties>
</file>