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Parlamento Europeu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{PECH}</w:t>
      </w:r>
      <w:r>
        <w:t>Comissão das Pescas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2025/0235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(COD)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{12/06/2026}</w:t>
      </w:r>
      <w:r>
        <w:t>12.6.2026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ALTERAÇÕES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284</w:t>
      </w:r>
      <w:r>
        <w:t xml:space="preserve"> - </w:t>
      </w:r>
      <w:r>
        <w:t>362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Projeto de parecer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Niclas Herbst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(PE788.825v01-00)</w:t>
      </w:r>
      <w:r>
        <w:rPr>
          <w:rStyle w:val="HideTWBExt"/>
        </w:rPr>
        <w:t>&lt;/DocRefPE&gt;</w:t>
      </w:r>
    </w:p>
    <w:p>
      <w:pPr>
        <w:pStyle w:val="CoverNormal24a"/>
      </w:pPr>
      <w:r>
        <w:rPr>
          <w:rStyle w:val="HideTWBExt"/>
        </w:rPr>
        <w:t>&lt;Titre&gt;</w:t>
      </w:r>
      <w:r>
        <w:t>Estabelecimento das condições de execução do apoio da União à política comum das pescas, ao Pacto Europeu dos Oceanos e à política marítima e de aquicultura da União no âmbito do Fundo para as Parcerias Nacionais e Regionais estabelecido no Regulamento (UE) .../... que cria o Fundo para as Parcerias Nacionais e Regionais (Fundo PNR) para o período de 2028 a 2034</w:t>
      </w:r>
      <w:r>
        <w:rPr>
          <w:rStyle w:val="HideTWBExt"/>
        </w:rPr>
        <w:t>&lt;/Titre&gt;</w:t>
      </w:r>
    </w:p>
    <w:p>
      <w:pPr>
        <w:pStyle w:val="CoverNormal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CoverNormal24a"/>
      </w:pPr>
      <w:r>
        <w:rPr>
          <w:rStyle w:val="HideTWBExt"/>
        </w:rPr>
        <w:t>&lt;DocRef&gt;</w:t>
      </w:r>
      <w:r>
        <w:t>(COM(2025)0559 – 2025/0235(COD))</w:t>
      </w:r>
      <w:r>
        <w:rPr>
          <w:rStyle w:val="HideTWBExt"/>
        </w:rPr>
        <w:t>&lt;/DocRef&gt;</w:t>
      </w:r>
    </w:p>
    <w:p>
      <w:r>
        <w:br w:type="page"/>
      </w:r>
      <w:r>
        <w:t>AM_Com_LegOpinion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284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Nora Junco García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Não </w:t>
            </w:r>
            <w:r>
              <w:rPr>
                <w:b/>
                <w:i/>
              </w:rPr>
              <w:t>é concedido apoio à frota ou aos operadores de pesca</w:t>
            </w:r>
            <w:r>
              <w:t xml:space="preserve"> que não cumpram </w:t>
            </w:r>
            <w:r>
              <w:rPr>
                <w:b/>
                <w:i/>
              </w:rPr>
              <w:t>o</w:t>
            </w:r>
            <w:r>
              <w:t xml:space="preserve"> acordo da OMC sobre as subvenções à pesca </w:t>
            </w:r>
            <w:r>
              <w:rPr>
                <w:b/>
                <w:i/>
              </w:rPr>
              <w:t>e os objetivos</w:t>
            </w:r>
            <w:r>
              <w:t xml:space="preserve"> da PCP </w:t>
            </w:r>
            <w:r>
              <w:rPr>
                <w:b/>
                <w:i/>
              </w:rPr>
              <w:t>referidos no artigo 43.º, n.º 2, do TFUE e no artigo 2.º do Regulamento PCP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Não </w:t>
            </w:r>
            <w:r>
              <w:rPr>
                <w:b/>
                <w:i/>
              </w:rPr>
              <w:t>são concedidos apoios</w:t>
            </w:r>
            <w:r>
              <w:t xml:space="preserve"> que não cumpram </w:t>
            </w:r>
            <w:r>
              <w:rPr>
                <w:b/>
                <w:i/>
              </w:rPr>
              <w:t>os critérios do</w:t>
            </w:r>
            <w:r>
              <w:t xml:space="preserve"> acordo da OMC sobre as subvenções à pesca</w:t>
            </w:r>
            <w:r>
              <w:rPr>
                <w:b/>
                <w:i/>
              </w:rPr>
              <w:t>. Também não é concedido apoio às frotas de pesca ou aos operadores que tenham cometido infrações graves às normas</w:t>
            </w:r>
            <w:r>
              <w:t xml:space="preserve"> da PCP </w:t>
            </w:r>
            <w:r>
              <w:rPr>
                <w:b/>
                <w:i/>
              </w:rPr>
              <w:t>durante o período estabelecido no n.º 2 ou por força de uma decisão administrativa ou judicial.</w:t>
            </w:r>
            <w:r>
              <w:t xml:space="preserve"> </w:t>
            </w:r>
            <w:r>
              <w:rPr>
                <w:b/>
                <w:i/>
              </w:rPr>
              <w:t>No entanto, a fim de incentivar a renovação geracional e combater o envelhecimento do setor, poderá ser concedido apoio à aquisição do primeiro navio de pesca a jovens pescadores com menos de 40 anos, desde que o navio pertença à categoria de pequena pesca com um comprimento inferior a 15 metros e seja assegurado o equilíbrio da frota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285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 Wiezik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Não é concedido apoio à frota ou aos operadores de pesca que não cumpram o acordo da OMC sobre as subvenções à pesca e os objetivos da PCP referidos no artigo 43.º, n.º 2, do TFUE e no artigo 2.º do Regulamento PCP.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Não é concedido apoio à frota ou aos operadores de pesca que não cumpram o acordo da OMC sobre as subvenções à pesca e os objetivos da PCP referidos no artigo 43.º, n.º 2, do TFUE e no artigo 2.º do Regulamento PCP.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Os Estados-Membros devem descrever nos seus planos nacionais e regionais de que forma assegurarão que: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a) Determinadas formas de pesca que contribuem para a sobrecapacidade e a sobrepesca sejam excluídas do apoio e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b) Não serão concedidos subsídios que possam contribuir para a pesca ilegal, não declarada ou não regulamentada.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Justificação</w:t>
      </w:r>
      <w:r>
        <w:rPr>
          <w:rStyle w:val="HideTWBExt"/>
        </w:rPr>
        <w:t>&lt;/TitreJust&gt;</w:t>
      </w:r>
    </w:p>
    <w:p>
      <w:pPr>
        <w:pStyle w:val="AmJustText"/>
      </w:pPr>
      <w:r>
        <w:t>O Acordo da OMC estabelece que «Nenhum membro pode conceder ou manter subvenções para atividades de pesca ou atividades relacionadas com a pesca relativas a uma unidade populacional sobre-explorada.» e « Nenhum membro pode conceder ou manter subvenções a navios ou operadores que realizem atividades de pesca ilegal, não declarada e não regulamentada, ou atividades relacionadas com a pesca que contribuam para a pesca ilegal, não declarada e não regulamentada.»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286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Asger Christensen, Emma Wiesner, Oihane Agirregoitia Martínez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Não é concedido apoio </w:t>
            </w:r>
            <w:r>
              <w:rPr>
                <w:b/>
                <w:i/>
              </w:rPr>
              <w:t>à frota ou aos operadores de pesca que não cumpram o acordo da OMC sobre as subvenções à pesca e os objetivos da PCP referidos no artigo 43.º, n.º 2, do TFUE e no artigo 2.º do</w:t>
            </w:r>
            <w:r>
              <w:t xml:space="preserve"> Regulamento </w:t>
            </w:r>
            <w:r>
              <w:rPr>
                <w:b/>
                <w:i/>
              </w:rPr>
              <w:t>PCP.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  <w:r>
              <w:tab/>
            </w:r>
            <w:r>
              <w:t xml:space="preserve">1. Não é concedido apoio </w:t>
            </w:r>
            <w:r>
              <w:rPr>
                <w:b/>
                <w:i/>
              </w:rPr>
              <w:t>ao abrigo do presente</w:t>
            </w:r>
            <w:r>
              <w:t xml:space="preserve"> regulamento</w:t>
            </w:r>
            <w:r>
              <w:rPr>
                <w:b/>
                <w:i/>
              </w:rPr>
              <w:t>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287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Everding, Anja Hazekamp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Não é concedido apoio à frota ou aos operadores de pesca que não cumpram o acordo da OMC sobre as subvenções à pesca e os objetivos da PCP referidos no artigo 43.º, n.º 2, do TFUE e no artigo 2.º do Regulamento PCP.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Não é concedido apoio à frota ou aos operadores de pesca que não cumpram o acordo da OMC sobre as subvenções à pesca e os objetivos da PCP referidos no artigo 43.º, n.º 2, do TFUE e no artigo 2.º do Regulamento PCP. </w:t>
            </w:r>
            <w:r>
              <w:rPr>
                <w:b/>
                <w:i/>
              </w:rPr>
              <w:t>Não é concedido apoio se contribuir para a sobrecapacidade ou a sobrepesca.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288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Isabella Lövin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em nome do Grupo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Não é concedido apoio à frota ou aos operadores de pesca que não cumpram o acordo da OMC sobre as subvenções à pesca e os objetivos da PCP referidos no artigo 43.º, n.º 2, do TFUE e no artigo 2.º do Regulamento PCP.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Não é concedido apoio à frota ou aos operadores de pesca que não cumpram </w:t>
            </w:r>
            <w:r>
              <w:rPr>
                <w:b/>
                <w:i/>
              </w:rPr>
              <w:t>o Objetivo de Desenvolvimento Sustentável 14.6 das Nações Unidas,</w:t>
            </w:r>
            <w:r>
              <w:t xml:space="preserve"> o acordo da OMC sobre as subvenções à pesca e os objetivos da PCP referidos no artigo 43.º, n.º 2, do TFUE</w:t>
            </w:r>
            <w:r>
              <w:rPr>
                <w:b/>
                <w:i/>
              </w:rPr>
              <w:t>, o princípio de «não prejudicar significativamente»,</w:t>
            </w:r>
            <w:r>
              <w:t xml:space="preserve"> e no artigo 2.º do Regulamento PCP.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289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Nicolás González Casares, André Franqueira Rodrigues, Idoia Mendia, Sérgio Gonçalves, Thomas Bajada, Eric Sargiacomo, Giuseppe Lupo, Sakis Arnaoutoglou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Não é concedido apoio à frota ou aos operadores de pesca que não cumpram o acordo da OMC sobre as subvenções à pesca </w:t>
            </w:r>
            <w:r>
              <w:rPr>
                <w:b/>
                <w:i/>
              </w:rPr>
              <w:t>e</w:t>
            </w:r>
            <w:r>
              <w:t xml:space="preserve"> os objetivos da PCP referidos no artigo 43.º, n.º 2, do TFUE e no artigo 2.º do Regulamento </w:t>
            </w:r>
            <w:r>
              <w:rPr>
                <w:b/>
                <w:i/>
              </w:rPr>
              <w:t>PCP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Não é concedido apoio à frota ou aos operadores de pesca que não cumpram o acordo da OMC sobre as subvenções à pesca</w:t>
            </w:r>
            <w:r>
              <w:rPr>
                <w:b/>
                <w:i/>
              </w:rPr>
              <w:t>, como aprovado pela Decisão (UE) 2023/1116 do Conselho, nem</w:t>
            </w:r>
            <w:r>
              <w:t xml:space="preserve"> os objetivos da PCP referidos no artigo 43.º, n.º 2, do TFUE e no artigo 2.º do Regulamento </w:t>
            </w:r>
            <w:r>
              <w:rPr>
                <w:b/>
                <w:i/>
              </w:rPr>
              <w:t>(UE) n.º 1380/2013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290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France Jamet, António Tânger Corrêa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Não é concedido apoio à frota ou aos operadores de pesca que não cumpram </w:t>
            </w:r>
            <w:r>
              <w:rPr>
                <w:b/>
                <w:i/>
              </w:rPr>
              <w:t>o acordo da OMC sobre as subvenções à pesca e</w:t>
            </w:r>
            <w:r>
              <w:t xml:space="preserve"> os objetivos da PCP referidos no artigo 43.º, n.º 2, do TFUE e no artigo 2.º do Regulamento PCP.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Não é concedido apoio à frota ou aos operadores de pesca que não cumpram os objetivos da PCP referidos no artigo 43.º, n.º 2, do TFUE e no artigo 2.º do Regulamento PCP.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291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Luke Ming Flanagan, Emma Fourreau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Não é concedido apoio à frota ou aos operadores de pesca que não cumpram o acordo da OMC sobre as subvenções à pesca e os objetivos da PCP referidos no artigo 43.º, n.º 2, do TFUE e no artigo 2.º do Regulamento PCP.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Não é concedido apoio à frota ou aos operadores de pesca que não cumpram o acordo da OMC sobre as subvenções à pesca</w:t>
            </w:r>
            <w:r>
              <w:rPr>
                <w:b/>
                <w:i/>
              </w:rPr>
              <w:t>, a meta 14.6 dos ODS,</w:t>
            </w:r>
            <w:r>
              <w:t xml:space="preserve"> e os objetivos da PCP referidos no artigo 43.º, n.º 2, do TFUE e no artigo 2.º do Regulamento PCP.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292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Siegbert Frank Droese, Volker Schnurrbusch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Não é concedido apoio à frota ou aos operadores de pesca que não cumpram </w:t>
            </w:r>
            <w:r>
              <w:rPr>
                <w:b/>
                <w:i/>
              </w:rPr>
              <w:t>o acordo da OMC sobre as subvenções à pesca e</w:t>
            </w:r>
            <w:r>
              <w:t xml:space="preserve"> os objetivos da PCP referidos no artigo 43.º, n.º 2, do TFUE e no artigo 2.º do Regulamento PCP.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Não é concedido apoio à frota ou aos operadores de pesca que não cumpram os objetivos da PCP referidos no artigo 43.º, n.º 2, do TFUE e no artigo 2.º do Regulamento PCP.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293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Bert-Jan Ruissen, Sander Smit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Não é concedido apoio à frota ou aos operadores de pesca que não cumpram </w:t>
            </w:r>
            <w:r>
              <w:rPr>
                <w:b/>
                <w:i/>
              </w:rPr>
              <w:t>o acordo da OMC sobre as subvenções à pesca e</w:t>
            </w:r>
            <w:r>
              <w:t xml:space="preserve"> os objetivos da PCP referidos no artigo 43.º, n.º 2, do TFUE e no artigo 2.º do Regulamento PCP.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Não é concedido apoio à frota ou aos operadores de pesca que não cumpram os objetivos da PCP referidos no artigo 43.º, n.º 2, do TFUE e no artigo 2.º do Regulamento PCP.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294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rPr>
                <w:b/>
                <w:i/>
              </w:rPr>
              <w:t>Não</w:t>
            </w:r>
            <w:r>
              <w:t xml:space="preserve"> é concedido </w:t>
            </w:r>
            <w:r>
              <w:rPr>
                <w:b/>
                <w:i/>
              </w:rPr>
              <w:t>apoio à frota ou aos operadores de pesca que não cumpram o</w:t>
            </w:r>
            <w:r>
              <w:t xml:space="preserve"> acordo da OMC sobre as subvenções à pesca </w:t>
            </w:r>
            <w:r>
              <w:rPr>
                <w:b/>
                <w:i/>
              </w:rPr>
              <w:t>e os objetivos da PCP referidos no artigo 43.º, n.º 2, do TFUE e no artigo 2.º do Regulamento PCP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rPr>
                <w:b/>
                <w:i/>
              </w:rPr>
              <w:t>O apoio da União só</w:t>
            </w:r>
            <w:r>
              <w:t xml:space="preserve"> é concedido </w:t>
            </w:r>
            <w:r>
              <w:rPr>
                <w:b/>
                <w:i/>
              </w:rPr>
              <w:t>se for conforme com os objetivos da PCP e com as disposições do presente regulamento relativas ao cumprimento do</w:t>
            </w:r>
            <w:r>
              <w:t xml:space="preserve"> Acordo da OMC sobre as Subvenções à Pesca</w:t>
            </w:r>
            <w:r>
              <w:rPr>
                <w:b/>
                <w:i/>
                <w:vertAlign w:val="superscript"/>
              </w:rPr>
              <w:t>14a</w:t>
            </w:r>
            <w:r>
              <w:t>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14a</w:t>
            </w:r>
            <w:r>
              <w:t xml:space="preserve"> </w:t>
            </w:r>
            <w:r>
              <w:rPr>
                <w:b/>
                <w:i/>
              </w:rPr>
              <w:t>Protocolo que altera o Acordo de Marraquexe que cria a Organização Mundial do Comércio, no que diz respeito ao Acordo sobre as Subvenções à Pesca (JO L 148 de 8.6.2023, p.</w:t>
            </w:r>
            <w:r>
              <w:t xml:space="preserve"> </w:t>
            </w:r>
            <w:r>
              <w:rPr>
                <w:b/>
                <w:i/>
              </w:rPr>
              <w:t>3, ELI: http://data.europa.eu/eli/prot/2023/1116/oj).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295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Asger Christensen, Emma Wiesner, Oihane Agirregoitia Martínez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1 – alínea a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a)</w:t>
            </w:r>
            <w:r>
              <w:tab/>
            </w:r>
            <w:r>
              <w:rPr>
                <w:b/>
                <w:i/>
              </w:rPr>
              <w:t>À frota ou aos operadores que não cumpram o acordo da OMC sobre as subvenções à pesca nem os objetivos da PCP referidos no artigo 43.º, n.º 2, do TFUE e no artigo 2.º do Regulamento PCP.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296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Asger Christensen, Emma Wiesner, Oihane Agirregoitia Martínez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1 – alínea b)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b)</w:t>
            </w:r>
            <w:r>
              <w:tab/>
            </w:r>
            <w:r>
              <w:rPr>
                <w:b/>
                <w:i/>
              </w:rPr>
              <w:t>Aos beneficiários que não cumpram a PCP e que tenham cometido alguma das infrações e delitos a que se refere o artigo 3.º, n.º 4, alíneas a) a c), durante um período de 5 anos.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297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Asger Christensen, Emma Wiesner, Oihane Agirregoitia Martínez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1 – alínea c)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c)</w:t>
            </w:r>
            <w:r>
              <w:tab/>
            </w:r>
            <w:r>
              <w:rPr>
                <w:b/>
                <w:i/>
              </w:rPr>
              <w:t>À transferência ou mudança de pavilhão de navios de pesca para países terceiros, nomeadamente através da criação de empresas comuns com parceiros de países terceiros e à transferência de propriedade de uma empresa.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298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Asger Christensen, Emma Wiesner, Oihane Agirregoitia Martínez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1 – alínea d)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d)</w:t>
            </w:r>
            <w:r>
              <w:tab/>
            </w:r>
            <w:r>
              <w:rPr>
                <w:b/>
                <w:i/>
              </w:rPr>
              <w:t>A operações de extração mineira no alto mar.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299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Nora Junco García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1-A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1-A.</w:t>
            </w:r>
            <w:r>
              <w:tab/>
            </w:r>
            <w:r>
              <w:rPr>
                <w:b/>
                <w:i/>
              </w:rPr>
              <w:t>Pode ser concedido apoio público à cessação definitiva das atividades de pesca, como o abate de navios de pesca artesanal e de pequena escala, desde que o abate seja justificado pela falta de rentabilidade económica do navio, pela escassez de quotas ou por planos de gestão restritivos, assegurando uma compensação justa.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tab/>
            </w:r>
            <w:r>
              <w:rPr>
                <w:b/>
                <w:i/>
              </w:rPr>
              <w:t>Os beneficiários devem continuar a cumprir a PCP e não cometer nenhuma das infrações e delitos enumerados no artigo 3.º, n.º 4, alíneas a) a c), durante um prazo de 5 anos.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Suprimido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 Wiezik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Os beneficiários devem continuar a cumprir a PCP e não cometer nenhuma das infrações e delitos enumerados no artigo 3.º, n.º 4, alíneas a) a c), durante um prazo de 5 anos.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Os beneficiários devem continuar a cumprir a PCP e não cometer nenhuma das infrações e delitos enumerados no artigo 3.º, n.º 4, alíneas a) a c)</w:t>
            </w:r>
            <w:r>
              <w:rPr>
                <w:b/>
                <w:i/>
              </w:rPr>
              <w:t>-A</w:t>
            </w:r>
            <w:r>
              <w:t>, durante um prazo de 5 anos.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Uma operação que inclua a cessação definitiva da atividade de pesca deve reembolsar a contribuição do Fundo se, no prazo de 10 anos a contar do pagamento final, não tiverem sido cumpridas as regras previstas no artigo 22.º do Regulamento (UE) n.º 1380/2013, a saber, que a capacidade de pesca correspondente aos navios de pesca retirados com ajuda pública não pode ser substituída.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Nora Junco García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Os beneficiários</w:t>
            </w:r>
            <w:r>
              <w:t xml:space="preserve"> devem </w:t>
            </w:r>
            <w:r>
              <w:rPr>
                <w:b/>
                <w:i/>
              </w:rPr>
              <w:t>continuar a cumprir a PCP e não cometer nenhuma das</w:t>
            </w:r>
            <w:r>
              <w:t xml:space="preserve"> infrações </w:t>
            </w:r>
            <w:r>
              <w:rPr>
                <w:b/>
                <w:i/>
              </w:rPr>
              <w:t>e delitos enumerados no artigo 3.º, n.º 4, alíneas a) a c), durante um prazo de 5 anos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A assistência financeira da União aos operadores está subordinada ao cumprimento das disposições da PCP por parte desses mesmos operadores.</w:t>
            </w:r>
            <w:r>
              <w:t xml:space="preserve"> </w:t>
            </w:r>
            <w:r>
              <w:rPr>
                <w:b/>
                <w:i/>
              </w:rPr>
              <w:t>Por conseguinte, além de eventuais restrições ou proibições de acesso ao financiamento público por decisão administrativa ou judicial, os Estados-Membros</w:t>
            </w:r>
            <w:r>
              <w:t xml:space="preserve"> devem </w:t>
            </w:r>
            <w:r>
              <w:rPr>
                <w:b/>
                <w:i/>
              </w:rPr>
              <w:t>velar por que o apoio financeiro da União só seja concedido a um operador se, durante o ano anterior à sua concessão, não lhe tiverem sido aplicadas sanções por</w:t>
            </w:r>
            <w:r>
              <w:t xml:space="preserve"> infrações </w:t>
            </w:r>
            <w:r>
              <w:rPr>
                <w:b/>
                <w:i/>
              </w:rPr>
              <w:t>graves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Everding, Anja Hazekamp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Os beneficiários devem continuar a cumprir a PCP e não cometer nenhuma das infrações e delitos </w:t>
            </w:r>
            <w:r>
              <w:rPr>
                <w:b/>
                <w:i/>
              </w:rPr>
              <w:t>enumerados no artigo 3.º, n.º 4, alíneas a) a c),</w:t>
            </w:r>
            <w:r>
              <w:t xml:space="preserve"> durante um prazo de </w:t>
            </w:r>
            <w:r>
              <w:rPr>
                <w:b/>
                <w:i/>
              </w:rPr>
              <w:t>5</w:t>
            </w:r>
            <w:r>
              <w:t> anos.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Os beneficiários devem continuar a cumprir a PCP</w:t>
            </w:r>
            <w:r>
              <w:rPr>
                <w:b/>
                <w:i/>
              </w:rPr>
              <w:t>, a legislação ambiental da União, a legislação em matéria de bem-estar dos animais, a legislação em matéria de proteção da natureza e a legislação que protege as espécies vulneráveis e protegidas,</w:t>
            </w:r>
            <w:r>
              <w:t xml:space="preserve"> e não cometer nenhuma das infrações e delitos durante um prazo de </w:t>
            </w:r>
            <w:r>
              <w:rPr>
                <w:b/>
                <w:i/>
              </w:rPr>
              <w:t>cinco</w:t>
            </w:r>
            <w:r>
              <w:t xml:space="preserve"> anos.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Nicolás González Casares, André Franqueira Rodrigues, Idoia Mendia, Sérgio Gonçalves, Thomas Bajada, Giuseppe Lupo, Sakis Arnaoutoglou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Os beneficiários devem continuar a cumprir a PCP e não cometer nenhuma das infrações e delitos enumerados no artigo 3.º, n.º </w:t>
            </w:r>
            <w:r>
              <w:rPr>
                <w:b/>
                <w:i/>
              </w:rPr>
              <w:t>4</w:t>
            </w:r>
            <w:r>
              <w:t>, alíneas a) a c), durante um prazo de 5 anos.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Os beneficiários devem continuar a cumprir a PCP e não cometer nenhuma das infrações e delitos enumerados no artigo 3.º</w:t>
            </w:r>
            <w:r>
              <w:rPr>
                <w:b/>
                <w:i/>
              </w:rPr>
              <w:t>-D</w:t>
            </w:r>
            <w:r>
              <w:t xml:space="preserve">, n.º </w:t>
            </w:r>
            <w:r>
              <w:rPr>
                <w:b/>
                <w:i/>
              </w:rPr>
              <w:t>1</w:t>
            </w:r>
            <w:r>
              <w:t xml:space="preserve">, alíneas a) a c), durante um prazo de 5 anos </w:t>
            </w:r>
            <w:r>
              <w:rPr>
                <w:b/>
                <w:i/>
              </w:rPr>
              <w:t>após a concessão da ajuda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Bert-Jan Ruissen, Sander Smit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Os beneficiários devem continuar a cumprir a PCP e não cometer nenhuma das infrações e delitos enumerados no artigo 3.º, n.º 4, alíneas a) a c), durante um prazo de </w:t>
            </w:r>
            <w:r>
              <w:rPr>
                <w:b/>
                <w:i/>
              </w:rPr>
              <w:t>5 anos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Os beneficiários devem continuar a cumprir a PCP e não cometer nenhuma das infrações e delitos enumerados no artigo 3.º, n.º 4, alíneas a) a c), durante um prazo de </w:t>
            </w:r>
            <w:r>
              <w:rPr>
                <w:b/>
                <w:i/>
              </w:rPr>
              <w:t>seis meses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Asger Christensen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Os beneficiários devem continuar a cumprir a PCP e não cometer nenhuma das infrações e delitos enumerados no artigo 3.º, n.º 4, alíneas a) a c), durante um prazo de </w:t>
            </w:r>
            <w:r>
              <w:rPr>
                <w:b/>
                <w:i/>
              </w:rPr>
              <w:t>5</w:t>
            </w:r>
            <w:r>
              <w:t> anos.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Os beneficiários devem continuar a cumprir a PCP e não cometer nenhuma das infrações e delitos enumerados no artigo 3.º, n.º 4, alíneas a) a c), durante um prazo de </w:t>
            </w:r>
            <w:r>
              <w:rPr>
                <w:b/>
                <w:i/>
              </w:rPr>
              <w:t>três</w:t>
            </w:r>
            <w:r>
              <w:t> anos.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{DA}</w:t>
      </w:r>
      <w:r>
        <w:t>da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Siegbert Frank Droese, Volker Schnurrbusch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tab/>
            </w:r>
            <w:r>
              <w:rPr>
                <w:b/>
                <w:i/>
              </w:rPr>
              <w:t>A transferência ou a mudança do pavilhão de navios de pesca para países terceiros, nomeadamente através da criação de empresas conjuntas com parceiros de países terceiros e da transferência de propriedade de uma empresa, não são elegíveis para apoio.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Suprimido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Bert-Jan Ruissen, Sander Smit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tab/>
            </w:r>
            <w:r>
              <w:rPr>
                <w:b/>
                <w:i/>
              </w:rPr>
              <w:t>A transferência ou a mudança do pavilhão de navios de pesca para países terceiros, nomeadamente através da criação de empresas conjuntas com parceiros de países terceiros e da transferência de propriedade de uma empresa, não são elegíveis para apoio.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Suprimido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A transferência ou a mudança do pavilhão de navios de pesca para países terceiros, nomeadamente através da criação de empresas conjuntas com parceiros de países terceiros </w:t>
            </w:r>
            <w:r>
              <w:rPr>
                <w:b/>
                <w:i/>
              </w:rPr>
              <w:t>e da transferência de propriedade de uma empresa</w:t>
            </w:r>
            <w:r>
              <w:t>, não são elegíveis para apoio.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A transferência ou a mudança do pavilhão de navios de pesca para países terceiros, nomeadamente através da criação de empresas conjuntas com parceiros de países terceiros, não são elegíveis para apoio.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Nora Junco García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A transferência ou a mudança do pavilhão de navios de pesca para países terceiros, </w:t>
            </w:r>
            <w:r>
              <w:rPr>
                <w:b/>
                <w:i/>
              </w:rPr>
              <w:t>nomeadamente através</w:t>
            </w:r>
            <w:r>
              <w:t xml:space="preserve"> da criação de empresas conjuntas com parceiros de países terceiros </w:t>
            </w:r>
            <w:r>
              <w:rPr>
                <w:b/>
                <w:i/>
              </w:rPr>
              <w:t>e da transferência de propriedade de uma empresa</w:t>
            </w:r>
            <w:r>
              <w:t>, não são elegíveis para apoio.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A transferência </w:t>
            </w:r>
            <w:r>
              <w:rPr>
                <w:b/>
                <w:i/>
              </w:rPr>
              <w:t>da propriedade de uma empresa</w:t>
            </w:r>
            <w:r>
              <w:t xml:space="preserve"> ou a mudança do pavilhão de navios de pesca para países terceiros, </w:t>
            </w:r>
            <w:r>
              <w:rPr>
                <w:b/>
                <w:i/>
              </w:rPr>
              <w:t>com exceção</w:t>
            </w:r>
            <w:r>
              <w:t xml:space="preserve"> da criação de empresas conjuntas com parceiros de países terceiros, não são elegíveis para apoio.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Nicolás González Casares, André Franqueira Rodrigues, Idoia Mendia, Sérgio Gonçalves, Thomas Bajada, Eric Sargiacomo, Giuseppe Lupo, Sakis Arnaoutoglou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3-A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3-A.</w:t>
            </w:r>
            <w:r>
              <w:tab/>
            </w:r>
            <w:r>
              <w:rPr>
                <w:b/>
                <w:i/>
              </w:rPr>
              <w:t>Em derrogação do n.º 3, a aquisição de um navio de pesca ou a aquisição da propriedade parcial de um navio de pesca pode ser elegível se for concedido apoio a: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a) Uma pessoa singular que não tenha mais de 40 anos de idade à data de apresentação do pedido de apoio e que tenha trabalhado pelo menos cinco anos como pescador ou adquirido qualificações adequadas;</w:t>
            </w:r>
            <w:r>
              <w:rPr>
                <w:b/>
                <w:i/>
              </w:rPr>
              <w:t>ou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b) Uma entidade jurídica detida a 100 % por uma ou mais pessoas singulares que preencham individualmente as condições estabelecidas na alínea a).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Nicolás González Casares, André Franqueira Rodrigues, Idoia Mendia, Sérgio Gonçalves, Thomas Bajada, Eric Sargiacomo, Giuseppe Lupo, Sakis Arnaoutoglou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3-B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3-B.</w:t>
            </w:r>
            <w:r>
              <w:tab/>
            </w:r>
            <w:r>
              <w:rPr>
                <w:b/>
                <w:i/>
              </w:rPr>
              <w:t>O apoio previsto no presente artigo pode ser concedido para a primeira aquisição conjunta de um navio de pesca por várias pessoas singulares que preencham individualmente as condições estabelecidas no n.º 3-A.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Nicolás González Casares, André Franqueira Rodrigues, Idoia Mendia, Sérgio Gonçalves, Thomas Bajada, Eric Sargiacomo, Giuseppe Lupo, Sakis Arnaoutoglou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3-C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3-C.</w:t>
            </w:r>
            <w:r>
              <w:tab/>
            </w:r>
            <w:r>
              <w:rPr>
                <w:b/>
                <w:i/>
              </w:rPr>
              <w:t>O apoio previsto no presente artigo pode igualmente ser concedido para a aquisição da propriedade parcial de um navio de pesca por uma pessoa singular que preencha as condições estabelecidas no n.º 3-A e que se considere que tem direitos de controlo sobre esse navio através da propriedade de pelo menos 33 % do navio ou das ações do navio, ou por uma entidade jurídica que preencha as condições estabelecidas no n.º 3-A e que se considere que tem direitos de controlo sobre esse navio através da propriedade de pelo menos 33 % do navio ou das ações do navio.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France Jamet, António Tânger Corrêa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4.</w:t>
            </w:r>
            <w:r>
              <w:tab/>
            </w:r>
            <w:r>
              <w:rPr>
                <w:b/>
                <w:i/>
              </w:rPr>
              <w:t>A exploração mineira no alto mar não receberá apoio.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Suprimido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Bert-Jan Ruissen, Sander Smit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4.</w:t>
            </w:r>
            <w:r>
              <w:tab/>
            </w:r>
            <w:r>
              <w:rPr>
                <w:b/>
                <w:i/>
              </w:rPr>
              <w:t>A exploração mineira no alto mar não receberá apoio.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Suprimido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Siegbert Frank Droese, Volker Schnurrbusch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4.</w:t>
            </w:r>
            <w:r>
              <w:tab/>
            </w:r>
            <w:r>
              <w:rPr>
                <w:b/>
                <w:i/>
              </w:rPr>
              <w:t>A exploração mineira no alto mar não receberá apoio.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Suprimido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 Wiezik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A exploração mineira no alto mar não receberá apoio.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A exploração mineira no alto mar não receberá apoio.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As atividades relacionadas com a monitorização e a investigação dos recursos biológicos marinhos das zonas situadas além da jurisdição nacional podem ser apoiadas se contribuírem para a aplicação do Acordo BBNJ.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Paulo do Nascimento Cabral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A exploração mineira no alto mar não receberá apoio.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A exploração mineira no alto mar não receberá apoio</w:t>
            </w:r>
            <w:r>
              <w:rPr>
                <w:b/>
                <w:i/>
              </w:rPr>
              <w:t>, nem avançar para a fase de exploração, enquanto vigorar a moratória e até que os seus impactos ambientais, sociais e económicos sejam plenamente avaliados com base em conhecimento científico sólido e independente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{PT}</w:t>
      </w:r>
      <w:r>
        <w:t>pt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Maria Cisint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A exploração mineira no alto mar não receberá apoio.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A exploração mineira no alto mar não receberá apoio </w:t>
            </w:r>
            <w:r>
              <w:rPr>
                <w:b/>
                <w:i/>
              </w:rPr>
              <w:t>com vista a não aumentar ainda mais a pressão sobre as unidades populacionais de peixes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 Wiezik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4-A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4-A.</w:t>
            </w:r>
            <w:r>
              <w:tab/>
            </w:r>
            <w:r>
              <w:rPr>
                <w:b/>
                <w:i/>
              </w:rPr>
              <w:t>São elegíveis para apoio os compromissos voluntários assumidos por pescadores, incluindo a transição para um segmento da frota com menor impacto ambiental e práticas de pesca mais seletivas que possam reduzir a remoção sistemática de peixes de maior tamanho e idade e proteger melhor o potencial de regeneração da unidade populacional.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O apoio para a ação de transição é concedido com base num plano de ação de transição elaborado por um pescador e aprovado e avaliado para verificar o cumprimento de um plano de ação para os segmentos da frota com sobrecapacidade estrutural identificada, apresentado à Comissão em conformidade com o artigo 22.º do Regulamento (UE) n.º 1380/2013 por um Estado-Membro.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Sempre que uma ação de transição inclua a cessação temporária da atividade de pesca, o plano de ação de transição deve incluir informações sobre a duração da cessação e as unidades populacionais que beneficiam da mesma.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 cessação temporária deve abranger apenas o período da campanha de pesca da unidade populacional em causa e abranger integralmente esse período.</w:t>
            </w:r>
            <w:r>
              <w:t xml:space="preserve"> </w:t>
            </w:r>
            <w:r>
              <w:rPr>
                <w:b/>
                <w:i/>
              </w:rPr>
              <w:t>A cessação temporária da atividade de pesca só deve ser elegível para os navios até 33 metros.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Siegbert Frank Droese, Volker Schnurrbusch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4-A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4-A.</w:t>
            </w:r>
            <w:r>
              <w:tab/>
            </w:r>
            <w:r>
              <w:rPr>
                <w:b/>
                <w:i/>
              </w:rPr>
              <w:t>Competências de execução e estatuto das orientações da Comissão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  <w:r>
              <w:rPr>
                <w:b/>
                <w:i/>
              </w:rPr>
              <w:t>Não é conferido à Comissão poder de adotar atos delegados ao abrigo do presente regulamento.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rPr>
                <w:b/>
                <w:i/>
              </w:rPr>
              <w:t>Caso sejam necessárias regras para a execução uniforme do presente regulamento, estas são adotadas por meio de atos de execução em conformidade com o procedimento de exame a que se refere o artigo 5.º do Regulamento (UE) n.º 182/2011, garantindo assim o controlo pelos Estados-Membros.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t xml:space="preserve"> </w:t>
            </w:r>
            <w:r>
              <w:rPr>
                <w:b/>
                <w:i/>
              </w:rPr>
              <w:t>Quaisquer orientações, diretrizes ou outros instrumentos não vinculativos emitidos pela Comissão em relação ao presente regulamento ou ao Fundo para as Parcerias Nacionais e Regionais servem apenas para fins de informação.</w:t>
            </w:r>
            <w:r>
              <w:t xml:space="preserve"> </w:t>
            </w:r>
            <w:r>
              <w:rPr>
                <w:b/>
                <w:i/>
              </w:rPr>
              <w:t>Não podem criar obrigações para os Estados-Membros, as autoridades regionais ou locais nem para os beneficiários, não podem ser utilizadas como condição de acesso ao financiamento e não podem servir de base para uma interpretação jurídica em processos administrativos ou judiciais.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Everding, Anja Hazekamp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4-A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4-A.</w:t>
            </w:r>
            <w:r>
              <w:tab/>
            </w:r>
            <w:r>
              <w:rPr>
                <w:b/>
                <w:i/>
              </w:rPr>
              <w:t>Os Estados-Membros devem dar prioridade aos operadores que contribuam para a proteção e restauro da biodiversidade marinha, a redução das capturas acessórias e das devoluções, a proteção das espécies vulneráveis e protegidas, a redução das emissões e da poluição por gases com efeito de estufa, a transição para métodos de pesca seletivos e de baixo impacto e a melhoria do bem-estar dos animais na aquicultura e nas pescas.</w:t>
            </w:r>
            <w:r>
              <w:t xml:space="preserve"> </w:t>
            </w:r>
            <w:r>
              <w:rPr>
                <w:b/>
                <w:i/>
              </w:rPr>
              <w:t>Não recebem apoio os operadores que utilizem redes de arrasto pelo fundo e outras atividades prejudiciais para o fundo marinho.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 Fourreau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4-A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4-A.</w:t>
            </w:r>
            <w:r>
              <w:tab/>
            </w:r>
            <w:r>
              <w:rPr>
                <w:b/>
                <w:i/>
              </w:rPr>
              <w:t>Não é concedido apoio aos navios que utilizam artes rebocadas, na aceção do artigo 2.º, ponto 1, do Regulamento (CE) n.º 1967/2006 do Conselho, exceto aos navios de pesca de comprimento de fora a fora igual ou inferior a 33 metros, quer no caso específico de abandono das artes rebocadas, na aceção do artigo 2.º, ponto 1, do Regulamento (CE) n.º 1967/2006 do Conselho, quer para os regimes de cessação definitiva obrigatória.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Isabella Lövin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em nome do Grupo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4-A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4-A.</w:t>
            </w:r>
            <w:r>
              <w:tab/>
            </w:r>
            <w:r>
              <w:rPr>
                <w:b/>
                <w:i/>
              </w:rPr>
              <w:t>Não é concedido apoio a proprietários ou operadores de navios de pesca da União que utilizem artes rebocadas, na aceção do artigo 2.º, ponto 1, do Regulamento (CE) n.º 1967/2006 do Conselho, exceto no caso específico de abandono das artes rebocadas, na aceção do artigo 2.º, ponto 1, do Regulamento (CE) n.º 1967/2006 do Conselho, ou para os regimes de cessação definitiva obrigatória.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Nora Junco García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4-A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4-A.</w:t>
            </w:r>
            <w:r>
              <w:tab/>
            </w:r>
            <w:r>
              <w:rPr>
                <w:b/>
                <w:i/>
              </w:rPr>
              <w:t>Salvo disposição expressa em contrário no presente regulamento, consideram-se autorizados todos os apoios não expressamente proibidos, o que garante segurança jurídica tanto para os Estados-Membros como para os beneficiários.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Bert-Jan Ruissen, Sander Smit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4-A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4-A.</w:t>
            </w:r>
            <w:r>
              <w:tab/>
            </w:r>
            <w:r>
              <w:rPr>
                <w:b/>
                <w:i/>
              </w:rPr>
              <w:t>O financiamento e as atividades relacionadas com a pesca e a aquicultura devem estar isentos da aplicação do princípio de «não prejudicar significativamente».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 Wiezik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4-B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4-B.</w:t>
            </w:r>
            <w:r>
              <w:tab/>
            </w:r>
            <w:r>
              <w:rPr>
                <w:b/>
                <w:i/>
              </w:rPr>
              <w:t>Podem ser apoiadas as atividades realizadas no contexto da execução das metas relacionadas com os oceanos de um plano executado em conformidade com o acervo ambiental aplicável, como o Regulamento (UE) 2024/1991, incluindo as relacionadas com a monitorização e a investigação.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Isabella Lövin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em nome do Grupo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4-B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4-B.</w:t>
            </w:r>
            <w:r>
              <w:tab/>
            </w:r>
            <w:r>
              <w:rPr>
                <w:b/>
                <w:i/>
              </w:rPr>
              <w:t>O apoio financeiro aos proprietários ou operadores de navios de pesca da União deve estar subordinado à plena conformidade do respetivo navio de pesca com, pelo menos, os requisitos obrigatórios aplicáveis aos sistemas de monitorização eletrónica à distância (REM).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Everding, Anja Hazekamp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4-B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4-B.</w:t>
            </w:r>
            <w:r>
              <w:tab/>
            </w:r>
            <w:r>
              <w:rPr>
                <w:b/>
                <w:i/>
              </w:rPr>
              <w:t>Não é concedido apoio à aquicultura de espécies carnívoras, à criação de polvos e à aquicultura que cause ou aumente o sofrimento dos animais, a poluição, o risco de doenças, a dependência de antimicrobianos ou a pressão sobre as unidades populacionais de peixes selvagens.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 Fourreau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4-B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4-B.</w:t>
            </w:r>
            <w:r>
              <w:tab/>
            </w:r>
            <w:r>
              <w:rPr>
                <w:b/>
                <w:i/>
              </w:rPr>
              <w:t>Não é apoiado qualquer método ou técnica suscetível de aumentar a capacidade de pesca de um navio de pesca.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 Wiezik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4-C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4-C.</w:t>
            </w:r>
            <w:r>
              <w:tab/>
            </w:r>
            <w:r>
              <w:rPr>
                <w:b/>
                <w:i/>
              </w:rPr>
              <w:t>A cessação definitiva da atividade de pesca é apoiada desde que seja precedida da retirada da licença de pesca e das autorizações de pesca e cumpra todos os seguintes requisitos: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a) O apoio diz respeito a navios de comprimento fora a fora superior a 33 metros com sobrecapacidade estrutural identificada por um Estado-Membro no plano de ação apresentado à Comissão em conformidade com o artigo 22.º do Regulamento (UE) n.º 1380/2013;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b) O apoio contribui para o restauro de importantes zonas de desova e de reprodução de peixes ou resulta na eliminação de pressões que permitem a estabilização do fundo marinho, com uma ligação direta às medidas do plano nacional de restauro devidamente avaliadas e confirmadas pela autoridade do Estado-Membro;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c) Caso o apoio à cessação da atividade de pesca assuma a forma de um regime de desmantelamento, o pedido inclui um plano de reciclagem específico para o navio, em conformidade com o Regulamento (UE) n.º 1257/2013 e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d) A declaração solene do operador que acompanha o pedido de apoio confirma que a ajuda cumpre as regras do artigo 22.º, n.º 6, do Regulamento (UE) n.º 1380/2013 e que a ajuda não é nem será reinvestida no setor.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Everding, Anja Hazekamp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4-C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4-C.</w:t>
            </w:r>
            <w:r>
              <w:tab/>
            </w:r>
            <w:r>
              <w:rPr>
                <w:b/>
                <w:i/>
              </w:rPr>
              <w:t>Não é concedido apoio a operações que contribuam para a sobrepesca, a sobrecapacidade, as práticas de pesca destrutivas, as perturbações significativas dos fundos marinhos, a degradação dos habitats marinhos, o aumento das capturas acessórias de espécies não alvo ou o sofrimento dos animais aquáticos.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 Fourreau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4-C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4-C.</w:t>
            </w:r>
            <w:r>
              <w:tab/>
            </w:r>
            <w:r>
              <w:rPr>
                <w:b/>
                <w:i/>
              </w:rPr>
              <w:t>Não é concedido apoio a qualquer método ou técnica suscetível de aumentar a capacidade de um navio de pesca de detetar ou capturar peixe.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Isabella Lövin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em nome do Grupo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4-C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4-C.</w:t>
            </w:r>
            <w:r>
              <w:tab/>
            </w:r>
            <w:r>
              <w:rPr>
                <w:b/>
                <w:i/>
              </w:rPr>
              <w:t>Não é apoiado qualquer método ou técnica suscetível de aumentar a capacidade de pesca de um navio de pesca.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Isabella Lövin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em nome do Grupo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4-D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4-D.</w:t>
            </w:r>
            <w:r>
              <w:tab/>
            </w:r>
            <w:r>
              <w:rPr>
                <w:b/>
                <w:i/>
              </w:rPr>
              <w:t>Não é concedido apoio a qualquer método ou técnica suscetível de aumentar a capacidade de um navio de pesca de detetar ou capturar peixe.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 Fourreau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4-D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4-D.</w:t>
            </w:r>
            <w:r>
              <w:tab/>
            </w:r>
            <w:r>
              <w:rPr>
                <w:b/>
                <w:i/>
              </w:rPr>
              <w:t>Não é concedido apoio aos combustíveis fósseis.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 Fourreau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4-E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4-E.</w:t>
            </w:r>
            <w:r>
              <w:tab/>
            </w:r>
            <w:r>
              <w:rPr>
                <w:b/>
                <w:i/>
              </w:rPr>
              <w:t>O apoio à aquisição, substituição, construção ou importação de navios de pesca só é concedido para navios de comprimento de fora a fora igual ou inferior a 33 metros, nos seguintes casos específicos: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 para o seu abandono das artes rebocadas, na aceção do artigo 2.º, ponto 1, do Regulamento (CE) n.º 1967/2006 do Conselho, ou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 para a descarbonização dos navios de pesca que não utilizam artes rebocadas, na aceção do artigo 2.º, ponto 1, do Regulamento (CE) n.º 1967/2006 do Conselho, desde que fique demonstrado que as medidas melhoram o desempenho ambiental das operações de pesca e não perpetuam nem resultam em novos danos para os ecossistemas marinhos, em especial no caso da substituição de artes de pesca.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Isabella Lövin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em nome do Grupo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4-E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4-E.</w:t>
            </w:r>
            <w:r>
              <w:tab/>
            </w:r>
            <w:r>
              <w:rPr>
                <w:b/>
                <w:i/>
              </w:rPr>
              <w:t>Não é concedido apoio a custos operacionais, incluindo subsídios aos combustíveis fósseis.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Justificação</w:t>
      </w:r>
      <w:r>
        <w:rPr>
          <w:rStyle w:val="HideTWBExt"/>
        </w:rPr>
        <w:t>&lt;/TitreJust&gt;</w:t>
      </w:r>
    </w:p>
    <w:p>
      <w:pPr>
        <w:pStyle w:val="AmJustText"/>
      </w:pPr>
      <w:r>
        <w:t>A concessão de subsídios da UE para os custos dos combustíveis fósseis comprometeria os esforços necessários em conformidade com o Acordo de Paris.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Isabella Lövin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em nome do Grupo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4-F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4-F.</w:t>
            </w:r>
            <w:r>
              <w:tab/>
            </w:r>
            <w:r>
              <w:rPr>
                <w:b/>
                <w:i/>
              </w:rPr>
              <w:t>O apoio à cessação temporária das atividades de pesca só é concedido na condição de resultar numa redução líquida do esforço de pesca global que não seja compensada por um aumento do esforço noutras zonas e de ser acompanhado de medidas de gestão adequadas que assegurem a sustentabilidade a longo prazo das populações de peixes em causa e dos ecossistemas associados, incluindo a não reabertura da pescaria, sempre que pareceres científicos e considerações ecossistémicas mais vastas indiquem que tal comprometeria os objetivos da Diretiva 2008/56/CE.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 Fourreau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4-F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4-F.</w:t>
            </w:r>
            <w:r>
              <w:tab/>
            </w:r>
            <w:r>
              <w:rPr>
                <w:b/>
                <w:i/>
              </w:rPr>
              <w:t>Não é concedido apoio à substituição de motores movidos a combustíveis fósseis, exceto para a transição para a eletrificação e para a propulsão eólica de navios de comprimento de fora a fora igual ou inferior a 33 metros e que não utilizem artes rebocadas, na aceção do artigo 2.º, ponto 1, do Regulamento (CE) n.º 1967/2006 do Conselho.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Isabella Lövin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em nome do Grupo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4-G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4-G.</w:t>
            </w:r>
            <w:r>
              <w:tab/>
            </w:r>
            <w:r>
              <w:rPr>
                <w:b/>
                <w:i/>
              </w:rPr>
              <w:t>Não é concedido apoio à aquisição, substituição, construção ou importação de navios de pesca.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 Fourreau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4-G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4-G.</w:t>
            </w:r>
            <w:r>
              <w:tab/>
            </w:r>
            <w:r>
              <w:rPr>
                <w:b/>
                <w:i/>
              </w:rPr>
              <w:t>Não é concedido apoio à pesca com utilização de impulsos elétricos.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Isabella Lövin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em nome do Grupo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4-H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4-H.</w:t>
            </w:r>
            <w:r>
              <w:tab/>
            </w:r>
            <w:r>
              <w:rPr>
                <w:b/>
                <w:i/>
              </w:rPr>
              <w:t>O apoio a operações ou despesas para a substituição ou modernização de um motor principal ou auxiliar de um navio de pesca só deve ser elegível nas seguintes condições: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i) O navio tem um comprimento de fora a fora igual ou inferior a 24 metros;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ii) O navio esteve registado no ficheiro da frota de pesca da União durante pelo menos os cinco anos civis anteriores ao ano de apresentação do pedido de apoio;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iii) O navio pertence a um segmento da frota em relação ao qual o mais recente relatório sobre a capacidade de pesca a que se refere o artigo 22.º, n.º 2, do Regulamento (UE) n.º 1380/2013 tenha demonstrado a existência de um equilíbrio entre as capacidades e as possibilidades de pesca disponíveis para esse segmento;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iv) Qualquer redução da capacidade de pesca em kW devido à substituição ou modernização de um motor principal ou auxiliar deve ser definitivamente retirada do ficheiro da frota de pesca da União;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v) A potência do motor do navio de pesca deve ter sido fisicamente inspecionada pelo Estado-Membro, a fim de assegurar que não excede a indicada na licença de pesca;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vi) A potência do novo motor ou do motor modernizado não excede em kW a do motor atual;</w:t>
            </w:r>
            <w:r>
              <w:rPr>
                <w:b/>
                <w:i/>
              </w:rPr>
              <w:t>e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vii) O motor novo ou modernizado baseia-se em tecnologias de emissões nulas, em conformidade com o artigo 3.º, n.º 7, do Regulamento (UE) 2023/1805.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 Fourreau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4-H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4-H.</w:t>
            </w:r>
            <w:r>
              <w:tab/>
            </w:r>
            <w:r>
              <w:rPr>
                <w:b/>
                <w:i/>
              </w:rPr>
              <w:t>Não é concedido apoio à pesca em águas longínquas.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Isabella Lövin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em nome do Grupo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4-I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4-I.</w:t>
            </w:r>
            <w:r>
              <w:tab/>
            </w:r>
            <w:r>
              <w:rPr>
                <w:b/>
                <w:i/>
              </w:rPr>
              <w:t>Não é concedido apoio à construção, aquisição ou utilização de qualquer tipo de dispositivo de concentração de peixes.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 Fourreau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4-I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4-I.</w:t>
            </w:r>
            <w:r>
              <w:tab/>
            </w:r>
            <w:r>
              <w:rPr>
                <w:b/>
                <w:i/>
              </w:rPr>
              <w:t>Não é concedido apoio à expansão da aquicultura de carnívoros, tanto em termos de volume como para espécies mais recentes.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 Fourreau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4-J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4-J.</w:t>
            </w:r>
            <w:r>
              <w:tab/>
            </w:r>
            <w:r>
              <w:rPr>
                <w:b/>
                <w:i/>
              </w:rPr>
              <w:t>Não é concedido apoio à construção de explorações piscícolas de salmão que utilizem sistemas aquícolas de recirculação para a fase de engorda.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Isabella Lövin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em nome do Grupo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4-J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4-J.</w:t>
            </w:r>
            <w:r>
              <w:tab/>
            </w:r>
            <w:r>
              <w:rPr>
                <w:b/>
                <w:i/>
              </w:rPr>
              <w:t>Não é concedido qualquer apoio à pesca com impulsos elétricos.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Isabella Lövin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em nome do Grupo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4-K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4-K.</w:t>
            </w:r>
            <w:r>
              <w:tab/>
            </w:r>
            <w:r>
              <w:rPr>
                <w:b/>
                <w:i/>
              </w:rPr>
              <w:t>Não é concedido apoio à pesca de profundidade.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Isabella Lövin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em nome do Grupo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4-L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4-L.</w:t>
            </w:r>
            <w:r>
              <w:tab/>
            </w:r>
            <w:r>
              <w:rPr>
                <w:b/>
                <w:i/>
              </w:rPr>
              <w:t>Não é concedido apoio à pesca exploratória.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Isabella Lövin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em nome do Grupo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 – n.º 4-M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4-M.</w:t>
            </w:r>
            <w:r>
              <w:tab/>
            </w:r>
            <w:r>
              <w:rPr>
                <w:b/>
                <w:i/>
              </w:rPr>
              <w:t>Não é concedido apoio à reconstituição direta, exceto explicitamente como medida de reintrodução ou outra medida de conservação.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Asger Christensen, Emma Wiesner, Oihane Agirregoitia Martínez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4-A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Artigo 4.º-A</w:t>
            </w:r>
            <w:r>
              <w:tab/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Sistema de controlo da política comum das pescas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  <w:r>
              <w:t xml:space="preserve"> </w:t>
            </w:r>
            <w:r>
              <w:rPr>
                <w:b/>
                <w:i/>
              </w:rPr>
              <w:t>No âmbito dos controlos referidos no artigo 58.º do [Regulamento PPNR], os Estados-Membros devem verificar a conformidade dos beneficiários.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t xml:space="preserve"> </w:t>
            </w:r>
            <w:r>
              <w:rPr>
                <w:b/>
                <w:i/>
              </w:rPr>
              <w:t>Os Estados-Membros devem utilizar os seus sistemas de controlo e execução nos domínios do clima e do ambiente, da saúde pública, da fitossanidade e do bem-estar dos animais, da legislação social e do emprego, das normas laborais aplicáveis, das pescas e da aquicultura, a fim de assegurar que os beneficiários do apoio cumprem os requisitos estabelecidos no n.º 1.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t xml:space="preserve"> </w:t>
            </w:r>
            <w:r>
              <w:rPr>
                <w:b/>
                <w:i/>
              </w:rPr>
              <w:t>A autoridade de gestão ou o organismo pagador deve ser notificado, se for caso disso, pelo menos uma vez por ano, dos casos de incumprimento em que tenham sido tomadas decisões com força executiva a esse respeito no âmbito dos sistemas de controlo e execução aplicáveis a que se refere o n.º 2.</w:t>
            </w:r>
            <w:r>
              <w:t xml:space="preserve"> </w:t>
            </w:r>
            <w:r>
              <w:rPr>
                <w:b/>
                <w:i/>
              </w:rPr>
              <w:t>Essa notificação inclui a avaliação e classificação da gravidade, extensão, permanência ou recorrência e intencionalidade do incumprimento em causa.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4.</w:t>
            </w:r>
            <w:r>
              <w:t xml:space="preserve"> </w:t>
            </w:r>
            <w:r>
              <w:rPr>
                <w:b/>
                <w:i/>
              </w:rPr>
              <w:t>Em caso de incumprimento do presente regulamento, o apoio pago ao beneficiário é recuperado e os pedidos de apoio apresentados por um beneficiário não são admissíveis durante um período determinado, fixado nos termos do n.º 8 do presente artigo, se a autoridade competente em causa tiver determinado, através de uma decisão definitiva, que o beneficiário cometeu uma fraude.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5.</w:t>
            </w:r>
            <w:r>
              <w:t xml:space="preserve"> </w:t>
            </w:r>
            <w:r>
              <w:rPr>
                <w:b/>
                <w:i/>
              </w:rPr>
              <w:t>Se um dos casos enumerados no artigo XX do presente regulamento ocorrer entre o período de aplicação e os cinco anos seguintes ao pagamento final, o apoio pago ao beneficiário é recuperado.</w:t>
            </w:r>
            <w:r>
              <w:t xml:space="preserve"> </w:t>
            </w:r>
            <w:r>
              <w:rPr>
                <w:b/>
                <w:i/>
              </w:rPr>
              <w:t>A recuperação deve ser proporcional à natureza, gravidade, duração e reiteração das infrações graves cometidas pelo beneficiário em causa, bem como à importância do apoio à atividade económica desse beneficiário.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6.</w:t>
            </w:r>
            <w:r>
              <w:t xml:space="preserve"> </w:t>
            </w:r>
            <w:r>
              <w:rPr>
                <w:b/>
                <w:i/>
              </w:rPr>
              <w:t>A fim de assegurar condições de concorrência equitativas entre os Estados-Membros e a eficácia, a proporcionalidade e o efeito dissuasor das sanções referidas no n.º 5 e das recuperações e inadmissibilidade referidas no artigo XX do presente regulamento e nos n.</w:t>
            </w:r>
            <w:r>
              <w:rPr>
                <w:b/>
                <w:i/>
                <w:vertAlign w:val="superscript"/>
              </w:rPr>
              <w:t>os</w:t>
            </w:r>
            <w:r>
              <w:rPr>
                <w:b/>
                <w:i/>
              </w:rPr>
              <w:t> 4 e 5 do presente artigo, a Comissão fica habilitada a adotar atos delegados nos termos do artigo 4.º-B que complementem o presente regulamento estabelecendo: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a) Regras pormenorizadas sobre a aplicação e o cálculo das sanções;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b) A identificação do limiar que desencadeia a inadmissibilidade e a sua duração, bem como as modalidades de recuperação do apoio concedido, incluindo os limiares que desencadeiam o apoio.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Nicolás González Casares, André Franqueira Rodrigues, Idoia Mendia, Sérgio Gonçalves, Thomas Bajada, Eric Sargiacomo, Giuseppe Lupo, Sakis Arnaoutoglou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4-A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Artigo 4.º-A</w:t>
            </w:r>
            <w:r>
              <w:tab/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Pagamentos em situações de crise aos pescadores na sequência de catástrofes naturais, fenómenos climáticos adversos e acontecimentos catastróficos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  <w:r>
              <w:t xml:space="preserve"> </w:t>
            </w:r>
            <w:r>
              <w:rPr>
                <w:b/>
                <w:i/>
              </w:rPr>
              <w:t>Os Estados-Membros podem conceder pagamentos em situações de crise aos pescadores e produtores aquícolas e outros operadores na cadeia de valor das pescas e da aquicultura afetados por catástrofes naturais, fenómenos climáticos adversos ou acontecimentos catastróficos.</w:t>
            </w:r>
            <w:r>
              <w:t xml:space="preserve"> </w:t>
            </w:r>
            <w:r>
              <w:rPr>
                <w:b/>
                <w:i/>
              </w:rPr>
              <w:t>Esses pagamentos visam assegurar a continuidade da atividade e estão sujeitos às condições estabelecidas no presente artigo e especificadas mais pormenorizadamente pelos Estados-Membros.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t xml:space="preserve"> </w:t>
            </w:r>
            <w:r>
              <w:rPr>
                <w:b/>
                <w:i/>
              </w:rPr>
              <w:t>O apoio ao abrigo do presente artigo, incluindo o apoio à compensação pela cessação temporária das atividades de pesca e de aquicultura, pode ser concedido em caso de: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a) Medidas de conservação, referidas no artigo 7.º, n.º 1, alíneas a), b), c), i) e j), do Regulamento (UE) n.º 1380/2013 ou, caso aplicável à União, medidas de conservação equivalentes adotadas pelas organizações regionais de gestão das pescas;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b) Medidas da Comissão em caso de ameaça grave para os recursos biológicos marinhos, a que se refere o artigo 12.º do Regulamento (UE) n.º 1380/2013;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c) Medidas de emergência dos Estados-Membros, nos termos do artigo 13.º do Regulamento (UE) 1380/2013;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d) Interrupção, por razões de força maior, da aplicação de um acordo de parceria no domínio da pesca sustentável ou do respetivo protocolo;</w:t>
            </w:r>
            <w:r>
              <w:t xml:space="preserve"> </w:t>
            </w:r>
            <w:r>
              <w:rPr>
                <w:b/>
                <w:i/>
              </w:rPr>
              <w:t>ou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e) Catástrofes naturais, incidentes ambientais, crises sanitárias, ou acontecimentos catastróficos formalmente reconhecidos pelas autoridades competentes do Estado-Membro em causa.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t xml:space="preserve"> </w:t>
            </w:r>
            <w:r>
              <w:rPr>
                <w:b/>
                <w:i/>
              </w:rPr>
              <w:t>Os Estados-Membros devem fixar as taxas de apoio aplicáveis para compensar a perda de produção, a perda de rendimentos ou os custos adicionais incorridos.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4.</w:t>
            </w:r>
            <w:r>
              <w:t xml:space="preserve"> </w:t>
            </w:r>
            <w:r>
              <w:rPr>
                <w:b/>
                <w:i/>
              </w:rPr>
              <w:t>Ao concederem apoio nos termos do presente artigo, os Estados-Membros devem assegurar que seja evitada a sobrecompensação resultante da combinação deste apoio com outros instrumentos de apoio nacionais ou da União ou regimes de seguros privados.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Francisco José Millán Mon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4-A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Artigo 4.º-A</w:t>
            </w:r>
            <w:r>
              <w:tab/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Princípio de «não prejudicar significativamente»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  <w:r>
              <w:t xml:space="preserve"> </w:t>
            </w:r>
            <w:r>
              <w:rPr>
                <w:b/>
                <w:i/>
              </w:rPr>
              <w:t>Considera-se que o apoio concedido para alcançar os objetivos estabelecidos no presente regulamento respeita o princípio de «não prejudicar significativamente», desde que seja coerente com os objetivos da PCP.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Nicolás González Casares, André Franqueira Rodrigues, Idoia Mendia, Sérgio Gonçalves, Thomas Bajada, Giuseppe Lupo, Sakis Arnaoutoglou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4-B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Artigo 4.º-B</w:t>
            </w:r>
            <w:r>
              <w:tab/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Sistema de controlo da política comum das pescas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  <w:r>
              <w:t xml:space="preserve"> </w:t>
            </w:r>
            <w:r>
              <w:rPr>
                <w:b/>
                <w:i/>
              </w:rPr>
              <w:t>Nos termos do artigo 58.º do Regulamento (UE).../... [Regulamento PNR], os Estados-Membros devem verificar a conformidade dos beneficiários com os requisitos do artigo 3.º-D.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t xml:space="preserve"> </w:t>
            </w:r>
            <w:r>
              <w:rPr>
                <w:b/>
                <w:i/>
              </w:rPr>
              <w:t>Os Estados-Membros utilizam os seus sistemas de controlo e execução nos domínios das pescas e da aquicultura para garantir que os beneficiários do apoio cumpram os requisitos estabelecidos no n.º 1.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t xml:space="preserve"> </w:t>
            </w:r>
            <w:r>
              <w:rPr>
                <w:b/>
                <w:i/>
              </w:rPr>
              <w:t>A autoridade de gestão ou o organismo pagador a que se refere o artigo 49.º do Regulamento (UE) …/… [Regulamento PNR] deve ser notificado, se for caso disso, pelo menos uma vez por ano, dos casos de incumprimento em que tenham sido tomadas decisões com força executiva a esse respeito no âmbito dos sistemas de controlo e execução aplicáveis a que se refere o n.º 2.</w:t>
            </w:r>
            <w:r>
              <w:t xml:space="preserve"> </w:t>
            </w:r>
            <w:r>
              <w:rPr>
                <w:b/>
                <w:i/>
              </w:rPr>
              <w:t>Essa notificação inclui a avaliação e classificação da gravidade, extensão, permanência ou recorrência e intencionalidade do incumprimento em causa.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4.</w:t>
            </w:r>
            <w:r>
              <w:t xml:space="preserve"> </w:t>
            </w:r>
            <w:r>
              <w:rPr>
                <w:b/>
                <w:i/>
              </w:rPr>
              <w:t>Em caso de incumprimento do artigo 3.º-D, o apoio pago ao beneficiário é recuperado e os pedidos de apoio apresentados por um beneficiário não são admissíveis durante um período determinado, fixado nos termos do n.º 6 do presente artigo, se a autoridade competente em causa tiver determinado, através de uma decisão definitiva, que o beneficiário cometeu uma fraude.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5.</w:t>
            </w:r>
            <w:r>
              <w:t xml:space="preserve"> </w:t>
            </w:r>
            <w:r>
              <w:rPr>
                <w:b/>
                <w:i/>
              </w:rPr>
              <w:t>Se um dos casos enumerados no artigo 3.º-D ocorrer entre o período de aplicação e os cinco anos posteriores ao momento em que o apoio é concedido, o apoio pago ao beneficiário é recuperado.</w:t>
            </w:r>
            <w:r>
              <w:t xml:space="preserve"> </w:t>
            </w:r>
            <w:r>
              <w:rPr>
                <w:b/>
                <w:i/>
              </w:rPr>
              <w:t>A recuperação deve ser proporcional à natureza, gravidade, duração e reiteração das infrações graves cometidas pelo beneficiário em causa, bem como à importância do apoio à atividade económica desse beneficiário.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6.</w:t>
            </w:r>
            <w:r>
              <w:t xml:space="preserve"> </w:t>
            </w:r>
            <w:r>
              <w:rPr>
                <w:b/>
                <w:i/>
              </w:rPr>
              <w:t>A fim de assegurar condições de concorrência equitativas entre os Estados-Membros e a eficácia, a proporcionalidade e o efeito dissuasor das recuperações e inadmissibilidade referidas no artigo 3.º-D e nos n.</w:t>
            </w:r>
            <w:r>
              <w:rPr>
                <w:b/>
                <w:i/>
                <w:vertAlign w:val="superscript"/>
              </w:rPr>
              <w:t>os</w:t>
            </w:r>
            <w:r>
              <w:rPr>
                <w:b/>
                <w:i/>
              </w:rPr>
              <w:t> 4 e 5 do presente artigo, a Comissão fica habilitada a adotar atos delegados nos termos do artigo 4.º-G que complementem o presente regulamento estabelecendo: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a) Regras pormenorizadas sobre a aplicação e o cálculo das recuperações;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b) A identificação do limiar que desencadeia a inadmissibilidade e a sua duração, bem como as modalidades de recuperação do apoio concedido, incluindo os limiares que desencadeiam o apoio.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Asger Christensen, Emma Wiesner, Oihane Agirregoitia Martínez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4-B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Artigo 4.º-B</w:t>
            </w:r>
            <w:r>
              <w:tab/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Exercício da delegação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  <w:r>
              <w:t xml:space="preserve"> </w:t>
            </w:r>
            <w:r>
              <w:rPr>
                <w:b/>
                <w:i/>
              </w:rPr>
              <w:t>O poder de adotar atos delegados é conferido à Comissão nas condições estabelecidas no presente artigo.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t xml:space="preserve"> </w:t>
            </w:r>
            <w:r>
              <w:rPr>
                <w:b/>
                <w:i/>
              </w:rPr>
              <w:t>O poder de adotar atos delegados referido no artigo 4.º-A é conferido à Comissão por tempo indeterminado a contar da data de entrada em vigor do presente regulamento.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t xml:space="preserve"> </w:t>
            </w:r>
            <w:r>
              <w:rPr>
                <w:b/>
                <w:i/>
              </w:rPr>
              <w:t>A delegação de poderes a que se refere o artigo 4.º-A pode ser revogada em qualquer momento pelo Parlamento Europeu ou pelo Conselho.</w:t>
            </w:r>
            <w:r>
              <w:t xml:space="preserve"> </w:t>
            </w:r>
            <w:r>
              <w:rPr>
                <w:b/>
                <w:i/>
              </w:rPr>
              <w:t>A decisão de revogação põe termo à delegação dos poderes nela especificados.</w:t>
            </w:r>
            <w:r>
              <w:t xml:space="preserve"> </w:t>
            </w:r>
            <w:r>
              <w:rPr>
                <w:b/>
                <w:i/>
              </w:rPr>
              <w:t>A decisão de revogação produz efeitos a partir do dia seguinte ao da sua publicação no Jornal Oficial da União Europeia ou de uma data posterior nela especificada.</w:t>
            </w:r>
            <w:r>
              <w:t xml:space="preserve"> </w:t>
            </w:r>
            <w:r>
              <w:rPr>
                <w:b/>
                <w:i/>
              </w:rPr>
              <w:t>A decisão de revogação não afeta os atos delegados já em vigor.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4.</w:t>
            </w:r>
            <w:r>
              <w:t xml:space="preserve"> </w:t>
            </w:r>
            <w:r>
              <w:rPr>
                <w:b/>
                <w:i/>
              </w:rPr>
              <w:t>Antes de adotar um ato delegado, a Comissão consulta os peritos designados por cada Estado-Membro de acordo com os princípios estabelecidos no Acordo Interinstitucional, de 13 de abril de 2016, sobre legislar melhor.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5.</w:t>
            </w:r>
            <w:r>
              <w:t xml:space="preserve"> </w:t>
            </w:r>
            <w:r>
              <w:rPr>
                <w:b/>
                <w:i/>
              </w:rPr>
              <w:t>Assim que adotar um ato delegado, a Comissão notifica-o simultaneamente ao Parlamento Europeu e ao Conselho.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6.</w:t>
            </w:r>
            <w:r>
              <w:t xml:space="preserve"> </w:t>
            </w:r>
            <w:r>
              <w:rPr>
                <w:b/>
                <w:i/>
              </w:rPr>
              <w:t>Os atos delegados adotados nos termos do n.º 5 só entram em vigor se não tiverem sido formuladas objeções pelo Parlamento Europeu ou pelo Conselho no prazo de um mês a contar da data da notificação do ato ao Parlamento Europeu e ao Conselho, ou se, antes do termo desse prazo, o Parlamento Europeu e o Conselho tiverem informado a Comissão de que não têm objeções a formular.</w:t>
            </w:r>
            <w:r>
              <w:t xml:space="preserve"> </w:t>
            </w:r>
            <w:r>
              <w:rPr>
                <w:b/>
                <w:i/>
              </w:rPr>
              <w:t>O referido prazo pode ser prorrogado por um mês por iniciativa do Parlamento Europeu ou do Conselho.</w:t>
            </w:r>
            <w:r>
              <w:t xml:space="preserve"> </w:t>
            </w:r>
            <w:r>
              <w:rPr>
                <w:b/>
                <w:i/>
              </w:rPr>
              <w:t>A habilitação conferida à Comissão no artigo 5.º, n.º 3, do Regulamento (UE) n.º 1303/2013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 para adotar um ato delegado a fim de estabelecer um código de conduta europeu sobre parcerias permanece em vigor durante o período de programação 2028-202X.</w:t>
            </w:r>
            <w:r>
              <w:t xml:space="preserve"> </w:t>
            </w:r>
            <w:r>
              <w:rPr>
                <w:b/>
                <w:i/>
              </w:rPr>
              <w:t>A delegação de poderes é exercida nos termos do artigo 4.º-B do presente regulamento.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Regulamento (UE) n.º 1303/2013 do Parlamento Europeu e do Conselho, de 17 de dezembro de 2013, que estabelece disposições comuns relativas ao Fundo Europeu de Desenvolvimento Regional, ao Fundo Social Europeu, ao Fundo de Coesão, ao Fundo Europeu Agrícola de Desenvolvimento Rural e ao Fundo Europeu dos Assuntos Marítimos e das Pescas, que estabelece disposições gerais relativas ao Fundo Europeu de Desenvolvimento Regional, ao Fundo Social Europeu, ao Fundo de Coesão e ao Fundo Europeu dos Assuntos Marítimos e das Pescas, e que revoga o Regulamento (CE) n.º 1083/2006 do Conselho (JO L 347 de 20. 12. 2013, p. </w:t>
            </w:r>
            <w:r>
              <w:t xml:space="preserve"> </w:t>
            </w:r>
            <w:r>
              <w:rPr>
                <w:b/>
                <w:i/>
              </w:rPr>
              <w:t>320, ELI: http://data.europa.eu/eli/reg/2013/1303/oj).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Nicolás González Casares, André Franqueira Rodrigues, Idoia Mendia, Sérgio Gonçalves, Thomas Bajada, Eric Sargiacomo, Giuseppe Lupo, Sakis Arnaoutoglou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4-C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Artigo 4.º-C</w:t>
            </w:r>
            <w:r>
              <w:tab/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Desenvolvimento local de base comunitária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  <w:r>
              <w:t xml:space="preserve"> </w:t>
            </w:r>
            <w:r>
              <w:rPr>
                <w:b/>
                <w:i/>
              </w:rPr>
              <w:t>O apoio previsto no presente artigo abrange as intervenções que contribuam para permitir uma economia azul sustentável nas regiões costeiras, insulares e interiores, bem como para fomentar o desenvolvimento sustentável das comunidades piscatórias e aquícolas.</w:t>
            </w:r>
            <w:r>
              <w:t xml:space="preserve"> </w:t>
            </w:r>
            <w:r>
              <w:rPr>
                <w:b/>
                <w:i/>
              </w:rPr>
              <w:t>Para o efeito, o apoio é executado através do desenvolvimento local de base comunitária previsto no artigo 76.º do Regulamento (UE).../...[Regulamento PNR].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t xml:space="preserve"> </w:t>
            </w:r>
            <w:r>
              <w:rPr>
                <w:b/>
                <w:i/>
              </w:rPr>
              <w:t>Para efeitos do presente artigo, as estratégias de desenvolvimento local de base comunitária referidas no artigo 76.º do Regulamento (UE) .../... [Regulamento PNR] devem ser elaboradas com especial ênfase nas zonas costeiras, insulares e do interior, e devem ser desenvolvidas de forma independente.</w:t>
            </w:r>
            <w:r>
              <w:t xml:space="preserve"> </w:t>
            </w:r>
            <w:r>
              <w:rPr>
                <w:b/>
                <w:i/>
              </w:rPr>
              <w:t>Essas estratégias de desenvolvimento local de base comunitária devem garantir que as comunidades em regiões dedicadas à pesca ou à aquicultura tirem mais partido e benefício das oportunidades oferecidas pela economia azul sustentável, explorando e reforçando os recursos ambientais, culturais, sociais e humanos.</w:t>
            </w:r>
            <w:r>
              <w:t xml:space="preserve"> </w:t>
            </w:r>
            <w:r>
              <w:rPr>
                <w:b/>
                <w:i/>
              </w:rPr>
              <w:t>Essas estratégias de desenvolvimento local de base comunitária podem variar desde as mais centradas na pesca ou na aquicultura até estratégias de maior alcance orientadas para a diversificação das comunidades locais.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t xml:space="preserve"> </w:t>
            </w:r>
            <w:r>
              <w:rPr>
                <w:b/>
                <w:i/>
              </w:rPr>
              <w:t>Pelo menos 12 % do apoio financeiro da União atribuído por Estado-Membro em conformidade com o artigo 10.º, n.º 2, alínea a), do Regulamento (UE).../... [Regulamento PNR] devem ser afetados no Plano PNR ao objetivo específico referido no n.º 1.</w:t>
            </w:r>
            <w:r>
              <w:t xml:space="preserve"> </w:t>
            </w:r>
            <w:r>
              <w:rPr>
                <w:b/>
                <w:i/>
              </w:rPr>
              <w:t>Os Estados-Membros que não têm acesso às águas da União podem aplicar uma percentagem inferior, em função da extensão das suas competências de controlo e de recolha de dados.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Nicolás González Casares, André Franqueira Rodrigues, Idoia Mendia, Sérgio Gonçalves, Thomas Bajada, Eric Sargiacomo, Giuseppe Lupo, Sakis Arnaoutoglou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4-D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Artigo 4.º-D</w:t>
            </w:r>
            <w:r>
              <w:tab/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Auxílios estatais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  <w:r>
              <w:t xml:space="preserve"> </w:t>
            </w:r>
            <w:r>
              <w:rPr>
                <w:b/>
                <w:i/>
              </w:rPr>
              <w:t>Salvo disposição em contrário do presente artigo, os artigos 107.º, 108.º e 109.º do Tratado sobre o Funcionamento da União Europeia (TFUE) são aplicáveis aos apoios concedidos pelos Estados-Membros a empresas dos setores das pescas e da aquicultura da União.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t xml:space="preserve"> </w:t>
            </w:r>
            <w:r>
              <w:rPr>
                <w:b/>
                <w:i/>
              </w:rPr>
              <w:t>Os artigos 107.º, 108.º e 109.º do TFUE não se aplicam aos apoios concedidos pelos Estados-Membros nos termos e em conformidade com o presente regulamento e o Regulamento (UE).../... [Regulamento PNR] a empresas do setor das pescas e da aquicultura da União, abrangidos pelo âmbito de aplicação do artigo 42.º do TFUE.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t xml:space="preserve"> </w:t>
            </w:r>
            <w:r>
              <w:rPr>
                <w:b/>
                <w:i/>
              </w:rPr>
              <w:t>No que respeita aos produtos da pesca e da aquicultura abrangidos pelo anexo I do TFUE, aos quais se aplicam os seus artigos 107.º, 108.º e 109.º, a Comissão pode autorizar, nos termos do artigo 108.º do TFUE, auxílios ao funcionamento nos setores da produção, transformação e comercialização desses produtos, a fim de atenuar os condicionalismos específicos das pescas e da aquicultura nas regiões ultraperiféricas e nas ilhas menores do mar Egeu decorrentes do seu isolamento, insularidade, pequena dimensão e ultraperifericidade.</w:t>
            </w:r>
            <w:r>
              <w:t xml:space="preserve"> </w:t>
            </w:r>
            <w:r>
              <w:rPr>
                <w:b/>
                <w:i/>
              </w:rPr>
              <w:t>Os Estados-Membros podem conceder financiamento adicional para a execução de intervenções nas regiões ultraperiféricas e nas ilhas menores do mar Egeu nos termos do presente regulamento.</w:t>
            </w:r>
            <w:r>
              <w:t xml:space="preserve"> </w:t>
            </w:r>
            <w:r>
              <w:rPr>
                <w:b/>
                <w:i/>
              </w:rPr>
              <w:t>Nesse caso, os Estados‑Membros devem notificar a Comissão do financiamento adicional e a Comissão pode aprová-lo nos termos do presente regulamento, como parte dos planos.</w:t>
            </w:r>
            <w:r>
              <w:t xml:space="preserve"> </w:t>
            </w:r>
            <w:r>
              <w:rPr>
                <w:b/>
                <w:i/>
              </w:rPr>
              <w:t>Os auxílios assim notificados são considerados notificados na aceção do artigo 108.º, n.º 3, primeira frase, do TFUE.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4.</w:t>
            </w:r>
            <w:r>
              <w:t xml:space="preserve"> </w:t>
            </w:r>
            <w:r>
              <w:rPr>
                <w:b/>
                <w:i/>
              </w:rPr>
              <w:t>O apoio pode abranger a transmissão sucessória de navios de pesca, incluindo a transferência da propriedade de um navio ou de uma participação de controlo do mesmo, a fim de facilitar a renovação geracional e a continuidade das atividades de pesca, como estabelecido no artigo 4.º do presente regulamento.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Nicolás González Casares, André Franqueira Rodrigues, Idoia Mendia, Sérgio Gonçalves, Thomas Bajada, Eric Sargiacomo, Giuseppe Lupo, Sakis Arnaoutoglou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4-E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Artigo 4.º-E</w:t>
            </w:r>
            <w:r>
              <w:tab/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Relatório anual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  <w:r>
              <w:t xml:space="preserve"> </w:t>
            </w:r>
            <w:r>
              <w:rPr>
                <w:b/>
                <w:i/>
              </w:rPr>
              <w:t>Em 31 de julho de 2029 e, em seguida, anualmente, a Comissão apresenta ao Parlamento Europeu e ao Conselho um relatório sobre a aplicação, o desempenho e os resultados do FEAMPA.</w:t>
            </w:r>
            <w:r>
              <w:t xml:space="preserve"> </w:t>
            </w:r>
            <w:r>
              <w:rPr>
                <w:b/>
                <w:i/>
              </w:rPr>
              <w:t>Nesse relatório, a Comissão utiliza os indicadores de desempenho principais estabelecidos no anexo I do Regulamento (UE) …./…. [Regulamento Desempenho].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t xml:space="preserve"> </w:t>
            </w:r>
            <w:r>
              <w:rPr>
                <w:b/>
                <w:i/>
              </w:rPr>
              <w:t>Além das regras gerais estabelecidas no capítulo 3 do Regulamento (UE) .../… [Regulamento Desempenho], a autoridade de gestão fornece à Comissão dados de execução pertinentes a nível operacional que incluam as principais características do beneficiário (nome, tipo de beneficiário, dimensão da empresa, género e dados de contacto) e das operações apoiadas (objetivo específico, tipo de operação, sector em causa, valores dos indicadores, estado de adiantamento da operação, número no ficheiro da frota comum, dados financeiros e forma de apoio).</w:t>
            </w:r>
            <w:r>
              <w:t xml:space="preserve"> </w:t>
            </w:r>
            <w:r>
              <w:rPr>
                <w:b/>
                <w:i/>
              </w:rPr>
              <w:t>Os dados são disponibilizados até 31 de janeiro e 31 de julho de cada ano.</w:t>
            </w:r>
            <w:r>
              <w:t xml:space="preserve"> </w:t>
            </w:r>
            <w:r>
              <w:rPr>
                <w:b/>
                <w:i/>
              </w:rPr>
              <w:t>A primeira transmissão desses dados deve ser efetuada até 31 de janeiro de 2029.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t xml:space="preserve"> </w:t>
            </w:r>
            <w:r>
              <w:rPr>
                <w:b/>
                <w:i/>
              </w:rPr>
              <w:t>A Comissão adota atos de execução que estabeleçam as regras destinadas a especificar os dados exatos a que se refere o n.º 2 do presente artigo, bem como a sua apresentação.</w:t>
            </w:r>
            <w:r>
              <w:t xml:space="preserve"> </w:t>
            </w:r>
            <w:r>
              <w:rPr>
                <w:b/>
                <w:i/>
              </w:rPr>
              <w:t>Os referidos atos de execução são adotados pelo procedimento de exame a que se refere o artigo 4.º-G.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4.</w:t>
            </w:r>
            <w:r>
              <w:t xml:space="preserve"> </w:t>
            </w:r>
            <w:r>
              <w:rPr>
                <w:b/>
                <w:i/>
              </w:rPr>
              <w:t>A Comissão fica habilitada a adotar atos delegados, em conformidade com o artigo 4.º-H, para alterar o anexo I do Regulamento (UE).../... [Regulamento Desempenho], acrescentando os indicadores de desempenho principais, a fim de os adaptar às alterações ocorridas durante o período de programação.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Nicolás González Casares, André Franqueira Rodrigues, Idoia Mendia, Sérgio Gonçalves, Thomas Bajada, Eric Sargiacomo, Giuseppe Lupo, Sakis Arnaoutoglou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4-F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Artigo 4.º-F</w:t>
            </w:r>
            <w:r>
              <w:tab/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Procedimento de comité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  <w:r>
              <w:t xml:space="preserve"> </w:t>
            </w:r>
            <w:r>
              <w:rPr>
                <w:b/>
                <w:i/>
              </w:rPr>
              <w:t>A Comissão é assistida pelo Comité do Fundo Europeu dos Assuntos Marítimos, das Pescas e da Aquicultura.</w:t>
            </w:r>
            <w:r>
              <w:t xml:space="preserve"> </w:t>
            </w:r>
            <w:r>
              <w:rPr>
                <w:b/>
                <w:i/>
              </w:rPr>
              <w:t>Este comité é um comité na aceção do Regulamento (UE) n.º 182/2011.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t xml:space="preserve"> </w:t>
            </w:r>
            <w:r>
              <w:rPr>
                <w:b/>
                <w:i/>
              </w:rPr>
              <w:t>Caso se remeta para o presente número, aplica-se o artigo 5.o do Regulamento (UE) n.o 182/2011.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Nicolás González Casares, André Franqueira Rodrigues, Idoia Mendia, Sérgio Gonçalves, Thomas Bajada, Eric Sargiacomo, Giuseppe Lupo, Sakis Arnaoutoglou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4-G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Artigo 4.º-G</w:t>
            </w:r>
            <w:r>
              <w:tab/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Exercício da delegação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  <w:r>
              <w:t xml:space="preserve"> </w:t>
            </w:r>
            <w:r>
              <w:rPr>
                <w:b/>
                <w:i/>
              </w:rPr>
              <w:t>O poder de adotar atos delegados é conferido à Comissão nas condições estabelecidas no presente artigo.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t xml:space="preserve"> </w:t>
            </w:r>
            <w:r>
              <w:rPr>
                <w:b/>
                <w:i/>
              </w:rPr>
              <w:t>O poder de adotar atos delegados referido no artigo 3.º-D é conferido à Comissão por um período indeterminado a partir da entrada em vigor do presente regulamento.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t xml:space="preserve"> </w:t>
            </w:r>
            <w:r>
              <w:rPr>
                <w:b/>
                <w:i/>
              </w:rPr>
              <w:t>A delegação de poderes a que se refere o artigo 3.º-D pode ser revogada em qualquer momento pelo Parlamento Europeu ou pelo Conselho.</w:t>
            </w:r>
            <w:r>
              <w:t xml:space="preserve"> </w:t>
            </w:r>
            <w:r>
              <w:rPr>
                <w:b/>
                <w:i/>
              </w:rPr>
              <w:t>A decisão de revogação põe termo à delegação dos poderes nela especificados.</w:t>
            </w:r>
            <w:r>
              <w:t xml:space="preserve"> </w:t>
            </w:r>
            <w:r>
              <w:rPr>
                <w:b/>
                <w:i/>
              </w:rPr>
              <w:t>A decisão de revogação produz efeitos a partir do dia seguinte ao da sua publicação no Jornal Oficial da União Europeia ou de uma data posterior nela especificada.</w:t>
            </w:r>
            <w:r>
              <w:t xml:space="preserve"> </w:t>
            </w:r>
            <w:r>
              <w:rPr>
                <w:b/>
                <w:i/>
              </w:rPr>
              <w:t>A decisão de revogação não afeta os atos delegados já em vigor.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4.</w:t>
            </w:r>
            <w:r>
              <w:t xml:space="preserve"> </w:t>
            </w:r>
            <w:r>
              <w:rPr>
                <w:b/>
                <w:i/>
              </w:rPr>
              <w:t>Antes de adotar um ato delegado, a Comissão consulta os peritos designados por cada Estado-Membro de acordo com os princípios estabelecidos no Acordo Interinstitucional, de 13 de abril de 2016, sobre legislar melhor.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5.</w:t>
            </w:r>
            <w:r>
              <w:t xml:space="preserve"> </w:t>
            </w:r>
            <w:r>
              <w:rPr>
                <w:b/>
                <w:i/>
              </w:rPr>
              <w:t>Assim que adotar um ato delegado, a Comissão notifica-o simultaneamente ao Parlamento Europeu e ao Conselho.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6.</w:t>
            </w:r>
            <w:r>
              <w:t xml:space="preserve"> </w:t>
            </w:r>
            <w:r>
              <w:rPr>
                <w:b/>
                <w:i/>
              </w:rPr>
              <w:t>Os atos delegados adotados nos termos do n.º 5 só entram em vigor se não tiverem sido formuladas objeções pelo Parlamento Europeu ou pelo Conselho no prazo de um mês a contar da data da notificação do ato ao Parlamento Europeu e ao Conselho, ou se, antes do termo desse prazo, o Parlamento Europeu e o Conselho tiverem informado a Comissão de que não têm objeções a formular.</w:t>
            </w:r>
            <w:r>
              <w:t xml:space="preserve"> </w:t>
            </w:r>
            <w:r>
              <w:rPr>
                <w:b/>
                <w:i/>
              </w:rPr>
              <w:t>O referido prazo pode ser prorrogado por um mês por iniciativa do Parlamento Europeu ou do Conselho.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Nicolás González Casares, André Franqueira Rodrigues, Idoia Mendia, Sérgio Gonçalves, Thomas Bajada, Eric Sargiacomo, Giuseppe Lupo, Sakis Arnaoutoglou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 5 – n.º 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O presente regulamento é obrigatório em todos os seus elementos e diretamente aplicável </w:t>
            </w:r>
            <w:r>
              <w:rPr>
                <w:b/>
                <w:i/>
              </w:rPr>
              <w:t>nos</w:t>
            </w:r>
            <w:r>
              <w:t xml:space="preserve"> Estados-Membros</w:t>
            </w:r>
            <w:r>
              <w:rPr>
                <w:b/>
                <w:i/>
              </w:rPr>
              <w:t>, em conformidade com os Tratados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O presente regulamento é obrigatório em todos os seus elementos e diretamente aplicável </w:t>
            </w:r>
            <w:r>
              <w:rPr>
                <w:b/>
                <w:i/>
              </w:rPr>
              <w:t>em todos os</w:t>
            </w:r>
            <w:r>
              <w:t xml:space="preserve"> Estados-Membros.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789.935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46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46</w:t>
    </w:r>
    <w:r>
      <w:fldChar w:fldCharType="end"/>
    </w:r>
    <w:r>
      <w:tab/>
    </w:r>
    <w:r>
      <w:rPr>
        <w:rStyle w:val="HideTWBExt"/>
      </w:rPr>
      <w:t>&lt;PathFdR&gt;</w:t>
    </w:r>
    <w:r>
      <w:t>AM\1345550PT.docx</w:t>
    </w:r>
    <w:r>
      <w:rPr>
        <w:rStyle w:val="HideTWBExt"/>
      </w:rPr>
      <w:t>&lt;/PathFdR&gt;</w:t>
    </w:r>
  </w:p>
  <w:p>
    <w:pPr>
      <w:pStyle w:val="EPFooter2"/>
    </w:pPr>
    <w:r>
      <w:t>PT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AM\1345550PT.docx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45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46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789.935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PT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AM\1345550PT.docx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789.935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PT</w:t>
    </w:r>
    <w:r>
      <w:tab/>
    </w:r>
    <w:r>
      <w:rPr>
        <w:rStyle w:val="EPFooter2Motto"/>
      </w:rPr>
      <w:t>Unida na diversidade</w:t>
    </w:r>
    <w:r>
      <w:tab/>
    </w:r>
    <w:r>
      <w:t>PT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0968246 HideTWBExt;}}{\*\rsidtbl \rsid24658\rsid358857\rsid735077\rsid787282\rsid2892074\rsid3622648\rsid4666813\rsid5708216\rsid6641733\rsid7553164\rsid8465581\rsid8681905\rsid8724649_x000d__x000a_\rsid9636012\rsid9708692\rsid9862312\rsid10968246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2\min7}{\revtim\yr2019\mo7\dy3\hr12\min7}{\version1}{\edmins0}{\nofpages1}_x000d__x000a_{\nofwords5}{\nofchars34}{\*\company European Parliament}{\nofcharsws38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0968246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708692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70869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70869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708692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0968246 \rtlch\fcs1 \af0\afs20\alang1025 \ltrch\fcs0 \fs24\lang2057\langfe2057\cgrid\langnp2057\langfenp2057 {\rtlch\fcs1 \af0 \ltrch\fcs0 _x000d__x000a_\cs15\v\f1\fs20\cf9\insrsid10968246\charrsid12784134 {\*\bkmkstart EndA}&lt;&lt;&lt;}{\rtlch\fcs1 \af0 \ltrch\fcs0 \insrsid10968246\charrsid12784134 #@&gt;ZOTHAMA&lt;@#}{\rtlch\fcs1 \af0 \ltrch\fcs0 \cs15\v\f1\fs20\cf9\insrsid10968246\charrsid12784134 _x000d__x000a_&lt;/RepeatBlock-AmendA&gt;}{\rtlch\fcs1 \af0 \ltrch\fcs0 \insrsid10968246\charrsid12784134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2_x000d__x000a_f5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229374 HideTWBExt;}}{\*\rsidtbl \rsid24658\rsid229374\rsid358857\rsid735077\rsid787282\rsid2892074\rsid3622648\rsid4666813\rsid5708216\rsid6641733\rsid7553164\rsid8465581\rsid8681905_x000d__x000a_\rsid8724649\rsid9636012\rsid9862312\rsid1051123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2\min7}{\revtim\yr2019\mo7\dy3\hr12\min7}{\version1}{\edmins0}{\nofpages1}_x000d__x000a_{\nofwords5}{\nofchars33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22937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511232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51123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51123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511232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229374\charrsid12784134 {\*\bkmkstart EndB}&lt;&lt;&lt;}{\rtlch\fcs1 \af0 \ltrch\fcs0 \insrsid229374\charrsid12784134 #@&gt;ZOTHAMB&lt;@#}{\rtlch\fcs1 \af0 \ltrch\fcs0 \cs15\v\f1\fs20\cf9\insrsid229374\charrsid12784134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75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6502470 HideTWBExt;}}{\*\rsidtbl \rsid24658\rsid358857\rsid735077\rsid787282\rsid1577781\rsid2892074\rsid3622648\rsid4666813\rsid5708216\rsid6502470\rsid6641733\rsid7553164\rsid8465581_x000d__x000a_\rsid8681905\rsid8724649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2\min7}{\revtim\yr2019\mo7\dy3\hr12\min7}{\version1}{\edmins0}{\nofpages1}_x000d__x000a_{\nofwords3}{\nofchars18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650247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577781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7778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7778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77781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6502470\charrsid12784134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cf_x000d__x000a_f91b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366112 HideTWBExt;}}{\*\rsidtbl \rsid24658\rsid358857\rsid735077\rsid787282\rsid2892074\rsid3622648\rsid4666813\rsid5708216\rsid6641733\rsid7553164\rsid8465581\rsid8681905\rsid8724649_x000d__x000a_\rsid9584078\rsid9636012\rsid9862312\rsid11215221\rsid11366112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2\min7}{\revtim\yr2019\mo7\dy3\hr12\min7}{\version1}{\edmins0}{\nofpages1}_x000d__x000a_{\nofwords3}{\nofchars18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366112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84078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8407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8407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84078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1366112\charrsid12784134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5_x000d__x000a_7c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814430 HideTWBExt;}{\s16\ql \li0\ri0\sa120\nowidctlpar\wrapdefault\aspalpha\aspnum\faauto\adjustright\rin0\lin0\itap0 \rtlch\fcs1 \af0\afs20\alang1025 \ltrch\fcs0 _x000d__x000a_\fs24\lang2057\langfe2057\cgrid\langnp2057\langfenp2057 \sbasedon0 \snext16 \spriority0 \styrsid8814430 Normal6a;}{\s17\ql \li0\ri0\nowidctlpar\wrapdefault\aspalpha\aspnum\faauto\adjustright\rin0\lin0\itap0 \rtlch\fcs1 \af0\afs20\alang1025 \ltrch\fcs0 _x000d__x000a_\b\fs24\lang2057\langfe2057\cgrid\langnp2057\langfenp2057 \sbasedon0 \snext17 \spriority0 \styrsid8814430 NormalBold;}{\s18\qr \li0\ri0\sb240\sa240\nowidctlpar\wrapdefault\aspalpha\aspnum\faauto\adjustright\rin0\lin0\itap0 \rtlch\fcs1 _x000d__x000a_\af0\afs20\alang1025 \ltrch\fcs0 \fs24\lang2057\langfe2057\cgrid\langnp2057\langfenp2057 \sbasedon0 \snext18 \spriority0 \styrsid8814430 AmOrLang;}{\s19\qc \li0\ri0\sa240\nowidctlpar\wrapdefault\aspalpha\aspnum\faauto\adjustright\rin0\lin0\itap0 _x000d__x000a_\rtlch\fcs1 \af0\afs20\alang1025 \ltrch\fcs0 \i\fs24\lang2057\langfe2057\cgrid\langnp2057\langfenp2057 \sbasedon0 \snext19 \spriority0 \styrsid8814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8814430 AmNumberTabs;}}{\*\rsidtbl \rsid24658\rsid358857\rsid735077\rsid787282\rsid2892074\rsid3622648\rsid4666813\rsid5708216\rsid6641733_x000d__x000a_\rsid7553164\rsid8465581\rsid8681905\rsid8724649\rsid8814430\rsid9636012\rsid9862312\rsid11215221\rsid11280678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2\min7}_x000d__x000a_{\revtim\yr2019\mo7\dy3\hr12\min7}{\version1}{\edmins0}{\nofpages1}{\nofwords48}{\nofchars279}{\*\company European Parliament}{\nofcharsws326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814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280678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28067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28067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280678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8814430 \rtlch\fcs1 \af0\afs20\alang1025 \ltrch\fcs0 \b\fs24\lang2057\langfe2057\cgrid\langnp2057\langfenp2057 {\rtlch\fcs1 \af0 \ltrch\fcs0 \cs15\b0\v\f1\fs20\cf9\insrsid8814430\charrsid12784134 {\*\bkmkstart restartA}&lt;AmendA&gt;}{_x000d__x000a_\rtlch\fcs1 \af0 \ltrch\fcs0 \insrsid8814430\charrsid12784134 [ZAMENDMENT]\tab \tab }{\rtlch\fcs1 \af0 \ltrch\fcs0 \cs15\b0\v\f1\fs20\cf9\insrsid8814430\charrsid12784134 &lt;NumAmA&gt;}{\rtlch\fcs1 \af0 \ltrch\fcs0 \insrsid8814430\charrsid12784134 [ZNRAM]}{_x000d__x000a_\rtlch\fcs1 \af0 \ltrch\fcs0 \cs15\b0\v\f1\fs20\cf9\insrsid8814430\charrsid12784134 &lt;/NumAmA&gt;}{\rtlch\fcs1 \af0 \ltrch\fcs0 \insrsid8814430\charrsid12784134 _x000d__x000a_\par }\pard\plain \ltrpar\s17\ql \li0\ri0\nowidctlpar\wrapdefault\aspalpha\aspnum\faauto\adjustright\rin0\lin0\itap0\pararsid8814430 \rtlch\fcs1 \af0\afs20\alang1025 \ltrch\fcs0 \b\fs24\lang2057\langfe2057\cgrid\langnp2057\langfenp2057 {\rtlch\fcs1 \af0 _x000d__x000a_\ltrch\fcs0 \cs15\b0\v\f1\fs20\cf9\lang1024\langfe1024\noproof\insrsid8814430\charrsid14699840 &lt;RepeatBlock-By&gt;}{\rtlch\fcs1 \af0 \ltrch\fcs0 \lang1024\langfe1024\noproof\insrsid8814430\charrsid14699840 [RepeatMembers]}{\rtlch\fcs1 \af0 \ltrch\fcs0 _x000d__x000a_\cs15\b0\v\f1\fs20\cf9\lang1024\langfe1024\noproof\insrsid8814430\charrsid14699840 &lt;Members&gt;}{\rtlch\fcs1 \af0 \ltrch\fcs0 \insrsid8814430\charrsid14699840 [ZMEMBERS]}{\rtlch\fcs1 \af0 \ltrch\fcs0 _x000d__x000a_\cs15\b0\v\f1\fs20\cf9\lang1024\langfe1024\noproof\insrsid8814430\charrsid14699840 &lt;/Members&gt;}{\rtlch\fcs1 \af0 \ltrch\fcs0 \insrsid8814430\charrsid14699840 _x000d__x000a_\par }\pard\plain \ltrpar\ql \li0\ri0\widctlpar\wrapdefault\aspalpha\aspnum\faauto\adjustright\rin0\lin0\itap0\pararsid8814430 \rtlch\fcs1 \af0\afs20\alang1025 \ltrch\fcs0 \fs24\lang2057\langfe2057\cgrid\langnp2057\langfenp2057 {\rtlch\fcs1 \af0 \ltrch\fcs0 _x000d__x000a_\cs15\v\f1\fs20\cf9\lang1024\langfe1024\noproof\langnp1043\insrsid8814430\charrsid6110050 &lt;AuNomDe&gt;&lt;OptDel&gt;}{\rtlch\fcs1 \af0 \ltrch\fcs0 \lang1024\langfe1024\noproof\langnp1043\insrsid8814430\charrsid6110050 [ZONBEHALF]}{\rtlch\fcs1 \af0 \ltrch\fcs0 _x000d__x000a_\cs15\v\f1\fs20\cf9\lang1024\langfe1024\noproof\langnp1043\insrsid8814430\charrsid6110050 &lt;/OptDel&gt;&lt;/AuNomDe&gt;}{\rtlch\fcs1 \af0 \ltrch\fcs0 \lang1043\langfe2057\langnp1043\insrsid8814430\charrsid6110050 _x000d__x000a_\par }{\rtlch\fcs1 \af0 \ltrch\fcs0 \insrsid8814430\charrsid14699840 &lt;&lt;&lt;}{\rtlch\fcs1 \af0 \ltrch\fcs0 \cs15\v\f1\fs20\cf9\lang1024\langfe1024\noproof\insrsid8814430\charrsid14699840 &lt;/RepeatBlock-By&gt;}{\rtlch\fcs1 \af0 \ltrch\fcs0 _x000d__x000a_\insrsid8814430\charrsid14699840 _x000d__x000a_\par }\pard\plain \ltrpar\s17\ql \li0\ri0\nowidctlpar\wrapdefault\aspalpha\aspnum\faauto\adjustright\rin0\lin0\itap0\pararsid8814430 \rtlch\fcs1 \af0\afs20\alang1025 \ltrch\fcs0 \b\fs24\lang2057\langfe2057\cgrid\langnp2057\langfenp2057 {\rtlch\fcs1 \af0 _x000d__x000a_\ltrch\fcs0 \cs15\b0\v\f1\fs20\cf9\insrsid8814430\charrsid12784134 &lt;DocAmend&gt;}{\rtlch\fcs1 \af0 \ltrch\fcs0 \insrsid8814430\charrsid12784134 [ZRESOLUTION]}{\rtlch\fcs1 \af0 \ltrch\fcs0 \cs15\b0\v\f1\fs20\cf9\insrsid8814430\charrsid12784134 &lt;/DocAmend&gt;}{_x000d__x000a_\rtlch\fcs1 \af0 \ltrch\fcs0 \insrsid8814430\charrsid12784134 _x000d__x000a_\par }{\rtlch\fcs1 \af0 \ltrch\fcs0 \cs15\b0\v\f1\fs20\cf9\lang1024\langfe1024\noproof\insrsid8814430\charrsid8741043 &lt;Article&gt;}{\rtlch\fcs1 \af0 \ltrch\fcs0 \insrsid8814430\charrsid8741043 [ZRESPART]}{\rtlch\fcs1 \af0 \ltrch\fcs0 _x000d__x000a_\cs15\b0\v\f1\fs20\cf9\lang1024\langfe1024\noproof\insrsid8814430\charrsid8741043 &lt;/Article&gt;}{\rtlch\fcs1 \af0 \ltrch\fcs0 \insrsid8814430\charrsid8741043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4786594 \rtlch\fcs1 \af0\afs20\alang1025 \ltrch\fcs0 _x000d__x000a_\fs24\lang2057\langfe2057\cgrid\langnp2057\langfenp2057 {\rtlch\fcs1 \af0 \ltrch\fcs0 \insrsid8814430\charrsid12784134 \cell }\pard\plain \ltrpar\ql \li0\ri0\widctlpar\intbl\wrapdefault\aspalpha\aspnum\faauto\adjustright\rin0\lin0 \rtlch\fcs1 _x000d__x000a_\af0\afs20\alang1025 \ltrch\fcs0 \fs24\lang2057\langfe2057\cgrid\langnp2057\langfenp2057 {\rtlch\fcs1 \af0 \ltrch\fcs0 \insrsid8814430\charrsid12784134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4786594 \rtlch\fcs1 \af0\afs20\alang1025 \ltrch\fcs0 \i\fs24\lang2057\langfe2057\cgrid\langnp2057\langfenp2057 {_x000d__x000a_\rtlch\fcs1 \af0 \ltrch\fcs0 \insrsid8814430\charrsid12784134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8814430\charrsid12784134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8814430\charrsid12784134 [ZTEXTL]\cell }\pard \ltrpar\s16\ql \li0\ri0\sa120\nowidctlpar\intbl\wrapdefault\aspalpha\aspnum\faauto\adjustright\rin0\lin0\pararsid4786594 {\rtlch\fcs1 \af0 \ltrch\fcs0 \insrsid8814430\charrsid12784134 [ZTEXTR]}{_x000d__x000a_\rtlch\fcs1 \af0\afs24 \ltrch\fcs0 \insrsid8814430\charrsid12784134 \cell }\pard\plain \ltrpar\ql \li0\ri0\widctlpar\intbl\wrapdefault\aspalpha\aspnum\faauto\adjustright\rin0\lin0 \rtlch\fcs1 \af0\afs20\alang1025 \ltrch\fcs0 _x000d__x000a_\fs24\lang2057\langfe2057\cgrid\langnp2057\langfenp2057 {\rtlch\fcs1 \af0 \ltrch\fcs0 \insrsid8814430\charrsid12784134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8814430 \rtlch\fcs1 \af0\afs20\alang1025 \ltrch\fcs0 \fs24\lang2057\langfe2057\cgrid\langnp2057\langfenp2057 {\rtlch\fcs1 \af0 \ltrch\fcs0 _x000d__x000a_\insrsid8814430\charrsid12784134 Or. }{\rtlch\fcs1 \af0 \ltrch\fcs0 \cs15\v\f1\fs20\cf9\insrsid8814430\charrsid12784134 &lt;Original&gt;}{\rtlch\fcs1 \af0 \ltrch\fcs0 \insrsid8814430\charrsid12784134 [ZORLANG]}{\rtlch\fcs1 \af0 \ltrch\fcs0 _x000d__x000a_\cs15\v\f1\fs20\cf9\insrsid8814430\charrsid12784134 &lt;/Original&gt;}{\rtlch\fcs1 \af0 \ltrch\fcs0 \insrsid8814430\charrsid12784134 _x000d__x000a_\par }\pard\plain \ltrpar\ql \li0\ri0\widctlpar\wrapdefault\aspalpha\aspnum\faauto\adjustright\rin0\lin0\itap0\pararsid8814430 \rtlch\fcs1 \af0\afs20\alang1025 \ltrch\fcs0 \fs24\lang2057\langfe2057\cgrid\langnp2057\langfenp2057 {\rtlch\fcs1 \af0 \ltrch\fcs0 _x000d__x000a_\cs15\v\f1\fs20\cf9\insrsid8814430\charrsid12784134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b4_x000d__x000a_f4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2065326 HideTWBExt;}{\s16\ql \li0\ri0\sa120\nowidctlpar\wrapdefault\aspalpha\aspnum\faauto\adjustright\rin0\lin0\itap0 \rtlch\fcs1 \af0\afs20\alang1025 \ltrch\fcs0 _x000d__x000a_\fs24\lang2057\langfe2057\cgrid\langnp2057\langfenp2057 \sbasedon0 \snext16 \spriority0 \styrsid12065326 Normal6a;}{\s17\ql \li0\ri0\nowidctlpar\wrapdefault\aspalpha\aspnum\faauto\adjustright\rin0\lin0\itap0 \rtlch\fcs1 \af0\afs20\alang1025 \ltrch\fcs0 _x000d__x000a_\b\fs24\lang2057\langfe2057\cgrid\langnp2057\langfenp2057 \sbasedon0 \snext17 \spriority0 \styrsid12065326 NormalBold;}{\s18\ql \li0\ri0\sa240\nowidctlpar\wrapdefault\aspalpha\aspnum\faauto\adjustright\rin0\lin0\itap0 \rtlch\fcs1 \af0\afs20\alang1025 _x000d__x000a_\ltrch\fcs0 \i\fs24\lang2057\langfe2057\cgrid\langnp2057\langfenp2057 \sbasedon0 \snext18 \spriority0 \styrsid12065326 AmJustText;}{\s19\qc \li0\ri0\sb240\sa240\nowidctlpar\wrapdefault\aspalpha\aspnum\faauto\adjustright\rin0\lin0\itap0 \rtlch\fcs1 _x000d__x000a_\af0\afs20\alang1025 \ltrch\fcs0 \i\fs24\lang2057\langfe2057\cgrid\langnp2057\langfenp2057 \sbasedon0 \snext19 \spriority0 \styrsid12065326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2065326 AmJustTitle;}{\s21\qr \li0\ri0\sb240\sa240\nowidctlpar\wrapdefault\aspalpha\aspnum\faauto\adjustright\rin0\lin0\itap0 \rtlch\fcs1 \af0\afs20\alang1025 \ltrch\fcs0 _x000d__x000a_\fs24\lang2057\langfe2057\cgrid\langnp2057\langfenp2057 \sbasedon0 \snext21 \spriority0 \styrsid12065326 AmOrLang;}{\s22\qc \li0\ri0\sa240\nowidctlpar\wrapdefault\aspalpha\aspnum\faauto\adjustright\rin0\lin0\itap0 \rtlch\fcs1 \af0\afs20\alang1025 _x000d__x000a_\ltrch\fcs0 \i\fs24\lang2057\langfe2057\cgrid\langnp2057\langfenp2057 \sbasedon0 \snext22 \spriority0 \styrsid12065326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2065326 AmNumberTabs;}}{\*\rsidtbl \rsid24658\rsid358857\rsid735077\rsid787282\rsid2892074\rsid3622648\rsid3883069\rsid4666813\rsid5708216_x000d__x000a_\rsid6641733\rsid7553164\rsid8465581\rsid8681905\rsid8724649\rsid9636012\rsid9862312\rsid11215221\rsid11370291\rsid11434737\rsid11607138\rsid11824949\rsid12065326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2\min7}_x000d__x000a_{\revtim\yr2019\mo7\dy3\hr12\min7}{\version1}{\edmins0}{\nofpages1}{\nofwords78}{\nofchars447}{\*\company European Parliament}{\nofcharsws52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2065326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3883069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88306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88306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883069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2065326 \rtlch\fcs1 \af0\afs20\alang1025 \ltrch\fcs0 \b\fs24\lang2057\langfe2057\cgrid\langnp2057\langfenp2057 {\rtlch\fcs1 \af0 \ltrch\fcs0 \cs15\b0\v\f1\fs20\cf9\insrsid12065326\charrsid12784134 {\*\bkmkstart restartB}&lt;AmendB&gt;}{_x000d__x000a_\rtlch\fcs1 \af0 \ltrch\fcs0 \insrsid12065326\charrsid12784134 [ZAMENDMENT]\tab \tab }{\rtlch\fcs1 \af0 \ltrch\fcs0 \cs15\b0\v\f1\fs20\cf9\insrsid12065326\charrsid12784134 &lt;NumAmB&gt;}{\rtlch\fcs1 \af0 \ltrch\fcs0 \insrsid12065326\charrsid12784134 [ZNRAM]}{_x000d__x000a_\rtlch\fcs1 \af0 \ltrch\fcs0 \cs15\b0\v\f1\fs20\cf9\insrsid12065326\charrsid12784134 &lt;/NumAmB&gt;}{\rtlch\fcs1 \af0 \ltrch\fcs0 \insrsid12065326\charrsid12784134 _x000d__x000a_\par }\pard\plain \ltrpar\s17\ql \li0\ri0\nowidctlpar\wrapdefault\aspalpha\aspnum\faauto\adjustright\rin0\lin0\itap0\pararsid12065326 \rtlch\fcs1 \af0\afs20\alang1025 \ltrch\fcs0 \b\fs24\lang2057\langfe2057\cgrid\langnp2057\langfenp2057 {\rtlch\fcs1 \af0 _x000d__x000a_\ltrch\fcs0 \cs15\b0\v\f1\fs20\cf9\lang1024\langfe1024\noproof\insrsid12065326\charrsid14699840 &lt;RepeatBlock-By&gt;}{\rtlch\fcs1 \af0 \ltrch\fcs0 \lang1024\langfe1024\noproof\insrsid12065326\charrsid14699840 [RepeatMembers]}{\rtlch\fcs1 \af0 \ltrch\fcs0 _x000d__x000a_\cs15\b0\v\f1\fs20\cf9\lang1024\langfe1024\noproof\insrsid12065326\charrsid14699840 &lt;Members&gt;}{\rtlch\fcs1 \af0 \ltrch\fcs0 \insrsid12065326\charrsid14699840 [ZMEMBERS]}{\rtlch\fcs1 \af0 \ltrch\fcs0 _x000d__x000a_\cs15\b0\v\f1\fs20\cf9\lang1024\langfe1024\noproof\insrsid12065326\charrsid14699840 &lt;/Members&gt;}{\rtlch\fcs1 \af0 \ltrch\fcs0 \insrsid12065326\charrsid14699840 _x000d__x000a_\par }\pard\plain \ltrpar\ql \li0\ri0\widctlpar\wrapdefault\aspalpha\aspnum\faauto\adjustright\rin0\lin0\itap0\pararsid12065326 \rtlch\fcs1 \af0\afs20\alang1025 \ltrch\fcs0 \fs24\lang2057\langfe2057\cgrid\langnp2057\langfenp2057 {\rtlch\fcs1 \af0 \ltrch\fcs0 _x000d__x000a_\cs15\v\f1\fs20\cf9\lang1024\langfe1024\noproof\langnp1043\insrsid12065326\charrsid6110050 &lt;AuNomDe&gt;&lt;OptDel&gt;}{\rtlch\fcs1 \af0 \ltrch\fcs0 \lang1024\langfe1024\noproof\langnp1043\insrsid12065326\charrsid6110050 [ZONBEHALF]}{\rtlch\fcs1 \af0 \ltrch\fcs0 _x000d__x000a_\cs15\v\f1\fs20\cf9\lang1024\langfe1024\noproof\langnp1043\insrsid12065326\charrsid6110050 &lt;/OptDel&gt;&lt;/AuNomDe&gt;}{\rtlch\fcs1 \af0 \ltrch\fcs0 \lang1043\langfe2057\langnp1043\insrsid12065326\charrsid6110050 _x000d__x000a_\par }{\rtlch\fcs1 \af0 \ltrch\fcs0 \insrsid12065326\charrsid14699840 &lt;&lt;&lt;}{\rtlch\fcs1 \af0 \ltrch\fcs0 \cs15\v\f1\fs20\cf9\lang1024\langfe1024\noproof\insrsid12065326\charrsid14699840 &lt;/RepeatBlock-By&gt;}{\rtlch\fcs1 \af0 \ltrch\fcs0 _x000d__x000a_\insrsid12065326\charrsid14699840 _x000d__x000a_\par }\pard\plain \ltrpar\s17\ql \li0\ri0\nowidctlpar\wrapdefault\aspalpha\aspnum\faauto\adjustright\rin0\lin0\itap0\pararsid12065326 \rtlch\fcs1 \af0\afs20\alang1025 \ltrch\fcs0 \b\fs24\lang2057\langfe2057\cgrid\langnp2057\langfenp2057 {\rtlch\fcs1 \af0 _x000d__x000a_\ltrch\fcs0 \cs15\b0\v\f1\fs20\cf9\insrsid12065326\charrsid12784134 &lt;DocAmend&gt;}{\rtlch\fcs1 \af0 \ltrch\fcs0 \insrsid12065326\charrsid12784134 [}{\rtlch\fcs1 \af0 \ltrch\fcs0 \insrsid12065326 ZAMDOC}{\rtlch\fcs1 \af0 \ltrch\fcs0 _x000d__x000a_\insrsid12065326\charrsid12784134 ]}{\rtlch\fcs1 \af0 \ltrch\fcs0 \cs15\b0\v\f1\fs20\cf9\insrsid12065326\charrsid12784134 &lt;/DocAmend&gt;}{\rtlch\fcs1 \af0 \ltrch\fcs0 \insrsid12065326\charrsid12784134 _x000d__x000a_\par }\pard \ltrpar\s17\ql \li0\ri0\keepn\nowidctlpar\wrapdefault\aspalpha\aspnum\faauto\adjustright\rin0\lin0\itap0\pararsid12065326 {\rtlch\fcs1 \af0 \ltrch\fcs0 \cs15\b0\v\f1\fs20\cf9\insrsid12065326\charrsid12784134 &lt;Article&gt;}{\rtlch\fcs1 \af0 \ltrch\fcs0 _x000d__x000a_\insrsid12065326\charrsid12784134 [ZAMPART]}{\rtlch\fcs1 \af0 \ltrch\fcs0 \cs15\b0\v\f1\fs20\cf9\insrsid12065326\charrsid12784134 &lt;/Article&gt;}{\rtlch\fcs1 \af0 \ltrch\fcs0 \insrsid12065326\charrsid12784134 _x000d__x000a_\par }\pard\plain \ltrpar\ql \li0\ri0\keepn\widctlpar\wrapdefault\aspalpha\aspnum\faauto\adjustright\rin0\lin0\itap0\pararsid12065326 \rtlch\fcs1 \af0\afs20\alang1025 \ltrch\fcs0 \fs24\lang2057\langfe2057\cgrid\langnp2057\langfenp2057 {\rtlch\fcs1 \af0 _x000d__x000a_\ltrch\fcs0 \cs15\v\f1\fs20\cf9\lang1043\langfe2057\langnp1043\insrsid12065326\charrsid6110050 &lt;DocAmend2&gt;&lt;OptDel&gt;}{\rtlch\fcs1 \af0 \ltrch\fcs0 \lang1043\langfe2057\langnp1043\insrsid12065326\charrsid6110050 [ZNRACT]}{\rtlch\fcs1 \af0 \ltrch\fcs0 _x000d__x000a_\cs15\v\f1\fs20\cf9\lang1043\langfe2057\langnp1043\insrsid12065326\charrsid6110050 &lt;/OptDel&gt;&lt;/DocAmend2&gt;}{\rtlch\fcs1 \af0 \ltrch\fcs0 \lang1043\langfe2057\langnp1043\insrsid12065326\charrsid6110050 _x000d__x000a_\par }\pard \ltrpar\ql \li0\ri0\widctlpar\wrapdefault\aspalpha\aspnum\faauto\adjustright\rin0\lin0\itap0\pararsid12065326 {\rtlch\fcs1 \af0 \ltrch\fcs0 \cs15\v\f1\fs20\cf9\lang1036\langfe2057\langnp1036\insrsid12065326\charrsid6110050 &lt;Article2&gt;&lt;OptDel&gt;}{_x000d__x000a_\rtlch\fcs1 \af0 \ltrch\fcs0 \lang1036\langfe2057\langnp1036\insrsid12065326\charrsid6110050 [ZACTPART]}{\rtlch\fcs1 \af0 \ltrch\fcs0 \cs15\v\f1\fs20\cf9\lang1036\langfe2057\langnp1036\insrsid12065326\charrsid6110050 &lt;/OptDel&gt;&lt;/Article2&gt;}{\rtlch\fcs1 _x000d__x000a_\af0 \ltrch\fcs0 \lang1036\langfe2057\langnp1036\insrsid12065326\charrsid6110050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4786594 \rtlch\fcs1 \af0\afs20\alang1025 \ltrch\fcs0 _x000d__x000a_\fs24\lang2057\langfe2057\cgrid\langnp2057\langfenp2057 {\rtlch\fcs1 \af0 \ltrch\fcs0 \lang1036\langfe2057\langnp1036\insrsid12065326\charrsid6110050 \cell }\pard\plain \ltrpar_x000d__x000a_\ql \li0\ri0\widctlpar\intbl\wrapdefault\aspalpha\aspnum\faauto\adjustright\rin0\lin0 \rtlch\fcs1 \af0\afs20\alang1025 \ltrch\fcs0 \fs24\lang2057\langfe2057\cgrid\langnp2057\langfenp2057 {\rtlch\fcs1 \af0 \ltrch\fcs0 \insrsid12065326\charrsid6035183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4786594 \rtlch\fcs1 \af0\afs20\alang1025 \ltrch\fcs0 \i\fs24\lang2057\langfe2057\cgrid\langnp2057\langfenp2057 {\rtlch\fcs1 \af0 \ltrch\fcs0 _x000d__x000a_\insrsid12065326\charrsid12784134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2065326\charrsid12784134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12065326\charrsid12784134 [ZTEXTL]\cell }\pard \ltrpar\s16\ql \li0\ri0\sa120\nowidctlpar\intbl\wrapdefault\aspalpha\aspnum\faauto\adjustright\rin0\lin0\pararsid4786594 {\rtlch\fcs1 \af0 \ltrch\fcs0 \insrsid12065326\charrsid12784134 [ZTEXTR]}{_x000d__x000a_\rtlch\fcs1 \af0\afs24 \ltrch\fcs0 \insrsid12065326\charrsid12784134 \cell }\pard\plain \ltrpar\ql \li0\ri0\widctlpar\intbl\wrapdefault\aspalpha\aspnum\faauto\adjustright\rin0\lin0 \rtlch\fcs1 \af0\afs20\alang1025 \ltrch\fcs0 _x000d__x000a_\fs24\lang2057\langfe2057\cgrid\langnp2057\langfenp2057 {\rtlch\fcs1 \af0 \ltrch\fcs0 \insrsid12065326\charrsid12784134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2065326 \rtlch\fcs1 \af0\afs20\alang1025 \ltrch\fcs0 \fs24\lang2057\langfe2057\cgrid\langnp2057\langfenp2057 {\rtlch\fcs1 \af0 \ltrch\fcs0 _x000d__x000a_\insrsid12065326\charrsid12784134 Or. }{\rtlch\fcs1 \af0 \ltrch\fcs0 \cs15\v\f1\fs20\cf9\insrsid12065326\charrsid12784134 &lt;Original&gt;}{\rtlch\fcs1 \af0 \ltrch\fcs0 \insrsid12065326\charrsid12784134 [ZORLANG]}{\rtlch\fcs1 \af0 \ltrch\fcs0 _x000d__x000a_\cs15\v\f1\fs20\cf9\insrsid12065326\charrsid12784134 &lt;/Original&gt;}{\rtlch\fcs1 \af0 \ltrch\fcs0 \insrsid12065326\charrsid12784134 _x000d__x000a_\par }\pard\plain \ltrpar\s19\qc \li0\ri0\sb240\sa240\nowidctlpar\wrapdefault\aspalpha\aspnum\faauto\adjustright\rin0\lin0\itap0\pararsid12065326 \rtlch\fcs1 \af0\afs20\alang1025 \ltrch\fcs0 \i\fs24\lang2057\langfe2057\cgrid\langnp2057\langfenp2057 {_x000d__x000a_\rtlch\fcs1 \af0 \ltrch\fcs0 \cs15\i0\v\f1\fs20\cf9\insrsid12065326\charrsid12784134 &lt;OptDel&gt;}{\rtlch\fcs1 \af0 \ltrch\fcs0 \insrsid12065326\charrsid12784134 [ZCROSSREF]}{\rtlch\fcs1 \af0 \ltrch\fcs0 _x000d__x000a_\cs15\i0\v\f1\fs20\cf9\insrsid12065326\charrsid12784134 &lt;/OptDel&gt;}{\rtlch\fcs1 \af0 \ltrch\fcs0 \insrsid12065326\charrsid12784134 _x000d__x000a_\par }\pard\plain \ltrpar\s20\qc \li0\ri0\sb240\sa240\keepn\nowidctlpar\wrapdefault\aspalpha\aspnum\faauto\adjustright\rin0\lin0\itap0\pararsid12065326 \rtlch\fcs1 \af0\afs20\alang1025 \ltrch\fcs0 \i\fs24\lang2057\langfe2057\cgrid\langnp2057\langfenp2057 {_x000d__x000a_\rtlch\fcs1 \af0 \ltrch\fcs0 \cs15\i0\v\f1\fs20\cf9\insrsid12065326\charrsid12784134 &lt;TitreJust&gt;}{\rtlch\fcs1 \af0 \ltrch\fcs0 \insrsid12065326\charrsid12784134 [ZJUSTIFICATION]}{\rtlch\fcs1 \af0 \ltrch\fcs0 _x000d__x000a_\cs15\i0\v\f1\fs20\cf9\insrsid12065326\charrsid12784134 &lt;/TitreJust&gt;}{\rtlch\fcs1 \af0 \ltrch\fcs0 \insrsid12065326\charrsid12784134 _x000d__x000a_\par }\pard\plain \ltrpar\s18\ql \li0\ri0\sa240\nowidctlpar\wrapdefault\aspalpha\aspnum\faauto\adjustright\rin0\lin0\itap0\pararsid12065326 \rtlch\fcs1 \af0\afs20\alang1025 \ltrch\fcs0 \i\fs24\lang2057\langfe2057\cgrid\langnp2057\langfenp2057 {\rtlch\fcs1 _x000d__x000a_\af0 \ltrch\fcs0 \cs15\i0\v\f1\fs20\cf9\insrsid12065326\charrsid12784134 &lt;OptDelPrev&gt;}{\rtlch\fcs1 \af0 \ltrch\fcs0 \insrsid12065326\charrsid12784134 [ZTEXTJUST]}{\rtlch\fcs1 \af0 \ltrch\fcs0 \cs15\i0\v\f1\fs20\cf9\insrsid12065326\charrsid12784134 _x000d__x000a_&lt;/OptDelPrev&gt;}{\rtlch\fcs1 \af0 \ltrch\fcs0 \insrsid12065326\charrsid12784134 _x000d__x000a_\par }\pard\plain \ltrpar\ql \li0\ri0\widctlpar\wrapdefault\aspalpha\aspnum\faauto\adjustright\rin0\lin0\itap0\pararsid12065326 \rtlch\fcs1 \af0\afs20\alang1025 \ltrch\fcs0 \fs24\lang2057\langfe2057\cgrid\langnp2057\langfenp2057 {\rtlch\fcs1 \af0 \ltrch\fcs0 _x000d__x000a_\cs15\v\f1\fs20\cf9\insrsid12065326\charrsid12784134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5_x000d__x000a_791e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4"/>
        <w:tab w:val="right" w:pos="9070"/>
      </w:tabs>
      <w:spacing w:before="240" w:after="240"/>
    </w:pPr>
    <w:rPr>
      <w:sz w:val="22"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widowControl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46</Pages>
  <Words>8788</Words>
  <Characters>45605</Characters>
  <Application>Microsoft Office Word</Application>
  <DocSecurity>0</DocSecurity>
  <Lines>1</Lines>
  <Paragraphs>784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AM_Com_LegOpinion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1345550</vt:lpwstr>
  </property>
  <property fmtid="{D5CDD505-2E9C-101B-9397-08002B2CF9AE}" pid="4" name="&lt;Model&gt;">
    <vt:lpwstr>AM_Com_LegOpinion</vt:lpwstr>
  </property>
  <property fmtid="{D5CDD505-2E9C-101B-9397-08002B2CF9AE}" pid="5" name="&lt;Type&gt;">
    <vt:lpwstr>AM</vt:lpwstr>
  </property>
  <property fmtid="{D5CDD505-2E9C-101B-9397-08002B2CF9AE}" pid="6" name="dmxml.render.id">
    <vt:lpwstr>542855</vt:lpwstr>
  </property>
  <property fmtid="{D5CDD505-2E9C-101B-9397-08002B2CF9AE}" pid="7" name="dmxml.render.traceId">
    <vt:lpwstr>6a394fd42aab0bcfbf0508a6a669b42b</vt:lpwstr>
  </property>
  <property fmtid="{D5CDD505-2E9C-101B-9397-08002B2CF9AE}" pid="8" name="FooterPath">
    <vt:lpwstr>AM\1345550PT.docx</vt:lpwstr>
  </property>
  <property fmtid="{D5CDD505-2E9C-101B-9397-08002B2CF9AE}" pid="9" name="PE Number">
    <vt:lpwstr>789.935</vt:lpwstr>
  </property>
  <property fmtid="{D5CDD505-2E9C-101B-9397-08002B2CF9AE}" pid="10" name="UID">
    <vt:lpwstr>eu.europa.europarl-DIN1-2026-0000166813_02.00-pt-01.00_text-xml</vt:lpwstr>
  </property>
</Properties>
</file>