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Výbor pre rybárstvo</w:t>
      </w:r>
      <w:r>
        <w:rPr>
          <w:rStyle w:val="HideTWBExt"/>
        </w:rPr>
        <w:t>&lt;/Commission&gt;</w:t>
      </w:r>
    </w:p>
    <w:p>
      <w:pPr>
        <w:pStyle w:val="LineBottom"/>
      </w:pPr>
      <w:r>
        <w:t xml:space="preserve"> </w:t>
      </w:r>
    </w:p>
    <w:p>
      <w:pPr>
        <w:pStyle w:val="CoverReference"/>
      </w:pPr>
      <w:r>
        <w:rPr>
          <w:rStyle w:val="HideTWBExt"/>
        </w:rPr>
        <w:t>&lt;RefProc&gt;</w:t>
      </w:r>
      <w:r>
        <w:t>2025/0235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{12/06/2026}</w:t>
      </w:r>
      <w:r>
        <w:t>12.6.2026</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284</w:t>
      </w:r>
      <w:r>
        <w:t xml:space="preserve"> - </w:t>
      </w:r>
      <w:r>
        <w:t>362</w:t>
      </w:r>
      <w:r>
        <w:rPr>
          <w:rStyle w:val="HideTWBExt"/>
        </w:rPr>
        <w:t>&lt;/RangeAM&gt;</w:t>
      </w:r>
    </w:p>
    <w:p>
      <w:pPr>
        <w:pStyle w:val="CoverBold"/>
      </w:pPr>
      <w:r>
        <w:rPr>
          <w:rStyle w:val="HideTWBExt"/>
        </w:rPr>
        <w:t>&lt;TitreType&gt;</w:t>
      </w:r>
      <w:r>
        <w:t>Návrh stanoviska</w:t>
      </w:r>
      <w:r>
        <w:rPr>
          <w:rStyle w:val="HideTWBExt"/>
        </w:rPr>
        <w:t>&lt;/TitreType&gt;</w:t>
      </w:r>
    </w:p>
    <w:p>
      <w:pPr>
        <w:pStyle w:val="CoverBold"/>
      </w:pPr>
      <w:r>
        <w:rPr>
          <w:rStyle w:val="HideTWBExt"/>
        </w:rPr>
        <w:t>&lt;Rapporteur&gt;</w:t>
      </w:r>
      <w:r>
        <w:t>Niclas Herbst</w:t>
      </w:r>
      <w:r>
        <w:rPr>
          <w:rStyle w:val="HideTWBExt"/>
        </w:rPr>
        <w:t>&lt;/Rapporteur&gt;</w:t>
      </w:r>
    </w:p>
    <w:p>
      <w:pPr>
        <w:pStyle w:val="CoverNormal24a"/>
      </w:pPr>
      <w:r>
        <w:rPr>
          <w:rStyle w:val="HideTWBExt"/>
        </w:rPr>
        <w:t>&lt;DocRefPE&gt;</w:t>
      </w:r>
      <w:r>
        <w:t>(PE788.825v01-00)</w:t>
      </w:r>
      <w:r>
        <w:rPr>
          <w:rStyle w:val="HideTWBExt"/>
        </w:rPr>
        <w:t>&lt;/DocRefPE&gt;</w:t>
      </w:r>
    </w:p>
    <w:p>
      <w:pPr>
        <w:pStyle w:val="CoverNormal24a"/>
      </w:pPr>
      <w:r>
        <w:rPr>
          <w:rStyle w:val="HideTWBExt"/>
        </w:rPr>
        <w:t>&lt;Titre&gt;</w:t>
      </w:r>
      <w:r>
        <w:t>Stanovenie podmienok implementácie podpory Únie na vykonávanie spoločnej rybárskej politiky, Európskeho oceánskeho paktu, námornej politiky a akvakultúrnej politiky Únie v rámci Fondu pre národné a regionálne partnerstvá zriadeného nariadením (EÚ) […] [fond pre NRP] na obdobie 2028 – 2034</w:t>
      </w:r>
      <w:r>
        <w:rPr>
          <w:rStyle w:val="HideTWBExt"/>
        </w:rPr>
        <w:t>&lt;/Titre&gt;</w:t>
      </w:r>
    </w:p>
    <w:p>
      <w:pPr>
        <w:pStyle w:val="CoverNormal"/>
      </w:pPr>
      <w:r>
        <w:rPr>
          <w:rStyle w:val="HideTWBExt"/>
        </w:rPr>
        <w:t>&lt;DocAmend&gt;</w:t>
      </w:r>
      <w:r>
        <w:t>Návrh nariadenia</w:t>
      </w:r>
      <w:r>
        <w:rPr>
          <w:rStyle w:val="HideTWBExt"/>
        </w:rPr>
        <w:t>&lt;/DocAmend&gt;</w:t>
      </w:r>
    </w:p>
    <w:p>
      <w:pPr>
        <w:pStyle w:val="CoverNormal24a"/>
      </w:pPr>
      <w:r>
        <w:rPr>
          <w:rStyle w:val="HideTWBExt"/>
        </w:rPr>
        <w:t>&lt;DocRef&gt;</w:t>
      </w:r>
      <w:r>
        <w:t>(COM(2025)0559 – 2025/0235(COD))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Podpora </w:t>
            </w:r>
            <w:r>
              <w:rPr>
                <w:b/>
                <w:i/>
              </w:rPr>
              <w:t>určená pre rybársku flotilu alebo prevádzkovateľov</w:t>
            </w:r>
            <w:r>
              <w:t xml:space="preserve">, ktorá </w:t>
            </w:r>
            <w:r>
              <w:rPr>
                <w:b/>
                <w:i/>
              </w:rPr>
              <w:t>je v rozpore s Dohodou</w:t>
            </w:r>
            <w:r>
              <w:t xml:space="preserve"> WTO o rybolovných dotáciách </w:t>
            </w:r>
            <w:r>
              <w:rPr>
                <w:b/>
                <w:i/>
              </w:rPr>
              <w:t>a s cieľmi SRP v zmysle článku 43 ods. 2 ZFEÚ a článku 2 nariadenia o SRP, sa nebude poskytovať</w:t>
            </w:r>
            <w:r>
              <w:t>.</w:t>
            </w:r>
          </w:p>
        </w:tc>
        <w:tc>
          <w:tcPr>
            <w:tcW w:w="4876" w:type="dxa"/>
            <w:tcBorders>
              <w:top w:val="nil"/>
              <w:left w:val="nil"/>
              <w:bottom w:val="nil"/>
              <w:right w:val="nil"/>
            </w:tcBorders>
          </w:tcPr>
          <w:p>
            <w:pPr>
              <w:pStyle w:val="Normal6a"/>
            </w:pPr>
            <w:r>
              <w:t>1.</w:t>
            </w:r>
            <w:r>
              <w:tab/>
            </w:r>
            <w:r>
              <w:t xml:space="preserve">Podpora, ktorá </w:t>
            </w:r>
            <w:r>
              <w:rPr>
                <w:b/>
                <w:i/>
              </w:rPr>
              <w:t>nie je v súlade s kritériami Dohody</w:t>
            </w:r>
            <w:r>
              <w:t xml:space="preserve"> WTO o rybolovných dotáciách</w:t>
            </w:r>
            <w:r>
              <w:rPr>
                <w:b/>
                <w:i/>
              </w:rPr>
              <w:t>, ani podpora rybárskym flotilám alebo prevádzkovateľom, ktorí sa dopustili závažného porušenia pravidiel SRP počas obdobia stanoveného v odseku 2 alebo na ktorých sa vzťahuje správne alebo súdne rozhodnutie, sa neposkytuje.</w:t>
            </w:r>
            <w:r>
              <w:t xml:space="preserve"> </w:t>
            </w:r>
            <w:r>
              <w:rPr>
                <w:b/>
                <w:i/>
              </w:rPr>
              <w:t>S cieľom podporiť generačnú výmenu a bojovať proti starnutiu odvetvia sa však môže poskytnúť podpora mladým rybárom mladším ako 40 rokov na nadobudnutie ich prvého rybárskeho plavidla za predpokladu, že toto plavidlo je kategorizované ako plavidlo určené na drobný rybolov s dĺžkou menej ako 15 metrov a že je zabezpečená rovnováha flotily</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Dohodou WTO o rybolovných dotáciách a s cieľmi SRP v zmysle článku 43 ods. 2 ZFEÚ a článku 2 nariadenia o SRP, sa </w:t>
            </w:r>
            <w:r>
              <w:rPr>
                <w:b/>
                <w:i/>
              </w:rPr>
              <w:t>nebude poskytovať</w:t>
            </w:r>
            <w:r>
              <w:t>.</w:t>
            </w:r>
          </w:p>
        </w:tc>
        <w:tc>
          <w:tcPr>
            <w:tcW w:w="4876" w:type="dxa"/>
            <w:tcBorders>
              <w:top w:val="nil"/>
              <w:left w:val="nil"/>
              <w:bottom w:val="nil"/>
              <w:right w:val="nil"/>
            </w:tcBorders>
          </w:tcPr>
          <w:p>
            <w:pPr>
              <w:pStyle w:val="Normal6a"/>
            </w:pPr>
            <w:r>
              <w:t>1.</w:t>
            </w:r>
            <w:r>
              <w:tab/>
            </w:r>
            <w:r>
              <w:t>Podpora určená pre rybársku flotilu alebo prevádzkovateľov, ktorá je v rozpore s Dohodou WTO o rybolovných dotáciách a s cieľmi SRP v zmysle článku 43 ods. 2 ZFEÚ a článku 2 nariadenia o SRP, sa</w:t>
            </w:r>
            <w:r>
              <w:rPr>
                <w:b/>
                <w:i/>
              </w:rPr>
              <w:t>neposkytuje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Členské štáty vo svojich národných a regionálnych plánoch opíšu, ako zabezpečia, aby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určité formy rybolovu, ktoré prispievajú k nadmernej kapacite a nadmernému rybolovu, boli vylúčené z podpory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neposkytovali sa žiadne dotácie, ktoré by mohli prispieť k nezákonnému, nenahlásenému alebo neregulovanému rybolovu.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 Dohode WTO sa uvádza, že „žiadny člen nesmie poskytovať ani ponechávať dotácie na rybolov alebo rybolovné činnosti, ktoré sa týkajú nadmerne lovených populácií“ a „žiadny člen nesmie poskytnúť ani ponechať žiadnu dotáciu plavidlu alebo prevádzkovateľom zapojeným do nezákonného, nenahláseného a neregulovaného (NNN) rybolovu alebo rybolovných činností podporujúcich takýto rybolov“.</w:t>
      </w:r>
    </w:p>
    <w:p>
      <w:r>
        <w:rPr>
          <w:rStyle w:val="HideTWBExt"/>
        </w:rPr>
        <w:t>&lt;/Amend&gt;</w:t>
      </w:r>
    </w:p>
    <w:p>
      <w:pPr>
        <w:pStyle w:val="AmNumberTabs"/>
      </w:pPr>
      <w:r>
        <w:rPr>
          <w:rStyle w:val="HideTWBExt"/>
        </w:rPr>
        <w:t>&lt;Amend&gt;</w:t>
      </w:r>
      <w:r>
        <w:t>Pozmeňujúci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Podpora </w:t>
            </w:r>
            <w:r>
              <w:rPr>
                <w:b/>
                <w:i/>
              </w:rPr>
              <w:t>určená pre rybársku flotilu alebo prevádzkovateľov, ktorá je v rozpore s Dohodou WTO o rybolovných dotáciách a s cieľmi SRP v zmysle článku 43 ods. 2 ZFEÚ a článku 2</w:t>
            </w:r>
            <w:r>
              <w:t xml:space="preserve"> nariadenia </w:t>
            </w:r>
            <w:r>
              <w:rPr>
                <w:b/>
                <w:i/>
              </w:rPr>
              <w:t>o SRP, sa nebude poskytovať.</w:t>
            </w:r>
          </w:p>
        </w:tc>
        <w:tc>
          <w:tcPr>
            <w:tcW w:w="4876" w:type="dxa"/>
            <w:tcBorders>
              <w:top w:val="nil"/>
              <w:left w:val="nil"/>
              <w:bottom w:val="nil"/>
              <w:right w:val="nil"/>
            </w:tcBorders>
          </w:tcPr>
          <w:p>
            <w:pPr>
              <w:pStyle w:val="Normal6a"/>
            </w:pPr>
            <w:r>
              <w:rPr>
                <w:b/>
                <w:i/>
              </w:rPr>
              <w:t>1.</w:t>
            </w:r>
            <w:r>
              <w:tab/>
            </w:r>
            <w:r>
              <w:t xml:space="preserve">1. Podpora </w:t>
            </w:r>
            <w:r>
              <w:rPr>
                <w:b/>
                <w:i/>
              </w:rPr>
              <w:t>podľa tohto</w:t>
            </w:r>
            <w:r>
              <w:t xml:space="preserve"> nariadenia </w:t>
            </w:r>
            <w:r>
              <w:rPr>
                <w:b/>
                <w:i/>
              </w:rPr>
              <w:t>sa neposkytuje: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Dohodou WTO o rybolovných dotáciách a s cieľmi SRP v zmysle článku 43 ods. 2 ZFEÚ a článku 2 nariadenia o SRP, sa </w:t>
            </w:r>
            <w:r>
              <w:rPr>
                <w:b/>
                <w:i/>
              </w:rPr>
              <w:t>nebude poskytovať</w:t>
            </w:r>
            <w:r>
              <w:t>.</w:t>
            </w:r>
          </w:p>
        </w:tc>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Dohodou WTO o rybolovných dotáciách a s cieľmi SRP v zmysle článku 43 ods. 2 ZFEÚ a článku 2 nariadenia o SRP, sa </w:t>
            </w:r>
            <w:r>
              <w:rPr>
                <w:b/>
                <w:i/>
              </w:rPr>
              <w:t>neposkytuje.</w:t>
            </w:r>
            <w:r>
              <w:t xml:space="preserve"> </w:t>
            </w:r>
            <w:r>
              <w:rPr>
                <w:b/>
                <w:i/>
              </w:rPr>
              <w:t>Podpora sa neposkytuje, ak prispieva k nadmernej kapacite alebo nadmernému rybolovu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Dohodou WTO o rybolovných dotáciách a s cieľmi SRP v zmysle článku 43 ods. 2 ZFEÚ a článku 2 nariadenia o SRP, sa </w:t>
            </w:r>
            <w:r>
              <w:rPr>
                <w:b/>
                <w:i/>
              </w:rPr>
              <w:t>nebude poskytovať</w:t>
            </w:r>
            <w:r>
              <w:t>.</w:t>
            </w:r>
          </w:p>
        </w:tc>
        <w:tc>
          <w:tcPr>
            <w:tcW w:w="4876" w:type="dxa"/>
            <w:tcBorders>
              <w:top w:val="nil"/>
              <w:left w:val="nil"/>
              <w:bottom w:val="nil"/>
              <w:right w:val="nil"/>
            </w:tcBorders>
          </w:tcPr>
          <w:p>
            <w:pPr>
              <w:pStyle w:val="Normal6a"/>
            </w:pPr>
            <w:r>
              <w:t>1.</w:t>
            </w:r>
            <w:r>
              <w:tab/>
            </w:r>
            <w:r>
              <w:t>Podpora určená pre rybársku flotilu alebo prevádzkovateľov, ktorá je v rozpore s </w:t>
            </w:r>
            <w:r>
              <w:rPr>
                <w:b/>
                <w:i/>
              </w:rPr>
              <w:t>cieľom udržateľného rozvoja č. 14.6,</w:t>
            </w:r>
            <w:r>
              <w:t xml:space="preserve"> Dohodou WTO o rybolovných dotáciách a s cieľmi SRP v zmysle článku 43 ods. 2 ZFEÚ</w:t>
            </w:r>
            <w:r>
              <w:rPr>
                <w:b/>
                <w:i/>
              </w:rPr>
              <w:t>, zásady „výrazne nenarušiť“</w:t>
            </w:r>
            <w:r>
              <w:t xml:space="preserve"> a článku 2 nariadenia o SRP, sa </w:t>
            </w:r>
            <w:r>
              <w:rPr>
                <w:b/>
                <w:i/>
              </w:rPr>
              <w:t>neposkytuje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Dohodou WTO o rybolovných dotáciách a s cieľmi SRP v zmysle článku 43 ods. 2 ZFEÚ a článku 2 nariadenia </w:t>
            </w:r>
            <w:r>
              <w:rPr>
                <w:b/>
                <w:i/>
              </w:rPr>
              <w:t>o SRP, sa nebude poskytovať</w:t>
            </w:r>
            <w:r>
              <w:t>.</w:t>
            </w:r>
          </w:p>
        </w:tc>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Dohodou WTO o rybolovných dotáciách </w:t>
            </w:r>
            <w:r>
              <w:rPr>
                <w:b/>
                <w:i/>
              </w:rPr>
              <w:t>schválenou rozhodnutím Rady (EÚ) 2023/1116</w:t>
            </w:r>
            <w:r>
              <w:t xml:space="preserve"> a s cieľmi SRP v zmysle článku 43 ods. 2 ZFEÚ a článku 2 nariadenia </w:t>
            </w:r>
            <w:r>
              <w:rPr>
                <w:b/>
                <w:i/>
              </w:rPr>
              <w:t>(EÚ) č 1380/2013, sa neposkytuje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w:t>
            </w:r>
            <w:r>
              <w:rPr>
                <w:b/>
                <w:i/>
              </w:rPr>
              <w:t>Dohodou WTO o rybolovných dotáciách a s</w:t>
            </w:r>
            <w:r>
              <w:t xml:space="preserve"> cieľmi SRP v zmysle článku 43 ods. 2 ZFEÚ a článku 2 nariadenia o SRP, sa </w:t>
            </w:r>
            <w:r>
              <w:rPr>
                <w:b/>
                <w:i/>
              </w:rPr>
              <w:t>nebude poskytovať</w:t>
            </w:r>
            <w:r>
              <w:t>.</w:t>
            </w:r>
          </w:p>
        </w:tc>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cieľmi SRP v zmysle článku 43 ods. 2 ZFEÚ a článku 2 nariadenia o SRP, sa </w:t>
            </w:r>
            <w:r>
              <w:rPr>
                <w:b/>
                <w:i/>
              </w:rPr>
              <w:t>neposkytuje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Luke Ming Flanagan, 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Dohodou WTO o rybolovných dotáciách a s cieľmi SRP v zmysle článku 43 ods. 2 ZFEÚ a článku 2 nariadenia o SRP, sa </w:t>
            </w:r>
            <w:r>
              <w:rPr>
                <w:b/>
                <w:i/>
              </w:rPr>
              <w:t>nebude poskytovať</w:t>
            </w:r>
            <w:r>
              <w:t>.</w:t>
            </w:r>
          </w:p>
        </w:tc>
        <w:tc>
          <w:tcPr>
            <w:tcW w:w="4876" w:type="dxa"/>
            <w:tcBorders>
              <w:top w:val="nil"/>
              <w:left w:val="nil"/>
              <w:bottom w:val="nil"/>
              <w:right w:val="nil"/>
            </w:tcBorders>
          </w:tcPr>
          <w:p>
            <w:pPr>
              <w:pStyle w:val="Normal6a"/>
            </w:pPr>
            <w:r>
              <w:t>1.</w:t>
            </w:r>
            <w:r>
              <w:tab/>
            </w:r>
            <w:r>
              <w:t>Podpora určená pre rybársku flotilu alebo prevádzkovateľov, ktorá je v rozpore s Dohodou WTO o rybolovných dotáciách</w:t>
            </w:r>
            <w:r>
              <w:rPr>
                <w:b/>
                <w:i/>
              </w:rPr>
              <w:t>, cieľom udržateľného rozvoja č. 14.6</w:t>
            </w:r>
            <w:r>
              <w:t xml:space="preserve"> a s cieľmi SRP v zmysle článku 43 ods. 2 ZFEÚ a článku 2 nariadenia o SRP, sa </w:t>
            </w:r>
            <w:r>
              <w:rPr>
                <w:b/>
                <w:i/>
              </w:rPr>
              <w:t>neposkytuje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w:t>
            </w:r>
            <w:r>
              <w:rPr>
                <w:b/>
                <w:i/>
              </w:rPr>
              <w:t>Dohodou WTO o rybolovných dotáciách a s</w:t>
            </w:r>
            <w:r>
              <w:t xml:space="preserve"> cieľmi SRP v zmysle článku 43 ods. 2 ZFEÚ a článku 2 nariadenia o SRP, sa </w:t>
            </w:r>
            <w:r>
              <w:rPr>
                <w:b/>
                <w:i/>
              </w:rPr>
              <w:t>nebude poskytovať</w:t>
            </w:r>
            <w:r>
              <w:t>.</w:t>
            </w:r>
          </w:p>
        </w:tc>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cieľmi SRP v zmysle článku 43 ods. 2 ZFEÚ a článku 2 nariadenia o SRP, sa </w:t>
            </w:r>
            <w:r>
              <w:rPr>
                <w:b/>
                <w:i/>
              </w:rPr>
              <w:t>neposkytuje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w:t>
            </w:r>
            <w:r>
              <w:rPr>
                <w:b/>
                <w:i/>
              </w:rPr>
              <w:t>Dohodou WTO o rybolovných dotáciách a s</w:t>
            </w:r>
            <w:r>
              <w:t xml:space="preserve"> cieľmi SRP v zmysle článku 43 ods. 2 ZFEÚ a článku 2 nariadenia o SRP, sa </w:t>
            </w:r>
            <w:r>
              <w:rPr>
                <w:b/>
                <w:i/>
              </w:rPr>
              <w:t>nebude poskytovať</w:t>
            </w:r>
            <w:r>
              <w:t>.</w:t>
            </w:r>
          </w:p>
        </w:tc>
        <w:tc>
          <w:tcPr>
            <w:tcW w:w="4876" w:type="dxa"/>
            <w:tcBorders>
              <w:top w:val="nil"/>
              <w:left w:val="nil"/>
              <w:bottom w:val="nil"/>
              <w:right w:val="nil"/>
            </w:tcBorders>
          </w:tcPr>
          <w:p>
            <w:pPr>
              <w:pStyle w:val="Normal6a"/>
            </w:pPr>
            <w:r>
              <w:t>1.</w:t>
            </w:r>
            <w:r>
              <w:tab/>
            </w:r>
            <w:r>
              <w:t xml:space="preserve">Podpora určená pre rybársku flotilu alebo prevádzkovateľov, ktorá je v rozpore s cieľmi SRP v zmysle článku 43 ods. 2 ZFEÚ a článku 2 nariadenia o SRP, sa </w:t>
            </w:r>
            <w:r>
              <w:rPr>
                <w:b/>
                <w:i/>
              </w:rPr>
              <w:t>neposkytuje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Podpora </w:t>
            </w:r>
            <w:r>
              <w:rPr>
                <w:b/>
                <w:i/>
              </w:rPr>
              <w:t>určená pre rybársku flotilu alebo prevádzkovateľov, ktorá je v rozpore s Dohodou</w:t>
            </w:r>
            <w:r>
              <w:t xml:space="preserve"> WTO o rybolovných dotáciách </w:t>
            </w:r>
            <w:r>
              <w:rPr>
                <w:b/>
                <w:i/>
              </w:rPr>
              <w:t>a s cieľmi SRP v zmysle článku 43 ods</w:t>
            </w:r>
            <w:r>
              <w:t xml:space="preserve">. </w:t>
            </w:r>
            <w:r>
              <w:rPr>
                <w:b/>
                <w:i/>
              </w:rPr>
              <w:t>2 ZFEÚ a článku 2 nariadenia o SRP, sa nebude poskytovať.</w:t>
            </w:r>
          </w:p>
        </w:tc>
        <w:tc>
          <w:tcPr>
            <w:tcW w:w="4876" w:type="dxa"/>
            <w:tcBorders>
              <w:top w:val="nil"/>
              <w:left w:val="nil"/>
              <w:bottom w:val="nil"/>
              <w:right w:val="nil"/>
            </w:tcBorders>
          </w:tcPr>
          <w:p>
            <w:pPr>
              <w:pStyle w:val="Normal6a"/>
            </w:pPr>
            <w:r>
              <w:t>1.</w:t>
            </w:r>
            <w:r>
              <w:tab/>
            </w:r>
            <w:r>
              <w:t xml:space="preserve">Podpora </w:t>
            </w:r>
            <w:r>
              <w:rPr>
                <w:b/>
                <w:i/>
              </w:rPr>
              <w:t>Únie sa poskytuje len za predpokladu, že je v súlade s cieľmi SRP a s ustanoveniami tohto nariadenia týkajúcimi sa dodržiavania Dohody</w:t>
            </w:r>
            <w:r>
              <w:t xml:space="preserve"> WTO o rybolovných dotáciách</w:t>
            </w:r>
            <w:r>
              <w:rPr>
                <w:b/>
                <w:i/>
                <w:vertAlign w:val="superscript"/>
              </w:rPr>
              <w:t>14a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Protokol, ktorým sa mení Dohoda z Marrákeša o založení Svetovej obchodnej organizácie, pokiaľ ide o Dohodu o rybolovných dotáciách (Ú. v. EÚ L 148, 8.6.2023, s.</w:t>
            </w:r>
            <w:r>
              <w:t xml:space="preserve"> </w:t>
            </w:r>
            <w:r>
              <w:rPr>
                <w:b/>
                <w:i/>
              </w:rPr>
              <w:t>3, ELI: http://data.europa.eu/eli/prot/2023/1116/oj).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písmeno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flotilám alebo prevádzkovateľom, ktorí sú v rozpore s Dohodou WTO o rybolovných dotáciách a s cieľmi SRP v zmysle článku 43 ods. 2 ZFEÚ a článku 2 nariadenia o SRP;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písmeno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prijímateľom, ktorí sú v rozpore so SRP a dopustili sa ktoréhokoľvek z porušení predpisov a trestných činov uvedených v článku 3 ods. 4 písm. a) až c) počas piatich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písmeno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na prevod alebo zmenu vlajky rybárskych plavidiel do tretích krajín, a to aj vytvorením spoločných podnikov s partnermi z tretích krajín a prevodom vlastníctva podniku;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písmeno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hlbokomorské ťažobné operácie.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Verejná podpora sa môže poskytnúť na trvalé ukončenie rybolovných činností, ako je vyradenie plavidiel vykonávajúcich maloobjemový a drobný rybolov z prevádzky, za predpokladu, že vyradenie z prevádzky je odôvodnené nedostatočnou ekonomickou ziskovosťou plavidla, nedostatkom kvót alebo reštriktívnymi plánmi riadenia, pričom sa zabezpečí spravodlivá kompenzácia.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Od prijímateľov sa bude vyžadovať, aby počas piatich rokov bola ich činnosť aj naďalej v súlade so SRP a aby sa nedopustili žiadneho z porušení predpisov a trestných činov uvedených v článku 3 ods. 4 písm. a) až c).</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Od prijímateľov sa bude vyžadovať, aby počas piatich rokov bola ich činnosť aj naďalej v súlade so SRP a aby sa nedopustili žiadneho z porušení predpisov a trestných činov uvedených v článku 3 ods. 4 písm. a) až</w:t>
            </w:r>
            <w:r>
              <w:rPr>
                <w:b/>
                <w:i/>
              </w:rPr>
              <w:t xml:space="preserve"> c)</w:t>
            </w:r>
            <w:r>
              <w:t>.</w:t>
            </w:r>
          </w:p>
        </w:tc>
        <w:tc>
          <w:tcPr>
            <w:tcW w:w="4876" w:type="dxa"/>
            <w:tcBorders>
              <w:top w:val="nil"/>
              <w:left w:val="nil"/>
              <w:bottom w:val="nil"/>
              <w:right w:val="nil"/>
            </w:tcBorders>
          </w:tcPr>
          <w:p>
            <w:pPr>
              <w:pStyle w:val="Normal6a"/>
            </w:pPr>
            <w:r>
              <w:t>2.</w:t>
            </w:r>
            <w:r>
              <w:tab/>
            </w:r>
            <w:r>
              <w:t xml:space="preserve">Od prijímateľov sa bude vyžadovať, aby počas piatich rokov bola ich činnosť aj naďalej v súlade so SRP a aby sa nedopustili žiadneho z porušení predpisov a trestných činov uvedených v článku 3 ods. 4 písm. a) až </w:t>
            </w:r>
            <w:r>
              <w:rPr>
                <w:b/>
                <w:i/>
              </w:rPr>
              <w:t>ca)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Operácia zahŕňajúca trvalé ukončenie rybolovných činností vráti príspevok z fondu, ak sa v období desiatich rokov od záverečnej platby nedodržia pravidlá článku 22 nariadenia č. 1380/2013, t. j. že sa nesmie nahradiť rybolovná kapacita zodpovedajúca rybárskym plavidlám stiahnutým s verejnou pomocou.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Od prijímateľov sa bude vyžadovať, aby</w:t>
            </w:r>
            <w:r>
              <w:t xml:space="preserve"> počas </w:t>
            </w:r>
            <w:r>
              <w:rPr>
                <w:b/>
                <w:i/>
              </w:rPr>
              <w:t>piatich rokov bola ich činnosť aj naďalej v súlade so SRP a aby sa nedopustili žiadneho z porušení predpisov a trestných činov uvedených v článku 3 ods</w:t>
            </w:r>
            <w:r>
              <w:t xml:space="preserve">. </w:t>
            </w:r>
            <w:r>
              <w:rPr>
                <w:b/>
                <w:i/>
              </w:rPr>
              <w:t>4 písm. a) až c).</w:t>
            </w:r>
          </w:p>
        </w:tc>
        <w:tc>
          <w:tcPr>
            <w:tcW w:w="4876" w:type="dxa"/>
            <w:tcBorders>
              <w:top w:val="nil"/>
              <w:left w:val="nil"/>
              <w:bottom w:val="nil"/>
              <w:right w:val="nil"/>
            </w:tcBorders>
          </w:tcPr>
          <w:p>
            <w:pPr>
              <w:pStyle w:val="Normal6a"/>
            </w:pPr>
            <w:r>
              <w:t>2.</w:t>
            </w:r>
            <w:r>
              <w:tab/>
            </w:r>
            <w:r>
              <w:rPr>
                <w:b/>
                <w:i/>
              </w:rPr>
              <w:t>Finančná podpora Únie pre prevádzkovateľov je podmienená dodržiavaním pravidiel SRP týmito prevádzkovateľmi.</w:t>
            </w:r>
            <w:r>
              <w:t xml:space="preserve"> </w:t>
            </w:r>
            <w:r>
              <w:rPr>
                <w:b/>
                <w:i/>
              </w:rPr>
              <w:t>Členské štáty preto okrem možných obmedzení alebo zákazov prístupu k verejnému financovaniu uložených správnym alebo súdnym rozhodnutím zabezpečia, aby bolo poskytnutie finančnej podpory Únie podmienené tým, že prevádzkovateľovi neboli uložené sankcie za závažné porušenia</w:t>
            </w:r>
            <w:r>
              <w:t xml:space="preserve"> počas </w:t>
            </w:r>
            <w:r>
              <w:rPr>
                <w:b/>
                <w:i/>
              </w:rPr>
              <w:t>roka predchádzajúceho dátumu žiadosti o podporu z prostriedkov Únie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Od prijímateľov sa </w:t>
            </w:r>
            <w:r>
              <w:rPr>
                <w:b/>
                <w:i/>
              </w:rPr>
              <w:t>bude vyžadovať</w:t>
            </w:r>
            <w:r>
              <w:t xml:space="preserve">, aby počas piatich rokov bola ich činnosť aj naďalej v súlade so SRP a aby sa nedopustili žiadneho z porušení predpisov a trestných činov </w:t>
            </w:r>
            <w:r>
              <w:rPr>
                <w:b/>
                <w:i/>
              </w:rPr>
              <w:t>uvedených v článku 3 ods</w:t>
            </w:r>
            <w:r>
              <w:t xml:space="preserve">. </w:t>
            </w:r>
            <w:r>
              <w:rPr>
                <w:b/>
                <w:i/>
              </w:rPr>
              <w:t>4 písm. a) až c).</w:t>
            </w:r>
          </w:p>
        </w:tc>
        <w:tc>
          <w:tcPr>
            <w:tcW w:w="4876" w:type="dxa"/>
            <w:tcBorders>
              <w:top w:val="nil"/>
              <w:left w:val="nil"/>
              <w:bottom w:val="nil"/>
              <w:right w:val="nil"/>
            </w:tcBorders>
          </w:tcPr>
          <w:p>
            <w:pPr>
              <w:pStyle w:val="Normal6a"/>
            </w:pPr>
            <w:r>
              <w:t>2.</w:t>
            </w:r>
            <w:r>
              <w:tab/>
            </w:r>
            <w:r>
              <w:t xml:space="preserve">Od prijímateľov sa </w:t>
            </w:r>
            <w:r>
              <w:rPr>
                <w:b/>
                <w:i/>
              </w:rPr>
              <w:t>vyžaduje</w:t>
            </w:r>
            <w:r>
              <w:t>, aby počas piatich rokov bola ich činnosť aj naďalej v súlade so SRP</w:t>
            </w:r>
            <w:r>
              <w:rPr>
                <w:b/>
                <w:i/>
              </w:rPr>
              <w:t>, environmentálnym právom Únie, právom v oblasti dobrých životných podmienok zvierat, právom v oblasti ochrany prírody a právnymi predpismi na ochranu zraniteľných a chránených druhov</w:t>
            </w:r>
            <w:r>
              <w:t xml:space="preserve"> a aby sa nedopustili žiadneho z porušení predpisov a trestných činov.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Od prijímateľov sa </w:t>
            </w:r>
            <w:r>
              <w:rPr>
                <w:b/>
                <w:i/>
              </w:rPr>
              <w:t>bude vyžadovať</w:t>
            </w:r>
            <w:r>
              <w:t xml:space="preserve">, aby počas piatich rokov bola ich činnosť aj naďalej v súlade so SRP a aby sa nedopustili žiadneho z porušení predpisov a trestných činov uvedených v článku </w:t>
            </w:r>
            <w:r>
              <w:rPr>
                <w:b/>
                <w:i/>
              </w:rPr>
              <w:t>3 ods. 4</w:t>
            </w:r>
            <w:r>
              <w:t xml:space="preserve"> písm. a) až c).</w:t>
            </w:r>
          </w:p>
        </w:tc>
        <w:tc>
          <w:tcPr>
            <w:tcW w:w="4876" w:type="dxa"/>
            <w:tcBorders>
              <w:top w:val="nil"/>
              <w:left w:val="nil"/>
              <w:bottom w:val="nil"/>
              <w:right w:val="nil"/>
            </w:tcBorders>
          </w:tcPr>
          <w:p>
            <w:pPr>
              <w:pStyle w:val="Normal6a"/>
            </w:pPr>
            <w:r>
              <w:t>2.</w:t>
            </w:r>
            <w:r>
              <w:tab/>
            </w:r>
            <w:r>
              <w:t xml:space="preserve">Od prijímateľov sa </w:t>
            </w:r>
            <w:r>
              <w:rPr>
                <w:b/>
                <w:i/>
              </w:rPr>
              <w:t>vyžaduje</w:t>
            </w:r>
            <w:r>
              <w:t xml:space="preserve">, aby počas piatich rokov </w:t>
            </w:r>
            <w:r>
              <w:rPr>
                <w:b/>
                <w:i/>
              </w:rPr>
              <w:t>od okamihu poskytnutia pomoci</w:t>
            </w:r>
            <w:r>
              <w:t xml:space="preserve"> bola ich činnosť aj naďalej v súlade so SRP a aby sa nedopustili žiadneho z porušení predpisov a trestných činov uvedených v článku </w:t>
            </w:r>
            <w:r>
              <w:rPr>
                <w:b/>
                <w:i/>
              </w:rPr>
              <w:t>3d ods. 1</w:t>
            </w:r>
            <w:r>
              <w:t xml:space="preserve"> písm. a) až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Od prijímateľov sa </w:t>
            </w:r>
            <w:r>
              <w:rPr>
                <w:b/>
                <w:i/>
              </w:rPr>
              <w:t>bude vyžadovať</w:t>
            </w:r>
            <w:r>
              <w:t xml:space="preserve">, aby počas </w:t>
            </w:r>
            <w:r>
              <w:rPr>
                <w:b/>
                <w:i/>
              </w:rPr>
              <w:t>piatich rokov</w:t>
            </w:r>
            <w:r>
              <w:t xml:space="preserve"> bola ich činnosť aj naďalej v súlade so SRP a aby sa nedopustili žiadneho z porušení predpisov a trestných činov uvedených v článku 3 ods. 4 písm. a) až c).</w:t>
            </w:r>
          </w:p>
        </w:tc>
        <w:tc>
          <w:tcPr>
            <w:tcW w:w="4876" w:type="dxa"/>
            <w:tcBorders>
              <w:top w:val="nil"/>
              <w:left w:val="nil"/>
              <w:bottom w:val="nil"/>
              <w:right w:val="nil"/>
            </w:tcBorders>
          </w:tcPr>
          <w:p>
            <w:pPr>
              <w:pStyle w:val="Normal6a"/>
            </w:pPr>
            <w:r>
              <w:t>2.</w:t>
            </w:r>
            <w:r>
              <w:tab/>
            </w:r>
            <w:r>
              <w:t xml:space="preserve">Od prijímateľov sa </w:t>
            </w:r>
            <w:r>
              <w:rPr>
                <w:b/>
                <w:i/>
              </w:rPr>
              <w:t>vyžaduje</w:t>
            </w:r>
            <w:r>
              <w:t xml:space="preserve">, aby počas </w:t>
            </w:r>
            <w:r>
              <w:rPr>
                <w:b/>
                <w:i/>
              </w:rPr>
              <w:t>šiestich mesiacov</w:t>
            </w:r>
            <w:r>
              <w:t xml:space="preserve"> bola ich činnosť aj naďalej v súlade so SRP a aby sa nedopustili žiadneho z porušení predpisov a trestných činov uvedených v článku 3 ods. 4 písm. a) až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Od prijímateľov sa </w:t>
            </w:r>
            <w:r>
              <w:rPr>
                <w:b/>
                <w:i/>
              </w:rPr>
              <w:t>bude vyžadovať</w:t>
            </w:r>
            <w:r>
              <w:t xml:space="preserve">, aby počas </w:t>
            </w:r>
            <w:r>
              <w:rPr>
                <w:b/>
                <w:i/>
              </w:rPr>
              <w:t>piatich</w:t>
            </w:r>
            <w:r>
              <w:t xml:space="preserve"> rokov bola ich činnosť aj naďalej v súlade so SRP a aby sa nedopustili žiadneho z porušení predpisov a trestných činov uvedených v článku 3 ods. 4 písm. a) až c).</w:t>
            </w:r>
          </w:p>
        </w:tc>
        <w:tc>
          <w:tcPr>
            <w:tcW w:w="4876" w:type="dxa"/>
            <w:tcBorders>
              <w:top w:val="nil"/>
              <w:left w:val="nil"/>
              <w:bottom w:val="nil"/>
              <w:right w:val="nil"/>
            </w:tcBorders>
          </w:tcPr>
          <w:p>
            <w:pPr>
              <w:pStyle w:val="Normal6a"/>
            </w:pPr>
            <w:r>
              <w:t>2.</w:t>
            </w:r>
            <w:r>
              <w:tab/>
            </w:r>
            <w:r>
              <w:t xml:space="preserve">Od prijímateľov sa </w:t>
            </w:r>
            <w:r>
              <w:rPr>
                <w:b/>
                <w:i/>
              </w:rPr>
              <w:t>vyžaduje</w:t>
            </w:r>
            <w:r>
              <w:t xml:space="preserve">, aby počas </w:t>
            </w:r>
            <w:r>
              <w:rPr>
                <w:b/>
                <w:i/>
              </w:rPr>
              <w:t>troch</w:t>
            </w:r>
            <w:r>
              <w:t xml:space="preserve"> rokov bola ich činnosť aj naďalej v súlade so SRP a aby sa nedopustili žiadneho z porušení predpisov a trestných činov uvedených v článku 3 ods. 4 písm. a) až c).</w:t>
            </w:r>
          </w:p>
        </w:tc>
      </w:tr>
    </w:tbl>
    <w:p>
      <w:pPr>
        <w:pStyle w:val="AmOrLang"/>
      </w:pPr>
      <w:r>
        <w:t xml:space="preserve">Or. </w:t>
      </w:r>
      <w:r>
        <w:rPr>
          <w:rStyle w:val="HideTWBExt"/>
        </w:rPr>
        <w:t>&lt;Original&gt;</w:t>
      </w:r>
      <w:r>
        <w:rPr>
          <w:rStyle w:val="HideTWBInt"/>
        </w:rPr>
        <w:t>{DA}</w:t>
      </w:r>
      <w:r>
        <w:t>da</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Prevod alebo zmena vlajky rybárskych plavidiel na tretie krajiny, okrem iného aj vytvorením spoločných podnikov s partnermi z tretích krajín a prevodom vlastníctva podniku nie sú oprávnené na získanie podpory.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Prevod alebo zmena vlajky rybárskych plavidiel na tretie krajiny, okrem iného aj vytvorením spoločných podnikov s partnermi z tretích krajín a prevodom vlastníctva podniku nie sú oprávnené na získanie podpory.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Prevod alebo zmena vlajky rybárskych plavidiel na tretie krajiny, okrem iného aj vytvorením spoločných podnikov s partnermi z tretích krajín </w:t>
            </w:r>
            <w:r>
              <w:rPr>
                <w:b/>
                <w:i/>
              </w:rPr>
              <w:t>a prevodom vlastníctva podniku</w:t>
            </w:r>
            <w:r>
              <w:t xml:space="preserve"> nie sú oprávnené na získanie podpory.</w:t>
            </w:r>
          </w:p>
        </w:tc>
        <w:tc>
          <w:tcPr>
            <w:tcW w:w="4876" w:type="dxa"/>
            <w:tcBorders>
              <w:top w:val="nil"/>
              <w:left w:val="nil"/>
              <w:bottom w:val="nil"/>
              <w:right w:val="nil"/>
            </w:tcBorders>
          </w:tcPr>
          <w:p>
            <w:pPr>
              <w:pStyle w:val="Normal6a"/>
            </w:pPr>
            <w:r>
              <w:t>3.</w:t>
            </w:r>
            <w:r>
              <w:tab/>
            </w:r>
            <w:r>
              <w:t>Prevod alebo zmena vlajky rybárskych plavidiel na tretie krajiny, okrem iného aj vytvorením spoločných podnikov s partnermi z tretích krajín</w:t>
            </w:r>
            <w:r>
              <w:rPr>
                <w:b/>
                <w:i/>
              </w:rPr>
              <w:t>,</w:t>
            </w:r>
            <w:r>
              <w:t xml:space="preserve"> nie sú oprávnené na získanie podpory.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Prevod alebo zmena vlajky rybárskych plavidiel na tretie krajiny</w:t>
            </w:r>
            <w:r>
              <w:rPr>
                <w:b/>
                <w:i/>
              </w:rPr>
              <w:t>, okrem iného aj vytvorením</w:t>
            </w:r>
            <w:r>
              <w:t xml:space="preserve"> spoločných podnikov s partnermi z tretích krajín </w:t>
            </w:r>
            <w:r>
              <w:rPr>
                <w:b/>
                <w:i/>
              </w:rPr>
              <w:t>a prevodom vlastníctva podniku</w:t>
            </w:r>
            <w:r>
              <w:t xml:space="preserve"> nie sú oprávnené na získanie podpory.</w:t>
            </w:r>
          </w:p>
        </w:tc>
        <w:tc>
          <w:tcPr>
            <w:tcW w:w="4876" w:type="dxa"/>
            <w:tcBorders>
              <w:top w:val="nil"/>
              <w:left w:val="nil"/>
              <w:bottom w:val="nil"/>
              <w:right w:val="nil"/>
            </w:tcBorders>
          </w:tcPr>
          <w:p>
            <w:pPr>
              <w:pStyle w:val="Normal6a"/>
            </w:pPr>
            <w:r>
              <w:t>3.</w:t>
            </w:r>
            <w:r>
              <w:tab/>
            </w:r>
            <w:r>
              <w:t xml:space="preserve">Prevod </w:t>
            </w:r>
            <w:r>
              <w:rPr>
                <w:b/>
                <w:i/>
              </w:rPr>
              <w:t>vlastníctva podniku</w:t>
            </w:r>
            <w:r>
              <w:t xml:space="preserve"> alebo zmena vlajky rybárskych plavidiel na tretie krajiny </w:t>
            </w:r>
            <w:r>
              <w:rPr>
                <w:b/>
                <w:i/>
              </w:rPr>
              <w:t>s výnimkou vytvorenia</w:t>
            </w:r>
            <w:r>
              <w:t xml:space="preserve"> spoločných podnikov s partnermi z tretích krajín nie sú oprávnené na získanie podpory.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Odchylne od odseku 3 môže byť nadobudnutie rybárskeho plavidla alebo nadobudnutie čiastočného vlastníctva rybárskeho plavidla oprávnené, ak sa podpora poskytuje: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fyzickej osobe, ktorá nemá v deň predloženia žiadosti o podporu viac ako 40 rokov a pracovala aspoň päť rokov ako rybár alebo získala primeranú kvalifikáciu,</w:t>
            </w:r>
            <w:r>
              <w:rPr>
                <w:b/>
                <w:i/>
              </w:rPr>
              <w:t>alebo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právnickej osobe v úplnom vlastníctve jednej alebo viacerých fyzických osôb, z ktorých každá spĺňa podmienky stanovené v písmene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Podporu podľa tohto článku možno poskytnúť na spoločné prvé nadobudnutie rybárskeho plavidla viacerými fyzickými osobami, z ktorých každá spĺňa podmienky stanovené v odseku 3a.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Podpora podľa tohto článku sa môže poskytnúť aj na nadobudnutie čiastočného vlastníctva rybárskeho plavidla fyzickou osobou, ktorá spĺňa podmienky stanovené v odseku 3a a ktorá sa považuje za osobu s kontrolnými právami na toto plavidlo tým, že vlastní aspoň 33 % plavidla alebo podielov na plavidle, alebo právnickou osobou, ktorá spĺňa podmienky stanovené v odseku 3a a ktorá sa považuje za právnickú osobu s kontrolnými právami na toto plavidlo tým, že vlastní aspoň 33 % plavidla alebo podielov na plavidle.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Na hlbokomorskú ťažbu sa podpora poskytovať nebude.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Na hlbokomorskú ťažbu sa podpora poskytovať nebude.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Na hlbokomorskú ťažbu sa podpora poskytovať nebude.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Na hlbokomorskú ťažbu sa podpora </w:t>
            </w:r>
            <w:r>
              <w:rPr>
                <w:b/>
                <w:i/>
              </w:rPr>
              <w:t>poskytovať nebude</w:t>
            </w:r>
            <w:r>
              <w:t>.</w:t>
            </w:r>
          </w:p>
        </w:tc>
        <w:tc>
          <w:tcPr>
            <w:tcW w:w="4876" w:type="dxa"/>
            <w:tcBorders>
              <w:top w:val="nil"/>
              <w:left w:val="nil"/>
              <w:bottom w:val="nil"/>
              <w:right w:val="nil"/>
            </w:tcBorders>
          </w:tcPr>
          <w:p>
            <w:pPr>
              <w:pStyle w:val="Normal6a"/>
            </w:pPr>
            <w:r>
              <w:t>4.</w:t>
            </w:r>
            <w:r>
              <w:tab/>
            </w:r>
            <w:r>
              <w:t>Na hlbokomorskú ťažbu sa podpora</w:t>
            </w:r>
            <w:r>
              <w:rPr>
                <w:b/>
                <w:i/>
              </w:rPr>
              <w:t>neposkytuje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Činnosti súvisiace s monitorovaním a výskumom morských biologických zdrojov v oblastiach mimo národnej jurisdikcie sa môžu podporovať, ak prispievajú k vykonávaniu dohody o BBNJ.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Na hlbokomorskú ťažbu sa podpora </w:t>
            </w:r>
            <w:r>
              <w:rPr>
                <w:b/>
                <w:i/>
              </w:rPr>
              <w:t>poskytovať nebude</w:t>
            </w:r>
            <w:r>
              <w:t>.</w:t>
            </w:r>
          </w:p>
        </w:tc>
        <w:tc>
          <w:tcPr>
            <w:tcW w:w="4876" w:type="dxa"/>
            <w:tcBorders>
              <w:top w:val="nil"/>
              <w:left w:val="nil"/>
              <w:bottom w:val="nil"/>
              <w:right w:val="nil"/>
            </w:tcBorders>
          </w:tcPr>
          <w:p>
            <w:pPr>
              <w:pStyle w:val="Normal6a"/>
            </w:pPr>
            <w:r>
              <w:t>4.</w:t>
            </w:r>
            <w:r>
              <w:tab/>
            </w:r>
            <w:r>
              <w:t xml:space="preserve">Na hlbokomorskú ťažbu sa podpora </w:t>
            </w:r>
            <w:r>
              <w:rPr>
                <w:b/>
                <w:i/>
              </w:rPr>
              <w:t>neposkytuje, a to ani na fázu prieskumu, kým platí moratórium a kým sa plne neposúdia environmentálne, sociálne a hospodárske vplyvy na základe spoľahlivých a nezávislých vedeckých poznatkov</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Anna Maria Cisint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Na hlbokomorskú ťažbu sa podpora </w:t>
            </w:r>
            <w:r>
              <w:rPr>
                <w:b/>
                <w:i/>
              </w:rPr>
              <w:t>poskytovať nebude</w:t>
            </w:r>
            <w:r>
              <w:t>.</w:t>
            </w:r>
          </w:p>
        </w:tc>
        <w:tc>
          <w:tcPr>
            <w:tcW w:w="4876" w:type="dxa"/>
            <w:tcBorders>
              <w:top w:val="nil"/>
              <w:left w:val="nil"/>
              <w:bottom w:val="nil"/>
              <w:right w:val="nil"/>
            </w:tcBorders>
          </w:tcPr>
          <w:p>
            <w:pPr>
              <w:pStyle w:val="Normal6a"/>
            </w:pPr>
            <w:r>
              <w:t>4.</w:t>
            </w:r>
            <w:r>
              <w:tab/>
            </w:r>
            <w:r>
              <w:t>Na hlbokomorskú ťažbu sa podpora </w:t>
            </w:r>
            <w:r>
              <w:rPr>
                <w:b/>
                <w:i/>
              </w:rPr>
              <w:t>neposkytuje s cieľom ďalej nezvyšovať tlak na populácie rýb</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Dobrovoľné záväzky prijaté rybármi vrátane prechodu na segment flotily s menším vplyvom na životné prostredie a selektívnejšie rybolovné postupy, ktoré môžu znížiť systematické odstraňovanie väčších a starších rýb a lepšie chrániť potenciál obnovy populácie, sú oprávnené na podporu.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Podpora na prechod sa poskytuje na základe akčného plánu prechodu vypracovaného rybárom a schváleného a posúdeného z hľadiska súladu s akčným plánom pre segmenty flotily, pri ktorých sa identifikovala nadmerná štrukturálna kapacita, ktorý členský štát predložil Komisii v súlade s článkom 22 nariadenia (EÚ) č. 1380/2013.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 prechod zahŕňa dočasné zastavenie rybolovnej činnosti, akčný plán prechodu obsahuje informácie o trvaní zastavenia a o populáciách, ktoré z neho majú prospech.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Dočasné zastavenie zahŕňa len obdobie rybolovnej sezóny pre príslušnú populáciu a v plnej miere pokrýva toto obdobie.</w:t>
            </w:r>
            <w:r>
              <w:t xml:space="preserve"> </w:t>
            </w:r>
            <w:r>
              <w:rPr>
                <w:b/>
                <w:i/>
              </w:rPr>
              <w:t>Dočasné zastavenie rybolovnej činnosti je oprávnené len pre plavidlá s dĺžkou do 33 metrov.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Vykonávacie právomoci a postavenie usmernenia Komisie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Komisii sa týmto nariadením neudeľuje žiadna právomoc prijímať delegované akty.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Ak sú na jednotné vykonávanie tohto nariadenia potrebné pravidlá, prijmú sa prostredníctvom vykonávacích aktov v súlade s postupom preskúmania uvedeným v článku 5 nariadenia (EÚ) č. 182/2011, čím sa zabezpečí kontrola zo strany členských štátov.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Všetky pokyny, usmernenia alebo iné nezáväzné nástroje vydané Komisiou v súvislosti s týmto nariadením alebo Fondom pre národné a regionálne partnerstvá slúžia len na informačné účely.</w:t>
            </w:r>
            <w:r>
              <w:t xml:space="preserve"> </w:t>
            </w:r>
            <w:r>
              <w:rPr>
                <w:b/>
                <w:i/>
              </w:rPr>
              <w:t>Nevytvárajú sa nimi povinnosti pre členské štáty, regionálne alebo miestne orgány alebo prijímateľov, nesmú sa používať ako podmienka prístupu k financovaniu a nesmú sa použiť ako základ pre právny výklad v žiadnom správnom alebo súdnom konaní.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Členské štáty uprednostnia prevádzkovateľov, ktorí prispievajú k ochrane a obnove morskej biodiverzity, znižovaniu vedľajších úlovkov a odhadzovania úlovkov, ochrane zraniteľných a chránených druhov, znižovaniu emisií skleníkových plynov a znečistenia, prechodu na selektívne rybolovné metódy s nízkym vplyvom a zlepšeniu dobrých životných podmienok zvierat v akvakultúre a rybolove.</w:t>
            </w:r>
            <w:r>
              <w:t xml:space="preserve"> </w:t>
            </w:r>
            <w:r>
              <w:rPr>
                <w:b/>
                <w:i/>
              </w:rPr>
              <w:t>Prevádzkovatelia, ktorí používajú vlečné siete na lov pri dne a vykonávajú iné činnosti škodlivé pre morské dno, nesmú dostať žiadnu podporu.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Podpora plavidlám používajúcim vlečený výstroj, ako je vymedzený v článku 2 bode 1 nariadenia Rady (ES) č. 1967/2006, sa neposkytuje, pokiaľ nejde o rybárske plavidlá s celkovou dĺžkou rovnajúcou sa alebo menšou ako 33 metrov, a to buď v osobitnom prípade prechodu od vlečeného výstroja, ako je vymedzený v článku 2 bode 1 nariadenia Rady (ES) č. 1967/2006, alebo v prípade povinných programov trvalého ukončenia rybolovných činností.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Žiadna podpora sa neposkytuje vlastníkom ani prevádzkovateľom rybárskych plavidiel Únie, ktoré používajú vlečený výstroj vymedzený v článku 2 ods. 1 nariadenia Rady (ES) č. 1967/2006, s výnimkou osobitného prípadu prechodu od vlečeného výstroja vymedzeného v článku 2 ods. 1 nariadenia Rady (ES) č. 1967/2006 alebo v prípade povinných programov trvalého ukončenia rybolovných činností.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Pokiaľ nie je v tomto nariadení výslovne stanovené inak, všetka podpora, ktorá nie je výslovne zakázaná, sa považuje za povolenú, čím sa zaručuje právna istota pre členské štáty aj pre prijímateľov.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Financovanie a činnosti súvisiace s rybolovom a akvakultúrou sú vyňaté z uplatňovania zásady „výrazne nenarušiť“.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Podporovať sa môžu činnosti vykonávané v súvislosti s plnením cieľov plánu týkajúcich sa oceánov, ktoré sa vykonávajú v súlade s platným environmentálnym acquis, ako je nariadenie (EÚ) 2024/1991, vrátane činností súvisiacich s monitorovaním a výskumom.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Podpora financovania vlastníkov alebo prevádzkovateľov rybárskych plavidiel Únie je podmienená tým, že príslušné rybárske plavidlo plne spĺňa aspoň povinné požiadavky na systémy diaľkového elektronického monitorovania (REM).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Podpora sa neposkytuje na mäsožravú akvakultúru, chov chobotníc a akvakultúru, ktorá spôsobuje alebo zvyšuje utrpenie zvierat, znečistenie, riziko chorôb, závislosť od antimikrobiálnych látok alebo tlak na populácie voľne žijúcich rýb.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Podpora na akúkoľvek metódu alebo techniku, ktorá by mohla zvýšiť rybolovnú kapacitu rybárskeho plavidla, sa neposkytuje.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Trvalé ukončenie rybolovných činností sa podporuje za predpokladu, že mu predchádza odobratie licencie na rybolov a oprávnení na rybolov a že je v súlade so všetkými týmito podmienkami: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podpora sa týka plavidiel s dĺžkou nad 33 metrov so zistenou štrukturálnou nadmernou kapacitou, ktorú členský štát určil v akčnom pláne predloženom Komisii v súlade s článkom 22 nariadenia (EÚ) č.1380/2013;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podpora pomáha pri obnove dôležitých oblastí neresu a rozmnožovania rýb alebo vedie k odstráneniu tlakov, ktoré umožňuje stabilizáciu morského dna, s priamym prepojením na opatrenia národného plánu obnovy, ktoré riadne posúdil a potvrdil orgán členského štátu;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v prípade, že podpora na ukončenie rybolovnej činnosti má formu programu šrotovania, žiadosť obsahuje plán recyklácie konkrétnej lode v súlade s nariadením (EÚ) č. 1257/2013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čestné vyhlásenie hospodárskeho subjektu priložené k žiadosti o podporu potvrdzuje, že pomoc je v súlade s pravidlami článku 22 ods. 6 nariadenia č. 1380/2013 a že pomoc nie je a nebude opätovne investovaná do sektora.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Podpora sa neposkytuje na operácie, ktoré prispievajú k nadmernému rybolovu, nadmernej kapacite, deštruktívnym rybolovným praktikám, výraznému narušeniu morského dna, degradácii morských biotopov, zvýšenému vedľajšiemu úlovku necieľových druhov alebo utrpeniu vodných živočíchov.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Podpora na akúkoľvek metódu alebo techniku, ktorá by mohla zvýšiť schopnosť rybárskeho plavidla vyhľadávať výskyt rýb alebo loviť ich, sa neposkytuje.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Podpora na akúkoľvek metódu alebo techniku, ktorá by mohla zvýšiť rybolovnú kapacitu rybárskeho plavidla, sa neposkytuje.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Podpora na akúkoľvek metódu alebo techniku, ktorá by mohla zvýšiť schopnosť rybárskeho plavidla vyhľadávať výskyt rýb alebo loviť ich, sa neposkytuje.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Podpora na fosílne palivá sa neposkytuje.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Podpora na nákup, výmenu, výstavbu alebo dovoz rybárskych plavidiel sa neposkytuje, pokiaľ nejde o plavidlá s celkovou dĺžkou rovnajúcou sa alebo menšou ako 33 metrov v týchto osobitných prípadoch: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v prípade ich prechodu z vlečeného výstroja, ako je vymedzené v článku 2 bode 1 nariadenia Rady (ES) č. 1967/2006, alebo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v prípade dekarbonizácie rybárskych plavidiel, ktoré nepoužívajú vlečený výstroj, ako sa vymedzuje v článku 2 bode 1 nariadenia Rady (ES) č. 1967/2006, za predpokladu, že sa preukáže, že opatrenia zlepšujú environmentálne vlastnosti rybolovných operácií a že nepredlžujú ani nemajú za následok nové poškodenie morských ekosystémov, osobitne v prípade výmeny výstroja.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Podpora prevádzkových nákladov vrátane dotácií na fosílne palivá sa neposkytuje.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Poskytovanie dotácií EÚ na náklady na fosílne palivá by oslabilo úsilie potrebné v súlade s Parížskou dohodou.</w:t>
      </w:r>
    </w:p>
    <w:p>
      <w:r>
        <w:rPr>
          <w:rStyle w:val="HideTWBExt"/>
        </w:rPr>
        <w:t>&lt;/Amend&gt;</w:t>
      </w:r>
    </w:p>
    <w:p>
      <w:pPr>
        <w:pStyle w:val="AmNumberTabs"/>
      </w:pPr>
      <w:r>
        <w:rPr>
          <w:rStyle w:val="HideTWBExt"/>
        </w:rPr>
        <w:t>&lt;Amend&gt;</w:t>
      </w:r>
      <w:r>
        <w:t>Pozmeňujúci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4f.</w:t>
            </w:r>
            <w:r>
              <w:tab/>
            </w:r>
            <w:r>
              <w:rPr>
                <w:b/>
                <w:i/>
              </w:rPr>
              <w:t>Podpora na dočasné zastavenie rybolovných činností sa poskytne len pod podmienkou, že takáto podpora vedie k čistému zníženiu celkového rybolovného úsilia, ktoré nie je kompenzované zvýšeným úsilím na inom mieste, a že ju sprevádzajú primerané riadiace opatrenia, ktoré zabezpečujú dlhodobú udržateľnosť príslušných populácií rýb a s nimi súvisiacich ekosystémov a zahŕňajú neobnovenie rybolovu, ak z vedeckých odporúčaní a širších ekosystémových hľadísk vyplýva, že by to ohrozilo ciele smernice 2008/56/ES.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4f.</w:t>
            </w:r>
            <w:r>
              <w:tab/>
            </w:r>
            <w:r>
              <w:rPr>
                <w:b/>
                <w:i/>
              </w:rPr>
              <w:t>Podpora na výmenu motorov na fosílne palivá sa neposkytuje, s výnimkou prechodu na elektrifikáciu a pohon vetrom pre plavidlá s celkovou dĺžkou rovnajúcou sa alebo menšou ako 33 metrov, ktoré nepoužívajú vlečený výstroj, ako je vymedzený v článku 2 bode 1 nariadenia Rady (ES) č. 1967/2006.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4g.</w:t>
            </w:r>
            <w:r>
              <w:tab/>
            </w:r>
            <w:r>
              <w:rPr>
                <w:b/>
                <w:i/>
              </w:rPr>
              <w:t>Podpora na nákup, výmenu, výstavbu alebo dovoz rybárskych plavidiel sa neposkytuje.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4g.</w:t>
            </w:r>
            <w:r>
              <w:tab/>
            </w:r>
            <w:r>
              <w:rPr>
                <w:b/>
                <w:i/>
              </w:rPr>
              <w:t>Podpora na elektrický impulzný rybolov sa neposkytuje.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4h.</w:t>
            </w:r>
            <w:r>
              <w:tab/>
            </w:r>
            <w:r>
              <w:rPr>
                <w:b/>
                <w:i/>
              </w:rPr>
              <w:t>Podpora na operácie alebo výdavky na výmenu alebo modernizáciu hlavného alebo pomocného motora rybárskeho plavidla je oprávnená len za týchto podmienok: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plavidlo má celkovú dĺžku maximálne 24 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plavidlo bolo zaregistrované v registri flotily Únie aspoň päť kalendárnych rokov pred rokom predloženia žiadosti o podporu;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plavidlo patrí do segmentu flotily, ktorý je podľa správy o rybolovnej kapacite uvedenej v článku 22 ods. 2 nariadenia (EÚ) č. 1380/2013 v rovnováhe s rybolovnými možnosťami, ktoré má daný segment k dispozícii;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každé zníženie rybolovnej kapacity v kW v dôsledku výmeny alebo modernizácie hlavného alebo pomocného motora sa natrvalo odstráni z registra flotily Únie;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výkon motora rybárskeho plavidla bol fyzicky skontrolovaný členským štátom s cieľom zabezpečiť, že nie je vyšší ako výkon motora uvedený v licencii na rybolov;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nový alebo modernizovaný motor nemá vyšší výkon v kW ako súčasný motor</w:t>
            </w:r>
            <w:r>
              <w:rPr>
                <w:b/>
                <w:i/>
              </w:rPr>
              <w: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 nový alebo modernizovaný motor je založený na technológiách s nulovými emisiami v súlade s článkom 3 ods. 7 nariadenia (EÚ) 2023/1805.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4h.</w:t>
            </w:r>
            <w:r>
              <w:tab/>
            </w:r>
            <w:r>
              <w:rPr>
                <w:b/>
                <w:i/>
              </w:rPr>
              <w:t>Podpora na hlbokomorský rybolov sa neposkytuje.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4i.</w:t>
            </w:r>
            <w:r>
              <w:tab/>
            </w:r>
            <w:r>
              <w:rPr>
                <w:b/>
                <w:i/>
              </w:rPr>
              <w:t>Podpora na výstavbu, nadobudnutie alebo používanie akéhokoľvek typu zariadenia na zhlukovanie rýb sa neposkytuje.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4i.</w:t>
            </w:r>
            <w:r>
              <w:tab/>
            </w:r>
            <w:r>
              <w:rPr>
                <w:b/>
                <w:i/>
              </w:rPr>
              <w:t>Rozširovanie mäsožravých akvakultúrnych živočíchov, pokiaľ ide o objem aj nové druhy, sa nepodporuje.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4j.</w:t>
            </w:r>
            <w:r>
              <w:tab/>
            </w:r>
            <w:r>
              <w:rPr>
                <w:b/>
                <w:i/>
              </w:rPr>
              <w:t>Výstavba chovov lososov, v rámci ktorých sa využívajú recirkulačné akvakultúrne systémy na fázu rastu, sa nepodporuje.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4j.</w:t>
            </w:r>
            <w:r>
              <w:tab/>
            </w:r>
            <w:r>
              <w:rPr>
                <w:b/>
                <w:i/>
              </w:rPr>
              <w:t>Neposkytuje sa žiadna podpora na elektrický impulzný rybolov.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k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4k.</w:t>
            </w:r>
            <w:r>
              <w:tab/>
            </w:r>
            <w:r>
              <w:rPr>
                <w:b/>
                <w:i/>
              </w:rPr>
              <w:t>Neposkytuje sa žiadna podpora na hlbokomorský rybolov.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l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4l.</w:t>
            </w:r>
            <w:r>
              <w:tab/>
            </w:r>
            <w:r>
              <w:rPr>
                <w:b/>
                <w:i/>
              </w:rPr>
              <w:t>Neposkytuje sa žiadna podpora na prieskumný rybolov.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 m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4m.</w:t>
            </w:r>
            <w:r>
              <w:tab/>
            </w:r>
            <w:r>
              <w:rPr>
                <w:b/>
                <w:i/>
              </w:rPr>
              <w:t>Neposkytuje sa žiadna podpora na priame zarybňovanie s výnimkou prípadov, keď ide výslovne o reintrodukčné opatrenie alebo iné ochranné opatrenie.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Systém kontroly spoločnej rybárskej politiky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Členské štáty v rámci kontrol uvedených v článku 58 [nariadenia o NRPP] overujú dodržiavanie predpisov prijímateľmi.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V záujme toho, aby prijímatelia podpory dodržiavali požiadavky stanovené v prvom odseku, členské štáty využívajú svoje systémy kontroly a presadzovania práva v oblastiach klímy a životného prostredia, verejného zdravia, zdravia rastlín a dobrých životných podmienok zvierat, sociálnoprávnych a pracovnoprávnych predpisov, uplatniteľných pracovných noriem, rybolovu a akvakultúry.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Riadiacemu orgánu alebo platobnej agentúre sa v relevantných prípadoch aspoň raz ročne oznámia prípady nedodržania požiadaviek, ak sa v tejto súvislosti prijali vykonateľné rozhodnutia v rámci uplatniteľných systémov kontroly a presadzovania práva uvedených v odseku 2.</w:t>
            </w:r>
            <w:r>
              <w:t xml:space="preserve"> </w:t>
            </w:r>
            <w:r>
              <w:rPr>
                <w:b/>
                <w:i/>
              </w:rPr>
              <w:t>V uvedenom oznámení sa uvádza posúdenie a klasifikácia závažnosti, rozsahu, trvania alebo opakovania a úmyselnosti dotknutého nedodržania pravidiel.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V prípade nedodržania tohto nariadenia sa podpora vyplatená prijímateľovi vymôže a žiadosť o podporu predložená prijímateľom je počas určitého obdobia stanoveného podľa odseku 8 tohto článku neprípustná, ak dotknutý príslušný orgán konečným rozhodnutím určil, že prijímateľ sa dopustil podvodu.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Ak sa medzi obdobím uplatňovania a piatimi rokmi po záverečnej platbe vyskytne prípad uvedený v článku XX tohto nariadenia, podpora vyplatená prijímateľovi sa vymôže.</w:t>
            </w:r>
            <w:r>
              <w:t xml:space="preserve"> </w:t>
            </w:r>
            <w:r>
              <w:rPr>
                <w:b/>
                <w:i/>
              </w:rPr>
              <w:t>Vymáhanie musí byť primerané povahe, závažnosti, trvaniu a opakovanému výskytu závažných porušení alebo trestných činov zo strany dotknutého prijímateľa a významu podpory pre hospodársku činnosť daného prijímateľa.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S cieľom zabezpečiť rovnaké podmienky pre členské štáty a účinnosť, primeranosť a odradzujúci účinok sankcií uvedených v odseku 5 a vymáhanie a neprípustnosť uvedené v článku XX tohto nariadenia a v odsekoch 4 a 5 tohto článku je Komisia v súlade s článkom 4b splnomocnená prijímať delegované akty, ktorými sa toto nariadenie doplní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podrobné pravidlá uplatňovania a výpočtu sankcií;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určenie prahovej hodnoty, po prekročení ktorej je žiadosť neprípustná, a obdobia neprípustnosti, ako aj opatrení na vymáhanie poskytnutej podpory vrátane prahových hodnôt, po prekročení ktorých sa podpora vymáha.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Krízové platby rybárom v dôsledku prírodných katastrof, nepriaznivých poveternostných udalostí a katastrofických udalostí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Členské štáty môžu poskytovať krízové platby rybárom a výrobcom v odvetví akvakultúry, ako aj ďalším subjektom v hodnotovom reťazci rybolovu a akvakultúry, ktoré sú zasiahnuté prírodnými katastrofami, nepriaznivými poveternostnými udalosťami alebo katastrofickými udalosťami.</w:t>
            </w:r>
            <w:r>
              <w:t xml:space="preserve"> </w:t>
            </w:r>
            <w:r>
              <w:rPr>
                <w:b/>
                <w:i/>
              </w:rPr>
              <w:t>Účelom týchto platieb je zabezpečiť kontinuitu činnosti, pričom platby musia spĺňať podmienky stanovené v tomto článku a podmienky, ktoré spresnia členské štáty.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Podpora podľa tohto článku vrátane podpory na kompenzáciu za dočasné zastavenie rybolovných a akvakultúrnych činností sa môže poskytnúť v prípade: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ochranných opatrení uvedených v článku 7 ods. 1 písm. a), b), c), i) a j) nariadenia (EÚ) č. 1380/2013 alebo, pokiaľ sa vzťahujú na Úniu, rovnocenné opatrenia, ktoré prijali RFMO;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opatrení Komisie v prípade vážneho ohrozenia morských biologických zdrojov, ako sa uvádza v článku 12 nariadenia (EÚ) č. 1380/2013;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núdzových opatrení členských štátov podľa článku 13 nariadenia (EÚ) č. 1380/2013;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prerušenia uplatňovania dohody o partnerstve v odvetví rybárstva alebo jej protokolu z dôvodov vyššej moci</w:t>
            </w:r>
            <w:r>
              <w:t xml:space="preserve"> </w:t>
            </w:r>
            <w:r>
              <w:rPr>
                <w:b/>
                <w:i/>
              </w:rPr>
              <w:t>alebo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prírodných katastrof, environmentálnych nehôd, zdravotných kríz alebo katastrofických udalostí, ktoré formálne uznali príslušné orgány dotknutého členského štátu.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Členské štáty stanovia uplatniteľné sadzby podpory na kompenzáciu straty produkcie, ušlého príjmu alebo vzniknutých dodatočných nákladov.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Pri poskytovaní podpory podľa tohto článku členské štáty zabezpečia, aby sa zabránilo nadmernej kompenzácii v dôsledku kombinácie tejto podpory s inými vnútroštátnymi alebo úniovými nástrojmi podpory alebo so súkromnými systémami poistenia.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Zásada „výrazne nenarušiť“</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Podpora poskytnutá na dosiahnutie cieľov stanovených v tomto nariadení sa považuje za podporu v súlade so zásadou „výrazne nenarušiť“ za predpokladu, že je v súlade s cieľmi SRP.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Systém kontroly spoločnej rybárskej politiky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V súlade s článkom 58 nariadenia (EÚ) .../... [nariadenie o NRP] členské štáty overujú, či prijímatelia dodržiavajú požiadavky článku 3d.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Členské štáty využívajú svoje systémy kontroly a presadzovania práva v oblastiach rybolovu a akvakultúry s cieľom zabezpečiť, aby prijímatelia podpory dodržiavali požiadavky stanovené v prvom odseku.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Riadiacemu orgánu alebo platobnej agentúre uvedeným v článku 49 nariadenia (EÚ) .../... [nariadenie o NRP] sa v relevantných prípadoch aspoň raz ročne oznámia prípady nedodržania požiadaviek, ak sa v tejto súvislosti prijali vykonateľné rozhodnutia v rámci uplatniteľných systémov kontroly a presadzovania práva uvedených v odseku 2.</w:t>
            </w:r>
            <w:r>
              <w:t xml:space="preserve"> </w:t>
            </w:r>
            <w:r>
              <w:rPr>
                <w:b/>
                <w:i/>
              </w:rPr>
              <w:t>V uvedenom oznámení sa uvádza posúdenie a klasifikácia závažnosti, rozsahu, trvania alebo opakovania a úmyselnosti dotknutého nedodržania pravidiel.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V prípade nedodržania článku 3d sa podpora vyplatená prijímateľovi vymôže a žiadosť o podporu predložená prijímateľom je počas určitého obdobia stanoveného podľa odseku 6 tohto článku neprípustná, ak dotknutý príslušný orgán konečným rozhodnutím určil, že prijímateľ sa dopustil podvodu.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Ak sa medzi obdobím uplatňovania a piatimi rokmi po okamihu poskytnutia pomoci vyskytne prípad uvedený v článku 3d, podpora vyplatená prijímateľovi sa vymôže.</w:t>
            </w:r>
            <w:r>
              <w:t xml:space="preserve"> </w:t>
            </w:r>
            <w:r>
              <w:rPr>
                <w:b/>
                <w:i/>
              </w:rPr>
              <w:t>Vymáhanie musí byť primerané povahe, závažnosti, trvaniu a opakovanému výskytu závažných porušení alebo trestných činov zo strany dotknutého prijímateľa a významu podpory pre hospodársku činnosť daného prijímateľa.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S cieľom zabezpečiť rovnaké podmienky pre členské štáty a účinnosť, primeranosť a odradzujúci účinok vymáhania a neprípustnosti uvedených v článku 3d a v odsekoch 4 a 5 tohto článku je Komisia v súlade s článkom 4g splnomocnená prijímať delegované akty, ktorými sa toto nariadenie doplní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podrobné pravidlá uplatňovania a výpočtu vymáhaných súm;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určenie prahovej hodnoty, po prekročení ktorej je žiadosť neprípustná, a obdobia neprípustnosti, ako aj opatrení na vymáhanie poskytnutej podpory vrátane prahových hodnôt, po prekročení ktorých sa podpora vymáha.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Vykonávanie delegovania právomoci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Komisii sa udeľuje právomoc prijímať delegované akty za podmienok stanovených v tomto článku.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Právomoc prijímať delegované akty uvedená v článku 4a sa Komisii udeľuje na dobu neurčitú odo dňa nadobudnutia účinnosti tohto nariadenia.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Delegovanie právomoci uvedené v článku 4a môže Európsky parlament alebo Rada kedykoľvek odvolať.</w:t>
            </w:r>
            <w:r>
              <w:t xml:space="preserve"> </w:t>
            </w:r>
            <w:r>
              <w:rPr>
                <w:b/>
                <w:i/>
              </w:rPr>
              <w:t>Rozhodnutím o odvolaní sa ukončuje delegovanie právomoci, ktoré sa v ňom uvádza.</w:t>
            </w:r>
            <w:r>
              <w:t xml:space="preserve"> </w:t>
            </w:r>
            <w:r>
              <w:rPr>
                <w:b/>
                <w:i/>
              </w:rPr>
              <w:t>Rozhodnutie nadobúda účinnosť dňom nasledujúcim po jeho uverejnení v Úradnom vestníku Európskej únie alebo k neskoršiemu dátumu, ktorý je v ňom určený.</w:t>
            </w:r>
            <w:r>
              <w:t xml:space="preserve"> </w:t>
            </w:r>
            <w:r>
              <w:rPr>
                <w:b/>
                <w:i/>
              </w:rPr>
              <w:t>Nie je ním dotknutá platnosť delegovaných aktov, ktoré už nadobudli účinnosť.</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Komisia pred prijatím delegovaného aktu konzultuje s expertmi určenými jednotlivými členskými štátmi v súlade so zásadami stanovenými v Medziinštitucionálnej dohode z 13. apríla 2016 o lepšej tvorbe práva.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Komisia oznamuje delegovaný akt hneď po jeho prijatí súčasne Európskemu parlamentu a Rade.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Delegovaný akt prijatý podľa odseku 5 nadobudne účinnosť, len ak Európsky parlament alebo Rada voči nemu nevzniesli námietku v lehote jedného mesiaca odo dňa oznámenia uvedeného aktu Európskemu parlamentu a Rade alebo ak pred uplynutím uvedenej lehoty Európsky parlament a Rada informovali Komisiu o svojom rozhodnutí nevzniesť námietku.</w:t>
            </w:r>
            <w:r>
              <w:t xml:space="preserve"> </w:t>
            </w:r>
            <w:r>
              <w:rPr>
                <w:b/>
                <w:i/>
              </w:rPr>
              <w:t>Na podnet Európskeho parlamentu alebo Rady sa táto lehota predĺži o jeden mesiac.</w:t>
            </w:r>
            <w:r>
              <w:t xml:space="preserve"> </w:t>
            </w:r>
            <w:r>
              <w:rPr>
                <w:b/>
                <w:i/>
              </w:rPr>
              <w:t>Splnomocnenie udelené Komisii v článku 5 ods. 3 nariadenia (EÚ) č. 1303/2013</w:t>
            </w:r>
            <w:r>
              <w:rPr>
                <w:b/>
                <w:i/>
                <w:vertAlign w:val="superscript"/>
              </w:rPr>
              <w:t>1a</w:t>
            </w:r>
            <w:r>
              <w:t xml:space="preserve"> </w:t>
            </w:r>
            <w:r>
              <w:rPr>
                <w:b/>
                <w:i/>
              </w:rPr>
              <w:t>na prijatie delegovaného aktu s cieľom stanoviť európsky kódex správania pre partnerstvo zostane v platnosti aj na programové obdobie 2028 – 202X.</w:t>
            </w:r>
            <w:r>
              <w:t xml:space="preserve"> </w:t>
            </w:r>
            <w:r>
              <w:rPr>
                <w:b/>
                <w:i/>
              </w:rPr>
              <w:t>Delegovanie právomoci sa vykonáva v súlade s článkom 4b tohto nariadenia.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Nariadenie Európskeho parlamentu a Rady (EÚ) č. 1303/2013 zo 17. decembra 2013, ktorým sa stanovujú spoločné ustanovenia o Európskom fonde regionálneho rozvoja, Európskom sociálnom fonde, Kohéznom fonde, Európskom poľnohospodárskom fonde pre rozvoj vidieka a Európskom námornom a rybárskom fonde a ktorým sa stanovujú všeobecné ustanovenia o Európskom fonde regionálneho rozvoja, Európskom sociálnom fonde, Kohéznom fonde a Európskom námornom a rybárskom fonde, a ktorým sa zrušuje nariadenie Rady (ES) č. 1083/2006 (Ú. v. EÚ L 347, 20.12.2013, s.</w:t>
            </w:r>
            <w:r>
              <w:t xml:space="preserve"> </w:t>
            </w:r>
            <w:r>
              <w:rPr>
                <w:b/>
                <w:i/>
              </w:rPr>
              <w:t>320, ELI: http://data.europa.eu/eli/reg/2013/1303/oj).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4c</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Miestny rozvoj vedený komunitou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Podpora podľa tohto článku sa vzťahuje na intervencie, ktoré prispievajú k podpore udržateľného modrého hospodárstva v pobrežných, ostrovných a vnútrozemských oblastiach a k posilneniu rozvoja rybolovných a akvakultúrnych komunít.</w:t>
            </w:r>
            <w:r>
              <w:t xml:space="preserve"> </w:t>
            </w:r>
            <w:r>
              <w:rPr>
                <w:b/>
                <w:i/>
              </w:rPr>
              <w:t>Na dosiahnutie tohto cieľa sa podpora vykonáva prostredníctvom miestneho rozvoja vedeného komunitou stanoveného v článku 76 nariadenia (EÚ) .../... [nariadenie o NRP].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Na účely tohto článku sa stratégie miestneho rozvoja vedeného komunitou uvedené v článku 76 nariadenia (EÚ) .../...[nariadenie o NRP] vypracujú s osobitným zameraním na pobrežné, ostrovné a vnútrozemské oblasti a vypracujú sa nezávisle.</w:t>
            </w:r>
            <w:r>
              <w:t xml:space="preserve"> </w:t>
            </w:r>
            <w:r>
              <w:rPr>
                <w:b/>
                <w:i/>
              </w:rPr>
              <w:t>Uvedené stratégie miestneho rozvoja vedeného komunitou zabezpečia, aby komunity v oblastiach rybolovu alebo akvakultúry lepšie využívali príležitosti, ktoré ponúka udržateľné modré hospodárstvo, prostredníctvom zhodnocovania a posilňovania environmentálnych, kultúrnych, sociálnych a ľudských zdrojov.</w:t>
            </w:r>
            <w:r>
              <w:t xml:space="preserve"> </w:t>
            </w:r>
            <w:r>
              <w:rPr>
                <w:b/>
                <w:i/>
              </w:rPr>
              <w:t>Môže ísť o stratégie miestneho rozvoja vedeného komunitou zamerané na rybolov alebo akvakultúru, ako aj o rozsiahlejšie stratégie zamerané na diverzifikáciu miestnych komunít.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Najmenej 12 % finančnej podpory Únie alokovanej na členský štát v súlade s článkom 10 ods. 2 písm. a) nariadenia (EÚ) .../... [nariadenie o NRP] sa v pláne NRP alokuje na špecifický cieľ uvedený v odseku 1.</w:t>
            </w:r>
            <w:r>
              <w:t xml:space="preserve"> </w:t>
            </w:r>
            <w:r>
              <w:rPr>
                <w:b/>
                <w:i/>
              </w:rPr>
              <w:t>Členské štáty, ktoré nemajú prístup k vodám Únie, môžu uplatňovať nižší percentuálny podiel, pokiaľ ide o rozsah ich úloh v oblasti kontroly a zberu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4d</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Štátna pomoc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Pokiaľ sa v tomto článku nestanovuje inak, na pomoc poskytovanú členskými štátmi podnikom v odvetviach rybolovu a akvakultúry v Únii sa vzťahujú články 107, 108 a 109 Zmluvy o fungovaní Európskej únie (ZFEÚ).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Články 107, 108 a 109 ZFEÚ sa nevzťahujú na pomoc, ktorú členské štáty poskytujú podľa tohto nariadenia a nariadenia (EÚ) .../... [nariadenie o NRP] a v súlade s nimi podnikom v odvetví rybolovu a akvakultúry v Únii, ktoré patria do rozsahu pôsobnosti článku 42 ZFEÚ.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V prípade výrobkov rybolovu a akvakultúry uvedených v prílohe I k ZFEÚ, na ktoré sa vzťahujú jej články 107, 108 a 109, môže Komisia v súlade s článkom 108 ZFEÚ povoliť prevádzkovú pomoc v odvetviach výroby, spracovania a odbytu týchto výrobkov s cieľom zmierniť osobitné obmedzenia produkcie rybolovu a akvakultúry v najvzdialenejších regiónoch a na menších ostrovoch v Egejskom mori z dôvodu ich izolácie, ostrovného charakteru, malej rozlohy a mimoriadnej odľahlosti.</w:t>
            </w:r>
            <w:r>
              <w:t xml:space="preserve"> </w:t>
            </w:r>
            <w:r>
              <w:rPr>
                <w:b/>
                <w:i/>
              </w:rPr>
              <w:t>Členské štáty môžu poskytnúť dodatočné financovanie na vykonávanie intervencií v najvzdialenejších regiónoch a na menších ostrovoch v Egejskom mori podľa tohto nariadenia.</w:t>
            </w:r>
            <w:r>
              <w:t xml:space="preserve"> </w:t>
            </w:r>
            <w:r>
              <w:rPr>
                <w:b/>
                <w:i/>
              </w:rPr>
              <w:t>V takých prípadoch členské štáty oznámia dodatočné financovanie Komisii a Komisia ho môže schváliť v súlade s týmto nariadením ako súčasť plánov.</w:t>
            </w:r>
            <w:r>
              <w:t xml:space="preserve"> </w:t>
            </w:r>
            <w:r>
              <w:rPr>
                <w:b/>
                <w:i/>
              </w:rPr>
              <w:t>Takto oznámená štátna pomoc sa tiež považuje za oznámenú v zmysle článku 108 ods. 3 prvej vety ZFEÚ.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Podpora sa môže vzťahovať na nástupníctvo rybárskych plavidiel vrátane prevodu vlastníctva plavidla alebo jeho kontrolného podielu s cieľom uľahčiť generačnú obnovu a kontinuitu rybolovných činností, ako sa stanovuje v článku 4 tohto nariadenia.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4e</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Výročná správa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31. júla 2029 a potom každý rok Komisia predloží Európskemu parlamentu a Rade správu o vykonávaní, výkonnosti a výsledkoch ENRAF.</w:t>
            </w:r>
            <w:r>
              <w:t xml:space="preserve"> </w:t>
            </w:r>
            <w:r>
              <w:rPr>
                <w:b/>
                <w:i/>
              </w:rPr>
              <w:t>V tejto správe Komisia používa kľúčové ukazovatele výkonnosti stanovené v prílohe I k nariadeniu (EÚ) .../... [nariadenie o výkonnosti].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Okrem všeobecných pravidiel stanovených v kapitole 3 nariadenia (EÚ) .../... [nariadenie o výkonnosti] riadiaci orgán poskytne Komisii príslušné údaje o implementácii na úrovni operácie, ktoré zahŕňajú kľúčové charakteristiky prijímateľa (meno, typ prijímateľa, veľkosť podniku, rod a kontaktné údaje) a podporované operácie (špecifický cieľ, typ operácie, dotknuté odvetvie, hodnoty ukazovateľov, stav napredovania operácie, číslo v spoločnom registri flotily, finančné údaje a forma podpory).</w:t>
            </w:r>
            <w:r>
              <w:t xml:space="preserve"> </w:t>
            </w:r>
            <w:r>
              <w:rPr>
                <w:b/>
                <w:i/>
              </w:rPr>
              <w:t>Údaje sa poskytujú každý rok do 31. januára a 31. júla.</w:t>
            </w:r>
            <w:r>
              <w:t xml:space="preserve"> </w:t>
            </w:r>
            <w:r>
              <w:rPr>
                <w:b/>
                <w:i/>
              </w:rPr>
              <w:t>Prvý prenos uvedených údajov sa uskutoční do 31. januára 2029.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Komisia prijme vykonávacie akty, ktorými stanoví pravidlá presnejšie vymedzujúce konkrétne údaje uvedené v odseku 2 tohto článku a ich predkladanie.</w:t>
            </w:r>
            <w:r>
              <w:t xml:space="preserve"> </w:t>
            </w:r>
            <w:r>
              <w:rPr>
                <w:b/>
                <w:i/>
              </w:rPr>
              <w:t>Tieto vykonávacie akty sa prijmú v súlade s postupom preskúmania uvedeným v článku 4g.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Komisia je splnomocnená prijímať delegované akty v súlade s článkom 4h s cieľom zmeniť prílohu I k nariadeniu (EÚ) .../... [nariadenie o výkonnosti] doplnením kľúčových ukazovateľov výkonnosti na účely prispôsobenia sa zmenám, ku ktorým dôjde počas programového obdobia.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4f</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Postup výboru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Komisii pomáha Výbor pre Európsky námorný, rybolovný a akvakultúrny fond.</w:t>
            </w:r>
            <w:r>
              <w:t xml:space="preserve"> </w:t>
            </w:r>
            <w:r>
              <w:rPr>
                <w:b/>
                <w:i/>
              </w:rPr>
              <w:t>Uvedený výbor je výborom v zmysle nariadenia (EÚ) č. 182/2011.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Ak sa odkazuje na tento odsek, uplatňuje sa článok 5 nariadenia (EÚ)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4g</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Vykonávanie delegovania právomoci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Komisii sa udeľuje právomoc prijímať delegované akty za podmienok stanovených v tomto článku.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Právomoc prijímať delegované akty uvedené v článku 3D sa Komisii udeľuje na dobu neurčitú od dátumu nadobudnutia účinnosti tohto nariadenia.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Delegovanie právomoci uvedené v článku 3D môže Európsky parlament alebo Rada kedykoľvek odvolať.</w:t>
            </w:r>
            <w:r>
              <w:t xml:space="preserve"> </w:t>
            </w:r>
            <w:r>
              <w:rPr>
                <w:b/>
                <w:i/>
              </w:rPr>
              <w:t>Rozhodnutím o odvolaní sa ukončuje delegovanie právomoci, ktoré sa v ňom uvádza.</w:t>
            </w:r>
            <w:r>
              <w:t xml:space="preserve"> </w:t>
            </w:r>
            <w:r>
              <w:rPr>
                <w:b/>
                <w:i/>
              </w:rPr>
              <w:t>Rozhodnutie nadobúda účinnosť dňom nasledujúcim po jeho uverejnení v Úradnom vestníku Európskej únie alebo k neskoršiemu dátumu, ktorý je v ňom určený.</w:t>
            </w:r>
            <w:r>
              <w:t xml:space="preserve"> </w:t>
            </w:r>
            <w:r>
              <w:rPr>
                <w:b/>
                <w:i/>
              </w:rPr>
              <w:t>Nie je ním dotknutá platnosť delegovaných aktov, ktoré už nadobudli účinnosť.</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Komisia pred prijatím delegovaného aktu konzultuje s expertmi určenými jednotlivými členskými štátmi v súlade so zásadami stanovenými v Medziinštitucionálnej dohode z 13. apríla 2016 o lepšej tvorbe práva.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Komisia oznamuje delegovaný akt hneď po jeho prijatí súčasne Európskemu parlamentu a Rade.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Delegovaný akt prijatý podľa odseku 5 nadobudne účinnosť, len ak Európsky parlament alebo Rada voči nemu nevzniesli námietku v lehote jedného mesiaca odo dňa oznámenia uvedeného aktu Európskemu parlamentu a Rade alebo ak pred uplynutím uvedenej lehoty Európsky parlament a Rada informovali Komisiu o svojom rozhodnutí nevzniesť námietku.</w:t>
            </w:r>
            <w:r>
              <w:t xml:space="preserve"> </w:t>
            </w:r>
            <w:r>
              <w:rPr>
                <w:b/>
                <w:i/>
              </w:rPr>
              <w:t>Na podnet Európskeho parlamentu alebo Rady sa táto lehota predĺži o jeden mesiac.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Toto nariadenie je záväzné v celom rozsahu a priamo uplatniteľné </w:t>
            </w:r>
            <w:r>
              <w:rPr>
                <w:b/>
                <w:i/>
              </w:rPr>
              <w:t>v</w:t>
            </w:r>
            <w:r>
              <w:t xml:space="preserve"> členských štátoch </w:t>
            </w:r>
            <w:r>
              <w:rPr>
                <w:b/>
                <w:i/>
              </w:rPr>
              <w:t>v súlade so zmluvami</w:t>
            </w:r>
            <w:r>
              <w:t>.</w:t>
            </w:r>
          </w:p>
        </w:tc>
        <w:tc>
          <w:tcPr>
            <w:tcW w:w="4876" w:type="dxa"/>
            <w:tcBorders>
              <w:top w:val="nil"/>
              <w:left w:val="nil"/>
              <w:bottom w:val="nil"/>
              <w:right w:val="nil"/>
            </w:tcBorders>
          </w:tcPr>
          <w:p>
            <w:pPr>
              <w:pStyle w:val="Normal6a"/>
            </w:pPr>
            <w:r>
              <w:t xml:space="preserve">Toto nariadenie je záväzné v celom rozsahu a priamo uplatniteľné </w:t>
            </w:r>
            <w:r>
              <w:rPr>
                <w:b/>
                <w:i/>
              </w:rPr>
              <w:t>vo všetkých</w:t>
            </w:r>
            <w:r>
              <w:t xml:space="preserve">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789.935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45</w:t>
    </w:r>
    <w:r>
      <w:fldChar w:fldCharType="end"/>
    </w:r>
    <w:r>
      <w:tab/>
    </w:r>
    <w:r>
      <w:rPr>
        <w:rStyle w:val="HideTWBExt"/>
      </w:rPr>
      <w:t>&lt;PathFdR&gt;</w:t>
    </w:r>
    <w:r>
      <w:t>AM\1345550SK.docx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AM\1345550SK.docx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45</w:t>
    </w:r>
    <w:r>
      <w:fldChar w:fldCharType="end"/>
    </w:r>
    <w:r>
      <w:tab/>
    </w:r>
    <w:r>
      <w:t>PE</w:t>
    </w:r>
    <w:r>
      <w:rPr>
        <w:rStyle w:val="HideTWBExt"/>
      </w:rPr>
      <w:t>&lt;NoPE&gt;</w:t>
    </w:r>
    <w:r>
      <w:t>789.935</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AM\1345550SK.docx</w:t>
    </w:r>
    <w:r>
      <w:rPr>
        <w:rStyle w:val="HideTWBExt"/>
      </w:rPr>
      <w:t>&lt;/PathFdR&gt;</w:t>
    </w:r>
    <w:r>
      <w:tab/>
    </w:r>
    <w:r>
      <w:tab/>
    </w:r>
    <w:r>
      <w:t>PE</w:t>
    </w:r>
    <w:r>
      <w:rPr>
        <w:rStyle w:val="HideTWBExt"/>
      </w:rPr>
      <w:t>&lt;NoPE&gt;</w:t>
    </w:r>
    <w:r>
      <w:t>789.935</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45</Pages>
  <Words>7654</Words>
  <Characters>44574</Characters>
  <Application>Microsoft Office Word</Application>
  <DocSecurity>0</DocSecurity>
  <Lines>1</Lines>
  <Paragraphs>784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1345550</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547022</vt:lpwstr>
  </property>
  <property fmtid="{D5CDD505-2E9C-101B-9397-08002B2CF9AE}" pid="7" name="dmxml.render.traceId">
    <vt:lpwstr>6a3d3c6dbb3cccab0562909aae703569</vt:lpwstr>
  </property>
  <property fmtid="{D5CDD505-2E9C-101B-9397-08002B2CF9AE}" pid="8" name="FooterPath">
    <vt:lpwstr>AM\1345550SK.docx</vt:lpwstr>
  </property>
  <property fmtid="{D5CDD505-2E9C-101B-9397-08002B2CF9AE}" pid="9" name="PE Number">
    <vt:lpwstr>789.935</vt:lpwstr>
  </property>
  <property fmtid="{D5CDD505-2E9C-101B-9397-08002B2CF9AE}" pid="10" name="UID">
    <vt:lpwstr>eu.europa.europarl-DIN1-2026-0000166813_02.00-sk-01.00_text-xml</vt:lpwstr>
  </property>
</Properties>
</file>