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Europaparlamentet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{PECH}</w:t>
      </w:r>
      <w:r>
        <w:t>Fiskeriutskottet</w:t>
      </w:r>
      <w:r>
        <w:rPr>
          <w:rStyle w:val="HideTWBExt"/>
        </w:rPr>
        <w:t>&lt;/Commission&gt;</w:t>
      </w:r>
    </w:p>
    <w:p>
      <w:pPr>
        <w:pStyle w:val="LineBottom"/>
      </w:pPr>
      <w:r>
        <w:t xml:space="preserve"> </w:t>
      </w:r>
    </w:p>
    <w:p>
      <w:pPr>
        <w:pStyle w:val="CoverReference"/>
      </w:pPr>
      <w:r>
        <w:rPr>
          <w:rStyle w:val="HideTWBExt"/>
        </w:rPr>
        <w:t>&lt;RefProc&gt;</w:t>
      </w:r>
      <w:r>
        <w:t>2025/0235</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{12/06/2026}</w:t>
      </w:r>
      <w:r>
        <w:t>12.6.2026</w:t>
      </w:r>
      <w:r>
        <w:rPr>
          <w:rStyle w:val="HideTWBExt"/>
        </w:rPr>
        <w:t>&lt;/Date&gt;</w:t>
      </w:r>
    </w:p>
    <w:p>
      <w:pPr>
        <w:pStyle w:val="CoverDocType"/>
      </w:pPr>
      <w:r>
        <w:rPr>
          <w:rStyle w:val="HideTWBExt"/>
        </w:rPr>
        <w:t>&lt;TypeAM&gt;</w:t>
      </w:r>
      <w:r>
        <w:t>ÄNDRINGSFÖRSLAG</w:t>
      </w:r>
      <w:r>
        <w:rPr>
          <w:rStyle w:val="HideTWBExt"/>
        </w:rPr>
        <w:t>&lt;/TypeAM&gt;</w:t>
      </w:r>
    </w:p>
    <w:p>
      <w:pPr>
        <w:pStyle w:val="CoverDocType24a"/>
      </w:pPr>
      <w:r>
        <w:rPr>
          <w:rStyle w:val="HideTWBExt"/>
        </w:rPr>
        <w:t>&lt;RangeAM&gt;</w:t>
      </w:r>
      <w:r>
        <w:t>284</w:t>
      </w:r>
      <w:r>
        <w:t xml:space="preserve"> - </w:t>
      </w:r>
      <w:r>
        <w:t>362</w:t>
      </w:r>
      <w:r>
        <w:rPr>
          <w:rStyle w:val="HideTWBExt"/>
        </w:rPr>
        <w:t>&lt;/RangeAM&gt;</w:t>
      </w:r>
    </w:p>
    <w:p>
      <w:pPr>
        <w:pStyle w:val="CoverBold"/>
      </w:pPr>
      <w:r>
        <w:rPr>
          <w:rStyle w:val="HideTWBExt"/>
        </w:rPr>
        <w:t>&lt;TitreType&gt;</w:t>
      </w:r>
      <w:r>
        <w:t>Förslag till yttrande</w:t>
      </w:r>
      <w:r>
        <w:rPr>
          <w:rStyle w:val="HideTWBExt"/>
        </w:rPr>
        <w:t>&lt;/TitreType&gt;</w:t>
      </w:r>
    </w:p>
    <w:p>
      <w:pPr>
        <w:pStyle w:val="CoverBold"/>
      </w:pPr>
      <w:r>
        <w:rPr>
          <w:rStyle w:val="HideTWBExt"/>
        </w:rPr>
        <w:t>&lt;Rapporteur&gt;</w:t>
      </w:r>
      <w:r>
        <w:t>Niclas Herbst</w:t>
      </w:r>
      <w:r>
        <w:rPr>
          <w:rStyle w:val="HideTWBExt"/>
        </w:rPr>
        <w:t>&lt;/Rapporteur&gt;</w:t>
      </w:r>
    </w:p>
    <w:p>
      <w:pPr>
        <w:pStyle w:val="CoverNormal24a"/>
      </w:pPr>
      <w:r>
        <w:rPr>
          <w:rStyle w:val="HideTWBExt"/>
        </w:rPr>
        <w:t>&lt;DocRefPE&gt;</w:t>
      </w:r>
      <w:r>
        <w:t>(PE788.825v01-00)</w:t>
      </w:r>
      <w:r>
        <w:rPr>
          <w:rStyle w:val="HideTWBExt"/>
        </w:rPr>
        <w:t>&lt;/DocRefPE&gt;</w:t>
      </w:r>
    </w:p>
    <w:p>
      <w:pPr>
        <w:pStyle w:val="CoverNormal24a"/>
      </w:pPr>
      <w:r>
        <w:rPr>
          <w:rStyle w:val="HideTWBExt"/>
        </w:rPr>
        <w:t>&lt;Titre&gt;</w:t>
      </w:r>
      <w:r>
        <w:t>Fastställande för perioden 2028–2034 av villkoren för genomförandet av unionens stöd till den gemensamma fiskeripolitiken, till europeiska världshavspakten och till unionens havs- och vattenbrukspolitik som en del av Nationella och regionala partnerskapsfonden som fastställs i förordning (EU) […] [NRP-fonden]</w:t>
      </w:r>
      <w:r>
        <w:rPr>
          <w:rStyle w:val="HideTWBExt"/>
        </w:rPr>
        <w:t>&lt;/Titre&gt;</w:t>
      </w:r>
    </w:p>
    <w:p>
      <w:pPr>
        <w:pStyle w:val="CoverNormal"/>
      </w:pPr>
      <w:r>
        <w:rPr>
          <w:rStyle w:val="HideTWBExt"/>
        </w:rPr>
        <w:t>&lt;DocAmend&gt;</w:t>
      </w:r>
      <w:r>
        <w:t>Förslag till förordning</w:t>
      </w:r>
      <w:r>
        <w:rPr>
          <w:rStyle w:val="HideTWBExt"/>
        </w:rPr>
        <w:t>&lt;/DocAmend&gt;</w:t>
      </w:r>
    </w:p>
    <w:p>
      <w:pPr>
        <w:pStyle w:val="CoverNormal24a"/>
      </w:pPr>
      <w:r>
        <w:rPr>
          <w:rStyle w:val="HideTWBExt"/>
        </w:rPr>
        <w:t>&lt;DocRef&gt;</w:t>
      </w:r>
      <w:r>
        <w:t>(COM(2025)0559 – 2025/0235(COD))</w:t>
      </w:r>
      <w:r>
        <w:rPr>
          <w:rStyle w:val="HideTWBExt"/>
        </w:rPr>
        <w:t>&lt;/DocRef&gt;</w:t>
      </w:r>
    </w:p>
    <w:p>
      <w:r>
        <w:br w:type="page"/>
      </w:r>
      <w:r>
        <w:t>AM_Com_LegOpinion</w:t>
      </w:r>
    </w:p>
    <w:p>
      <w:pPr>
        <w:pStyle w:val="AmNumberTabs"/>
      </w:pPr>
      <w:r>
        <w:br w:type="page"/>
      </w:r>
      <w:r>
        <w:rPr>
          <w:rStyle w:val="HideTWBExt"/>
        </w:rPr>
        <w:t>&lt;RepeatBlock-Amend&gt;</w:t>
      </w:r>
      <w:r>
        <w:rPr>
          <w:rStyle w:val="HideTWBExt"/>
        </w:rPr>
        <w:t>&lt;Amend&gt;</w:t>
      </w:r>
      <w:r>
        <w:t>Ändringsförslag</w:t>
      </w:r>
      <w:r>
        <w:tab/>
      </w:r>
      <w:r>
        <w:tab/>
      </w:r>
      <w:r>
        <w:rPr>
          <w:rStyle w:val="HideTWBExt"/>
        </w:rPr>
        <w:t>&lt;NumAm&gt;</w:t>
      </w:r>
      <w:r>
        <w:t>284</w:t>
      </w:r>
      <w:r>
        <w:rPr>
          <w:rStyle w:val="HideTWBExt"/>
        </w:rPr>
        <w:t>&lt;/NumAm&gt;</w:t>
      </w:r>
    </w:p>
    <w:p>
      <w:pPr>
        <w:pStyle w:val="NormalBold"/>
      </w:pPr>
      <w:r>
        <w:rPr>
          <w:rStyle w:val="HideTWBExt"/>
          <w:b w:val="0"/>
        </w:rPr>
        <w:t>&lt;RepeatBlock-By&gt;</w:t>
      </w:r>
      <w:r>
        <w:rPr>
          <w:rStyle w:val="HideTWBExt"/>
          <w:b w:val="0"/>
        </w:rPr>
        <w:t>&lt;Members&gt;</w:t>
      </w:r>
      <w:r>
        <w:t>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Stöd </w:t>
            </w:r>
            <w:r>
              <w:rPr>
                <w:b/>
                <w:i/>
              </w:rPr>
              <w:t>till fiskeflotta eller aktörer som inte är förenligt med</w:t>
            </w:r>
            <w:r>
              <w:t xml:space="preserve"> WTO-avtalet om fiskesubventioner </w:t>
            </w:r>
            <w:r>
              <w:rPr>
                <w:b/>
                <w:i/>
              </w:rPr>
              <w:t>och målen för den gemensamma fiskeripolitiken enligt artikel 43.2 i EUF-fördraget och artikel 2 i förordningen om</w:t>
            </w:r>
            <w:r>
              <w:t xml:space="preserve"> den gemensamma </w:t>
            </w:r>
            <w:r>
              <w:rPr>
                <w:b/>
                <w:i/>
              </w:rPr>
              <w:t>fiskeripolitiken ska inte</w:t>
            </w:r>
            <w:r>
              <w:t xml:space="preserve"> beviljas.</w:t>
            </w:r>
          </w:p>
        </w:tc>
        <w:tc>
          <w:tcPr>
            <w:tcW w:w="4876" w:type="dxa"/>
            <w:tcBorders>
              <w:top w:val="nil"/>
              <w:left w:val="nil"/>
              <w:bottom w:val="nil"/>
              <w:right w:val="nil"/>
            </w:tcBorders>
          </w:tcPr>
          <w:p>
            <w:pPr>
              <w:pStyle w:val="Normal6a"/>
            </w:pPr>
            <w:r>
              <w:t>1.</w:t>
            </w:r>
            <w:r>
              <w:tab/>
            </w:r>
            <w:r>
              <w:t xml:space="preserve">Stöd </w:t>
            </w:r>
            <w:r>
              <w:rPr>
                <w:b/>
                <w:i/>
              </w:rPr>
              <w:t>ska inte beviljas om det inte uppfyller kriterierna i</w:t>
            </w:r>
            <w:r>
              <w:t xml:space="preserve"> WTO-avtalet om fiskesubventioner</w:t>
            </w:r>
            <w:r>
              <w:rPr>
                <w:b/>
                <w:i/>
              </w:rPr>
              <w:t>, eller till fiskeflottor eller aktörer som har begått allvarliga överträdelser av</w:t>
            </w:r>
            <w:r>
              <w:t xml:space="preserve"> den gemensamma </w:t>
            </w:r>
            <w:r>
              <w:rPr>
                <w:b/>
                <w:i/>
              </w:rPr>
              <w:t>fiskeripolitikens regler under den period som anges i punkt 2 eller som är föremål för ett administrativt eller rättsligt beslut.</w:t>
            </w:r>
            <w:r>
              <w:t xml:space="preserve"> </w:t>
            </w:r>
            <w:r>
              <w:rPr>
                <w:b/>
                <w:i/>
              </w:rPr>
              <w:t>I syfte att främja generationsskifte och bekämpa åldrandet inom sektorn får det emellertid</w:t>
            </w:r>
            <w:r>
              <w:t xml:space="preserve"> beviljas </w:t>
            </w:r>
            <w:r>
              <w:rPr>
                <w:b/>
                <w:i/>
              </w:rPr>
              <w:t>stöd för förvärv av ett första fiskefartyg till unga fiskare under 40 år, förutsatt att fartyget är klassat som ett fartyg icke-industriellt fiske på mindre än 15 meter och att balansen i flottan garanteras</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285</w:t>
      </w:r>
      <w:r>
        <w:rPr>
          <w:rStyle w:val="HideTWBExt"/>
        </w:rPr>
        <w:t>&lt;/NumAm&gt;</w:t>
      </w:r>
    </w:p>
    <w:p>
      <w:pPr>
        <w:pStyle w:val="NormalBold"/>
      </w:pPr>
      <w:r>
        <w:rPr>
          <w:rStyle w:val="HideTWBExt"/>
          <w:b w:val="0"/>
        </w:rPr>
        <w:t>&lt;RepeatBlock-By&gt;</w:t>
      </w:r>
      <w:r>
        <w:rPr>
          <w:rStyle w:val="HideTWBExt"/>
          <w:b w:val="0"/>
        </w:rPr>
        <w:t>&lt;Members&gt;</w:t>
      </w:r>
      <w:r>
        <w:t>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Stöd till fiskeflotta eller aktörer som inte är förenligt med WTO-avtalet om fiskesubventioner och målen för den gemensamma fiskeripolitiken enligt artikel 43.2 i EUF-fördraget och artikel 2 i förordningen om den gemensamma fiskeripolitiken ska inte beviljas.</w:t>
            </w:r>
          </w:p>
        </w:tc>
        <w:tc>
          <w:tcPr>
            <w:tcW w:w="4876" w:type="dxa"/>
            <w:tcBorders>
              <w:top w:val="nil"/>
              <w:left w:val="nil"/>
              <w:bottom w:val="nil"/>
              <w:right w:val="nil"/>
            </w:tcBorders>
          </w:tcPr>
          <w:p>
            <w:pPr>
              <w:pStyle w:val="Normal6a"/>
            </w:pPr>
            <w:r>
              <w:t>1.</w:t>
            </w:r>
            <w:r>
              <w:tab/>
            </w:r>
            <w:r>
              <w:t>Stöd till fiskeflotta eller aktörer som inte är förenligt med WTO-avtalet om fiskesubventioner och målen för den gemensamma fiskeripolitiken enligt artikel 43.2 i EUF-fördraget och artikel 2 i förordningen om den gemensamma fiskeripolitiken ska inte beviljas.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Medlemsstaterna ska i sina planer för nationellt och regionalt partnerskap beskriva hur de ska säkerställa att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vissa former av fiske som bidrar till överkapacitet och överfiske är uteslutna från stöd,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inga subventioner som kan bidra till olagligt, orapporterat eller oreglerat fiske kommer att beviljas.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I WTO-avtalet står det att ”ingen medlem ska bevilja eller bibehålla subventioner till fiske eller fiskerelaterad verksamhet när det gäller överfiskade bestånd” och ”ingen medlem ska bevilja eller bibehålla en subvention till ett fartyg eller en operatör som deltar i olagligt, orapporterat och oreglerat fiske (IUU-fiske) eller fiskerelaterad verksamhet till stöd för IUU-fiske”.</w:t>
      </w:r>
    </w:p>
    <w:p>
      <w:r>
        <w:rPr>
          <w:rStyle w:val="HideTWBExt"/>
        </w:rPr>
        <w:t>&lt;/Amend&gt;</w:t>
      </w:r>
    </w:p>
    <w:p>
      <w:pPr>
        <w:pStyle w:val="AmNumberTabs"/>
      </w:pPr>
      <w:r>
        <w:rPr>
          <w:rStyle w:val="HideTWBExt"/>
        </w:rPr>
        <w:t>&lt;Amend&gt;</w:t>
      </w:r>
      <w:r>
        <w:t>Ändringsförslag</w:t>
      </w:r>
      <w:r>
        <w:tab/>
      </w:r>
      <w:r>
        <w:tab/>
      </w:r>
      <w:r>
        <w:rPr>
          <w:rStyle w:val="HideTWBExt"/>
        </w:rPr>
        <w:t>&lt;NumAm&gt;</w:t>
      </w:r>
      <w:r>
        <w:t>286</w:t>
      </w:r>
      <w:r>
        <w:rPr>
          <w:rStyle w:val="HideTWBExt"/>
        </w:rPr>
        <w:t>&lt;/NumAm&gt;</w:t>
      </w:r>
    </w:p>
    <w:p>
      <w:pPr>
        <w:pStyle w:val="NormalBold"/>
      </w:pPr>
      <w:r>
        <w:rPr>
          <w:rStyle w:val="HideTWBExt"/>
          <w:b w:val="0"/>
        </w:rPr>
        <w:t>&lt;RepeatBlock-By&gt;</w:t>
      </w:r>
      <w:r>
        <w:rPr>
          <w:rStyle w:val="HideTWBExt"/>
          <w:b w:val="0"/>
        </w:rPr>
        <w:t>&lt;Members&gt;</w:t>
      </w:r>
      <w:r>
        <w:t>Asger Christensen, Emma Wiesner,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Stöd </w:t>
            </w:r>
            <w:r>
              <w:rPr>
                <w:b/>
                <w:i/>
              </w:rPr>
              <w:t>till fiskeflotta eller aktörer som inte är förenligt med WTO-avtalet om fiskesubventioner och målen för den gemensamma fiskeripolitiken</w:t>
            </w:r>
            <w:r>
              <w:t xml:space="preserve"> enligt </w:t>
            </w:r>
            <w:r>
              <w:rPr>
                <w:b/>
                <w:i/>
              </w:rPr>
              <w:t>artikel 43.2 i EUF-fördraget och artikel 2 i förordningen om den gemensamma fiskeripolitiken</w:t>
            </w:r>
            <w:r>
              <w:t xml:space="preserve"> ska inte beviljas</w:t>
            </w:r>
            <w:r>
              <w:rPr>
                <w:b/>
                <w:i/>
              </w:rPr>
              <w:t>.</w:t>
            </w:r>
          </w:p>
        </w:tc>
        <w:tc>
          <w:tcPr>
            <w:tcW w:w="4876" w:type="dxa"/>
            <w:tcBorders>
              <w:top w:val="nil"/>
              <w:left w:val="nil"/>
              <w:bottom w:val="nil"/>
              <w:right w:val="nil"/>
            </w:tcBorders>
          </w:tcPr>
          <w:p>
            <w:pPr>
              <w:pStyle w:val="Normal6a"/>
            </w:pPr>
            <w:r>
              <w:rPr>
                <w:b/>
                <w:i/>
              </w:rPr>
              <w:t>1.</w:t>
            </w:r>
            <w:r>
              <w:tab/>
            </w:r>
            <w:r>
              <w:t xml:space="preserve">1. Stöd enligt </w:t>
            </w:r>
            <w:r>
              <w:rPr>
                <w:b/>
                <w:i/>
              </w:rPr>
              <w:t>denna förordning</w:t>
            </w:r>
            <w:r>
              <w:t xml:space="preserve"> ska inte beviljas </w:t>
            </w:r>
            <w:r>
              <w:rPr>
                <w:b/>
                <w:i/>
              </w:rPr>
              <w:t>för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287</w:t>
      </w:r>
      <w:r>
        <w:rPr>
          <w:rStyle w:val="HideTWBExt"/>
        </w:rPr>
        <w:t>&lt;/NumAm&gt;</w:t>
      </w:r>
    </w:p>
    <w:p>
      <w:pPr>
        <w:pStyle w:val="NormalBold"/>
      </w:pPr>
      <w:r>
        <w:rPr>
          <w:rStyle w:val="HideTWBExt"/>
          <w:b w:val="0"/>
        </w:rPr>
        <w:t>&lt;RepeatBlock-By&gt;</w:t>
      </w:r>
      <w:r>
        <w:rPr>
          <w:rStyle w:val="HideTWBExt"/>
          <w:b w:val="0"/>
        </w:rPr>
        <w:t>&lt;Members&gt;</w:t>
      </w:r>
      <w:r>
        <w:t>Sebastian Everding, Anja Hazekamp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Stöd till fiskeflotta eller aktörer som inte är förenligt med WTO-avtalet om fiskesubventioner och målen för den gemensamma fiskeripolitiken enligt artikel 43.2 i EUF-fördraget och artikel 2 i förordningen om den gemensamma fiskeripolitiken ska inte beviljas.</w:t>
            </w:r>
          </w:p>
        </w:tc>
        <w:tc>
          <w:tcPr>
            <w:tcW w:w="4876" w:type="dxa"/>
            <w:tcBorders>
              <w:top w:val="nil"/>
              <w:left w:val="nil"/>
              <w:bottom w:val="nil"/>
              <w:right w:val="nil"/>
            </w:tcBorders>
          </w:tcPr>
          <w:p>
            <w:pPr>
              <w:pStyle w:val="Normal6a"/>
            </w:pPr>
            <w:r>
              <w:t>1.</w:t>
            </w:r>
            <w:r>
              <w:tab/>
            </w:r>
            <w:r>
              <w:t xml:space="preserve">Stöd till fiskeflotta eller aktörer som inte är förenligt med WTO-avtalet om fiskesubventioner och målen för den gemensamma fiskeripolitiken enligt artikel 43.2 i EUF-fördraget och artikel 2 i förordningen om den gemensamma fiskeripolitiken ska inte beviljas. </w:t>
            </w:r>
            <w:r>
              <w:rPr>
                <w:b/>
                <w:i/>
              </w:rPr>
              <w:t>Stöd ska inte beviljas om det bidrar till överkapacitet eller överfiske.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288</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Stöd till fiskeflotta eller aktörer som inte är förenligt med WTO-avtalet om fiskesubventioner och målen för den gemensamma fiskeripolitiken enligt artikel 43.2 i EUF-fördraget och artikel 2 i förordningen om den gemensamma fiskeripolitiken ska inte beviljas.</w:t>
            </w:r>
          </w:p>
        </w:tc>
        <w:tc>
          <w:tcPr>
            <w:tcW w:w="4876" w:type="dxa"/>
            <w:tcBorders>
              <w:top w:val="nil"/>
              <w:left w:val="nil"/>
              <w:bottom w:val="nil"/>
              <w:right w:val="nil"/>
            </w:tcBorders>
          </w:tcPr>
          <w:p>
            <w:pPr>
              <w:pStyle w:val="Normal6a"/>
            </w:pPr>
            <w:r>
              <w:t>1.</w:t>
            </w:r>
            <w:r>
              <w:tab/>
            </w:r>
            <w:r>
              <w:t xml:space="preserve">Stöd till fiskeflotta eller aktörer som inte är förenligt med </w:t>
            </w:r>
            <w:r>
              <w:rPr>
                <w:b/>
                <w:i/>
              </w:rPr>
              <w:t>FN:s mål 14.6 för hållbar utveckling,</w:t>
            </w:r>
            <w:r>
              <w:t xml:space="preserve"> WTO-avtalet om fiskesubventioner och målen för den gemensamma fiskeripolitiken enligt artikel 43.2 i EUF-fördraget</w:t>
            </w:r>
            <w:r>
              <w:rPr>
                <w:b/>
                <w:i/>
              </w:rPr>
              <w:t>, principen om att inte orsaka betydande skada</w:t>
            </w:r>
            <w:r>
              <w:t xml:space="preserve"> och artikel 2 i förordningen om den gemensamma fiskeripolitiken ska inte beviljas.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289</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Stöd till fiskeflotta eller aktörer som inte är förenligt med WTO-avtalet om fiskesubventioner och målen för den gemensamma fiskeripolitiken enligt artikel 43.2 i EUF-fördraget och artikel 2 i </w:t>
            </w:r>
            <w:r>
              <w:rPr>
                <w:b/>
                <w:i/>
              </w:rPr>
              <w:t>förordningen om den gemensamma fiskeripolitiken</w:t>
            </w:r>
            <w:r>
              <w:t xml:space="preserve"> ska inte </w:t>
            </w:r>
            <w:r>
              <w:rPr>
                <w:b/>
                <w:i/>
              </w:rPr>
              <w:t>beviljas</w:t>
            </w:r>
            <w:r>
              <w:t>.</w:t>
            </w:r>
          </w:p>
        </w:tc>
        <w:tc>
          <w:tcPr>
            <w:tcW w:w="4876" w:type="dxa"/>
            <w:tcBorders>
              <w:top w:val="nil"/>
              <w:left w:val="nil"/>
              <w:bottom w:val="nil"/>
              <w:right w:val="nil"/>
            </w:tcBorders>
          </w:tcPr>
          <w:p>
            <w:pPr>
              <w:pStyle w:val="Normal6a"/>
            </w:pPr>
            <w:r>
              <w:t>1.</w:t>
            </w:r>
            <w:r>
              <w:tab/>
            </w:r>
            <w:r>
              <w:t>Stöd till fiskeflotta eller aktörer som inte är förenligt med WTO-avtalet om fiskesubventioner</w:t>
            </w:r>
            <w:r>
              <w:rPr>
                <w:b/>
                <w:i/>
              </w:rPr>
              <w:t>, som godkänts genom rådets beslut (EU) 2023/1116,</w:t>
            </w:r>
            <w:r>
              <w:t xml:space="preserve"> och målen för den gemensamma fiskeripolitiken enligt artikel 43.2 i EUF-fördraget och artikel 2 i </w:t>
            </w:r>
            <w:r>
              <w:rPr>
                <w:b/>
                <w:i/>
              </w:rPr>
              <w:t>förordning (EU) nr 1380/2013</w:t>
            </w:r>
            <w:r>
              <w:t xml:space="preserve"> ska inte </w:t>
            </w:r>
            <w:r>
              <w:rPr>
                <w:b/>
                <w:i/>
              </w:rPr>
              <w:t>tillhandahållas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290</w:t>
      </w:r>
      <w:r>
        <w:rPr>
          <w:rStyle w:val="HideTWBExt"/>
        </w:rPr>
        <w:t>&lt;/NumAm&gt;</w:t>
      </w:r>
    </w:p>
    <w:p>
      <w:pPr>
        <w:pStyle w:val="NormalBold"/>
      </w:pPr>
      <w:r>
        <w:rPr>
          <w:rStyle w:val="HideTWBExt"/>
          <w:b w:val="0"/>
        </w:rPr>
        <w:t>&lt;RepeatBlock-By&gt;</w:t>
      </w:r>
      <w:r>
        <w:rPr>
          <w:rStyle w:val="HideTWBExt"/>
          <w:b w:val="0"/>
        </w:rPr>
        <w:t>&lt;Members&gt;</w:t>
      </w:r>
      <w:r>
        <w:t>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stycke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Stöd till fiskeflotta eller aktörer som inte respekterar </w:t>
            </w:r>
            <w:r>
              <w:rPr>
                <w:b/>
                <w:i/>
              </w:rPr>
              <w:t>WTO-avtalet om fiskesubventioner eller</w:t>
            </w:r>
            <w:r>
              <w:t xml:space="preserve"> målen för den gemensamma fiskeripolitiken enligt artikel 43.2 i EUF-fördraget och artikel 2 i förordningen om den gemensamma fiskeripolitiken ska inte beviljas.</w:t>
            </w:r>
          </w:p>
        </w:tc>
        <w:tc>
          <w:tcPr>
            <w:tcW w:w="4876" w:type="dxa"/>
            <w:tcBorders>
              <w:top w:val="nil"/>
              <w:left w:val="nil"/>
              <w:bottom w:val="nil"/>
              <w:right w:val="nil"/>
            </w:tcBorders>
          </w:tcPr>
          <w:p>
            <w:pPr>
              <w:pStyle w:val="Normal6a"/>
            </w:pPr>
            <w:r>
              <w:t>1.</w:t>
            </w:r>
            <w:r>
              <w:tab/>
            </w:r>
            <w:r>
              <w:t>Stöd till fiskeflotta eller aktörer som inte respekterar målen för den gemensamma fiskeripolitiken enligt artikel 43.2 i EUF-fördraget och artikel 2 i förordningen om den gemensamma fiskeripolitiken ska inte beviljas.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291</w:t>
      </w:r>
      <w:r>
        <w:rPr>
          <w:rStyle w:val="HideTWBExt"/>
        </w:rPr>
        <w:t>&lt;/NumAm&gt;</w:t>
      </w:r>
    </w:p>
    <w:p>
      <w:pPr>
        <w:pStyle w:val="NormalBold"/>
      </w:pPr>
      <w:r>
        <w:rPr>
          <w:rStyle w:val="HideTWBExt"/>
          <w:b w:val="0"/>
        </w:rPr>
        <w:t>&lt;RepeatBlock-By&gt;</w:t>
      </w:r>
      <w:r>
        <w:rPr>
          <w:rStyle w:val="HideTWBExt"/>
          <w:b w:val="0"/>
        </w:rPr>
        <w:t>&lt;Members&gt;</w:t>
      </w:r>
      <w:r>
        <w:t>Luke Ming Flanagan, 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Stöd till fiskeflotta eller aktörer som inte är förenligt med WTO-avtalet om fiskesubventioner och målen för den gemensamma fiskeripolitiken enligt artikel 43.2 i EUF-fördraget och artikel 2 i förordningen om den gemensamma fiskeripolitiken ska inte beviljas.</w:t>
            </w:r>
          </w:p>
        </w:tc>
        <w:tc>
          <w:tcPr>
            <w:tcW w:w="4876" w:type="dxa"/>
            <w:tcBorders>
              <w:top w:val="nil"/>
              <w:left w:val="nil"/>
              <w:bottom w:val="nil"/>
              <w:right w:val="nil"/>
            </w:tcBorders>
          </w:tcPr>
          <w:p>
            <w:pPr>
              <w:pStyle w:val="Normal6a"/>
            </w:pPr>
            <w:r>
              <w:t>1.</w:t>
            </w:r>
            <w:r>
              <w:tab/>
            </w:r>
            <w:r>
              <w:t>Stöd till fiskeflotta eller aktörer som inte är förenligt med WTO-avtalet om fiskesubventioner</w:t>
            </w:r>
            <w:r>
              <w:rPr>
                <w:b/>
                <w:i/>
              </w:rPr>
              <w:t>, mål 14.6 för hållbar utveckling</w:t>
            </w:r>
            <w:r>
              <w:t xml:space="preserve"> och målen för den gemensamma fiskeripolitiken enligt artikel 43.2 i EUF-fördraget och artikel 2 i förordningen om den gemensamma fiskeripolitiken ska inte beviljas.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292</w:t>
      </w:r>
      <w:r>
        <w:rPr>
          <w:rStyle w:val="HideTWBExt"/>
        </w:rPr>
        <w:t>&lt;/NumAm&gt;</w:t>
      </w:r>
    </w:p>
    <w:p>
      <w:pPr>
        <w:pStyle w:val="NormalBold"/>
      </w:pPr>
      <w:r>
        <w:rPr>
          <w:rStyle w:val="HideTWBExt"/>
          <w:b w:val="0"/>
        </w:rPr>
        <w:t>&lt;RepeatBlock-By&gt;</w:t>
      </w:r>
      <w:r>
        <w:rPr>
          <w:rStyle w:val="HideTWBExt"/>
          <w:b w:val="0"/>
        </w:rPr>
        <w:t>&lt;Members&gt;</w:t>
      </w:r>
      <w:r>
        <w:t>Siegbert Frank Droese, Volker Schnurrbusch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Stöd till fiskeflotta eller aktörer som inte är förenligt med </w:t>
            </w:r>
            <w:r>
              <w:rPr>
                <w:b/>
                <w:i/>
              </w:rPr>
              <w:t>WTO-avtalet om fiskesubventioner och</w:t>
            </w:r>
            <w:r>
              <w:t xml:space="preserve"> målen för den gemensamma fiskeripolitiken enligt artikel 43.2 i EUF-fördraget och artikel 2 i förordningen om den gemensamma fiskeripolitiken ska inte beviljas.</w:t>
            </w:r>
          </w:p>
        </w:tc>
        <w:tc>
          <w:tcPr>
            <w:tcW w:w="4876" w:type="dxa"/>
            <w:tcBorders>
              <w:top w:val="nil"/>
              <w:left w:val="nil"/>
              <w:bottom w:val="nil"/>
              <w:right w:val="nil"/>
            </w:tcBorders>
          </w:tcPr>
          <w:p>
            <w:pPr>
              <w:pStyle w:val="Normal6a"/>
            </w:pPr>
            <w:r>
              <w:t>1.</w:t>
            </w:r>
            <w:r>
              <w:tab/>
            </w:r>
            <w:r>
              <w:t>Stöd till fiskeflotta eller aktörer som inte är förenligt med målen för den gemensamma fiskeripolitiken enligt artikel 43.2 i EUF-fördraget och artikel 2 i förordningen om den gemensamma fiskeripolitiken ska inte beviljas.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293</w:t>
      </w:r>
      <w:r>
        <w:rPr>
          <w:rStyle w:val="HideTWBExt"/>
        </w:rPr>
        <w:t>&lt;/NumAm&gt;</w:t>
      </w:r>
    </w:p>
    <w:p>
      <w:pPr>
        <w:pStyle w:val="NormalBold"/>
      </w:pPr>
      <w:r>
        <w:rPr>
          <w:rStyle w:val="HideTWBExt"/>
          <w:b w:val="0"/>
        </w:rPr>
        <w:t>&lt;RepeatBlock-By&gt;</w:t>
      </w:r>
      <w:r>
        <w:rPr>
          <w:rStyle w:val="HideTWBExt"/>
          <w:b w:val="0"/>
        </w:rPr>
        <w:t>&lt;Members&gt;</w:t>
      </w:r>
      <w:r>
        <w:t>Bert-Jan Ruissen,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Stöd till fiskeflotta eller aktörer som inte är förenligt med </w:t>
            </w:r>
            <w:r>
              <w:rPr>
                <w:b/>
                <w:i/>
              </w:rPr>
              <w:t>WTO-avtalet om fiskesubventioner och</w:t>
            </w:r>
            <w:r>
              <w:t xml:space="preserve"> målen för den gemensamma fiskeripolitiken enligt artikel 43.2 i EUF-fördraget och artikel 2 i förordningen om den gemensamma fiskeripolitiken ska inte beviljas.</w:t>
            </w:r>
          </w:p>
        </w:tc>
        <w:tc>
          <w:tcPr>
            <w:tcW w:w="4876" w:type="dxa"/>
            <w:tcBorders>
              <w:top w:val="nil"/>
              <w:left w:val="nil"/>
              <w:bottom w:val="nil"/>
              <w:right w:val="nil"/>
            </w:tcBorders>
          </w:tcPr>
          <w:p>
            <w:pPr>
              <w:pStyle w:val="Normal6a"/>
            </w:pPr>
            <w:r>
              <w:t>1.</w:t>
            </w:r>
            <w:r>
              <w:tab/>
            </w:r>
            <w:r>
              <w:t>Stöd till fiskeflotta eller aktörer som inte är förenligt med målen för den gemensamma fiskeripolitiken enligt artikel 43.2 i EUF-fördraget och artikel 2 i förordningen om den gemensamma fiskeripolitiken ska inte beviljas.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294</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Stöd till fiskeflotta eller aktörer som inte</w:t>
            </w:r>
            <w:r>
              <w:t xml:space="preserve"> är förenligt med </w:t>
            </w:r>
            <w:r>
              <w:rPr>
                <w:b/>
                <w:i/>
              </w:rPr>
              <w:t>WTO-avtalet om fiskesubventioner och</w:t>
            </w:r>
            <w:r>
              <w:t xml:space="preserve"> målen för den gemensamma fiskeripolitiken </w:t>
            </w:r>
            <w:r>
              <w:rPr>
                <w:b/>
                <w:i/>
              </w:rPr>
              <w:t>enligt artikel 43.2 i EUF-fördraget och artikel 2 i förordningen om den gemensamma fiskeripolitiken ska inte beviljas</w:t>
            </w:r>
            <w:r>
              <w:t>.</w:t>
            </w:r>
          </w:p>
        </w:tc>
        <w:tc>
          <w:tcPr>
            <w:tcW w:w="4876" w:type="dxa"/>
            <w:tcBorders>
              <w:top w:val="nil"/>
              <w:left w:val="nil"/>
              <w:bottom w:val="nil"/>
              <w:right w:val="nil"/>
            </w:tcBorders>
          </w:tcPr>
          <w:p>
            <w:pPr>
              <w:pStyle w:val="Normal6a"/>
            </w:pPr>
            <w:r>
              <w:t>1.</w:t>
            </w:r>
            <w:r>
              <w:tab/>
            </w:r>
            <w:r>
              <w:rPr>
                <w:b/>
                <w:i/>
              </w:rPr>
              <w:t>Unionens stöd ska beviljas endast under förutsättning att det</w:t>
            </w:r>
            <w:r>
              <w:t xml:space="preserve"> är förenligt med målen för den gemensamma fiskeripolitiken </w:t>
            </w:r>
            <w:r>
              <w:rPr>
                <w:b/>
                <w:i/>
              </w:rPr>
              <w:t>och bestämmelserna i denna förordning om efterlevnad av WTO-avtalet om fiskesubventioner</w:t>
            </w:r>
            <w:r>
              <w:rPr>
                <w:b/>
                <w:i/>
                <w:vertAlign w:val="superscript"/>
              </w:rPr>
              <w:t>14a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14a</w:t>
            </w:r>
            <w:r>
              <w:t xml:space="preserve"> </w:t>
            </w:r>
            <w:r>
              <w:rPr>
                <w:b/>
                <w:i/>
              </w:rPr>
              <w:t>Protokoll om ändring av Marrakechavtalet om upprättande av Världshandelsorganisationens Avtal om fiskesubventioner (EUT L 148, 8.6.2023, s.</w:t>
            </w:r>
            <w:r>
              <w:t xml:space="preserve"> </w:t>
            </w:r>
            <w:r>
              <w:rPr>
                <w:b/>
                <w:i/>
              </w:rPr>
              <w:t>3, ELI: http://data.europa.eu/eli/prot/2023/1116/oj).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295</w:t>
      </w:r>
      <w:r>
        <w:rPr>
          <w:rStyle w:val="HideTWBExt"/>
        </w:rPr>
        <w:t>&lt;/NumAm&gt;</w:t>
      </w:r>
    </w:p>
    <w:p>
      <w:pPr>
        <w:pStyle w:val="NormalBold"/>
      </w:pPr>
      <w:r>
        <w:rPr>
          <w:rStyle w:val="HideTWBExt"/>
          <w:b w:val="0"/>
        </w:rPr>
        <w:t>&lt;RepeatBlock-By&gt;</w:t>
      </w:r>
      <w:r>
        <w:rPr>
          <w:rStyle w:val="HideTWBExt"/>
          <w:b w:val="0"/>
        </w:rPr>
        <w:t>&lt;Members&gt;</w:t>
      </w:r>
      <w:r>
        <w:t>Asger Christensen, Emma Wiesner,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 – led 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flottor eller aktörer som inte uppfyller WTO-avtalet om fiskesubventioner och målen för den gemensamma fiskeripolitiken enligt artikel 43.2 i EUF-fördraget och artikel 2 i förordningen om den gemensamma fiskeripolitiken,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296</w:t>
      </w:r>
      <w:r>
        <w:rPr>
          <w:rStyle w:val="HideTWBExt"/>
        </w:rPr>
        <w:t>&lt;/NumAm&gt;</w:t>
      </w:r>
    </w:p>
    <w:p>
      <w:pPr>
        <w:pStyle w:val="NormalBold"/>
      </w:pPr>
      <w:r>
        <w:rPr>
          <w:rStyle w:val="HideTWBExt"/>
          <w:b w:val="0"/>
        </w:rPr>
        <w:t>&lt;RepeatBlock-By&gt;</w:t>
      </w:r>
      <w:r>
        <w:rPr>
          <w:rStyle w:val="HideTWBExt"/>
          <w:b w:val="0"/>
        </w:rPr>
        <w:t>&lt;Members&gt;</w:t>
      </w:r>
      <w:r>
        <w:t>Asger Christensen, Emma Wiesner,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 – led 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w:t>
            </w:r>
            <w:r>
              <w:tab/>
            </w:r>
            <w:r>
              <w:rPr>
                <w:b/>
                <w:i/>
              </w:rPr>
              <w:t>stödmottagare som inte följer den gemensamma fiskeripolitikens regler och har begått någon av de överträdelser och eller något av de brott som förtecknas i artikel 3.4 a–c inom en femårsperiod,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297</w:t>
      </w:r>
      <w:r>
        <w:rPr>
          <w:rStyle w:val="HideTWBExt"/>
        </w:rPr>
        <w:t>&lt;/NumAm&gt;</w:t>
      </w:r>
    </w:p>
    <w:p>
      <w:pPr>
        <w:pStyle w:val="NormalBold"/>
      </w:pPr>
      <w:r>
        <w:rPr>
          <w:rStyle w:val="HideTWBExt"/>
          <w:b w:val="0"/>
        </w:rPr>
        <w:t>&lt;RepeatBlock-By&gt;</w:t>
      </w:r>
      <w:r>
        <w:rPr>
          <w:rStyle w:val="HideTWBExt"/>
          <w:b w:val="0"/>
        </w:rPr>
        <w:t>&lt;Members&gt;</w:t>
      </w:r>
      <w:r>
        <w:t>Asger Christensen, Emma Wiesner,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 – led 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w:t>
            </w:r>
            <w:r>
              <w:tab/>
            </w:r>
            <w:r>
              <w:rPr>
                <w:b/>
                <w:i/>
              </w:rPr>
              <w:t>överföring till tredjeländer eller omflaggning till tredjelands flagg av fiskefartyg, inbegripet genom bildande av samriskföretag med partner i tredjeländer och överföring av äganderätten till ett företag,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298</w:t>
      </w:r>
      <w:r>
        <w:rPr>
          <w:rStyle w:val="HideTWBExt"/>
        </w:rPr>
        <w:t>&lt;/NumAm&gt;</w:t>
      </w:r>
    </w:p>
    <w:p>
      <w:pPr>
        <w:pStyle w:val="NormalBold"/>
      </w:pPr>
      <w:r>
        <w:rPr>
          <w:rStyle w:val="HideTWBExt"/>
          <w:b w:val="0"/>
        </w:rPr>
        <w:t>&lt;RepeatBlock-By&gt;</w:t>
      </w:r>
      <w:r>
        <w:rPr>
          <w:rStyle w:val="HideTWBExt"/>
          <w:b w:val="0"/>
        </w:rPr>
        <w:t>&lt;Members&gt;</w:t>
      </w:r>
      <w:r>
        <w:t>Asger Christensen, Emma Wiesner,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1 – led 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w:t>
            </w:r>
            <w:r>
              <w:tab/>
            </w:r>
            <w:r>
              <w:rPr>
                <w:b/>
                <w:i/>
              </w:rPr>
              <w:t>djuphavsutvinning.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299</w:t>
      </w:r>
      <w:r>
        <w:rPr>
          <w:rStyle w:val="HideTWBExt"/>
        </w:rPr>
        <w:t>&lt;/NumAm&gt;</w:t>
      </w:r>
    </w:p>
    <w:p>
      <w:pPr>
        <w:pStyle w:val="NormalBold"/>
      </w:pPr>
      <w:r>
        <w:rPr>
          <w:rStyle w:val="HideTWBExt"/>
          <w:b w:val="0"/>
        </w:rPr>
        <w:t>&lt;RepeatBlock-By&gt;</w:t>
      </w:r>
      <w:r>
        <w:rPr>
          <w:rStyle w:val="HideTWBExt"/>
          <w:b w:val="0"/>
        </w:rPr>
        <w:t>&lt;Members&gt;</w:t>
      </w:r>
      <w:r>
        <w:t>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stycke 1a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Offentligt stöd får beviljas för slutgiltigt upphörande av fiskeverksamhet, såsom skrotning av fartyg för småskaligt och icke-industriellt fiske, förutsatt att skrotningen motiveras av fartygets bristande ekonomiska lönsamhet, kvotbrist eller restriktiva förvaltningsplaner, samtidigt som rättvis ersättning garanteras.</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300</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Stödmottagare ska vara skyldiga att fortsätta att följa den gemensamma fiskeripolitikens regler och får inte begå någon av de överträdelser och eller något av de brott som förtecknas i artikel 3.4 a–c inom en femårsperiod.</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301</w:t>
      </w:r>
      <w:r>
        <w:rPr>
          <w:rStyle w:val="HideTWBExt"/>
        </w:rPr>
        <w:t>&lt;/NumAm&gt;</w:t>
      </w:r>
    </w:p>
    <w:p>
      <w:pPr>
        <w:pStyle w:val="NormalBold"/>
      </w:pPr>
      <w:r>
        <w:rPr>
          <w:rStyle w:val="HideTWBExt"/>
          <w:b w:val="0"/>
        </w:rPr>
        <w:t>&lt;RepeatBlock-By&gt;</w:t>
      </w:r>
      <w:r>
        <w:rPr>
          <w:rStyle w:val="HideTWBExt"/>
          <w:b w:val="0"/>
        </w:rPr>
        <w:t>&lt;Members&gt;</w:t>
      </w:r>
      <w:r>
        <w:t>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Stödmottagare ska vara skyldiga att fortsätta att följa den gemensamma fiskeripolitikens regler och får inte begå någon av de överträdelser och eller något av de brott som förtecknas i artikel 3.4 </w:t>
            </w:r>
            <w:r>
              <w:rPr>
                <w:b/>
                <w:i/>
              </w:rPr>
              <w:t>a–c</w:t>
            </w:r>
            <w:r>
              <w:t xml:space="preserve"> inom en femårsperiod.</w:t>
            </w:r>
          </w:p>
        </w:tc>
        <w:tc>
          <w:tcPr>
            <w:tcW w:w="4876" w:type="dxa"/>
            <w:tcBorders>
              <w:top w:val="nil"/>
              <w:left w:val="nil"/>
              <w:bottom w:val="nil"/>
              <w:right w:val="nil"/>
            </w:tcBorders>
          </w:tcPr>
          <w:p>
            <w:pPr>
              <w:pStyle w:val="Normal6a"/>
            </w:pPr>
            <w:r>
              <w:t>2.</w:t>
            </w:r>
            <w:r>
              <w:tab/>
            </w:r>
            <w:r>
              <w:t xml:space="preserve">Stödmottagare ska vara skyldiga att fortsätta att följa den gemensamma fiskeripolitikens regler och får inte begå någon av de överträdelser och eller något av de brott som förtecknas i artikel 3.4 </w:t>
            </w:r>
            <w:r>
              <w:rPr>
                <w:b/>
                <w:i/>
              </w:rPr>
              <w:t>a–ca</w:t>
            </w:r>
            <w:r>
              <w:t xml:space="preserve"> inom en femårsperiod.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En insats som inbegriper ett definitivt upphörande av fiskeverksamhet ska betala tillbaka bidraget från fonden om den inte inom tio år efter slutbetalningen uppfyller reglerna i artikel 22 i förordning (EU) nr 1380/2013, det vill säga att fiskekapaciteten för de fiskefartyg som tas ur bruk med offentligt stöd inte ska ersättas.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302</w:t>
      </w:r>
      <w:r>
        <w:rPr>
          <w:rStyle w:val="HideTWBExt"/>
        </w:rPr>
        <w:t>&lt;/NumAm&gt;</w:t>
      </w:r>
    </w:p>
    <w:p>
      <w:pPr>
        <w:pStyle w:val="NormalBold"/>
      </w:pPr>
      <w:r>
        <w:rPr>
          <w:rStyle w:val="HideTWBExt"/>
          <w:b w:val="0"/>
        </w:rPr>
        <w:t>&lt;RepeatBlock-By&gt;</w:t>
      </w:r>
      <w:r>
        <w:rPr>
          <w:rStyle w:val="HideTWBExt"/>
          <w:b w:val="0"/>
        </w:rPr>
        <w:t>&lt;Members&gt;</w:t>
      </w:r>
      <w:r>
        <w:t>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Stödmottagare ska vara skyldiga att fortsätta att följa</w:t>
            </w:r>
            <w:r>
              <w:t xml:space="preserve"> den gemensamma fiskeripolitikens regler </w:t>
            </w:r>
            <w:r>
              <w:rPr>
                <w:b/>
                <w:i/>
              </w:rPr>
              <w:t>och får inte begå någon av de</w:t>
            </w:r>
            <w:r>
              <w:t xml:space="preserve"> överträdelser </w:t>
            </w:r>
            <w:r>
              <w:rPr>
                <w:b/>
                <w:i/>
              </w:rPr>
              <w:t>och eller något av de brott som förtecknas i artikel 3.4 a–c inom en femårsperiod</w:t>
            </w:r>
            <w:r>
              <w:t>.</w:t>
            </w:r>
          </w:p>
        </w:tc>
        <w:tc>
          <w:tcPr>
            <w:tcW w:w="4876" w:type="dxa"/>
            <w:tcBorders>
              <w:top w:val="nil"/>
              <w:left w:val="nil"/>
              <w:bottom w:val="nil"/>
              <w:right w:val="nil"/>
            </w:tcBorders>
          </w:tcPr>
          <w:p>
            <w:pPr>
              <w:pStyle w:val="Normal6a"/>
            </w:pPr>
            <w:r>
              <w:t>2.</w:t>
            </w:r>
            <w:r>
              <w:tab/>
            </w:r>
            <w:r>
              <w:rPr>
                <w:b/>
                <w:i/>
              </w:rPr>
              <w:t>Ekonomiskt stöd från unionen till aktörer ska beviljas på villkor att aktörerna följer</w:t>
            </w:r>
            <w:r>
              <w:t xml:space="preserve"> den gemensamma fiskeripolitikens regler</w:t>
            </w:r>
            <w:r>
              <w:rPr>
                <w:b/>
                <w:i/>
              </w:rPr>
              <w:t>.</w:t>
            </w:r>
            <w:r>
              <w:t xml:space="preserve"> </w:t>
            </w:r>
            <w:r>
              <w:rPr>
                <w:b/>
                <w:i/>
              </w:rPr>
              <w:t>Utöver eventuella begränsningar av eller förbud mot tillgång till offentlig finansiering som införts genom administrativa eller rättsliga beslut ska medlemsstaterna därför säkerställa att ekonomiskt stöd från unionen endast beviljas aktören om denne inte har varit föremål för sanktioner på grund av allvarliga</w:t>
            </w:r>
            <w:r>
              <w:t xml:space="preserve"> överträdelser </w:t>
            </w:r>
            <w:r>
              <w:rPr>
                <w:b/>
                <w:i/>
              </w:rPr>
              <w:t>under det år som föregår datumet för ansökan om stödet från unionen</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303</w:t>
      </w:r>
      <w:r>
        <w:rPr>
          <w:rStyle w:val="HideTWBExt"/>
        </w:rPr>
        <w:t>&lt;/NumAm&gt;</w:t>
      </w:r>
    </w:p>
    <w:p>
      <w:pPr>
        <w:pStyle w:val="NormalBold"/>
      </w:pPr>
      <w:r>
        <w:rPr>
          <w:rStyle w:val="HideTWBExt"/>
          <w:b w:val="0"/>
        </w:rPr>
        <w:t>&lt;RepeatBlock-By&gt;</w:t>
      </w:r>
      <w:r>
        <w:rPr>
          <w:rStyle w:val="HideTWBExt"/>
          <w:b w:val="0"/>
        </w:rPr>
        <w:t>&lt;Members&gt;</w:t>
      </w:r>
      <w:r>
        <w:t>Sebastian Everding, Anja Hazekamp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Stödmottagare ska vara skyldiga att fortsätta att följa den gemensamma fiskeripolitikens regler och får inte begå någon </w:t>
            </w:r>
            <w:r>
              <w:rPr>
                <w:b/>
                <w:i/>
              </w:rPr>
              <w:t>av de överträdelser och</w:t>
            </w:r>
            <w:r>
              <w:t xml:space="preserve"> eller något </w:t>
            </w:r>
            <w:r>
              <w:rPr>
                <w:b/>
                <w:i/>
              </w:rPr>
              <w:t>av de</w:t>
            </w:r>
            <w:r>
              <w:t xml:space="preserve"> brott </w:t>
            </w:r>
            <w:r>
              <w:rPr>
                <w:b/>
                <w:i/>
              </w:rPr>
              <w:t>som förtecknas i artikel 3.4 a–c</w:t>
            </w:r>
            <w:r>
              <w:t xml:space="preserve"> inom en femårsperiod.</w:t>
            </w:r>
          </w:p>
        </w:tc>
        <w:tc>
          <w:tcPr>
            <w:tcW w:w="4876" w:type="dxa"/>
            <w:tcBorders>
              <w:top w:val="nil"/>
              <w:left w:val="nil"/>
              <w:bottom w:val="nil"/>
              <w:right w:val="nil"/>
            </w:tcBorders>
          </w:tcPr>
          <w:p>
            <w:pPr>
              <w:pStyle w:val="Normal6a"/>
            </w:pPr>
            <w:r>
              <w:t>2.</w:t>
            </w:r>
            <w:r>
              <w:tab/>
            </w:r>
            <w:r>
              <w:t xml:space="preserve">Stödmottagare ska vara skyldiga att fortsätta att följa den gemensamma fiskeripolitikens regler </w:t>
            </w:r>
            <w:r>
              <w:rPr>
                <w:b/>
                <w:i/>
              </w:rPr>
              <w:t>samt unionens miljölagstiftning, djurskyddslagstiftning, naturskyddslagstiftning och lagstiftning som skyddar sårbara och skyddade arter</w:t>
            </w:r>
            <w:r>
              <w:t xml:space="preserve"> och får inte begå någon </w:t>
            </w:r>
            <w:r>
              <w:rPr>
                <w:b/>
                <w:i/>
              </w:rPr>
              <w:t>överträdelse</w:t>
            </w:r>
            <w:r>
              <w:t xml:space="preserve"> eller något brott inom en femårsperiod.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304</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Stödmottagare ska vara skyldiga att fortsätta att följa den gemensamma fiskeripolitikens regler och får inte begå någon av de överträdelser och eller något av de brott som förtecknas i artikel </w:t>
            </w:r>
            <w:r>
              <w:rPr>
                <w:b/>
                <w:i/>
              </w:rPr>
              <w:t>3.4</w:t>
            </w:r>
            <w:r>
              <w:t xml:space="preserve"> a–c inom en femårsperiod.</w:t>
            </w:r>
          </w:p>
        </w:tc>
        <w:tc>
          <w:tcPr>
            <w:tcW w:w="4876" w:type="dxa"/>
            <w:tcBorders>
              <w:top w:val="nil"/>
              <w:left w:val="nil"/>
              <w:bottom w:val="nil"/>
              <w:right w:val="nil"/>
            </w:tcBorders>
          </w:tcPr>
          <w:p>
            <w:pPr>
              <w:pStyle w:val="Normal6a"/>
            </w:pPr>
            <w:r>
              <w:t>2.</w:t>
            </w:r>
            <w:r>
              <w:tab/>
            </w:r>
            <w:r>
              <w:t>Stödmottagare ska vara skyldiga att fortsätta att följa den gemensamma fiskeripolitikens regler och får inte begå någon av de överträdelser och eller något av de brott som förtecknas i artikel </w:t>
            </w:r>
            <w:r>
              <w:rPr>
                <w:b/>
                <w:i/>
              </w:rPr>
              <w:t>3d.1</w:t>
            </w:r>
            <w:r>
              <w:t xml:space="preserve"> a–c inom en femårsperiod </w:t>
            </w:r>
            <w:r>
              <w:rPr>
                <w:b/>
                <w:i/>
              </w:rPr>
              <w:t>efter den tidpunkt då stödet beviljades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305</w:t>
      </w:r>
      <w:r>
        <w:rPr>
          <w:rStyle w:val="HideTWBExt"/>
        </w:rPr>
        <w:t>&lt;/NumAm&gt;</w:t>
      </w:r>
    </w:p>
    <w:p>
      <w:pPr>
        <w:pStyle w:val="NormalBold"/>
      </w:pPr>
      <w:r>
        <w:rPr>
          <w:rStyle w:val="HideTWBExt"/>
          <w:b w:val="0"/>
        </w:rPr>
        <w:t>&lt;RepeatBlock-By&gt;</w:t>
      </w:r>
      <w:r>
        <w:rPr>
          <w:rStyle w:val="HideTWBExt"/>
          <w:b w:val="0"/>
        </w:rPr>
        <w:t>&lt;Members&gt;</w:t>
      </w:r>
      <w:r>
        <w:t>Bert-Jan Ruissen,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Stödmottagare ska vara skyldiga att fortsätta att följa den gemensamma fiskeripolitikens regler och får inte begå någon av de överträdelser och eller något av de brott som förtecknas i artikel 3.4 a–c inom </w:t>
            </w:r>
            <w:r>
              <w:rPr>
                <w:b/>
                <w:i/>
              </w:rPr>
              <w:t>en femårsperiod</w:t>
            </w:r>
            <w:r>
              <w:t>.</w:t>
            </w:r>
          </w:p>
        </w:tc>
        <w:tc>
          <w:tcPr>
            <w:tcW w:w="4876" w:type="dxa"/>
            <w:tcBorders>
              <w:top w:val="nil"/>
              <w:left w:val="nil"/>
              <w:bottom w:val="nil"/>
              <w:right w:val="nil"/>
            </w:tcBorders>
          </w:tcPr>
          <w:p>
            <w:pPr>
              <w:pStyle w:val="Normal6a"/>
            </w:pPr>
            <w:r>
              <w:t>2.</w:t>
            </w:r>
            <w:r>
              <w:tab/>
            </w:r>
            <w:r>
              <w:t xml:space="preserve">Stödmottagare ska vara skyldiga att fortsätta att följa den gemensamma fiskeripolitikens regler och får inte begå någon av de överträdelser och eller något av de brott som förtecknas i artikel 3.4 a–c inom </w:t>
            </w:r>
            <w:r>
              <w:rPr>
                <w:b/>
                <w:i/>
              </w:rPr>
              <w:t>sex månader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306</w:t>
      </w:r>
      <w:r>
        <w:rPr>
          <w:rStyle w:val="HideTWBExt"/>
        </w:rPr>
        <w:t>&lt;/NumAm&gt;</w:t>
      </w:r>
    </w:p>
    <w:p>
      <w:pPr>
        <w:pStyle w:val="NormalBold"/>
      </w:pPr>
      <w:r>
        <w:rPr>
          <w:rStyle w:val="HideTWBExt"/>
          <w:b w:val="0"/>
        </w:rPr>
        <w:t>&lt;RepeatBlock-By&gt;</w:t>
      </w:r>
      <w:r>
        <w:rPr>
          <w:rStyle w:val="HideTWBExt"/>
          <w:b w:val="0"/>
        </w:rPr>
        <w:t>&lt;Members&gt;</w:t>
      </w:r>
      <w:r>
        <w:t>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Stödmottagare ska vara skyldiga att fortsätta att följa den gemensamma fiskeripolitikens regler och får inte begå någon av de överträdelser och eller något av de brott som förtecknas i artikel 3.4 a–c inom en </w:t>
            </w:r>
            <w:r>
              <w:rPr>
                <w:b/>
                <w:i/>
              </w:rPr>
              <w:t>femårsperiod</w:t>
            </w:r>
            <w:r>
              <w:t>.</w:t>
            </w:r>
          </w:p>
        </w:tc>
        <w:tc>
          <w:tcPr>
            <w:tcW w:w="4876" w:type="dxa"/>
            <w:tcBorders>
              <w:top w:val="nil"/>
              <w:left w:val="nil"/>
              <w:bottom w:val="nil"/>
              <w:right w:val="nil"/>
            </w:tcBorders>
          </w:tcPr>
          <w:p>
            <w:pPr>
              <w:pStyle w:val="Normal6a"/>
            </w:pPr>
            <w:r>
              <w:t>2.</w:t>
            </w:r>
            <w:r>
              <w:tab/>
            </w:r>
            <w:r>
              <w:t xml:space="preserve">Stödmottagare ska vara skyldiga att fortsätta att följa den gemensamma fiskeripolitikens regler och får inte begå någon av de överträdelser och eller något av de brott som förtecknas i artikel 3.4 a–c inom en </w:t>
            </w:r>
            <w:r>
              <w:rPr>
                <w:b/>
                <w:i/>
              </w:rPr>
              <w:t>treårsperiod</w:t>
            </w:r>
            <w:r>
              <w:t>.</w:t>
            </w:r>
          </w:p>
        </w:tc>
      </w:tr>
    </w:tbl>
    <w:p>
      <w:pPr>
        <w:pStyle w:val="AmOrLang"/>
      </w:pPr>
      <w:r>
        <w:t xml:space="preserve">Or. </w:t>
      </w:r>
      <w:r>
        <w:rPr>
          <w:rStyle w:val="HideTWBExt"/>
        </w:rPr>
        <w:t>&lt;Original&gt;</w:t>
      </w:r>
      <w:r>
        <w:rPr>
          <w:rStyle w:val="HideTWBInt"/>
        </w:rPr>
        <w:t>{DA}</w:t>
      </w:r>
      <w:r>
        <w:t>da</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307</w:t>
      </w:r>
      <w:r>
        <w:rPr>
          <w:rStyle w:val="HideTWBExt"/>
        </w:rPr>
        <w:t>&lt;/NumAm&gt;</w:t>
      </w:r>
    </w:p>
    <w:p>
      <w:pPr>
        <w:pStyle w:val="NormalBold"/>
      </w:pPr>
      <w:r>
        <w:rPr>
          <w:rStyle w:val="HideTWBExt"/>
          <w:b w:val="0"/>
        </w:rPr>
        <w:t>&lt;RepeatBlock-By&gt;</w:t>
      </w:r>
      <w:r>
        <w:rPr>
          <w:rStyle w:val="HideTWBExt"/>
          <w:b w:val="0"/>
        </w:rPr>
        <w:t>&lt;Members&gt;</w:t>
      </w:r>
      <w:r>
        <w:t>Siegbert Frank Droese, Volker Schnurrbusch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Överföring till tredjeländer eller omflaggning till tredjelandsflagg av fiskefartyg, inbegripet genom bildande av samriskföretag med partner i tredjeländer och överföring av äganderätten till ett företag, ska inte vara stödberättigande.</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308</w:t>
      </w:r>
      <w:r>
        <w:rPr>
          <w:rStyle w:val="HideTWBExt"/>
        </w:rPr>
        <w:t>&lt;/NumAm&gt;</w:t>
      </w:r>
    </w:p>
    <w:p>
      <w:pPr>
        <w:pStyle w:val="NormalBold"/>
      </w:pPr>
      <w:r>
        <w:rPr>
          <w:rStyle w:val="HideTWBExt"/>
          <w:b w:val="0"/>
        </w:rPr>
        <w:t>&lt;RepeatBlock-By&gt;</w:t>
      </w:r>
      <w:r>
        <w:rPr>
          <w:rStyle w:val="HideTWBExt"/>
          <w:b w:val="0"/>
        </w:rPr>
        <w:t>&lt;Members&gt;</w:t>
      </w:r>
      <w:r>
        <w:t>Bert-Jan Ruissen,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Överföring till tredjeländer eller omflaggning till tredjelandsflagg av fiskefartyg, inbegripet genom bildande av samriskföretag med partner i tredjeländer och överföring av äganderätten till ett företag, ska inte vara stödberättigande.</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Överföring till tredjeländer eller omflaggning till tredjelandsflagg av fiskefartyg, inbegripet genom bildande av samriskföretag med partner i tredjeländer </w:t>
            </w:r>
            <w:r>
              <w:rPr>
                <w:b/>
                <w:i/>
              </w:rPr>
              <w:t>och överföring av äganderätten till ett företag</w:t>
            </w:r>
            <w:r>
              <w:t>, ska inte vara stödberättigande.</w:t>
            </w:r>
          </w:p>
        </w:tc>
        <w:tc>
          <w:tcPr>
            <w:tcW w:w="4876" w:type="dxa"/>
            <w:tcBorders>
              <w:top w:val="nil"/>
              <w:left w:val="nil"/>
              <w:bottom w:val="nil"/>
              <w:right w:val="nil"/>
            </w:tcBorders>
          </w:tcPr>
          <w:p>
            <w:pPr>
              <w:pStyle w:val="Normal6a"/>
            </w:pPr>
            <w:r>
              <w:t>3.</w:t>
            </w:r>
            <w:r>
              <w:tab/>
            </w:r>
            <w:r>
              <w:t>Överföring till tredjeländer eller omflaggning till tredjelandsflagg av fiskefartyg, inbegripet genom bildande av samriskföretag med partner i tredjeländer, ska inte vara stödberättigande.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310</w:t>
      </w:r>
      <w:r>
        <w:rPr>
          <w:rStyle w:val="HideTWBExt"/>
        </w:rPr>
        <w:t>&lt;/NumAm&gt;</w:t>
      </w:r>
    </w:p>
    <w:p>
      <w:pPr>
        <w:pStyle w:val="NormalBold"/>
      </w:pPr>
      <w:r>
        <w:rPr>
          <w:rStyle w:val="HideTWBExt"/>
          <w:b w:val="0"/>
        </w:rPr>
        <w:t>&lt;RepeatBlock-By&gt;</w:t>
      </w:r>
      <w:r>
        <w:rPr>
          <w:rStyle w:val="HideTWBExt"/>
          <w:b w:val="0"/>
        </w:rPr>
        <w:t>&lt;Members&gt;</w:t>
      </w:r>
      <w:r>
        <w:t>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Överföring </w:t>
            </w:r>
            <w:r>
              <w:rPr>
                <w:b/>
                <w:i/>
              </w:rPr>
              <w:t>till tredjeländer</w:t>
            </w:r>
            <w:r>
              <w:t xml:space="preserve"> eller omflaggning till tredjelandsflagg av fiskefartyg, </w:t>
            </w:r>
            <w:r>
              <w:rPr>
                <w:b/>
                <w:i/>
              </w:rPr>
              <w:t>inbegripet</w:t>
            </w:r>
            <w:r>
              <w:t xml:space="preserve"> genom bildande av samriskföretag med partner i tredjeländer </w:t>
            </w:r>
            <w:r>
              <w:rPr>
                <w:b/>
                <w:i/>
              </w:rPr>
              <w:t>och överföring av äganderätten till ett företag</w:t>
            </w:r>
            <w:r>
              <w:t>, ska inte vara stödberättigande.</w:t>
            </w:r>
          </w:p>
        </w:tc>
        <w:tc>
          <w:tcPr>
            <w:tcW w:w="4876" w:type="dxa"/>
            <w:tcBorders>
              <w:top w:val="nil"/>
              <w:left w:val="nil"/>
              <w:bottom w:val="nil"/>
              <w:right w:val="nil"/>
            </w:tcBorders>
          </w:tcPr>
          <w:p>
            <w:pPr>
              <w:pStyle w:val="Normal6a"/>
            </w:pPr>
            <w:r>
              <w:t>3.</w:t>
            </w:r>
            <w:r>
              <w:tab/>
            </w:r>
            <w:r>
              <w:t xml:space="preserve">Överföring </w:t>
            </w:r>
            <w:r>
              <w:rPr>
                <w:b/>
                <w:i/>
              </w:rPr>
              <w:t>av äganderätten till ett företag</w:t>
            </w:r>
            <w:r>
              <w:t xml:space="preserve"> eller omflaggning till tredjelandsflagg av fiskefartyg, </w:t>
            </w:r>
            <w:r>
              <w:rPr>
                <w:b/>
                <w:i/>
              </w:rPr>
              <w:t>förutom</w:t>
            </w:r>
            <w:r>
              <w:t xml:space="preserve"> genom bildande av samriskföretag med partner i tredjeländer, ska inte vara stödberättigande.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311</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Genom undantag från punkt 3 kan förvärv av ett fiskefartyg eller förvärv av del i ett fiskefartyg vara stödberättigande om stödet ges till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en fysisk person som är högst 40 år vid tidpunkten för inlämnandet av stödansökan och som har arbetat minst fem år som fiskare eller har förvärvat lämpliga kvalifikationer,</w:t>
            </w:r>
            <w:r>
              <w:rPr>
                <w:b/>
                <w:i/>
              </w:rPr>
              <w:t>eller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en juridisk person som är helägd av en eller flera fysiska personer som var och en uppfyller villkoren i led 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312</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3b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Stöd enligt denna artikel får beviljas för det gemensamma första förvärvet av ett fiskefartyg av flera fysiska personer som var och en uppfyller de villkor som anges i punkt 3a.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313</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3c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3c.</w:t>
            </w:r>
            <w:r>
              <w:tab/>
            </w:r>
            <w:r>
              <w:rPr>
                <w:b/>
                <w:i/>
              </w:rPr>
              <w:t>Stöd enligt denna artikel får också beviljas för förvärv av ett delägarskap i ett fiskefartyg av en fysisk person som uppfyller villkoren i punkt 3a och som anses ha kontrollrättigheter i det fartyget genom att denna person äger minst 33 % av fartyget eller av andelarna i fartyget eller av en juridisk person som uppfyller villkoren i punkt 3a och som anses ha kontrollrättigheter i det fartyget genom att denna person äger minst 33 % av fartyget eller av andelarna i fartyget.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314</w:t>
      </w:r>
      <w:r>
        <w:rPr>
          <w:rStyle w:val="HideTWBExt"/>
        </w:rPr>
        <w:t>&lt;/NumAm&gt;</w:t>
      </w:r>
    </w:p>
    <w:p>
      <w:pPr>
        <w:pStyle w:val="NormalBold"/>
      </w:pPr>
      <w:r>
        <w:rPr>
          <w:rStyle w:val="HideTWBExt"/>
          <w:b w:val="0"/>
        </w:rPr>
        <w:t>&lt;RepeatBlock-By&gt;</w:t>
      </w:r>
      <w:r>
        <w:rPr>
          <w:rStyle w:val="HideTWBExt"/>
          <w:b w:val="0"/>
        </w:rPr>
        <w:t>&lt;Members&gt;</w:t>
      </w:r>
      <w:r>
        <w:t>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Djuphavsutvinning ska inte stödjas.</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315</w:t>
      </w:r>
      <w:r>
        <w:rPr>
          <w:rStyle w:val="HideTWBExt"/>
        </w:rPr>
        <w:t>&lt;/NumAm&gt;</w:t>
      </w:r>
    </w:p>
    <w:p>
      <w:pPr>
        <w:pStyle w:val="NormalBold"/>
      </w:pPr>
      <w:r>
        <w:rPr>
          <w:rStyle w:val="HideTWBExt"/>
          <w:b w:val="0"/>
        </w:rPr>
        <w:t>&lt;RepeatBlock-By&gt;</w:t>
      </w:r>
      <w:r>
        <w:rPr>
          <w:rStyle w:val="HideTWBExt"/>
          <w:b w:val="0"/>
        </w:rPr>
        <w:t>&lt;Members&gt;</w:t>
      </w:r>
      <w:r>
        <w:t>Bert-Jan Ruissen,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Djuphavsutvinning ska inte stödjas.</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316</w:t>
      </w:r>
      <w:r>
        <w:rPr>
          <w:rStyle w:val="HideTWBExt"/>
        </w:rPr>
        <w:t>&lt;/NumAm&gt;</w:t>
      </w:r>
    </w:p>
    <w:p>
      <w:pPr>
        <w:pStyle w:val="NormalBold"/>
      </w:pPr>
      <w:r>
        <w:rPr>
          <w:rStyle w:val="HideTWBExt"/>
          <w:b w:val="0"/>
        </w:rPr>
        <w:t>&lt;RepeatBlock-By&gt;</w:t>
      </w:r>
      <w:r>
        <w:rPr>
          <w:rStyle w:val="HideTWBExt"/>
          <w:b w:val="0"/>
        </w:rPr>
        <w:t>&lt;Members&gt;</w:t>
      </w:r>
      <w:r>
        <w:t>Siegbert Frank Droese, Volker Schnurrbusch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Djuphavsutvinning ska inte stödjas.</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317</w:t>
      </w:r>
      <w:r>
        <w:rPr>
          <w:rStyle w:val="HideTWBExt"/>
        </w:rPr>
        <w:t>&lt;/NumAm&gt;</w:t>
      </w:r>
    </w:p>
    <w:p>
      <w:pPr>
        <w:pStyle w:val="NormalBold"/>
      </w:pPr>
      <w:r>
        <w:rPr>
          <w:rStyle w:val="HideTWBExt"/>
          <w:b w:val="0"/>
        </w:rPr>
        <w:t>&lt;RepeatBlock-By&gt;</w:t>
      </w:r>
      <w:r>
        <w:rPr>
          <w:rStyle w:val="HideTWBExt"/>
          <w:b w:val="0"/>
        </w:rPr>
        <w:t>&lt;Members&gt;</w:t>
      </w:r>
      <w:r>
        <w:t>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Djuphavsutvinning ska inte stödjas.</w:t>
            </w:r>
          </w:p>
        </w:tc>
        <w:tc>
          <w:tcPr>
            <w:tcW w:w="4876" w:type="dxa"/>
            <w:tcBorders>
              <w:top w:val="nil"/>
              <w:left w:val="nil"/>
              <w:bottom w:val="nil"/>
              <w:right w:val="nil"/>
            </w:tcBorders>
          </w:tcPr>
          <w:p>
            <w:pPr>
              <w:pStyle w:val="Normal6a"/>
            </w:pPr>
            <w:r>
              <w:t>4.</w:t>
            </w:r>
            <w:r>
              <w:tab/>
            </w:r>
            <w:r>
              <w:t>Djuphavsutvinning ska inte stödjas.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Verksamhet som rör övervakning av och forskning om marina biologiska resurser i områden utanför nationell jurisdiktion får stödjas när de bidrar till genomförandet av avtalet om bevarande och hållbar användning av marin biologisk mångfald i områden utanför nationell jurisdiktion.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318</w:t>
      </w:r>
      <w:r>
        <w:rPr>
          <w:rStyle w:val="HideTWBExt"/>
        </w:rPr>
        <w:t>&lt;/NumAm&gt;</w:t>
      </w:r>
    </w:p>
    <w:p>
      <w:pPr>
        <w:pStyle w:val="NormalBold"/>
      </w:pPr>
      <w:r>
        <w:rPr>
          <w:rStyle w:val="HideTWBExt"/>
          <w:b w:val="0"/>
        </w:rPr>
        <w:t>&lt;RepeatBlock-By&gt;</w:t>
      </w:r>
      <w:r>
        <w:rPr>
          <w:rStyle w:val="HideTWBExt"/>
          <w:b w:val="0"/>
        </w:rPr>
        <w:t>&lt;Members&gt;</w:t>
      </w:r>
      <w:r>
        <w:t>Paulo do Nascimento Cabral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Djuphavsutvinning ska inte stödjas.</w:t>
            </w:r>
          </w:p>
        </w:tc>
        <w:tc>
          <w:tcPr>
            <w:tcW w:w="4876" w:type="dxa"/>
            <w:tcBorders>
              <w:top w:val="nil"/>
              <w:left w:val="nil"/>
              <w:bottom w:val="nil"/>
              <w:right w:val="nil"/>
            </w:tcBorders>
          </w:tcPr>
          <w:p>
            <w:pPr>
              <w:pStyle w:val="Normal6a"/>
            </w:pPr>
            <w:r>
              <w:t>4.</w:t>
            </w:r>
            <w:r>
              <w:tab/>
            </w:r>
            <w:r>
              <w:t>Djuphavsutvinning ska inte stödjas</w:t>
            </w:r>
            <w:r>
              <w:rPr>
                <w:b/>
                <w:i/>
              </w:rPr>
              <w:t>, och inte heller gå vidare till prospekteringsfasen, så länge moratoriet är i kraft och till dess att de miljömässiga, sociala och ekonomiska följderna har utvärderats fullständigt på grundval av solida och oberoende vetenskapliga rön</w:t>
            </w:r>
            <w:r>
              <w:t>.</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319</w:t>
      </w:r>
      <w:r>
        <w:rPr>
          <w:rStyle w:val="HideTWBExt"/>
        </w:rPr>
        <w:t>&lt;/NumAm&gt;</w:t>
      </w:r>
    </w:p>
    <w:p>
      <w:pPr>
        <w:pStyle w:val="NormalBold"/>
      </w:pPr>
      <w:r>
        <w:rPr>
          <w:rStyle w:val="HideTWBExt"/>
          <w:b w:val="0"/>
        </w:rPr>
        <w:t>&lt;RepeatBlock-By&gt;</w:t>
      </w:r>
      <w:r>
        <w:rPr>
          <w:rStyle w:val="HideTWBExt"/>
          <w:b w:val="0"/>
        </w:rPr>
        <w:t>&lt;Members&gt;</w:t>
      </w:r>
      <w:r>
        <w:t>Anna Maria Cisint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Djuphavsutvinning ska inte stödjas.</w:t>
            </w:r>
          </w:p>
        </w:tc>
        <w:tc>
          <w:tcPr>
            <w:tcW w:w="4876" w:type="dxa"/>
            <w:tcBorders>
              <w:top w:val="nil"/>
              <w:left w:val="nil"/>
              <w:bottom w:val="nil"/>
              <w:right w:val="nil"/>
            </w:tcBorders>
          </w:tcPr>
          <w:p>
            <w:pPr>
              <w:pStyle w:val="Normal6a"/>
            </w:pPr>
            <w:r>
              <w:t>4.</w:t>
            </w:r>
            <w:r>
              <w:tab/>
            </w:r>
            <w:r>
              <w:t>Djuphavsutvinning ska inte stödjas</w:t>
            </w:r>
            <w:r>
              <w:rPr>
                <w:b/>
                <w:i/>
              </w:rPr>
              <w:t>, i syfte att inte ytterligare öka påfrestningarna på fiskbestånden</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320</w:t>
      </w:r>
      <w:r>
        <w:rPr>
          <w:rStyle w:val="HideTWBExt"/>
        </w:rPr>
        <w:t>&lt;/NumAm&gt;</w:t>
      </w:r>
    </w:p>
    <w:p>
      <w:pPr>
        <w:pStyle w:val="NormalBold"/>
      </w:pPr>
      <w:r>
        <w:rPr>
          <w:rStyle w:val="HideTWBExt"/>
          <w:b w:val="0"/>
        </w:rPr>
        <w:t>&lt;RepeatBlock-By&gt;</w:t>
      </w:r>
      <w:r>
        <w:rPr>
          <w:rStyle w:val="HideTWBExt"/>
          <w:b w:val="0"/>
        </w:rPr>
        <w:t>&lt;Members&gt;</w:t>
      </w:r>
      <w:r>
        <w:t>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Frivilliga åtaganden från fiskare, däribland att ställa om till ett flottsegment med lägre miljöpåverkan och mer selektiva fiskemetoder som kan minska det systematiska avlägsnandet av större och äldre fiskar och bättre skydda beståndets rekryteringspotential, ska vara stödberättigande.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Stöd till omställningsåtgärden ska beviljas på grundval av en handlingsplan för omställning som utarbetats av en fiskare och som godkänts och bedömts överensstämma med en handlingsplan för de flottsegment där en strukturell överkapacitet har konstaterats som en medlemsstat lämnat in till kommissionen i enlighet med artikel 22 i förordning (EU) nr 1380/2013.</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När en omställningsåtgärd inbegriper tillfälligt upphörande av fiskeverksamhet, ska handlingsplanen för omställningen innehålla information om hur länge upphörandet varar och vilka bestånd som gynnas av det.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Det tillfälliga upphörandet ska endast omfatta perioden för fiskesäsongen för respektive bestånd och ska omfatta hela denna period.</w:t>
            </w:r>
            <w:r>
              <w:t xml:space="preserve"> </w:t>
            </w:r>
            <w:r>
              <w:rPr>
                <w:b/>
                <w:i/>
              </w:rPr>
              <w:t>Det tillfälliga upphörandet av fiskeverksamhet ska vara stödberättigande endast för fartyg på upp till 33 meter.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321</w:t>
      </w:r>
      <w:r>
        <w:rPr>
          <w:rStyle w:val="HideTWBExt"/>
        </w:rPr>
        <w:t>&lt;/NumAm&gt;</w:t>
      </w:r>
    </w:p>
    <w:p>
      <w:pPr>
        <w:pStyle w:val="NormalBold"/>
      </w:pPr>
      <w:r>
        <w:rPr>
          <w:rStyle w:val="HideTWBExt"/>
          <w:b w:val="0"/>
        </w:rPr>
        <w:t>&lt;RepeatBlock-By&gt;</w:t>
      </w:r>
      <w:r>
        <w:rPr>
          <w:rStyle w:val="HideTWBExt"/>
          <w:b w:val="0"/>
        </w:rPr>
        <w:t>&lt;Members&gt;</w:t>
      </w:r>
      <w:r>
        <w:t>Siegbert Frank Droese, Volker Schnurrbusch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Genomförandebefogenheter och ställning för kommissionens vägledning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rPr>
                <w:b/>
                <w:i/>
              </w:rPr>
              <w:t>Kommissionen ges inte befogenhet att anta delegerade akter enligt den här förordningen.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rPr>
                <w:b/>
                <w:i/>
              </w:rPr>
              <w:t>I den mån det behövs regler för ett enhetligt genomförande av denna förordning ska dessa antas genom genomförandeakter enligt det granskningsförfarande som avses i artikel 5 i förordning (EU) nr 182/2011, vilket säkerställer medlemsstaternas kontroll.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All vägledning, alla riktlinjer eller andra icke-bindande instrument som kommissionen utfärdar med avseende på denna förordning eller Fonden för nationellt och regionalt partnerskap ska endast tjäna som information.</w:t>
            </w:r>
            <w:r>
              <w:t xml:space="preserve"> </w:t>
            </w:r>
            <w:r>
              <w:rPr>
                <w:b/>
                <w:i/>
              </w:rPr>
              <w:t>De får inte medföra skyldigheter för medlemsstater, regionala eller lokala myndigheter eller stödmottagare, inte användas som villkor för tillgång till finansiering och inte åberopas som grund för en juridisk tolkning i något administrativt eller rättsligt förfarande.</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322</w:t>
      </w:r>
      <w:r>
        <w:rPr>
          <w:rStyle w:val="HideTWBExt"/>
        </w:rPr>
        <w:t>&lt;/NumAm&gt;</w:t>
      </w:r>
    </w:p>
    <w:p>
      <w:pPr>
        <w:pStyle w:val="NormalBold"/>
      </w:pPr>
      <w:r>
        <w:rPr>
          <w:rStyle w:val="HideTWBExt"/>
          <w:b w:val="0"/>
        </w:rPr>
        <w:t>&lt;RepeatBlock-By&gt;</w:t>
      </w:r>
      <w:r>
        <w:rPr>
          <w:rStyle w:val="HideTWBExt"/>
          <w:b w:val="0"/>
        </w:rPr>
        <w:t>&lt;Members&gt;</w:t>
      </w:r>
      <w:r>
        <w:t>Sebastian Everding, Anja Hazekamp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Medlemsstater ska prioritera aktörer som bidrar till skydd och återställande av marin biologisk mångfald, minskning av bifångster och utkast, skydd av sårbara och skyddade arter, minskning av växthusgasutsläpp och föroreningar, omställning till skonsamma och selektiva fiskemetoder samt förbättring av djurskydd inom vattenbruk och fiske.</w:t>
            </w:r>
            <w:r>
              <w:t xml:space="preserve"> </w:t>
            </w:r>
            <w:r>
              <w:rPr>
                <w:b/>
                <w:i/>
              </w:rPr>
              <w:t>Aktörer som använder bottentrålning och annan verksamhet som skadar havsbotten ska inte erhålla stöd.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323</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Stöd till fartyg som använder släpredskap enligt definitionen i artikel 2.1 i rådets förordning (EG) nr 1967/2006 ska inte beviljas, annat än till fiskefartyg med en total längd på 33 meter eller mindre, antingen i det särskilda fallet med omställning bort från släpredskap enligt definitionen i artikel 2.1 i rådets förordning (EG) nr 1967/2006 eller för obligatoriska program för definitivt upphörande.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324</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Inget stöd ska beviljas till ägare av eller aktörer med unionsfiskefartyg som använder släpredskap enligt definitionen i artikel 2.1 i rådets förordning (EG) nr 1967/2006, annat än i det särskilda fallet med omställning bort från släpredskap enligt definitionen i artikel 2.1 i rådets förordning (EG) nr 1967/2006 eller för obligatoriska program för definitivt upphörande.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325</w:t>
      </w:r>
      <w:r>
        <w:rPr>
          <w:rStyle w:val="HideTWBExt"/>
        </w:rPr>
        <w:t>&lt;/NumAm&gt;</w:t>
      </w:r>
    </w:p>
    <w:p>
      <w:pPr>
        <w:pStyle w:val="NormalBold"/>
      </w:pPr>
      <w:r>
        <w:rPr>
          <w:rStyle w:val="HideTWBExt"/>
          <w:b w:val="0"/>
        </w:rPr>
        <w:t>&lt;RepeatBlock-By&gt;</w:t>
      </w:r>
      <w:r>
        <w:rPr>
          <w:rStyle w:val="HideTWBExt"/>
          <w:b w:val="0"/>
        </w:rPr>
        <w:t>&lt;Members&gt;</w:t>
      </w:r>
      <w:r>
        <w:t>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stycke 4a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Om inte annat uttryckligen föreskrivs i denna förordning ska allt stöd som inte är uttryckligen förbjudet anses vara tillåtet, vilket säkerställer rättslig säkerhet för både medlemsstaterna och stödmottagarna.</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326</w:t>
      </w:r>
      <w:r>
        <w:rPr>
          <w:rStyle w:val="HideTWBExt"/>
        </w:rPr>
        <w:t>&lt;/NumAm&gt;</w:t>
      </w:r>
    </w:p>
    <w:p>
      <w:pPr>
        <w:pStyle w:val="NormalBold"/>
      </w:pPr>
      <w:r>
        <w:rPr>
          <w:rStyle w:val="HideTWBExt"/>
          <w:b w:val="0"/>
        </w:rPr>
        <w:t>&lt;RepeatBlock-By&gt;</w:t>
      </w:r>
      <w:r>
        <w:rPr>
          <w:rStyle w:val="HideTWBExt"/>
          <w:b w:val="0"/>
        </w:rPr>
        <w:t>&lt;Members&gt;</w:t>
      </w:r>
      <w:r>
        <w:t>Bert-Jan Ruissen,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Finansiering och verksamhet som rör fiske och vattenbruk ska undantas från tillämpningen av principen om att inte orsaka betydande skada.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327</w:t>
      </w:r>
      <w:r>
        <w:rPr>
          <w:rStyle w:val="HideTWBExt"/>
        </w:rPr>
        <w:t>&lt;/NumAm&gt;</w:t>
      </w:r>
    </w:p>
    <w:p>
      <w:pPr>
        <w:pStyle w:val="NormalBold"/>
      </w:pPr>
      <w:r>
        <w:rPr>
          <w:rStyle w:val="HideTWBExt"/>
          <w:b w:val="0"/>
        </w:rPr>
        <w:t>&lt;RepeatBlock-By&gt;</w:t>
      </w:r>
      <w:r>
        <w:rPr>
          <w:rStyle w:val="HideTWBExt"/>
          <w:b w:val="0"/>
        </w:rPr>
        <w:t>&lt;Members&gt;</w:t>
      </w:r>
      <w:r>
        <w:t>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Verksamhet som utförs i samband med genomförandet av havsrelaterade mål i en plan som genomförs i enlighet med tillämpligt miljöregelverk, såsom förordning (EU) 2024/1991, däribland med avseende på övervakning och forskning, får beviljas stöd.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328</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Stöd till ägare av eller aktörer med unionsfiskefartyg för finansiering ska vara förenat med villkoret att respektive fiskefartyg fullt ut efterlever åtminstone de obligatoriska kraven för system för elektronisk fjärrövervakning.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329</w:t>
      </w:r>
      <w:r>
        <w:rPr>
          <w:rStyle w:val="HideTWBExt"/>
        </w:rPr>
        <w:t>&lt;/NumAm&gt;</w:t>
      </w:r>
    </w:p>
    <w:p>
      <w:pPr>
        <w:pStyle w:val="NormalBold"/>
      </w:pPr>
      <w:r>
        <w:rPr>
          <w:rStyle w:val="HideTWBExt"/>
          <w:b w:val="0"/>
        </w:rPr>
        <w:t>&lt;RepeatBlock-By&gt;</w:t>
      </w:r>
      <w:r>
        <w:rPr>
          <w:rStyle w:val="HideTWBExt"/>
          <w:b w:val="0"/>
        </w:rPr>
        <w:t>&lt;Members&gt;</w:t>
      </w:r>
      <w:r>
        <w:t>Sebastian Everding, Anja Hazekamp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Stöd ska inte beviljas för vattenbruk med köttätande arter, bläckfiskodling och vattenbruk som orsakar eller ökar djurs lidande, föroreningar, sjukdomsrisk, beroende av antimikrobiella medel eller tryck på vilda fiskbestånd.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330</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Stöd till metoder eller tekniker som sannolikt ökar ett fiskefartygs fiskekapacitet ska inte beviljas.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331</w:t>
      </w:r>
      <w:r>
        <w:rPr>
          <w:rStyle w:val="HideTWBExt"/>
        </w:rPr>
        <w:t>&lt;/NumAm&gt;</w:t>
      </w:r>
    </w:p>
    <w:p>
      <w:pPr>
        <w:pStyle w:val="NormalBold"/>
      </w:pPr>
      <w:r>
        <w:rPr>
          <w:rStyle w:val="HideTWBExt"/>
          <w:b w:val="0"/>
        </w:rPr>
        <w:t>&lt;RepeatBlock-By&gt;</w:t>
      </w:r>
      <w:r>
        <w:rPr>
          <w:rStyle w:val="HideTWBExt"/>
          <w:b w:val="0"/>
        </w:rPr>
        <w:t>&lt;Members&gt;</w:t>
      </w:r>
      <w:r>
        <w:t>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4c.</w:t>
            </w:r>
            <w:r>
              <w:tab/>
            </w:r>
            <w:r>
              <w:rPr>
                <w:b/>
                <w:i/>
              </w:rPr>
              <w:t>Definitivt upphörande med fiskeverksamhet ska beviljas stöd förutsatt att fiskelicensen och fisketillstånden först har dragits in och samtliga följande villkor efterlevs: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Stödet avser fartyg med en längd över 33 meter, med konstaterad strukturell överkapacitet, enligt vad som konstaterats i en medlemsstats handlingsplan till kommissionen i enlighet med artikel 22 i förordning (EU) 1380/2013.</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Stödet bidrar till att viktiga lek- och yngelplatser för fisk återställs eller leder till att belastning undanröjs så att havsbottnen kan stabiliseras, med en direkt koppling till åtgärderna i den nationella restaureringsplan som vederbörligen bedömts och bekräftats av medlemsstatens myndighet.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Ansökan, i händelse av att stödet för upphörandet med fiskeverksamhet är utformat som ett skrotningssystem, innehåller en fartygsspecifik återvinningsplan för fartyget i enlighet med förordning (EU) nr 1257/2013.</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Ansökan om stöd åtföljs av en försäkran på heder och samvete från aktören om att stödet uppfyller bestämmelserna i artikel 22.6 i förordning 1380/2013 och att stödet inte återinvesteras och inte kommer att återinvesteras i sektorn.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332</w:t>
      </w:r>
      <w:r>
        <w:rPr>
          <w:rStyle w:val="HideTWBExt"/>
        </w:rPr>
        <w:t>&lt;/NumAm&gt;</w:t>
      </w:r>
    </w:p>
    <w:p>
      <w:pPr>
        <w:pStyle w:val="NormalBold"/>
      </w:pPr>
      <w:r>
        <w:rPr>
          <w:rStyle w:val="HideTWBExt"/>
          <w:b w:val="0"/>
        </w:rPr>
        <w:t>&lt;RepeatBlock-By&gt;</w:t>
      </w:r>
      <w:r>
        <w:rPr>
          <w:rStyle w:val="HideTWBExt"/>
          <w:b w:val="0"/>
        </w:rPr>
        <w:t>&lt;Members&gt;</w:t>
      </w:r>
      <w:r>
        <w:t>Sebastian Everding, Anja Hazekamp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4c.</w:t>
            </w:r>
            <w:r>
              <w:tab/>
            </w:r>
            <w:r>
              <w:rPr>
                <w:b/>
                <w:i/>
              </w:rPr>
              <w:t>Stöd ska inte beviljas insatser som bidrar till överfiske, överkapacitet, destruktiva fiskemetoder, betydande skador på havsbotten, försämring av marina livsmiljöer, ökad bifångst av icke-målarter eller lidande för vattenlevande djur.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333</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4c.</w:t>
            </w:r>
            <w:r>
              <w:tab/>
            </w:r>
            <w:r>
              <w:rPr>
                <w:b/>
                <w:i/>
              </w:rPr>
              <w:t>Stöd till metoder eller tekniker som sannolikt ökar ett fiskefartygs kapacitet att upptäcka eller fånga fisk ska inte beviljas.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334</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4c.</w:t>
            </w:r>
            <w:r>
              <w:tab/>
            </w:r>
            <w:r>
              <w:rPr>
                <w:b/>
                <w:i/>
              </w:rPr>
              <w:t>Stöd till metoder eller tekniker som sannolikt ökar ett fiskefartygs fiskekapacitet ska inte beviljas.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335</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4d.</w:t>
            </w:r>
            <w:r>
              <w:tab/>
            </w:r>
            <w:r>
              <w:rPr>
                <w:b/>
                <w:i/>
              </w:rPr>
              <w:t>Stöd till metoder eller tekniker som sannolikt ökar ett fiskefartygs kapacitet att upptäcka eller fånga fisk ska inte beviljas.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336</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4d.</w:t>
            </w:r>
            <w:r>
              <w:tab/>
            </w:r>
            <w:r>
              <w:rPr>
                <w:b/>
                <w:i/>
              </w:rPr>
              <w:t>Stöd till fossila bränslen ska inte beviljas.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337</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4e.</w:t>
            </w:r>
            <w:r>
              <w:tab/>
            </w:r>
            <w:r>
              <w:rPr>
                <w:b/>
                <w:i/>
              </w:rPr>
              <w:t>Stöd till förvärv, ersättande, byggande eller import av fiskefartyg ska inte beviljas, annat än för fartyg med en total längd på 33 meter eller mindre, och då endast i följande särskilda fall: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För deras omställning bort från släpredskap enligt definitionen i artikel 2.1 i rådets förordning (EG) nr 1967/2006.</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För avkarbonisering av fiskefartyg som inte använder släpredskap enligt definitionen i artikel 2.1 i rådets förordning (EG) nr 1967/2006, förutsatt att det påvisas att åtgärderna förbättrar fiskeinsatsernas miljöprestanda och att de inte befäster eller leder till nya skador på marina ekosystem, särskilt när det gäller ersättande av utrustning.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338</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4e.</w:t>
            </w:r>
            <w:r>
              <w:tab/>
            </w:r>
            <w:r>
              <w:rPr>
                <w:b/>
                <w:i/>
              </w:rPr>
              <w:t>Stöd till driftskostnader, däribland subventioner för fossila bränslen, ska inte beviljas.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Att tillhandahålla EU-subventioner för kostnader för fossila bränslen skulle undergräva de nödvändiga insatserna i linje med Parisavtalet.</w:t>
      </w:r>
    </w:p>
    <w:p>
      <w:r>
        <w:rPr>
          <w:rStyle w:val="HideTWBExt"/>
        </w:rPr>
        <w:t>&lt;/Amend&gt;</w:t>
      </w:r>
    </w:p>
    <w:p>
      <w:pPr>
        <w:pStyle w:val="AmNumberTabs"/>
      </w:pPr>
      <w:r>
        <w:rPr>
          <w:rStyle w:val="HideTWBExt"/>
        </w:rPr>
        <w:t>&lt;Amend&gt;</w:t>
      </w:r>
      <w:r>
        <w:t>Ändringsförslag</w:t>
      </w:r>
      <w:r>
        <w:tab/>
      </w:r>
      <w:r>
        <w:tab/>
      </w:r>
      <w:r>
        <w:rPr>
          <w:rStyle w:val="HideTWBExt"/>
        </w:rPr>
        <w:t>&lt;NumAm&gt;</w:t>
      </w:r>
      <w:r>
        <w:t>339</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4f.</w:t>
            </w:r>
            <w:r>
              <w:tab/>
            </w:r>
            <w:r>
              <w:rPr>
                <w:b/>
                <w:i/>
              </w:rPr>
              <w:t>Stöd till tillfälligt upphörande med fiskeverksamhet ska endast beviljas på villkoret att sådant stöd leder till en nettominskning av den totala fiskeansträngningen som inte kompenseras av ökad ansträngning någon annanstans, och att det åtföljs av tillräckliga förvaltningsåtgärder som säkerställer långsiktig hållbarhet för de berörda fiskpopulationerna och deras associerade ekosystem, däribland att inte återuppta fisket när vetenskaplig rådgivning och bredare hänsyn till ekosystem visar att detta skulle kunna äventyra målen i direktiv 2008/56/EG.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340</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4f.</w:t>
            </w:r>
            <w:r>
              <w:tab/>
            </w:r>
            <w:r>
              <w:rPr>
                <w:b/>
                <w:i/>
              </w:rPr>
              <w:t>Stöd till ersättande av fossilbränslemotorer ska inte beviljas, utom för omställning till elektrifiering och vindframdrivning för fartyg som har en total längd på 33 meter eller mindre och som inte använder släpredskap enligt definitionen i artikel 2.1 i rådets förordning (EG) nr 1967/2006.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341</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4g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4g.</w:t>
            </w:r>
            <w:r>
              <w:tab/>
            </w:r>
            <w:r>
              <w:rPr>
                <w:b/>
                <w:i/>
              </w:rPr>
              <w:t>Stöd till förvärv, ersättande, byggande eller import av fiskefartyg ska inte beviljas.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342</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4g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4g.</w:t>
            </w:r>
            <w:r>
              <w:tab/>
            </w:r>
            <w:r>
              <w:rPr>
                <w:b/>
                <w:i/>
              </w:rPr>
              <w:t>Stöd till elfiske ska inte beviljas.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343</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4h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4h.</w:t>
            </w:r>
            <w:r>
              <w:tab/>
            </w:r>
            <w:r>
              <w:rPr>
                <w:b/>
                <w:i/>
              </w:rPr>
              <w:t>Stöd till insatser eller kostnader för att ersätta eller modernisera en huvud- eller hjälpmotor till ett fiskefartyg ska endast vara stödberättigande på följande villkor: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 Fartyget har en total längd på upp till 24 meter.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ii) Fartyget har varit registrerat i registret över unionens fiskeflotta under minst fem kalenderår som föregår det år då ansökan om stöd lämnas in.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iii) Fartyget tillhör ett flottsegment för vilket den senaste rapport om fiskekapacitet som avses i artikel 22.2 i förordning (EU) nr 1380/2013 har visat att det råder balans med de fiskemöjligheter som är tillgängliga för segmentet.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iv) Varje minskning av fiskekapaciteten i kW till följd av att en huvud- eller hjälpmotor ersätts eller moderniseras ska strykas permanent från registret över unionens fiskeflotta.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 Fiskefartygets maskinstyrka ska ha inspekterats fysiskt av medlemsstaten för säkerställande av att den inte överskrider den maskinstyrka som anges i fiskelicensen.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 Den nya eller moderniserade motorn har inte större effekt i kW än den nuvarande motorn</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vii) Den nya eller moderniserade motorn är baserad på utsläppsfri teknik i enlighet med artikel 3.7 i förordning (EU) 2023/1805.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344</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4h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4h.</w:t>
            </w:r>
            <w:r>
              <w:tab/>
            </w:r>
            <w:r>
              <w:rPr>
                <w:b/>
                <w:i/>
              </w:rPr>
              <w:t>Stöd till djuphavsfiske ska inte beviljas.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345</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4i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4i.</w:t>
            </w:r>
            <w:r>
              <w:tab/>
            </w:r>
            <w:r>
              <w:rPr>
                <w:b/>
                <w:i/>
              </w:rPr>
              <w:t>Stöd till byggande, inköp eller användning av någon typ av anordning som samlar fisk ska inte beviljas.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346</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4i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4i.</w:t>
            </w:r>
            <w:r>
              <w:tab/>
            </w:r>
            <w:r>
              <w:rPr>
                <w:b/>
                <w:i/>
              </w:rPr>
              <w:t>Utökning av vattenbruk med köttätande arter, både sett till volym och till nyare arter, ska inte stödjas.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347</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4j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4j.</w:t>
            </w:r>
            <w:r>
              <w:tab/>
            </w:r>
            <w:r>
              <w:rPr>
                <w:b/>
                <w:i/>
              </w:rPr>
              <w:t>Anläggande av laxodlingar som använder recirkulerande vattenbrukssystem till tillväxtstadiet ska inte stödjas.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348</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4j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4j.</w:t>
            </w:r>
            <w:r>
              <w:tab/>
            </w:r>
            <w:r>
              <w:rPr>
                <w:b/>
                <w:i/>
              </w:rPr>
              <w:t>Inget stöd till elfiske ska beviljas.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349</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4k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4k.</w:t>
            </w:r>
            <w:r>
              <w:tab/>
            </w:r>
            <w:r>
              <w:rPr>
                <w:b/>
                <w:i/>
              </w:rPr>
              <w:t>Inget stöd till djuphavsfiske ska beviljas.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350</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4l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4l.</w:t>
            </w:r>
            <w:r>
              <w:tab/>
            </w:r>
            <w:r>
              <w:rPr>
                <w:b/>
                <w:i/>
              </w:rPr>
              <w:t>Inget stöd ska beviljas för undersökande fiske.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351</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 – punkt 4m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4m.</w:t>
            </w:r>
            <w:r>
              <w:tab/>
            </w:r>
            <w:r>
              <w:rPr>
                <w:b/>
                <w:i/>
              </w:rPr>
              <w:t>Inget stöd ska beviljas för direkt utsättning, utom när det uttryckligen avser en återinförandeåtgärd eller en annan bevarandeåtgärd.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352</w:t>
      </w:r>
      <w:r>
        <w:rPr>
          <w:rStyle w:val="HideTWBExt"/>
        </w:rPr>
        <w:t>&lt;/NumAm&gt;</w:t>
      </w:r>
    </w:p>
    <w:p>
      <w:pPr>
        <w:pStyle w:val="NormalBold"/>
      </w:pPr>
      <w:r>
        <w:rPr>
          <w:rStyle w:val="HideTWBExt"/>
          <w:b w:val="0"/>
        </w:rPr>
        <w:t>&lt;RepeatBlock-By&gt;</w:t>
      </w:r>
      <w:r>
        <w:rPr>
          <w:rStyle w:val="HideTWBExt"/>
          <w:b w:val="0"/>
        </w:rPr>
        <w:t>&lt;Members&gt;</w:t>
      </w:r>
      <w:r>
        <w:t>Asger Christensen, Emma Wiesner,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Artikel 4a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Kontrollsystem för den gemensamma fiskeripolitiken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Medlemsstaterna ska som en del i de kontroller som avses i artikel 58 [i NRP-förordningen] kontrollera att stödmottagarna uppfyller kraven.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Medlemsstaterna ska använda sina kontroll- och verkställighetssystem på områdena klimat och miljö, folkhälsa, växtskydd och djurskydd, social- och sysselsättningslagstiftning, tillämpliga arbetsnormer samt fiskeri och vattenbruk för att säkerställa att stödmottagarna uppfyller kraven i punkt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Den förvaltande myndigheten eller det utbetalande organet ska i förekommande fall minst en gång om året underrättas om fall av bristande efterlevnad där verkställbara beslut i detta avseende har fattats inom ramen för de tillämpliga kontroll- och verkställighetssystem som avses i punkt 2.</w:t>
            </w:r>
            <w:r>
              <w:t xml:space="preserve"> </w:t>
            </w:r>
            <w:r>
              <w:rPr>
                <w:b/>
                <w:i/>
              </w:rPr>
              <w:t>Denna underrättelse ska innehålla en bedömning och klassificering av den berörda bristande efterlevnadens allvar, omfattning, varaktighet eller upprepning och av huruvida den varit avsiktlig.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Vid bristande efterlevnad av denna förordning ska det stöd som betalats ut till stödmottagaren återkrävas och en ansökan om stöd som lämnats in av en stödmottagare ska avvisas under en angiven tidsperiod som fastställs i enlighet med punkt 8 i denna artikel, om det genom ett slutligt beslut av den berörda behöriga myndigheten har fastställts att stödmottagaren har gjort sig skyldig till bedrägeri.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Om ett fall enligt förteckningen i artikel XX i denna förordning inträffar mellan tillämpningsperioden och fem år efter slutbetalningen ska det stöd som betalats ut till stödmottagaren återkrävas.</w:t>
            </w:r>
            <w:r>
              <w:t xml:space="preserve"> </w:t>
            </w:r>
            <w:r>
              <w:rPr>
                <w:b/>
                <w:i/>
              </w:rPr>
              <w:t>Återkravet ska stå i proportion till arten, allvaret, varaktigheten och upprepningen av de allvarliga överträdelser eller brott som den berörda stödmottagaren begått och till stödets betydelse för den stödmottagarens ekonomiska verksamhet.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För att säkerställa lika villkor mellan medlemsstaterna och effektiviteten, proportionaliteten och den avskräckande effekten av de sanktioner som avses i punkt 5 och de återkrav och den avvisning som avses i artikel XX i denna förordning och i punkterna 4 och 5 i den här artikeln ska kommissionen ges befogenhet att anta delegerade akter enligt artikel 4b med avseende på att komplettera denna förordning med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närmare bestämmelser om tillämpningen och beräkningen av sanktionerna,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fastställande av det tröskelvärde som utlöser avvisandet och den period under vilken avvisandet ska gälla samt arrangemangen för att återkräva det beviljade stödet, inbegripet de tröskelvärden som utlöser återkravet.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353</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Artikel 4a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Krisstöd till fiskare efter naturkatastrofer, allvarliga klimathändelser och andra katastrofer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Medlemsstaterna får ge krisstöd till fiskare och vattenbruksproducenter samt andra aktörer i värdekedjan för fiske och vattenbruk som drabbas av naturkatastrofer, allvarliga klimathändelser eller andra katastrofer.</w:t>
            </w:r>
            <w:r>
              <w:t xml:space="preserve"> </w:t>
            </w:r>
            <w:r>
              <w:rPr>
                <w:b/>
                <w:i/>
              </w:rPr>
              <w:t>Detta stöd ska syfta till att säkerställa kontinuitet i verksamheten och ska omfattas av de villkor som fastställs i denna artikel och av villkor som närmare anges av medlemsstaterna.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Stöd enligt denna artikel, inbegripet stöd till ersättning för tillfälligt upphörande av fiske- och vattenbruksverksamhet får beviljas i händelse av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bevarandeåtgärder enligt artikel 7.1 a, b, c, i och j i förordning (EU) nr 1380/2013, eller, när dessa är tillämpliga på unionen, likvärdiga bevarandeåtgärder antagna av regionala fiskeriförvaltningsorganisationer,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åtgärder som ska vidtas av kommissionen vid ett allvarligt hot mot de marina biologiska resurserna enligt vad som avses i artikel 12 i förordning (EU) nr 1380/2013,</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medlemsstaters nödåtgärder i enlighet med artikel 13 i förordning (EU) nr 1380/2013,</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avbrytande, på grund av force majeure, av tillämpningen av ett partnerskapsavtal om hållbart fiske eller protokollet till detta,</w:t>
            </w:r>
            <w:r>
              <w:t xml:space="preserve"> </w:t>
            </w:r>
            <w:r>
              <w:rPr>
                <w:b/>
                <w:i/>
              </w:rPr>
              <w:t>eller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naturkatastrofer, miljöolyckor, hälsokriser eller andra katastrofer som formellt erkänns som sådana av den berörda medlemsstatens behöriga myndigheter.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Medlemsstaterna ska fastställa de stödnivåer som ska tillämpas för att kompensera för produktionsförluster, utebliven inkomst eller extra kostnader som uppkommit.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När medlemsstaterna beviljar stöd enligt denna artikel ska de säkerställa att överkompensation till följd av kombinationen av detta stöd och andra stödinstrument på nationell nivå eller unionsnivå eller privata försäkringssystem undviks.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354</w:t>
      </w:r>
      <w:r>
        <w:rPr>
          <w:rStyle w:val="HideTWBExt"/>
        </w:rPr>
        <w:t>&lt;/NumAm&gt;</w:t>
      </w:r>
    </w:p>
    <w:p>
      <w:pPr>
        <w:pStyle w:val="NormalBold"/>
      </w:pPr>
      <w:r>
        <w:rPr>
          <w:rStyle w:val="HideTWBExt"/>
          <w:b w:val="0"/>
        </w:rPr>
        <w:t>&lt;RepeatBlock-By&gt;</w:t>
      </w:r>
      <w:r>
        <w:rPr>
          <w:rStyle w:val="HideTWBExt"/>
          <w:b w:val="0"/>
        </w:rPr>
        <w:t>&lt;Members&gt;</w:t>
      </w:r>
      <w:r>
        <w:t>Francisco José Millán 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Artikel 4a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"Inte orsaka betydande skada"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Stöd som beviljas för att uppnå målen i denna förordning ska anses vara förenligt med principen om att inte orsaka betydande skada, förutsatt att det är förenligt med målen för den gemensamma fiskeripolitiken.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355</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Artikel 4b</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Kontrollsystem för den gemensamma fiskeripolitiken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Medlemsstaterna ska i enlighet med artikel 58 i förordning (EU) .../… [NRP-förordningen] kontrollera att stödmottagarna uppfyller kraven i artikel 3d.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Medlemsstaterna ska använda sina kontroll- och verkställlighetssystem på området för fiske och vattenbruk för att säkerställa att stödmottagarna uppfyller de krav som anges i punkt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Den förvaltande myndighet eller det utbetalande organ som avses i artikel 49 i förordning (EU) .../... [NRP-förordningen] ska i förekommande fall minst en gång om året underrättas om fall av bristande efterlevnad där verkställbara beslut i detta avseende har fattats inom ramen för de tillämpliga kontroll- och verkställighetssystem som avses i punkt 2.</w:t>
            </w:r>
            <w:r>
              <w:t xml:space="preserve"> </w:t>
            </w:r>
            <w:r>
              <w:rPr>
                <w:b/>
                <w:i/>
              </w:rPr>
              <w:t>Denna underrättelse ska innehålla en bedömning och klassificering av den berörda bristande efterlevnadens allvar, omfattning, varaktighet eller upprepning och av huruvida den varit avsiktlig.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Vid bristande efterlevnad av artikel 3d ska det stöd som betalats ut till stödmottagaren återkrävas och en ansökan om stöd som lämnats in av en stödmottagare ska avvisas under en angiven tidsperiod som fastställs i enlighet med punkt 6 i denna artikel, om det genom ett slutligt beslut av den berörda behöriga myndigheten har fastställts att stödmottagaren har gjort sig skyldig till bedrägeri.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Om ett fall enligt förteckningen i artikel 3d inträffar mellan tillämpningsperioden och fem år efter den tidpunkt då stödet beviljas ska det stöd som betalats ut till stödmottagaren återkrävas.</w:t>
            </w:r>
            <w:r>
              <w:t xml:space="preserve"> </w:t>
            </w:r>
            <w:r>
              <w:rPr>
                <w:b/>
                <w:i/>
              </w:rPr>
              <w:t>Återkravet ska stå i proportion till arten, allvaret, varaktigheten och upprepningen av de allvarliga överträdelser eller brott som den berörda stödmottagaren begått och till stödets betydelse för den stödmottagarens ekonomiska verksamhet.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För att säkerställa lika villkor mellan medlemsstaterna och effektiviteten, proportionaliteten och den avskräckande effekten av de återkrav och den avvisning som avses i artikel 3d och i punkterna 4 och 5 i den här artikeln ska kommissionen ges befogenhet att anta delegerade akter i enlighet med artikel 4g med avseende på att komplettera denna förordning med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närmare bestämmelser om tillämpningen och beräkningen av återkraven,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fastställande av det tröskelvärde som utlöser avvisandet och den period under vilken avvisandet ska gälla samt arrangemangen för att återkräva det beviljade stödet, inbegripet de tröskelvärden som utlöser återkravet.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356</w:t>
      </w:r>
      <w:r>
        <w:rPr>
          <w:rStyle w:val="HideTWBExt"/>
        </w:rPr>
        <w:t>&lt;/NumAm&gt;</w:t>
      </w:r>
    </w:p>
    <w:p>
      <w:pPr>
        <w:pStyle w:val="NormalBold"/>
      </w:pPr>
      <w:r>
        <w:rPr>
          <w:rStyle w:val="HideTWBExt"/>
          <w:b w:val="0"/>
        </w:rPr>
        <w:t>&lt;RepeatBlock-By&gt;</w:t>
      </w:r>
      <w:r>
        <w:rPr>
          <w:rStyle w:val="HideTWBExt"/>
          <w:b w:val="0"/>
        </w:rPr>
        <w:t>&lt;Members&gt;</w:t>
      </w:r>
      <w:r>
        <w:t>Asger Christensen, Emma Wiesner,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Artikel 4b</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Utövande av delegeringen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Befogenheten att anta delegerade akter ges till kommissionen med förbehåll för de villkor som anges i denna artikel.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Den befogenhet att anta delegerade akter som avses i artikel 4a ska ges till kommissionen tills vidare från och med den dag då denna förordning träder i kraft.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Den delegering av befogenhet som avses i artikel 4a får när som helst återkallas av Europaparlamentet eller rådet.</w:t>
            </w:r>
            <w:r>
              <w:t xml:space="preserve"> </w:t>
            </w:r>
            <w:r>
              <w:rPr>
                <w:b/>
                <w:i/>
              </w:rPr>
              <w:t>Ett beslut om återkallelse innebär att delegeringen av den befogenhet som anges i beslutet upphör att gälla.</w:t>
            </w:r>
            <w:r>
              <w:t xml:space="preserve"> </w:t>
            </w:r>
            <w:r>
              <w:rPr>
                <w:b/>
                <w:i/>
              </w:rPr>
              <w:t>Beslutet får verkan dagen efter det att det offentliggörs i Europeiska unionens officiella tidning, eller vid ett senare i beslutet angivet datum.</w:t>
            </w:r>
            <w:r>
              <w:t xml:space="preserve"> </w:t>
            </w:r>
            <w:r>
              <w:rPr>
                <w:b/>
                <w:i/>
              </w:rPr>
              <w:t>Det påverkar inte giltigheten av delegerade akter som redan har trätt i kraft.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Innan kommissionen antar en delegerad akt ska den samråda med experter som utsetts av varje medlemsstat enligt principerna i det interinstitutionella avtalet av den 13 april 2016 om bättre lagstiftning.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Så snart kommissionen antar en delegerad akt ska den samtidigt delge Europaparlamentet och rådet denna.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En delegerad akt som antas i enlighet med punkt 5 ska träda i kraft endast om varken Europaparlamentet eller rådet har gjort invändningar mot den delegerade akten inom en period på en månad från den dag då akten delgavs Europaparlamentet och rådet, eller om både Europaparlamentet och rådet, före utgången av den perioden, har underrättat kommissionen om att de inte kommer att invända.</w:t>
            </w:r>
            <w:r>
              <w:t xml:space="preserve"> </w:t>
            </w:r>
            <w:r>
              <w:rPr>
                <w:b/>
                <w:i/>
              </w:rPr>
              <w:t>Denna period ska förlängas med en månad på Europaparlamentets eller rådets initiativ.</w:t>
            </w:r>
            <w:r>
              <w:t xml:space="preserve"> </w:t>
            </w:r>
            <w:r>
              <w:rPr>
                <w:b/>
                <w:i/>
              </w:rPr>
              <w:t>Den befogenhet som enligt artikel 5.3 i förordning (EU) nr 1303/2013</w:t>
            </w:r>
            <w:r>
              <w:rPr>
                <w:b/>
                <w:i/>
                <w:vertAlign w:val="superscript"/>
              </w:rPr>
              <w:t>1a</w:t>
            </w:r>
            <w:r>
              <w:t xml:space="preserve"> </w:t>
            </w:r>
            <w:r>
              <w:rPr>
                <w:b/>
                <w:i/>
              </w:rPr>
              <w:t>ges kommissionen att anta en delegerad akt för att föreskriva en europeisk uppförandekod för partnerskap ska fortsätta att gälla för programperioden 2028–202X.</w:t>
            </w:r>
            <w:r>
              <w:t xml:space="preserve"> </w:t>
            </w:r>
            <w:r>
              <w:rPr>
                <w:b/>
                <w:i/>
              </w:rPr>
              <w:t>Delegeringen av befogenhet ska utövas i enlighet med artikel 4b i den här förordningen.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Europaparlamentets och rådets förordning (EU) nr 1303/2013 av den 17 december 2013 om fastställande av gemensamma bestämmelser för Europeiska regionala utvecklingsfonden, Europeiska socialfonden, Sammanhållningsfonden, Europeiska jordbruksfonden för landsbygdsutveckling och Europeiska havs- och fiskerifonden, om fastställande av allmänna bestämmelser för Europeiska regionala utvecklingsfonden, Europeiska socialfonden, Sammanhållningsfonden och Europeiska havs- och fiskerifonden samt om upphävande av rådets förordning (EG) nr 1083/2006 (EUT L 347, 20.12.2013, s.</w:t>
            </w:r>
            <w:r>
              <w:t xml:space="preserve"> </w:t>
            </w:r>
            <w:r>
              <w:rPr>
                <w:b/>
                <w:i/>
              </w:rPr>
              <w:t>320, ELI: http://data.europa.eu/eli/reg/2013/1303/oj).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357</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Artikel 4c</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Lokalt ledd utveckling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Stöd enligt denna artikel ska omfatta interventioner som bidrar till att möjliggöra en hållbar blå ekonomi i kust-, ö- och inlandsområden och främja hållbar utveckling av fiske- och vattenbrukssamhällen.</w:t>
            </w:r>
            <w:r>
              <w:t xml:space="preserve"> </w:t>
            </w:r>
            <w:r>
              <w:rPr>
                <w:b/>
                <w:i/>
              </w:rPr>
              <w:t>För att uppnå detta ska stöd genomföras genom den lokalt ledda utveckling som fastställs i artikel 76 i förordning (EU) .../... [NRP-förordningen].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Vid tillämpningen av denna artikel ska de strategier för lokalt ledd utveckling som avses i artikel 76 i förordning (EU) .../... [NRP-förordningen] utarbetas med ett särskilt fokus på kust-, ö- och inlandsområden och utarbetas oberoende av varandra.</w:t>
            </w:r>
            <w:r>
              <w:t xml:space="preserve"> </w:t>
            </w:r>
            <w:r>
              <w:rPr>
                <w:b/>
                <w:i/>
              </w:rPr>
              <w:t>Dessa strategier för lokalt ledd utveckling ska säkerställa att samhällen i fiske- och vattenbruksområden bättre nyttjar och drar fördel av de möjligheter som den hållbara blå ekonomin erbjuder, och att de tar vara på och stärker miljömässiga, kulturella, sociala och mänskliga resurser.</w:t>
            </w:r>
            <w:r>
              <w:t xml:space="preserve"> </w:t>
            </w:r>
            <w:r>
              <w:rPr>
                <w:b/>
                <w:i/>
              </w:rPr>
              <w:t>Dessa strategier för lokalt ledd utveckling kan sträcka sig från att vara strategier fokuserade på fisket eller vattenbruket till bredare strategier med inriktning på diversifiering av lokalsamhällen.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Minst 12 % av det ekonomiska stöd från unionen som fördelas per medlemsstat enligt artikel 10.2 a i förordning EU …/… [NRP-förordningen] ska i NRP-planen fördelas till det särskilda mål som avses i punkt 1.</w:t>
            </w:r>
            <w:r>
              <w:t xml:space="preserve"> </w:t>
            </w:r>
            <w:r>
              <w:rPr>
                <w:b/>
                <w:i/>
              </w:rPr>
              <w:t>Medlemsstater som saknar tillträde till unionens vatten får tillämpa en lägre procentsats vad gäller omfattningen av deras kontroll- och datainsamlingsuppgifter.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358</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Artikel 4d</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Statligt stöd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Om inte annat föreskrivs i denna artikel ska artiklarna 107, 108 och 109 i fördraget om Europeiska unionens funktionssätt (EUF-fördraget) tillämpas på stöd som medlemsstaterna beviljar företag inom fiskeri- och vattenbrukssektorn.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Artiklarna 107, 108 och 109 i EUF-fördraget ska inte tillämpas på stöd som medlemsstaterna i enlighet och i överensstämmelse med denna förordning och förordning (EU) …/… [NRP-förordningen] beviljar företag inom unionens fiskeri- och vattenbrukssektor och som omfattas av artikel 42 i EUF-fördraget.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För de fiskeri- och vattenbruksprodukter som omfattas av bilaga I till EUF-fördraget och för vilka artiklarna 107, 108 och 109 i EUF-fördraget är tillämpliga, får kommissionen, enligt artikel 108 i EUF-fördraget, tillåta driftsstöd inom de sektorer som producerar, bearbetar och saluför dessa produkter, i syfte att mildra de särskilda svårigheter som råder för fiskeri- och vattenbruksproduktion i de yttersta randområdena och de mindre Egeiska öarna till följd av områdenas isolering, ökaraktär, ringa storlek och ytterst avlägsna läge.</w:t>
            </w:r>
            <w:r>
              <w:t xml:space="preserve"> </w:t>
            </w:r>
            <w:r>
              <w:rPr>
                <w:b/>
                <w:i/>
              </w:rPr>
              <w:t>Medlemsstaterna får bevilja kompletterande finansiering för genomförandet av interventioner i de yttersta randområdena och de mindre Egeiska öarna i enlighet med denna förordning.</w:t>
            </w:r>
            <w:r>
              <w:t xml:space="preserve"> </w:t>
            </w:r>
            <w:r>
              <w:rPr>
                <w:b/>
                <w:i/>
              </w:rPr>
              <w:t>I sådana fall ska medlemsstaterna anmäla den kompletterande finansieringen till kommissionen, och kommissionen får godkänna den enligt denna förordning som en del av planerna.</w:t>
            </w:r>
            <w:r>
              <w:t xml:space="preserve"> </w:t>
            </w:r>
            <w:r>
              <w:rPr>
                <w:b/>
                <w:i/>
              </w:rPr>
              <w:t>Stöd som anmäls ska således anses ha anmälts i den mening som avses i första meningen i artikel 108.3 i EUF-fördraget.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Stöd får täcka överlåtelse av fiskefartyg, inbegripet överföring av äganderätten för ett fartyg eller av en kontrollerande andel av ett fartyg, i syfte att underlätta generationsskifte och kontinuitet i fiskeverksamheten såsom fastställs i artikel 4 i denna förordning.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359</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Artikel 4e</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Årlig rapport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Den 31 juli 2029 och därefter varje år ska kommissionen till Europaparlamentet och rådet överlämna en rapport om genomförande, prestation och resultat för EHFVF.</w:t>
            </w:r>
            <w:r>
              <w:t xml:space="preserve"> </w:t>
            </w:r>
            <w:r>
              <w:rPr>
                <w:b/>
                <w:i/>
              </w:rPr>
              <w:t>I den rapporten ska kommissionen använda de centrala prestationsindikatorer som anges i bilaga I till förordning (EU) …./…. [prestationsförordningen].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Utöver de allmänna regler som anges i kapitel 3 i förordning (EU) .../… [prestationsförordningen] ska den förvaltande myndigheten förse kommissionen med relevanta data om genomförandet på insatsnivå, vilket ska inbegripa grundläggande uppgifter om stödmottagaren (namn, typ av stödmottagare, företagsstorlek, kön och kontaktuppgifter) och den insats som stöds (specifikt mål, insatstyp, berörd sektor, värden för indikatorerna, hur insatsen framskrider, nummer i det gemensamma registret över flottan, finansiella data och stödform).</w:t>
            </w:r>
            <w:r>
              <w:t xml:space="preserve"> </w:t>
            </w:r>
            <w:r>
              <w:rPr>
                <w:b/>
                <w:i/>
              </w:rPr>
              <w:t>Data ska tillhandahållas senast den 31 januari och den 31 juli varje år.</w:t>
            </w:r>
            <w:r>
              <w:t xml:space="preserve"> </w:t>
            </w:r>
            <w:r>
              <w:rPr>
                <w:b/>
                <w:i/>
              </w:rPr>
              <w:t>Den första överföringen av dessa data ska ske senast den 31 januari 2029.</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Kommissionen ska anta genomförandeakter för att fastställa regler som ytterligare specificerar exakt vilka data som avses i punkt 2 i den här artikeln och hur de ska presenteras.</w:t>
            </w:r>
            <w:r>
              <w:t xml:space="preserve"> </w:t>
            </w:r>
            <w:r>
              <w:rPr>
                <w:b/>
                <w:i/>
              </w:rPr>
              <w:t>Sådana genomförandeakter ska antas i enlighet med det granskningsförfarande som avses i artikel 4g.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Kommissionen ges befogenhet att anta delegerade akter i enlighet med artikel 4h för att ändra bilaga I till förordning (EU) .../... [prestationsförordningen] genom att lägga till de centrala prestationsindikatorerna i syfte att göra anpassningar till förändringar som sker under programperioden.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360</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Artikel 4f</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Kommittéförfarande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Kommissionen ska biträdas av kommittén för Europeiska havs-, fiskeri- och vattenbruksfonden.</w:t>
            </w:r>
            <w:r>
              <w:t xml:space="preserve"> </w:t>
            </w:r>
            <w:r>
              <w:rPr>
                <w:b/>
                <w:i/>
              </w:rPr>
              <w:t>Denna kommitté ska vara en kommitté i den mening som avses i förordning (EU) nr 182/2011.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När det hänvisas till denna punkt ska artikel 5 i förordning (EU) nr 182/2011 tillämpas.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361</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4g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Artikel 4g</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Utövande av delegeringen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Befogenheten att anta delegerade akter ges till kommissionen med förbehåll för de villkor som anges i denna artikel.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Den befogenhet att anta delegerade akter som avses i artikel 3d ska ges till kommissionen tills vidare från och med den dag då denna förordning träder i kraft.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Den delegering av befogenhet som avses i artikel 3d får när som helst återkallas av Europaparlamentet eller rådet.</w:t>
            </w:r>
            <w:r>
              <w:t xml:space="preserve"> </w:t>
            </w:r>
            <w:r>
              <w:rPr>
                <w:b/>
                <w:i/>
              </w:rPr>
              <w:t>Ett beslut om återkallelse innebär att delegeringen av den befogenhet som anges i beslutet upphör att gälla.</w:t>
            </w:r>
            <w:r>
              <w:t xml:space="preserve"> </w:t>
            </w:r>
            <w:r>
              <w:rPr>
                <w:b/>
                <w:i/>
              </w:rPr>
              <w:t>Beslutet får verkan dagen efter det att det offentliggörs i Europeiska unionens officiella tidning, eller vid ett senare i beslutet angivet datum.</w:t>
            </w:r>
            <w:r>
              <w:t xml:space="preserve"> </w:t>
            </w:r>
            <w:r>
              <w:rPr>
                <w:b/>
                <w:i/>
              </w:rPr>
              <w:t>Det påverkar inte giltigheten av delegerade akter som redan har trätt i kraft.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Innan kommissionen antar en delegerad akt ska den samråda med experter som utsetts av varje medlemsstat enligt principerna i det interinstitutionella avtalet av den 13 april 2016 om bättre lagstiftning.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Så snart kommissionen antar en delegerad akt ska den samtidigt delge Europaparlamentet och rådet denna.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En delegerad akt som antas i enlighet med punkt 5 ska träda i kraft endast om varken Europaparlamentet eller rådet har gjort invändningar mot den delegerade akten inom en period på en månad från den dag då akten delgavs Europaparlamentet och rådet, eller om både Europaparlamentet och rådet, före utgången av den perioden, har underrättat kommissionen om att de inte kommer att invända.</w:t>
            </w:r>
            <w:r>
              <w:t xml:space="preserve"> </w:t>
            </w:r>
            <w:r>
              <w:rPr>
                <w:b/>
                <w:i/>
              </w:rPr>
              <w:t>Denna period ska förlängas med en månad på Europaparlamentets eller rådets initiativ.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362</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förslag</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Denna förordning är till alla delar bindande och direkt tillämplig i </w:t>
            </w:r>
            <w:r>
              <w:rPr>
                <w:b/>
                <w:i/>
              </w:rPr>
              <w:t>medlemsstaterna i enlighet med fördragen</w:t>
            </w:r>
            <w:r>
              <w:t>.</w:t>
            </w:r>
          </w:p>
        </w:tc>
        <w:tc>
          <w:tcPr>
            <w:tcW w:w="4876" w:type="dxa"/>
            <w:tcBorders>
              <w:top w:val="nil"/>
              <w:left w:val="nil"/>
              <w:bottom w:val="nil"/>
              <w:right w:val="nil"/>
            </w:tcBorders>
          </w:tcPr>
          <w:p>
            <w:pPr>
              <w:pStyle w:val="Normal6a"/>
            </w:pPr>
            <w:r>
              <w:t xml:space="preserve">Denna förordning är till alla delar bindande och direkt tillämplig i </w:t>
            </w:r>
            <w:r>
              <w:rPr>
                <w:b/>
                <w:i/>
              </w:rPr>
              <w:t>alla medlemsstater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789.935</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44</w:t>
    </w:r>
    <w:r>
      <w:fldChar w:fldCharType="end"/>
    </w:r>
    <w:r>
      <w:t>/</w:t>
    </w:r>
    <w:r>
      <w:fldChar w:fldCharType="begin"/>
    </w:r>
    <w:r>
      <w:instrText xml:space="preserve"> NUMPAGES </w:instrText>
    </w:r>
    <w:r>
      <w:fldChar w:fldCharType="separate"/>
    </w:r>
    <w:r>
      <w:t>45</w:t>
    </w:r>
    <w:r>
      <w:fldChar w:fldCharType="end"/>
    </w:r>
    <w:r>
      <w:tab/>
    </w:r>
    <w:r>
      <w:rPr>
        <w:rStyle w:val="HideTWBExt"/>
      </w:rPr>
      <w:t>&lt;PathFdR&gt;</w:t>
    </w:r>
    <w:r>
      <w:t>AM\1345550SV.docx</w:t>
    </w:r>
    <w:r>
      <w:rPr>
        <w:rStyle w:val="HideTWBExt"/>
      </w:rPr>
      <w:t>&lt;/PathFdR&gt;</w:t>
    </w:r>
  </w:p>
  <w:p>
    <w:pPr>
      <w:pStyle w:val="EPFooter2"/>
    </w:pPr>
    <w:r>
      <w:t>SV</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AM\1345550SV.docx</w:t>
    </w:r>
    <w:r>
      <w:rPr>
        <w:rStyle w:val="HideTWBExt"/>
      </w:rPr>
      <w:t>&lt;/PathFdR&gt;</w:t>
    </w:r>
    <w:r>
      <w:tab/>
    </w:r>
    <w:r>
      <w:fldChar w:fldCharType="begin"/>
    </w:r>
    <w:r>
      <w:instrText xml:space="preserve"> PAGE </w:instrText>
    </w:r>
    <w:r>
      <w:fldChar w:fldCharType="separate"/>
    </w:r>
    <w:r>
      <w:t>45</w:t>
    </w:r>
    <w:r>
      <w:fldChar w:fldCharType="end"/>
    </w:r>
    <w:r>
      <w:t>/</w:t>
    </w:r>
    <w:r>
      <w:fldChar w:fldCharType="begin"/>
    </w:r>
    <w:r>
      <w:instrText xml:space="preserve"> NUMPAGES </w:instrText>
    </w:r>
    <w:r>
      <w:fldChar w:fldCharType="separate"/>
    </w:r>
    <w:r>
      <w:t>45</w:t>
    </w:r>
    <w:r>
      <w:fldChar w:fldCharType="end"/>
    </w:r>
    <w:r>
      <w:tab/>
    </w:r>
    <w:r>
      <w:t>PE</w:t>
    </w:r>
    <w:r>
      <w:rPr>
        <w:rStyle w:val="HideTWBExt"/>
      </w:rPr>
      <w:t>&lt;NoPE&gt;</w:t>
    </w:r>
    <w:r>
      <w:t>789.935</w:t>
    </w:r>
    <w:r>
      <w:rPr>
        <w:rStyle w:val="HideTWBExt"/>
      </w:rPr>
      <w:t>&lt;/NoPE&gt;</w:t>
    </w:r>
    <w:r>
      <w:rPr>
        <w:rStyle w:val="HideTWBExt"/>
      </w:rPr>
      <w:t>&lt;Version&gt;</w:t>
    </w:r>
    <w:r>
      <w:t>v01-00</w:t>
    </w:r>
    <w:r>
      <w:rPr>
        <w:rStyle w:val="HideTWBExt"/>
      </w:rPr>
      <w:t>&lt;/Version&gt;</w:t>
    </w:r>
  </w:p>
  <w:p>
    <w:pPr>
      <w:pStyle w:val="EPFooter2"/>
    </w:pPr>
    <w:r>
      <w:tab/>
    </w:r>
    <w:r>
      <w:tab/>
    </w:r>
    <w:r>
      <w:t>SV</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AM\1345550SV.docx</w:t>
    </w:r>
    <w:r>
      <w:rPr>
        <w:rStyle w:val="HideTWBExt"/>
      </w:rPr>
      <w:t>&lt;/PathFdR&gt;</w:t>
    </w:r>
    <w:r>
      <w:tab/>
    </w:r>
    <w:r>
      <w:tab/>
    </w:r>
    <w:r>
      <w:t>PE</w:t>
    </w:r>
    <w:r>
      <w:rPr>
        <w:rStyle w:val="HideTWBExt"/>
      </w:rPr>
      <w:t>&lt;NoPE&gt;</w:t>
    </w:r>
    <w:r>
      <w:t>789.935</w:t>
    </w:r>
    <w:r>
      <w:rPr>
        <w:rStyle w:val="HideTWBExt"/>
      </w:rPr>
      <w:t>&lt;/NoPE&gt;</w:t>
    </w:r>
    <w:r>
      <w:rPr>
        <w:rStyle w:val="HideTWBExt"/>
      </w:rPr>
      <w:t>&lt;Version&gt;</w:t>
    </w:r>
    <w:r>
      <w:t>v01-00</w:t>
    </w:r>
    <w:r>
      <w:rPr>
        <w:rStyle w:val="HideTWBExt"/>
      </w:rPr>
      <w:t>&lt;/Version&gt;</w:t>
    </w:r>
  </w:p>
  <w:p>
    <w:pPr>
      <w:pStyle w:val="EPFooter2"/>
    </w:pPr>
    <w:r>
      <w:t>SV</w:t>
    </w:r>
    <w:r>
      <w:tab/>
    </w:r>
    <w:r>
      <w:rPr>
        <w:rStyle w:val="EPFooter2Motto"/>
      </w:rPr>
      <w:t>Förenade i mångfalden</w:t>
    </w:r>
    <w:r>
      <w:tab/>
    </w:r>
    <w:r>
      <w:t>SV</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968246 HideTWBExt;}}{\*\rsidtbl \rsid24658\rsid358857\rsid735077\rsid787282\rsid2892074\rsid3622648\rsid4666813\rsid5708216\rsid6641733\rsid7553164\rsid8465581\rsid8681905\rsid8724649_x000d__x000a_\rsid9636012\rsid9708692\rsid9862312\rsid10968246\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2\min7}{\revtim\yr2019\mo7\dy3\hr12\min7}{\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968246\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70869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708692 \chftnsepc _x000d__x000a_\par }}{\*\aftnsep \ltrpar \pard\plain \ltrpar\ql \li0\ri0\widctlpar\wrapdefault\aspalpha\aspnum\faauto\adjustright\rin0\lin0\itap0 \rtlch\fcs1 \af0\afs20\alang1025 \ltrch\fcs0 \fs24\lang2057\langfe2057\cgrid\langnp2057\langfenp2057 {\rtlch\fcs1 \af0 _x000d__x000a_\ltrch\fcs0 \insrsid9708692 \chftnsep _x000d__x000a_\par }}{\*\aftnsepc \ltrpar \pard\plain \ltrpar\ql \li0\ri0\widctlpar\wrapdefault\aspalpha\aspnum\faauto\adjustright\rin0\lin0\itap0 \rtlch\fcs1 \af0\afs20\alang1025 \ltrch\fcs0 \fs24\lang2057\langfe2057\cgrid\langnp2057\langfenp2057 {\rtlch\fcs1 \af0 _x000d__x000a_\ltrch\fcs0 \insrsid970869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0968246 \rtlch\fcs1 \af0\afs20\alang1025 \ltrch\fcs0 \fs24\lang2057\langfe2057\cgrid\langnp2057\langfenp2057 {\rtlch\fcs1 \af0 \ltrch\fcs0 _x000d__x000a_\cs15\v\f1\fs20\cf9\insrsid10968246\charrsid12784134 {\*\bkmkstart EndA}&lt;&lt;&lt;}{\rtlch\fcs1 \af0 \ltrch\fcs0 \insrsid10968246\charrsid12784134 #@&gt;ZOTHAMA&lt;@#}{\rtlch\fcs1 \af0 \ltrch\fcs0 \cs15\v\f1\fs20\cf9\insrsid10968246\charrsid12784134 _x000d__x000a_&lt;/RepeatBlock-AmendA&gt;}{\rtlch\fcs1 \af0 \ltrch\fcs0 \insrsid10968246\charrsid12784134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e2_x000d__x000a_f51c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229374 HideTWBExt;}}{\*\rsidtbl \rsid24658\rsid229374\rsid358857\rsid735077\rsid787282\rsid2892074\rsid3622648\rsid4666813\rsid5708216\rsid6641733\rsid7553164\rsid8465581\rsid8681905_x000d__x000a_\rsid8724649\rsid9636012\rsid9862312\rsid1051123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2\min7}{\revtim\yr2019\mo7\dy3\hr12\min7}{\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22937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51123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511232 \chftnsepc _x000d__x000a_\par }}{\*\aftnsep \ltrpar \pard\plain \ltrpar\ql \li0\ri0\widctlpar\wrapdefault\aspalpha\aspnum\faauto\adjustright\rin0\lin0\itap0 \rtlch\fcs1 \af0\afs20\alang1025 \ltrch\fcs0 \fs24\lang2057\langfe2057\cgrid\langnp2057\langfenp2057 {\rtlch\fcs1 \af0 _x000d__x000a_\ltrch\fcs0 \insrsid10511232 \chftnsep _x000d__x000a_\par }}{\*\aftnsepc \ltrpar \pard\plain \ltrpar\ql \li0\ri0\widctlpar\wrapdefault\aspalpha\aspnum\faauto\adjustright\rin0\lin0\itap0 \rtlch\fcs1 \af0\afs20\alang1025 \ltrch\fcs0 \fs24\lang2057\langfe2057\cgrid\langnp2057\langfenp2057 {\rtlch\fcs1 \af0 _x000d__x000a_\ltrch\fcs0 \insrsid1051123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229374\charrsid12784134 {\*\bkmkstart EndB}&lt;&lt;&lt;}{\rtlch\fcs1 \af0 \ltrch\fcs0 \insrsid229374\charrsid12784134 #@&gt;ZOTHAMB&lt;@#}{\rtlch\fcs1 \af0 \ltrch\fcs0 \cs15\v\f1\fs20\cf9\insrsid229374\charrsid12784134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99_x000d__x000a_751d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6502470 HideTWBExt;}}{\*\rsidtbl \rsid24658\rsid358857\rsid735077\rsid787282\rsid1577781\rsid2892074\rsid3622648\rsid4666813\rsid5708216\rsid6502470\rsid6641733\rsid7553164\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2\min7}{\revtim\yr2019\mo7\dy3\hr12\min7}{\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650247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577781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577781 \chftnsepc _x000d__x000a_\par }}{\*\aftnsep \ltrpar \pard\plain \ltrpar\ql \li0\ri0\widctlpar\wrapdefault\aspalpha\aspnum\faauto\adjustright\rin0\lin0\itap0 \rtlch\fcs1 \af0\afs20\alang1025 \ltrch\fcs0 \fs24\lang2057\langfe2057\cgrid\langnp2057\langfenp2057 {\rtlch\fcs1 \af0 _x000d__x000a_\ltrch\fcs0 \insrsid1577781 \chftnsep _x000d__x000a_\par }}{\*\aftnsepc \ltrpar \pard\plain \ltrpar\ql \li0\ri0\widctlpar\wrapdefault\aspalpha\aspnum\faauto\adjustright\rin0\lin0\itap0 \rtlch\fcs1 \af0\afs20\alang1025 \ltrch\fcs0 \fs24\lang2057\langfe2057\cgrid\langnp2057\langfenp2057 {\rtlch\fcs1 \af0 _x000d__x000a_\ltrch\fcs0 \insrsid1577781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6502470\charrsid12784134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cf_x000d__x000a_f91b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366112 HideTWBExt;}}{\*\rsidtbl \rsid24658\rsid358857\rsid735077\rsid787282\rsid2892074\rsid3622648\rsid4666813\rsid5708216\rsid6641733\rsid7553164\rsid8465581\rsid8681905\rsid8724649_x000d__x000a_\rsid9584078\rsid9636012\rsid9862312\rsid11215221\rsid11366112\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2\min7}{\revtim\yr2019\mo7\dy3\hr12\min7}{\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366112\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84078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84078 \chftnsepc _x000d__x000a_\par }}{\*\aftnsep \ltrpar \pard\plain \ltrpar\ql \li0\ri0\widctlpar\wrapdefault\aspalpha\aspnum\faauto\adjustright\rin0\lin0\itap0 \rtlch\fcs1 \af0\afs20\alang1025 \ltrch\fcs0 \fs24\lang2057\langfe2057\cgrid\langnp2057\langfenp2057 {\rtlch\fcs1 \af0 _x000d__x000a_\ltrch\fcs0 \insrsid9584078 \chftnsep _x000d__x000a_\par }}{\*\aftnsepc \ltrpar \pard\plain \ltrpar\ql \li0\ri0\widctlpar\wrapdefault\aspalpha\aspnum\faauto\adjustright\rin0\lin0\itap0 \rtlch\fcs1 \af0\afs20\alang1025 \ltrch\fcs0 \fs24\lang2057\langfe2057\cgrid\langnp2057\langfenp2057 {\rtlch\fcs1 \af0 _x000d__x000a_\ltrch\fcs0 \insrsid9584078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1366112\charrsid12784134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45_x000d__x000a_7c1c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814430 HideTWBExt;}{\s16\ql \li0\ri0\sa120\nowidctlpar\wrapdefault\aspalpha\aspnum\faauto\adjustright\rin0\lin0\itap0 \rtlch\fcs1 \af0\afs20\alang1025 \ltrch\fcs0 _x000d__x000a_\fs24\lang2057\langfe2057\cgrid\langnp2057\langfenp2057 \sbasedon0 \snext16 \spriority0 \styrsid8814430 Normal6a;}{\s17\ql \li0\ri0\nowidctlpar\wrapdefault\aspalpha\aspnum\faauto\adjustright\rin0\lin0\itap0 \rtlch\fcs1 \af0\afs20\alang1025 \ltrch\fcs0 _x000d__x000a_\b\fs24\lang2057\langfe2057\cgrid\langnp2057\langfenp2057 \sbasedon0 \snext17 \spriority0 \styrsid8814430 NormalBold;}{\s18\qr \li0\ri0\sb240\sa240\nowidctlpar\wrapdefault\aspalpha\aspnum\faauto\adjustright\rin0\lin0\itap0 \rtlch\fcs1 _x000d__x000a_\af0\afs20\alang1025 \ltrch\fcs0 \fs24\lang2057\langfe2057\cgrid\langnp2057\langfenp2057 \sbasedon0 \snext18 \spriority0 \styrsid8814430 AmOrLang;}{\s19\qc \li0\ri0\sa240\nowidctlpar\wrapdefault\aspalpha\aspnum\faauto\adjustright\rin0\lin0\itap0 _x000d__x000a_\rtlch\fcs1 \af0\afs20\alang1025 \ltrch\fcs0 \i\fs24\lang2057\langfe2057\cgrid\langnp2057\langfenp2057 \sbasedon0 \snext19 \spriority0 \styrsid8814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8814430 AmNumberTabs;}}{\*\rsidtbl \rsid24658\rsid358857\rsid735077\rsid787282\rsid2892074\rsid3622648\rsid4666813\rsid5708216\rsid6641733_x000d__x000a_\rsid7553164\rsid8465581\rsid8681905\rsid8724649\rsid8814430\rsid9636012\rsid9862312\rsid11215221\rsid11280678\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2\min7}_x000d__x000a_{\revtim\yr2019\mo7\dy3\hr12\min7}{\version1}{\edmins0}{\nofpages1}{\nofwords48}{\nofchars279}{\*\company European Parliament}{\nofcharsws326}{\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814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280678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280678 \chftnsepc _x000d__x000a_\par }}{\*\aftnsep \ltrpar \pard\plain \ltrpar\ql \li0\ri0\widctlpar\wrapdefault\aspalpha\aspnum\faauto\adjustright\rin0\lin0\itap0 \rtlch\fcs1 \af0\afs20\alang1025 \ltrch\fcs0 \fs24\lang2057\langfe2057\cgrid\langnp2057\langfenp2057 {\rtlch\fcs1 \af0 _x000d__x000a_\ltrch\fcs0 \insrsid11280678 \chftnsep _x000d__x000a_\par }}{\*\aftnsepc \ltrpar \pard\plain \ltrpar\ql \li0\ri0\widctlpar\wrapdefault\aspalpha\aspnum\faauto\adjustright\rin0\lin0\itap0 \rtlch\fcs1 \af0\afs20\alang1025 \ltrch\fcs0 \fs24\lang2057\langfe2057\cgrid\langnp2057\langfenp2057 {\rtlch\fcs1 \af0 _x000d__x000a_\ltrch\fcs0 \insrsid11280678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8814430 \rtlch\fcs1 \af0\afs20\alang1025 \ltrch\fcs0 \b\fs24\lang2057\langfe2057\cgrid\langnp2057\langfenp2057 {\rtlch\fcs1 \af0 \ltrch\fcs0 \cs15\b0\v\f1\fs20\cf9\insrsid8814430\charrsid12784134 {\*\bkmkstart restartA}&lt;AmendA&gt;}{_x000d__x000a_\rtlch\fcs1 \af0 \ltrch\fcs0 \insrsid8814430\charrsid12784134 [ZAMENDMENT]\tab \tab }{\rtlch\fcs1 \af0 \ltrch\fcs0 \cs15\b0\v\f1\fs20\cf9\insrsid8814430\charrsid12784134 &lt;NumAmA&gt;}{\rtlch\fcs1 \af0 \ltrch\fcs0 \insrsid8814430\charrsid12784134 [ZNRAM]}{_x000d__x000a_\rtlch\fcs1 \af0 \ltrch\fcs0 \cs15\b0\v\f1\fs20\cf9\insrsid8814430\charrsid12784134 &lt;/NumAmA&gt;}{\rtlch\fcs1 \af0 \ltrch\fcs0 \insrsid8814430\charrsid12784134 _x000d__x000a_\par }\pard\plain \ltrpar\s17\ql \li0\ri0\nowidctlpar\wrapdefault\aspalpha\aspnum\faauto\adjustright\rin0\lin0\itap0\pararsid8814430 \rtlch\fcs1 \af0\afs20\alang1025 \ltrch\fcs0 \b\fs24\lang2057\langfe2057\cgrid\langnp2057\langfenp2057 {\rtlch\fcs1 \af0 _x000d__x000a_\ltrch\fcs0 \cs15\b0\v\f1\fs20\cf9\lang1024\langfe1024\noproof\insrsid8814430\charrsid14699840 &lt;RepeatBlock-By&gt;}{\rtlch\fcs1 \af0 \ltrch\fcs0 \lang1024\langfe1024\noproof\insrsid8814430\charrsid14699840 [RepeatMembers]}{\rtlch\fcs1 \af0 \ltrch\fcs0 _x000d__x000a_\cs15\b0\v\f1\fs20\cf9\lang1024\langfe1024\noproof\insrsid8814430\charrsid14699840 &lt;Members&gt;}{\rtlch\fcs1 \af0 \ltrch\fcs0 \insrsid8814430\charrsid14699840 [ZMEMBERS]}{\rtlch\fcs1 \af0 \ltrch\fcs0 _x000d__x000a_\cs15\b0\v\f1\fs20\cf9\lang1024\langfe1024\noproof\insrsid8814430\charrsid14699840 &lt;/Members&gt;}{\rtlch\fcs1 \af0 \ltrch\fcs0 \insrsid8814430\charrsid14699840 _x000d__x000a_\par }\pard\plain \ltrpar\ql \li0\ri0\widctlpar\wrapdefault\aspalpha\aspnum\faauto\adjustright\rin0\lin0\itap0\pararsid8814430 \rtlch\fcs1 \af0\afs20\alang1025 \ltrch\fcs0 \fs24\lang2057\langfe2057\cgrid\langnp2057\langfenp2057 {\rtlch\fcs1 \af0 \ltrch\fcs0 _x000d__x000a_\cs15\v\f1\fs20\cf9\lang1024\langfe1024\noproof\langnp1043\insrsid8814430\charrsid6110050 &lt;AuNomDe&gt;&lt;OptDel&gt;}{\rtlch\fcs1 \af0 \ltrch\fcs0 \lang1024\langfe1024\noproof\langnp1043\insrsid8814430\charrsid6110050 [ZONBEHALF]}{\rtlch\fcs1 \af0 \ltrch\fcs0 _x000d__x000a_\cs15\v\f1\fs20\cf9\lang1024\langfe1024\noproof\langnp1043\insrsid8814430\charrsid6110050 &lt;/OptDel&gt;&lt;/AuNomDe&gt;}{\rtlch\fcs1 \af0 \ltrch\fcs0 \lang1043\langfe2057\langnp1043\insrsid8814430\charrsid6110050 _x000d__x000a_\par }{\rtlch\fcs1 \af0 \ltrch\fcs0 \insrsid8814430\charrsid14699840 &lt;&lt;&lt;}{\rtlch\fcs1 \af0 \ltrch\fcs0 \cs15\v\f1\fs20\cf9\lang1024\langfe1024\noproof\insrsid8814430\charrsid14699840 &lt;/RepeatBlock-By&gt;}{\rtlch\fcs1 \af0 \ltrch\fcs0 _x000d__x000a_\insrsid8814430\charrsid14699840 _x000d__x000a_\par }\pard\plain \ltrpar\s17\ql \li0\ri0\nowidctlpar\wrapdefault\aspalpha\aspnum\faauto\adjustright\rin0\lin0\itap0\pararsid8814430 \rtlch\fcs1 \af0\afs20\alang1025 \ltrch\fcs0 \b\fs24\lang2057\langfe2057\cgrid\langnp2057\langfenp2057 {\rtlch\fcs1 \af0 _x000d__x000a_\ltrch\fcs0 \cs15\b0\v\f1\fs20\cf9\insrsid8814430\charrsid12784134 &lt;DocAmend&gt;}{\rtlch\fcs1 \af0 \ltrch\fcs0 \insrsid8814430\charrsid12784134 [ZRESOLUTION]}{\rtlch\fcs1 \af0 \ltrch\fcs0 \cs15\b0\v\f1\fs20\cf9\insrsid8814430\charrsid12784134 &lt;/DocAmend&gt;}{_x000d__x000a_\rtlch\fcs1 \af0 \ltrch\fcs0 \insrsid8814430\charrsid12784134 _x000d__x000a_\par }{\rtlch\fcs1 \af0 \ltrch\fcs0 \cs15\b0\v\f1\fs20\cf9\lang1024\langfe1024\noproof\insrsid8814430\charrsid8741043 &lt;Article&gt;}{\rtlch\fcs1 \af0 \ltrch\fcs0 \insrsid8814430\charrsid8741043 [ZRESPART]}{\rtlch\fcs1 \af0 \ltrch\fcs0 _x000d__x000a_\cs15\b0\v\f1\fs20\cf9\lang1024\langfe1024\noproof\insrsid8814430\charrsid8741043 &lt;/Article&gt;}{\rtlch\fcs1 \af0 \ltrch\fcs0 \insrsid8814430\charrsid8741043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4786594 \rtlch\fcs1 \af0\afs20\alang1025 \ltrch\fcs0 _x000d__x000a_\fs24\lang2057\langfe2057\cgrid\langnp2057\langfenp2057 {\rtlch\fcs1 \af0 \ltrch\fcs0 \insrsid8814430\charrsid12784134 \cell }\pard\plain \ltrpar\ql \li0\ri0\widctlpar\intbl\wrapdefault\aspalpha\aspnum\faauto\adjustright\rin0\lin0 \rtlch\fcs1 _x000d__x000a_\af0\afs20\alang1025 \ltrch\fcs0 \fs24\lang2057\langfe2057\cgrid\langnp2057\langfenp2057 {\rtlch\fcs1 \af0 \ltrch\fcs0 \insrsid8814430\charrsid12784134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4786594 \rtlch\fcs1 \af0\afs20\alang1025 \ltrch\fcs0 \i\fs24\lang2057\langfe2057\cgrid\langnp2057\langfenp2057 {_x000d__x000a_\rtlch\fcs1 \af0 \ltrch\fcs0 \insrsid8814430\charrsid12784134 [ZLEFTA]\cell [ZRIGHT]\cell }\pard\plain \ltrpar\ql \li0\ri0\widctlpar\intbl\wrapdefault\aspalpha\aspnum\faauto\adjustright\rin0\lin0 \rtlch\fcs1 \af0\afs20\alang1025 \ltrch\fcs0 _x000d__x000a_\fs24\lang2057\langfe2057\cgrid\langnp2057\langfenp2057 {\rtlch\fcs1 \af0 \ltrch\fcs0 \insrsid8814430\charrsid12784134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8814430\charrsid12784134 [ZTEXTL]\cell }\pard \ltrpar\s16\ql \li0\ri0\sa120\nowidctlpar\intbl\wrapdefault\aspalpha\aspnum\faauto\adjustright\rin0\lin0\pararsid4786594 {\rtlch\fcs1 \af0 \ltrch\fcs0 \insrsid8814430\charrsid12784134 [ZTEXTR]}{_x000d__x000a_\rtlch\fcs1 \af0\afs24 \ltrch\fcs0 \insrsid8814430\charrsid12784134 \cell }\pard\plain \ltrpar\ql \li0\ri0\widctlpar\intbl\wrapdefault\aspalpha\aspnum\faauto\adjustright\rin0\lin0 \rtlch\fcs1 \af0\afs20\alang1025 \ltrch\fcs0 _x000d__x000a_\fs24\lang2057\langfe2057\cgrid\langnp2057\langfenp2057 {\rtlch\fcs1 \af0 \ltrch\fcs0 \insrsid8814430\charrsid12784134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8814430 \rtlch\fcs1 \af0\afs20\alang1025 \ltrch\fcs0 \fs24\lang2057\langfe2057\cgrid\langnp2057\langfenp2057 {\rtlch\fcs1 \af0 \ltrch\fcs0 _x000d__x000a_\insrsid8814430\charrsid12784134 Or. }{\rtlch\fcs1 \af0 \ltrch\fcs0 \cs15\v\f1\fs20\cf9\insrsid8814430\charrsid12784134 &lt;Original&gt;}{\rtlch\fcs1 \af0 \ltrch\fcs0 \insrsid8814430\charrsid12784134 [ZORLANG]}{\rtlch\fcs1 \af0 \ltrch\fcs0 _x000d__x000a_\cs15\v\f1\fs20\cf9\insrsid8814430\charrsid12784134 &lt;/Original&gt;}{\rtlch\fcs1 \af0 \ltrch\fcs0 \insrsid8814430\charrsid12784134 _x000d__x000a_\par }\pard\plain \ltrpar\ql \li0\ri0\widctlpar\wrapdefault\aspalpha\aspnum\faauto\adjustright\rin0\lin0\itap0\pararsid8814430 \rtlch\fcs1 \af0\afs20\alang1025 \ltrch\fcs0 \fs24\lang2057\langfe2057\cgrid\langnp2057\langfenp2057 {\rtlch\fcs1 \af0 \ltrch\fcs0 _x000d__x000a_\cs15\v\f1\fs20\cf9\insrsid8814430\charrsid12784134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b4_x000d__x000a_f41d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2065326 HideTWBExt;}{\s16\ql \li0\ri0\sa120\nowidctlpar\wrapdefault\aspalpha\aspnum\faauto\adjustright\rin0\lin0\itap0 \rtlch\fcs1 \af0\afs20\alang1025 \ltrch\fcs0 _x000d__x000a_\fs24\lang2057\langfe2057\cgrid\langnp2057\langfenp2057 \sbasedon0 \snext16 \spriority0 \styrsid12065326 Normal6a;}{\s17\ql \li0\ri0\nowidctlpar\wrapdefault\aspalpha\aspnum\faauto\adjustright\rin0\lin0\itap0 \rtlch\fcs1 \af0\afs20\alang1025 \ltrch\fcs0 _x000d__x000a_\b\fs24\lang2057\langfe2057\cgrid\langnp2057\langfenp2057 \sbasedon0 \snext17 \spriority0 \styrsid12065326 NormalBold;}{\s18\ql \li0\ri0\sa240\nowidctlpar\wrapdefault\aspalpha\aspnum\faauto\adjustright\rin0\lin0\itap0 \rtlch\fcs1 \af0\afs20\alang1025 _x000d__x000a_\ltrch\fcs0 \i\fs24\lang2057\langfe2057\cgrid\langnp2057\langfenp2057 \sbasedon0 \snext18 \spriority0 \styrsid12065326 AmJustText;}{\s19\qc \li0\ri0\sb240\sa240\nowidctlpar\wrapdefault\aspalpha\aspnum\faauto\adjustright\rin0\lin0\itap0 \rtlch\fcs1 _x000d__x000a_\af0\afs20\alang1025 \ltrch\fcs0 \i\fs24\lang2057\langfe2057\cgrid\langnp2057\langfenp2057 \sbasedon0 \snext19 \spriority0 \styrsid12065326 AmCrossRef;}{_x000d__x000a_\s20\qc \li0\ri0\sb240\sa240\keepn\nowidctlpar\wrapdefault\aspalpha\aspnum\faauto\adjustright\rin0\lin0\itap0 \rtlch\fcs1 \af0\afs20\alang1025 \ltrch\fcs0 \i\fs24\lang2057\langfe2057\cgrid\langnp2057\langfenp2057 _x000d__x000a_\sbasedon0 \snext18 \spriority0 \styrsid12065326 AmJustTitle;}{\s21\qr \li0\ri0\sb240\sa240\nowidctlpar\wrapdefault\aspalpha\aspnum\faauto\adjustright\rin0\lin0\itap0 \rtlch\fcs1 \af0\afs20\alang1025 \ltrch\fcs0 _x000d__x000a_\fs24\lang2057\langfe2057\cgrid\langnp2057\langfenp2057 \sbasedon0 \snext21 \spriority0 \styrsid12065326 AmOrLang;}{\s22\qc \li0\ri0\sa240\nowidctlpar\wrapdefault\aspalpha\aspnum\faauto\adjustright\rin0\lin0\itap0 \rtlch\fcs1 \af0\afs20\alang1025 _x000d__x000a_\ltrch\fcs0 \i\fs24\lang2057\langfe2057\cgrid\langnp2057\langfenp2057 \sbasedon0 \snext22 \spriority0 \styrsid1206532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2065326 AmNumberTabs;}}{\*\rsidtbl \rsid24658\rsid358857\rsid735077\rsid787282\rsid2892074\rsid3622648\rsid3883069\rsid4666813\rsid5708216_x000d__x000a_\rsid6641733\rsid7553164\rsid8465581\rsid8681905\rsid8724649\rsid9636012\rsid9862312\rsid11215221\rsid11370291\rsid11434737\rsid11607138\rsid11824949\rsid12065326\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2\min7}_x000d__x000a_{\revtim\yr2019\mo7\dy3\hr12\min7}{\version1}{\edmins0}{\nofpages1}{\nofwords78}{\nofchars447}{\*\company European Parliament}{\nofcharsws52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2065326\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883069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883069 \chftnsepc _x000d__x000a_\par }}{\*\aftnsep \ltrpar \pard\plain \ltrpar\ql \li0\ri0\widctlpar\wrapdefault\aspalpha\aspnum\faauto\adjustright\rin0\lin0\itap0 \rtlch\fcs1 \af0\afs20\alang1025 \ltrch\fcs0 \fs24\lang2057\langfe2057\cgrid\langnp2057\langfenp2057 {\rtlch\fcs1 \af0 _x000d__x000a_\ltrch\fcs0 \insrsid3883069 \chftnsep _x000d__x000a_\par }}{\*\aftnsepc \ltrpar \pard\plain \ltrpar\ql \li0\ri0\widctlpar\wrapdefault\aspalpha\aspnum\faauto\adjustright\rin0\lin0\itap0 \rtlch\fcs1 \af0\afs20\alang1025 \ltrch\fcs0 \fs24\lang2057\langfe2057\cgrid\langnp2057\langfenp2057 {\rtlch\fcs1 \af0 _x000d__x000a_\ltrch\fcs0 \insrsid3883069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2065326 \rtlch\fcs1 \af0\afs20\alang1025 \ltrch\fcs0 \b\fs24\lang2057\langfe2057\cgrid\langnp2057\langfenp2057 {\rtlch\fcs1 \af0 \ltrch\fcs0 \cs15\b0\v\f1\fs20\cf9\insrsid12065326\charrsid12784134 {\*\bkmkstart restartB}&lt;AmendB&gt;}{_x000d__x000a_\rtlch\fcs1 \af0 \ltrch\fcs0 \insrsid12065326\charrsid12784134 [ZAMENDMENT]\tab \tab }{\rtlch\fcs1 \af0 \ltrch\fcs0 \cs15\b0\v\f1\fs20\cf9\insrsid12065326\charrsid12784134 &lt;NumAmB&gt;}{\rtlch\fcs1 \af0 \ltrch\fcs0 \insrsid12065326\charrsid12784134 [ZNRAM]}{_x000d__x000a_\rtlch\fcs1 \af0 \ltrch\fcs0 \cs15\b0\v\f1\fs20\cf9\insrsid12065326\charrsid12784134 &lt;/NumAmB&gt;}{\rtlch\fcs1 \af0 \ltrch\fcs0 \insrsid12065326\charrsid12784134 _x000d__x000a_\par }\pard\plain \ltrpar\s17\ql \li0\ri0\nowidctlpar\wrapdefault\aspalpha\aspnum\faauto\adjustright\rin0\lin0\itap0\pararsid12065326 \rtlch\fcs1 \af0\afs20\alang1025 \ltrch\fcs0 \b\fs24\lang2057\langfe2057\cgrid\langnp2057\langfenp2057 {\rtlch\fcs1 \af0 _x000d__x000a_\ltrch\fcs0 \cs15\b0\v\f1\fs20\cf9\lang1024\langfe1024\noproof\insrsid12065326\charrsid14699840 &lt;RepeatBlock-By&gt;}{\rtlch\fcs1 \af0 \ltrch\fcs0 \lang1024\langfe1024\noproof\insrsid12065326\charrsid14699840 [RepeatMembers]}{\rtlch\fcs1 \af0 \ltrch\fcs0 _x000d__x000a_\cs15\b0\v\f1\fs20\cf9\lang1024\langfe1024\noproof\insrsid12065326\charrsid14699840 &lt;Members&gt;}{\rtlch\fcs1 \af0 \ltrch\fcs0 \insrsid12065326\charrsid14699840 [ZMEMBERS]}{\rtlch\fcs1 \af0 \ltrch\fcs0 _x000d__x000a_\cs15\b0\v\f1\fs20\cf9\lang1024\langfe1024\noproof\insrsid12065326\charrsid14699840 &lt;/Members&gt;}{\rtlch\fcs1 \af0 \ltrch\fcs0 \insrsid12065326\charrsid14699840 _x000d__x000a_\par }\pard\plain \ltrpar\ql \li0\ri0\widctlpar\wrapdefault\aspalpha\aspnum\faauto\adjustright\rin0\lin0\itap0\pararsid12065326 \rtlch\fcs1 \af0\afs20\alang1025 \ltrch\fcs0 \fs24\lang2057\langfe2057\cgrid\langnp2057\langfenp2057 {\rtlch\fcs1 \af0 \ltrch\fcs0 _x000d__x000a_\cs15\v\f1\fs20\cf9\lang1024\langfe1024\noproof\langnp1043\insrsid12065326\charrsid6110050 &lt;AuNomDe&gt;&lt;OptDel&gt;}{\rtlch\fcs1 \af0 \ltrch\fcs0 \lang1024\langfe1024\noproof\langnp1043\insrsid12065326\charrsid6110050 [ZONBEHALF]}{\rtlch\fcs1 \af0 \ltrch\fcs0 _x000d__x000a_\cs15\v\f1\fs20\cf9\lang1024\langfe1024\noproof\langnp1043\insrsid12065326\charrsid6110050 &lt;/OptDel&gt;&lt;/AuNomDe&gt;}{\rtlch\fcs1 \af0 \ltrch\fcs0 \lang1043\langfe2057\langnp1043\insrsid12065326\charrsid6110050 _x000d__x000a_\par }{\rtlch\fcs1 \af0 \ltrch\fcs0 \insrsid12065326\charrsid14699840 &lt;&lt;&lt;}{\rtlch\fcs1 \af0 \ltrch\fcs0 \cs15\v\f1\fs20\cf9\lang1024\langfe1024\noproof\insrsid12065326\charrsid14699840 &lt;/RepeatBlock-By&gt;}{\rtlch\fcs1 \af0 \ltrch\fcs0 _x000d__x000a_\insrsid12065326\charrsid14699840 _x000d__x000a_\par }\pard\plain \ltrpar\s17\ql \li0\ri0\nowidctlpar\wrapdefault\aspalpha\aspnum\faauto\adjustright\rin0\lin0\itap0\pararsid12065326 \rtlch\fcs1 \af0\afs20\alang1025 \ltrch\fcs0 \b\fs24\lang2057\langfe2057\cgrid\langnp2057\langfenp2057 {\rtlch\fcs1 \af0 _x000d__x000a_\ltrch\fcs0 \cs15\b0\v\f1\fs20\cf9\insrsid12065326\charrsid12784134 &lt;DocAmend&gt;}{\rtlch\fcs1 \af0 \ltrch\fcs0 \insrsid12065326\charrsid12784134 [}{\rtlch\fcs1 \af0 \ltrch\fcs0 \insrsid12065326 ZAMDOC}{\rtlch\fcs1 \af0 \ltrch\fcs0 _x000d__x000a_\insrsid12065326\charrsid12784134 ]}{\rtlch\fcs1 \af0 \ltrch\fcs0 \cs15\b0\v\f1\fs20\cf9\insrsid12065326\charrsid12784134 &lt;/DocAmend&gt;}{\rtlch\fcs1 \af0 \ltrch\fcs0 \insrsid12065326\charrsid12784134 _x000d__x000a_\par }\pard \ltrpar\s17\ql \li0\ri0\keepn\nowidctlpar\wrapdefault\aspalpha\aspnum\faauto\adjustright\rin0\lin0\itap0\pararsid12065326 {\rtlch\fcs1 \af0 \ltrch\fcs0 \cs15\b0\v\f1\fs20\cf9\insrsid12065326\charrsid12784134 &lt;Article&gt;}{\rtlch\fcs1 \af0 \ltrch\fcs0 _x000d__x000a_\insrsid12065326\charrsid12784134 [ZAMPART]}{\rtlch\fcs1 \af0 \ltrch\fcs0 \cs15\b0\v\f1\fs20\cf9\insrsid12065326\charrsid12784134 &lt;/Article&gt;}{\rtlch\fcs1 \af0 \ltrch\fcs0 \insrsid12065326\charrsid12784134 _x000d__x000a_\par }\pard\plain \ltrpar\ql \li0\ri0\keepn\widctlpar\wrapdefault\aspalpha\aspnum\faauto\adjustright\rin0\lin0\itap0\pararsid12065326 \rtlch\fcs1 \af0\afs20\alang1025 \ltrch\fcs0 \fs24\lang2057\langfe2057\cgrid\langnp2057\langfenp2057 {\rtlch\fcs1 \af0 _x000d__x000a_\ltrch\fcs0 \cs15\v\f1\fs20\cf9\lang1043\langfe2057\langnp1043\insrsid12065326\charrsid6110050 &lt;DocAmend2&gt;&lt;OptDel&gt;}{\rtlch\fcs1 \af0 \ltrch\fcs0 \lang1043\langfe2057\langnp1043\insrsid12065326\charrsid6110050 [ZNRACT]}{\rtlch\fcs1 \af0 \ltrch\fcs0 _x000d__x000a_\cs15\v\f1\fs20\cf9\lang1043\langfe2057\langnp1043\insrsid12065326\charrsid6110050 &lt;/OptDel&gt;&lt;/DocAmend2&gt;}{\rtlch\fcs1 \af0 \ltrch\fcs0 \lang1043\langfe2057\langnp1043\insrsid12065326\charrsid6110050 _x000d__x000a_\par }\pard \ltrpar\ql \li0\ri0\widctlpar\wrapdefault\aspalpha\aspnum\faauto\adjustright\rin0\lin0\itap0\pararsid12065326 {\rtlch\fcs1 \af0 \ltrch\fcs0 \cs15\v\f1\fs20\cf9\lang1036\langfe2057\langnp1036\insrsid12065326\charrsid6110050 &lt;Article2&gt;&lt;OptDel&gt;}{_x000d__x000a_\rtlch\fcs1 \af0 \ltrch\fcs0 \lang1036\langfe2057\langnp1036\insrsid12065326\charrsid6110050 [ZACTPART]}{\rtlch\fcs1 \af0 \ltrch\fcs0 \cs15\v\f1\fs20\cf9\lang1036\langfe2057\langnp1036\insrsid12065326\charrsid6110050 &lt;/OptDel&gt;&lt;/Article2&gt;}{\rtlch\fcs1 _x000d__x000a_\af0 \ltrch\fcs0 \lang1036\langfe2057\langnp1036\insrsid12065326\charrsid6110050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4786594 \rtlch\fcs1 \af0\afs20\alang1025 \ltrch\fcs0 _x000d__x000a_\fs24\lang2057\langfe2057\cgrid\langnp2057\langfenp2057 {\rtlch\fcs1 \af0 \ltrch\fcs0 \lang1036\langfe2057\langnp1036\insrsid12065326\charrsid6110050 \cell }\pard\plain \ltrpar_x000d__x000a_\ql \li0\ri0\widctlpar\intbl\wrapdefault\aspalpha\aspnum\faauto\adjustright\rin0\lin0 \rtlch\fcs1 \af0\afs20\alang1025 \ltrch\fcs0 \fs24\lang2057\langfe2057\cgrid\langnp2057\langfenp2057 {\rtlch\fcs1 \af0 \ltrch\fcs0 \insrsid12065326\charrsid6035183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4786594 \rtlch\fcs1 \af0\afs20\alang1025 \ltrch\fcs0 \i\fs24\lang2057\langfe2057\cgrid\langnp2057\langfenp2057 {\rtlch\fcs1 \af0 \ltrch\fcs0 _x000d__x000a_\insrsid12065326\charrsid12784134 [ZLEFTB]\cell [ZRIGHT]\cell }\pard\plain \ltrpar\ql \li0\ri0\widctlpar\intbl\wrapdefault\aspalpha\aspnum\faauto\adjustright\rin0\lin0 \rtlch\fcs1 \af0\afs20\alang1025 \ltrch\fcs0 _x000d__x000a_\fs24\lang2057\langfe2057\cgrid\langnp2057\langfenp2057 {\rtlch\fcs1 \af0 \ltrch\fcs0 \insrsid12065326\charrsid12784134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2065326\charrsid12784134 [ZTEXTL]\cell }\pard \ltrpar\s16\ql \li0\ri0\sa120\nowidctlpar\intbl\wrapdefault\aspalpha\aspnum\faauto\adjustright\rin0\lin0\pararsid4786594 {\rtlch\fcs1 \af0 \ltrch\fcs0 \insrsid12065326\charrsid12784134 [ZTEXTR]}{_x000d__x000a_\rtlch\fcs1 \af0\afs24 \ltrch\fcs0 \insrsid12065326\charrsid12784134 \cell }\pard\plain \ltrpar\ql \li0\ri0\widctlpar\intbl\wrapdefault\aspalpha\aspnum\faauto\adjustright\rin0\lin0 \rtlch\fcs1 \af0\afs20\alang1025 \ltrch\fcs0 _x000d__x000a_\fs24\lang2057\langfe2057\cgrid\langnp2057\langfenp2057 {\rtlch\fcs1 \af0 \ltrch\fcs0 \insrsid12065326\charrsid12784134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2065326 \rtlch\fcs1 \af0\afs20\alang1025 \ltrch\fcs0 \fs24\lang2057\langfe2057\cgrid\langnp2057\langfenp2057 {\rtlch\fcs1 \af0 \ltrch\fcs0 _x000d__x000a_\insrsid12065326\charrsid12784134 Or. }{\rtlch\fcs1 \af0 \ltrch\fcs0 \cs15\v\f1\fs20\cf9\insrsid12065326\charrsid12784134 &lt;Original&gt;}{\rtlch\fcs1 \af0 \ltrch\fcs0 \insrsid12065326\charrsid12784134 [ZORLANG]}{\rtlch\fcs1 \af0 \ltrch\fcs0 _x000d__x000a_\cs15\v\f1\fs20\cf9\insrsid12065326\charrsid12784134 &lt;/Original&gt;}{\rtlch\fcs1 \af0 \ltrch\fcs0 \insrsid12065326\charrsid12784134 _x000d__x000a_\par }\pard\plain \ltrpar\s19\qc \li0\ri0\sb240\sa240\nowidctlpar\wrapdefault\aspalpha\aspnum\faauto\adjustright\rin0\lin0\itap0\pararsid12065326 \rtlch\fcs1 \af0\afs20\alang1025 \ltrch\fcs0 \i\fs24\lang2057\langfe2057\cgrid\langnp2057\langfenp2057 {_x000d__x000a_\rtlch\fcs1 \af0 \ltrch\fcs0 \cs15\i0\v\f1\fs20\cf9\insrsid12065326\charrsid12784134 &lt;OptDel&gt;}{\rtlch\fcs1 \af0 \ltrch\fcs0 \insrsid12065326\charrsid12784134 [ZCROSSREF]}{\rtlch\fcs1 \af0 \ltrch\fcs0 _x000d__x000a_\cs15\i0\v\f1\fs20\cf9\insrsid12065326\charrsid12784134 &lt;/OptDel&gt;}{\rtlch\fcs1 \af0 \ltrch\fcs0 \insrsid12065326\charrsid12784134 _x000d__x000a_\par }\pard\plain \ltrpar\s20\qc \li0\ri0\sb240\sa240\keepn\nowidctlpar\wrapdefault\aspalpha\aspnum\faauto\adjustright\rin0\lin0\itap0\pararsid12065326 \rtlch\fcs1 \af0\afs20\alang1025 \ltrch\fcs0 \i\fs24\lang2057\langfe2057\cgrid\langnp2057\langfenp2057 {_x000d__x000a_\rtlch\fcs1 \af0 \ltrch\fcs0 \cs15\i0\v\f1\fs20\cf9\insrsid12065326\charrsid12784134 &lt;TitreJust&gt;}{\rtlch\fcs1 \af0 \ltrch\fcs0 \insrsid12065326\charrsid12784134 [ZJUSTIFICATION]}{\rtlch\fcs1 \af0 \ltrch\fcs0 _x000d__x000a_\cs15\i0\v\f1\fs20\cf9\insrsid12065326\charrsid12784134 &lt;/TitreJust&gt;}{\rtlch\fcs1 \af0 \ltrch\fcs0 \insrsid12065326\charrsid12784134 _x000d__x000a_\par }\pard\plain \ltrpar\s18\ql \li0\ri0\sa240\nowidctlpar\wrapdefault\aspalpha\aspnum\faauto\adjustright\rin0\lin0\itap0\pararsid12065326 \rtlch\fcs1 \af0\afs20\alang1025 \ltrch\fcs0 \i\fs24\lang2057\langfe2057\cgrid\langnp2057\langfenp2057 {\rtlch\fcs1 _x000d__x000a_\af0 \ltrch\fcs0 \cs15\i0\v\f1\fs20\cf9\insrsid12065326\charrsid12784134 &lt;OptDelPrev&gt;}{\rtlch\fcs1 \af0 \ltrch\fcs0 \insrsid12065326\charrsid12784134 [ZTEXTJUST]}{\rtlch\fcs1 \af0 \ltrch\fcs0 \cs15\i0\v\f1\fs20\cf9\insrsid12065326\charrsid12784134 _x000d__x000a_&lt;/OptDelPrev&gt;}{\rtlch\fcs1 \af0 \ltrch\fcs0 \insrsid12065326\charrsid12784134 _x000d__x000a_\par }\pard\plain \ltrpar\ql \li0\ri0\widctlpar\wrapdefault\aspalpha\aspnum\faauto\adjustright\rin0\lin0\itap0\pararsid12065326 \rtlch\fcs1 \af0\afs20\alang1025 \ltrch\fcs0 \fs24\lang2057\langfe2057\cgrid\langnp2057\langfenp2057 {\rtlch\fcs1 \af0 \ltrch\fcs0 _x000d__x000a_\cs15\v\f1\fs20\cf9\insrsid12065326\charrsid12784134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5_x000d__x000a_791e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rossRef">
    <w:name w:val="AmCrossRef"/>
    <w:basedOn w:val="Normal"/>
    <w:pPr>
      <w:widowControl/>
      <w:spacing w:before="240" w:after="240"/>
      <w:jc w:val="center"/>
    </w:pPr>
    <w:rPr>
      <w:i/>
    </w:r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45</Pages>
  <Words>7660</Words>
  <Characters>47213</Characters>
  <Application>Microsoft Office Word</Application>
  <DocSecurity>0</DocSecurity>
  <Lines>1</Lines>
  <Paragraphs>784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AM_Com_LegOpinion</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1345550</vt:lpwstr>
  </property>
  <property fmtid="{D5CDD505-2E9C-101B-9397-08002B2CF9AE}" pid="4" name="&lt;Model&gt;">
    <vt:lpwstr>AM_Com_LegOpinion</vt:lpwstr>
  </property>
  <property fmtid="{D5CDD505-2E9C-101B-9397-08002B2CF9AE}" pid="5" name="&lt;Type&gt;">
    <vt:lpwstr>AM</vt:lpwstr>
  </property>
  <property fmtid="{D5CDD505-2E9C-101B-9397-08002B2CF9AE}" pid="6" name="dmxml.render.id">
    <vt:lpwstr>546127</vt:lpwstr>
  </property>
  <property fmtid="{D5CDD505-2E9C-101B-9397-08002B2CF9AE}" pid="7" name="dmxml.render.traceId">
    <vt:lpwstr>6a3cf6c1161492ecc8032e292bfb570e</vt:lpwstr>
  </property>
  <property fmtid="{D5CDD505-2E9C-101B-9397-08002B2CF9AE}" pid="8" name="FooterPath">
    <vt:lpwstr>AM\1345550SV.docx</vt:lpwstr>
  </property>
  <property fmtid="{D5CDD505-2E9C-101B-9397-08002B2CF9AE}" pid="9" name="PE Number">
    <vt:lpwstr>789.935</vt:lpwstr>
  </property>
  <property fmtid="{D5CDD505-2E9C-101B-9397-08002B2CF9AE}" pid="10" name="UID">
    <vt:lpwstr>eu.europa.europarl-DIN1-2026-0000166813_02.00-sv-01.00_text-xml</vt:lpwstr>
  </property>
</Properties>
</file>