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19.12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Parlamento Europeo</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0.11pt">
                  <v:imagedata r:id="rId4" o:title=""/>
                </v:shape>
              </w:pict>
            </w:r>
          </w:p>
        </w:tc>
      </w:tr>
    </w:tbl>
    <w:p>
      <w:pPr>
        <w:pStyle w:val="LineTop"/>
      </w:pPr>
      <w:r>
        <w:t xml:space="preserve"> </w:t>
      </w:r>
    </w:p>
    <w:p>
      <w:pPr>
        <w:pStyle w:val="EPBody"/>
      </w:pPr>
      <w:r>
        <w:rPr>
          <w:rStyle w:val="HideTWBExt"/>
        </w:rPr>
        <w:t>&lt;Commission&gt;</w:t>
      </w:r>
      <w:r>
        <w:rPr>
          <w:rStyle w:val="HideTWBInt"/>
        </w:rPr>
        <w:t>{PECH}</w:t>
      </w:r>
      <w:r>
        <w:t>Comisión de Pesca</w:t>
      </w:r>
      <w:r>
        <w:rPr>
          <w:rStyle w:val="HideTWBExt"/>
        </w:rPr>
        <w:t>&lt;/Commission&gt;</w:t>
      </w:r>
    </w:p>
    <w:p>
      <w:pPr>
        <w:pStyle w:val="LineBottom"/>
      </w:pPr>
      <w:r>
        <w:t xml:space="preserve"> </w:t>
      </w:r>
    </w:p>
    <w:p>
      <w:pPr>
        <w:pStyle w:val="CoverReference"/>
      </w:pPr>
      <w:r>
        <w:rPr>
          <w:rStyle w:val="HideTWBExt"/>
        </w:rPr>
        <w:t>&lt;RefProc&gt;</w:t>
      </w:r>
      <w:r>
        <w:t>2026/2074</w:t>
      </w:r>
      <w:r>
        <w:rPr>
          <w:rStyle w:val="HideTWBExt"/>
        </w:rPr>
        <w:t>&lt;/RefProc&gt;</w:t>
      </w:r>
      <w:r>
        <w:rPr>
          <w:rStyle w:val="HideTWBExt"/>
        </w:rPr>
        <w:t>&lt;RefTypeProc&gt;</w:t>
      </w:r>
      <w:r>
        <w:t>(INI)</w:t>
      </w:r>
      <w:r>
        <w:rPr>
          <w:rStyle w:val="HideTWBExt"/>
        </w:rPr>
        <w:t>&lt;/RefTypeProc&gt;</w:t>
      </w:r>
    </w:p>
    <w:p>
      <w:pPr>
        <w:pStyle w:val="CoverDate"/>
      </w:pPr>
      <w:r>
        <w:rPr>
          <w:rStyle w:val="HideTWBExt"/>
        </w:rPr>
        <w:t>&lt;Date&gt;</w:t>
      </w:r>
      <w:r>
        <w:rPr>
          <w:rStyle w:val="HideTWBInt"/>
        </w:rPr>
        <w:t>{20/07/2026}</w:t>
      </w:r>
      <w:r>
        <w:t>20.7.2026</w:t>
      </w:r>
      <w:r>
        <w:rPr>
          <w:rStyle w:val="HideTWBExt"/>
        </w:rPr>
        <w:t>&lt;/Date&gt;</w:t>
      </w:r>
    </w:p>
    <w:p>
      <w:pPr>
        <w:pStyle w:val="CoverDocType"/>
      </w:pPr>
      <w:r>
        <w:rPr>
          <w:rStyle w:val="HideTWBExt"/>
        </w:rPr>
        <w:t>&lt;TypeAM&gt;</w:t>
      </w:r>
      <w:r>
        <w:t>ENMIENDAS</w:t>
      </w:r>
      <w:r>
        <w:rPr>
          <w:rStyle w:val="HideTWBExt"/>
        </w:rPr>
        <w:t>&lt;/TypeAM&gt;</w:t>
      </w:r>
    </w:p>
    <w:p>
      <w:pPr>
        <w:pStyle w:val="CoverDocType24a"/>
      </w:pPr>
      <w:r>
        <w:rPr>
          <w:rStyle w:val="HideTWBExt"/>
        </w:rPr>
        <w:t>&lt;RangeAM&gt;</w:t>
      </w:r>
      <w:r>
        <w:t>1</w:t>
      </w:r>
      <w:r>
        <w:t xml:space="preserve"> - </w:t>
      </w:r>
      <w:r>
        <w:t>245</w:t>
      </w:r>
      <w:r>
        <w:rPr>
          <w:rStyle w:val="HideTWBExt"/>
        </w:rPr>
        <w:t>&lt;/RangeAM&gt;</w:t>
      </w:r>
    </w:p>
    <w:p>
      <w:pPr>
        <w:pStyle w:val="CoverBold"/>
      </w:pPr>
      <w:r>
        <w:rPr>
          <w:rStyle w:val="HideTWBExt"/>
        </w:rPr>
        <w:t>&lt;TitreType&gt;</w:t>
      </w:r>
      <w:r>
        <w:t>Proyecto de informe</w:t>
      </w:r>
      <w:r>
        <w:rPr>
          <w:rStyle w:val="HideTWBExt"/>
        </w:rPr>
        <w:t>&lt;/TitreType&gt;</w:t>
      </w:r>
    </w:p>
    <w:p>
      <w:pPr>
        <w:pStyle w:val="CoverBold"/>
      </w:pPr>
      <w:r>
        <w:rPr>
          <w:rStyle w:val="HideTWBExt"/>
        </w:rPr>
        <w:t>&lt;Rapporteur&gt;</w:t>
      </w:r>
      <w:r>
        <w:t>Carmen Crespo Díaz</w:t>
      </w:r>
      <w:r>
        <w:rPr>
          <w:rStyle w:val="HideTWBExt"/>
        </w:rPr>
        <w:t>&lt;/Rapporteur&gt;</w:t>
      </w:r>
    </w:p>
    <w:p>
      <w:pPr>
        <w:pStyle w:val="CoverNormal24a"/>
      </w:pPr>
      <w:r>
        <w:rPr>
          <w:rStyle w:val="HideTWBExt"/>
        </w:rPr>
        <w:t>&lt;DocRefPE&gt;</w:t>
      </w:r>
      <w:r>
        <w:t>(PE789.948v01-00)</w:t>
      </w:r>
      <w:r>
        <w:rPr>
          <w:rStyle w:val="HideTWBExt"/>
        </w:rPr>
        <w:t>&lt;/DocRefPE&gt;</w:t>
      </w:r>
    </w:p>
    <w:p>
      <w:pPr>
        <w:pStyle w:val="CoverNormal"/>
      </w:pPr>
      <w:r>
        <w:rPr>
          <w:rStyle w:val="HideTWBExt"/>
        </w:rPr>
        <w:t>&lt;Titre&gt;</w:t>
      </w:r>
      <w:r>
        <w:t>Plan plurianual para la pesca demersal en el Mediterráneo occidental</w:t>
      </w:r>
      <w:r>
        <w:rPr>
          <w:rStyle w:val="HideTWBExt"/>
        </w:rPr>
        <w:t>&lt;/Titre&gt;</w:t>
      </w:r>
    </w:p>
    <w:p>
      <w:pPr>
        <w:pStyle w:val="CoverNormal24a"/>
      </w:pPr>
      <w:r>
        <w:rPr>
          <w:rStyle w:val="HideTWBExt"/>
        </w:rPr>
        <w:t>&lt;DocRef&gt;</w:t>
      </w:r>
      <w:r>
        <w:t>(2026/2074(INI))</w:t>
      </w:r>
      <w:r>
        <w:rPr>
          <w:rStyle w:val="HideTWBExt"/>
        </w:rPr>
        <w:t>&lt;/DocRef&gt;</w:t>
      </w:r>
    </w:p>
    <w:p>
      <w:r>
        <w:br w:type="page"/>
      </w:r>
      <w:r>
        <w:t>AM_Com_NonLegReport</w:t>
      </w:r>
    </w:p>
    <w:p>
      <w:pPr>
        <w:pStyle w:val="AmNumberTabs"/>
      </w:pPr>
      <w:r>
        <w:br w:type="page"/>
      </w:r>
      <w:r>
        <w:rPr>
          <w:rStyle w:val="HideTWBExt"/>
        </w:rPr>
        <w:t>&lt;RepeatBlock-Amend&gt;</w:t>
      </w:r>
      <w:r>
        <w:rPr>
          <w:rStyle w:val="HideTWBExt"/>
        </w:rPr>
        <w:t>&lt;Amend&gt;</w:t>
      </w:r>
      <w:r>
        <w:t>Enmienda</w:t>
      </w:r>
      <w:r>
        <w:tab/>
      </w:r>
      <w:r>
        <w:tab/>
      </w:r>
      <w:r>
        <w:rPr>
          <w:rStyle w:val="HideTWBExt"/>
        </w:rPr>
        <w:t>&lt;NumAm&gt;</w:t>
      </w:r>
      <w:r>
        <w:t>1</w:t>
      </w:r>
      <w:r>
        <w:rPr>
          <w:rStyle w:val="HideTWBExt"/>
        </w:rPr>
        <w:t>&lt;/NumAm&gt;</w:t>
      </w:r>
    </w:p>
    <w:p>
      <w:pPr>
        <w:pStyle w:val="NormalBold"/>
      </w:pPr>
      <w:r>
        <w:rPr>
          <w:rStyle w:val="HideTWBExt"/>
          <w:b w:val="0"/>
        </w:rPr>
        <w:t>&lt;RepeatBlock-By&gt;</w:t>
      </w:r>
      <w:r>
        <w:rPr>
          <w:rStyle w:val="HideTWBExt"/>
          <w:b w:val="0"/>
        </w:rPr>
        <w:t>&lt;Members&gt;</w:t>
      </w:r>
      <w:r>
        <w:t>Sebastian Everding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Visto 2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Visto el artículo 13 del Tratado de Funcionamiento de la Unión Europea, que establece que, al formular y aplicar las políticas de pesca de la Unión, la Unión y los Estados miembros tendrán plenamente en cuenta las exigencias en materia de bienestar de los animales como seres sensibles,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2</w:t>
      </w:r>
      <w:r>
        <w:rPr>
          <w:rStyle w:val="HideTWBExt"/>
        </w:rPr>
        <w:t>&lt;/NumAm&gt;</w:t>
      </w:r>
    </w:p>
    <w:p>
      <w:pPr>
        <w:pStyle w:val="NormalBold"/>
      </w:pPr>
      <w:r>
        <w:rPr>
          <w:rStyle w:val="HideTWBExt"/>
          <w:b w:val="0"/>
        </w:rPr>
        <w:t>&lt;RepeatBlock-By&gt;</w:t>
      </w:r>
      <w:r>
        <w:rPr>
          <w:rStyle w:val="HideTWBExt"/>
          <w:b w:val="0"/>
        </w:rPr>
        <w:t>&lt;Members&gt;</w:t>
      </w:r>
      <w:r>
        <w:t>Carmen Crespo Díaz, Isabelle Le Callennec, Paulo do Nascimento Cabral, Susana Solís Pérez, Francisco José Millán Mon, Fredis Beleris, Marco Falcone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Visto 7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Visto el Acuerdo Interinstitucional, de 13 de abril de 2016, sobre la Mejora de la Legislación (Interinstitutional Agreement on Better Law-Making), en particular sus principios relativos a la consulta de las partes interesadas, la evaluación de impacto, la calidad legislativa y el escrutinio democrático por parte del Parlamento Europeo,</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3</w:t>
      </w:r>
      <w:r>
        <w:rPr>
          <w:rStyle w:val="HideTWBExt"/>
        </w:rPr>
        <w:t>&lt;/NumAm&gt;</w:t>
      </w:r>
    </w:p>
    <w:p>
      <w:pPr>
        <w:pStyle w:val="NormalBold"/>
      </w:pPr>
      <w:r>
        <w:rPr>
          <w:rStyle w:val="HideTWBExt"/>
          <w:b w:val="0"/>
        </w:rPr>
        <w:t>&lt;RepeatBlock-By&gt;</w:t>
      </w:r>
      <w:r>
        <w:rPr>
          <w:rStyle w:val="HideTWBExt"/>
          <w:b w:val="0"/>
        </w:rPr>
        <w:t>&lt;Members&gt;</w:t>
      </w:r>
      <w:r>
        <w:t>Mélissa Camara</w:t>
      </w:r>
      <w:r>
        <w:rPr>
          <w:rStyle w:val="HideTWBExt"/>
          <w:b w:val="0"/>
        </w:rPr>
        <w:t>&lt;/Members&gt;</w:t>
      </w:r>
    </w:p>
    <w:p>
      <w:r>
        <w:rPr>
          <w:rStyle w:val="HideTWBExt"/>
          <w:b w:val="0"/>
        </w:rPr>
        <w:t>&lt;AuNomDe&gt;</w:t>
      </w:r>
      <w:r>
        <w:rPr>
          <w:rStyle w:val="HideTWBInt"/>
        </w:rPr>
        <w:t>{Verts/ALE}</w:t>
      </w:r>
      <w:r>
        <w:t>en nombre del Grupo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Visto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t>Visto el informe sobre el estado de la pesca en el Mediterráneo y el Mar Negro elaborado por la Comisión General de Pesca del Mediterráneo (CGPM) de la Organización de las Naciones Unidas para la Agricultura y la Alimentación (FAO),</w:t>
            </w:r>
          </w:p>
        </w:tc>
        <w:tc>
          <w:tcPr>
            <w:tcW w:w="4876" w:type="dxa"/>
            <w:tcBorders>
              <w:top w:val="nil"/>
              <w:left w:val="nil"/>
              <w:bottom w:val="nil"/>
              <w:right w:val="nil"/>
            </w:tcBorders>
          </w:tcPr>
          <w:p>
            <w:pPr>
              <w:pStyle w:val="Normal6a"/>
            </w:pPr>
            <w:r>
              <w:rPr>
                <w:b/>
                <w:i/>
              </w:rPr>
              <w:t>–</w:t>
            </w:r>
            <w:r>
              <w:tab/>
            </w:r>
            <w:r>
              <w:t>Visto el informe sobre el estado de la pesca en el Mediterráneo y el Mar Negro elaborado por la Comisión General de Pesca del Mediterráneo (CGPM) de la Organización de las Naciones Unidas para la Agricultura y la Alimentación (FAO),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4</w:t>
      </w:r>
      <w:r>
        <w:rPr>
          <w:rStyle w:val="HideTWBExt"/>
        </w:rPr>
        <w:t>&lt;/NumAm&gt;</w:t>
      </w:r>
    </w:p>
    <w:p>
      <w:pPr>
        <w:pStyle w:val="NormalBold"/>
      </w:pPr>
      <w:r>
        <w:rPr>
          <w:rStyle w:val="HideTWBExt"/>
          <w:b w:val="0"/>
        </w:rPr>
        <w:t>&lt;RepeatBlock-By&gt;</w:t>
      </w:r>
      <w:r>
        <w:rPr>
          <w:rStyle w:val="HideTWBExt"/>
          <w:b w:val="0"/>
        </w:rPr>
        <w:t>&lt;Members&gt;</w:t>
      </w:r>
      <w:r>
        <w:t>Sebastian Everding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Visto 10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Visto el Reglamento (UE) n.º 2021/1119 del Parlamento Europeo y del Consejo, de 30 de junio de 2021, por el que se establece el marco para lograr la neutralidad climática («Legislación europea sobre el clima»,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5</w:t>
      </w:r>
      <w:r>
        <w:rPr>
          <w:rStyle w:val="HideTWBExt"/>
        </w:rPr>
        <w:t>&lt;/NumAm&gt;</w:t>
      </w:r>
    </w:p>
    <w:p>
      <w:pPr>
        <w:pStyle w:val="NormalBold"/>
      </w:pPr>
      <w:r>
        <w:rPr>
          <w:rStyle w:val="HideTWBExt"/>
          <w:b w:val="0"/>
        </w:rPr>
        <w:t>&lt;RepeatBlock-By&gt;</w:t>
      </w:r>
      <w:r>
        <w:rPr>
          <w:rStyle w:val="HideTWBExt"/>
          <w:b w:val="0"/>
        </w:rPr>
        <w:t>&lt;Members&gt;</w:t>
      </w:r>
      <w:r>
        <w:t>Sebastian Everding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Visto 10 ter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Visto el Reglamento (UE) 2024/1991 del Parlamento Europeo y del Consejo, de 24 de junio de 2024, relativo a la restauración de la naturaleza y por el que se modifica el Reglamento (UE) 2022/869,</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6</w:t>
      </w:r>
      <w:r>
        <w:rPr>
          <w:rStyle w:val="HideTWBExt"/>
        </w:rPr>
        <w:t>&lt;/NumAm&gt;</w:t>
      </w:r>
    </w:p>
    <w:p>
      <w:pPr>
        <w:pStyle w:val="NormalBold"/>
      </w:pPr>
      <w:r>
        <w:rPr>
          <w:rStyle w:val="HideTWBExt"/>
          <w:b w:val="0"/>
        </w:rPr>
        <w:t>&lt;RepeatBlock-By&gt;</w:t>
      </w:r>
      <w:r>
        <w:rPr>
          <w:rStyle w:val="HideTWBExt"/>
          <w:b w:val="0"/>
        </w:rPr>
        <w:t>&lt;Members&gt;</w:t>
      </w:r>
      <w:r>
        <w:t>Carmen Crespo Díaz, Isabelle Le Callennec, Paulo do Nascimento Cabral, Susana Solís Pérez, Francisco José Millán Mon, Fredis Beleris, Marco Falcone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Visto 11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Visto el informe del Comité Científico, Técnico y Económico de la Pesca (STECF) – Datos sociales en la pesca de la UE:</w:t>
            </w:r>
            <w:r>
              <w:t xml:space="preserve"> </w:t>
            </w:r>
            <w:r>
              <w:rPr>
                <w:b/>
                <w:i/>
              </w:rPr>
              <w:t>metodología, difusión, análisis y evaluación (STECF 25-02 y 25-13),</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7</w:t>
      </w:r>
      <w:r>
        <w:rPr>
          <w:rStyle w:val="HideTWBExt"/>
        </w:rPr>
        <w:t>&lt;/NumAm&gt;</w:t>
      </w:r>
    </w:p>
    <w:p>
      <w:pPr>
        <w:pStyle w:val="NormalBold"/>
      </w:pPr>
      <w:r>
        <w:rPr>
          <w:rStyle w:val="HideTWBExt"/>
          <w:b w:val="0"/>
        </w:rPr>
        <w:t>&lt;RepeatBlock-By&gt;</w:t>
      </w:r>
      <w:r>
        <w:rPr>
          <w:rStyle w:val="HideTWBExt"/>
          <w:b w:val="0"/>
        </w:rPr>
        <w:t>&lt;Members&gt;</w:t>
      </w:r>
      <w:r>
        <w:t>Mélissa Camara</w:t>
      </w:r>
      <w:r>
        <w:rPr>
          <w:rStyle w:val="HideTWBExt"/>
          <w:b w:val="0"/>
        </w:rPr>
        <w:t>&lt;/Members&gt;</w:t>
      </w:r>
    </w:p>
    <w:p>
      <w:r>
        <w:rPr>
          <w:rStyle w:val="HideTWBExt"/>
          <w:b w:val="0"/>
        </w:rPr>
        <w:t>&lt;AuNomDe&gt;</w:t>
      </w:r>
      <w:r>
        <w:rPr>
          <w:rStyle w:val="HideTWBInt"/>
        </w:rPr>
        <w:t>{Verts/ALE}</w:t>
      </w:r>
      <w:r>
        <w:t>en nombre del Grupo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Visto 14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Vista su Resolución, de 7 de junio de 2022, sobre el artículo 17 del Reglamento sobre la política pesquera común,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8</w:t>
      </w:r>
      <w:r>
        <w:rPr>
          <w:rStyle w:val="HideTWBExt"/>
        </w:rPr>
        <w:t>&lt;/NumAm&gt;</w:t>
      </w:r>
    </w:p>
    <w:p>
      <w:pPr>
        <w:pStyle w:val="NormalBold"/>
      </w:pPr>
      <w:r>
        <w:rPr>
          <w:rStyle w:val="HideTWBExt"/>
          <w:b w:val="0"/>
        </w:rPr>
        <w:t>&lt;RepeatBlock-By&gt;</w:t>
      </w:r>
      <w:r>
        <w:rPr>
          <w:rStyle w:val="HideTWBExt"/>
          <w:b w:val="0"/>
        </w:rPr>
        <w:t>&lt;Members&gt;</w:t>
      </w:r>
      <w:r>
        <w:t>Eric Sargiacomo, Nicolás González Casares, Giuseppe Lupo, Sakis Arnaoutoglou, Idoia Mendia, Claire Fita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Visto 15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Vista la Comunicación de la Comisión, de 22 de abril de 2026, titulada «Un corpus legislativo de la UE más sencillo, claro y mejor aplicado»;</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9</w:t>
      </w:r>
      <w:r>
        <w:rPr>
          <w:rStyle w:val="HideTWBExt"/>
        </w:rPr>
        <w:t>&lt;/NumAm&gt;</w:t>
      </w:r>
    </w:p>
    <w:p>
      <w:pPr>
        <w:pStyle w:val="NormalBold"/>
      </w:pPr>
      <w:r>
        <w:rPr>
          <w:rStyle w:val="HideTWBExt"/>
          <w:b w:val="0"/>
        </w:rPr>
        <w:t>&lt;RepeatBlock-By&gt;</w:t>
      </w:r>
      <w:r>
        <w:rPr>
          <w:rStyle w:val="HideTWBExt"/>
          <w:b w:val="0"/>
        </w:rPr>
        <w:t>&lt;Members&gt;</w:t>
      </w:r>
      <w:r>
        <w:t>Eric Sargiacomo, Nicolás González Casares, Sakis Arnaoutoglou, Idoia Mendia, Claire Fita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Visto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Visto el informe de Enrico Letta, de abril de 2024, titulado «Mucho más que un mercado»,</w:t>
            </w:r>
          </w:p>
        </w:tc>
        <w:tc>
          <w:tcPr>
            <w:tcW w:w="4876" w:type="dxa"/>
            <w:tcBorders>
              <w:top w:val="nil"/>
              <w:left w:val="nil"/>
              <w:bottom w:val="nil"/>
              <w:right w:val="nil"/>
            </w:tcBorders>
          </w:tcPr>
          <w:p>
            <w:pPr>
              <w:pStyle w:val="Normal6a"/>
            </w:pPr>
            <w:r>
              <w:rPr>
                <w:b/>
                <w:i/>
              </w:rPr>
              <w:t>suprimido</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10</w:t>
      </w:r>
      <w:r>
        <w:rPr>
          <w:rStyle w:val="HideTWBExt"/>
        </w:rPr>
        <w:t>&lt;/NumAm&gt;</w:t>
      </w:r>
    </w:p>
    <w:p>
      <w:pPr>
        <w:pStyle w:val="NormalBold"/>
      </w:pPr>
      <w:r>
        <w:rPr>
          <w:rStyle w:val="HideTWBExt"/>
          <w:b w:val="0"/>
        </w:rPr>
        <w:t>&lt;RepeatBlock-By&gt;</w:t>
      </w:r>
      <w:r>
        <w:rPr>
          <w:rStyle w:val="HideTWBExt"/>
          <w:b w:val="0"/>
        </w:rPr>
        <w:t>&lt;Members&gt;</w:t>
      </w:r>
      <w:r>
        <w:t>Sebastian Everding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Visto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Visto el informe de Mario Draghi, de 9 de septiembre de 2024, titulado «El futuro de la competitividad europea»,</w:t>
            </w:r>
          </w:p>
        </w:tc>
        <w:tc>
          <w:tcPr>
            <w:tcW w:w="4876" w:type="dxa"/>
            <w:tcBorders>
              <w:top w:val="nil"/>
              <w:left w:val="nil"/>
              <w:bottom w:val="nil"/>
              <w:right w:val="nil"/>
            </w:tcBorders>
          </w:tcPr>
          <w:p>
            <w:pPr>
              <w:pStyle w:val="Normal6a"/>
            </w:pPr>
            <w:r>
              <w:rPr>
                <w:b/>
                <w:i/>
              </w:rPr>
              <w:t>suprimido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11</w:t>
      </w:r>
      <w:r>
        <w:rPr>
          <w:rStyle w:val="HideTWBExt"/>
        </w:rPr>
        <w:t>&lt;/NumAm&gt;</w:t>
      </w:r>
    </w:p>
    <w:p>
      <w:pPr>
        <w:pStyle w:val="NormalBold"/>
      </w:pPr>
      <w:r>
        <w:rPr>
          <w:rStyle w:val="HideTWBExt"/>
          <w:b w:val="0"/>
        </w:rPr>
        <w:t>&lt;RepeatBlock-By&gt;</w:t>
      </w:r>
      <w:r>
        <w:rPr>
          <w:rStyle w:val="HideTWBExt"/>
          <w:b w:val="0"/>
        </w:rPr>
        <w:t>&lt;Members&gt;</w:t>
      </w:r>
      <w:r>
        <w:t>Eric Sargiacomo, Nicolás González Casares, Sakis Arnaoutoglou, Idoia Mendia, Claire Fita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Visto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Visto el informe de Mario Draghi, de 9 de septiembre de 2024, titulado «El futuro de la competitividad europea»,</w:t>
            </w:r>
          </w:p>
        </w:tc>
        <w:tc>
          <w:tcPr>
            <w:tcW w:w="4876" w:type="dxa"/>
            <w:tcBorders>
              <w:top w:val="nil"/>
              <w:left w:val="nil"/>
              <w:bottom w:val="nil"/>
              <w:right w:val="nil"/>
            </w:tcBorders>
          </w:tcPr>
          <w:p>
            <w:pPr>
              <w:pStyle w:val="Normal6a"/>
            </w:pPr>
            <w:r>
              <w:rPr>
                <w:b/>
                <w:i/>
              </w:rPr>
              <w:t>suprimido</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12</w:t>
      </w:r>
      <w:r>
        <w:rPr>
          <w:rStyle w:val="HideTWBExt"/>
        </w:rPr>
        <w:t>&lt;/NumAm&gt;</w:t>
      </w:r>
    </w:p>
    <w:p>
      <w:pPr>
        <w:pStyle w:val="NormalBold"/>
      </w:pPr>
      <w:r>
        <w:rPr>
          <w:rStyle w:val="HideTWBExt"/>
          <w:b w:val="0"/>
        </w:rPr>
        <w:t>&lt;RepeatBlock-By&gt;</w:t>
      </w:r>
      <w:r>
        <w:rPr>
          <w:rStyle w:val="HideTWBExt"/>
          <w:b w:val="0"/>
        </w:rPr>
        <w:t>&lt;Members&gt;</w:t>
      </w:r>
      <w:r>
        <w:t>Sebastian Everding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Visto 21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Visto el documento de trabajo de los servicios de la Comisión titulado «First report on the implementation of the Multiannual Plan for the fisheries exploting demersal stocks in the Western Mediterranean Sea» (Primer informe sobre la aplicación del plan plurianual para la pesca demersal en el Mediterráneo occidental) (SWD (2024) 0195),</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13</w:t>
      </w:r>
      <w:r>
        <w:rPr>
          <w:rStyle w:val="HideTWBExt"/>
        </w:rPr>
        <w:t>&lt;/NumAm&gt;</w:t>
      </w:r>
    </w:p>
    <w:p>
      <w:pPr>
        <w:pStyle w:val="NormalBold"/>
      </w:pPr>
      <w:r>
        <w:rPr>
          <w:rStyle w:val="HideTWBExt"/>
          <w:b w:val="0"/>
        </w:rPr>
        <w:t>&lt;RepeatBlock-By&gt;</w:t>
      </w:r>
      <w:r>
        <w:rPr>
          <w:rStyle w:val="HideTWBExt"/>
          <w:b w:val="0"/>
        </w:rPr>
        <w:t>&lt;Members&gt;</w:t>
      </w:r>
      <w:r>
        <w:t>Nicolás González Casares, Leire Pajín, Alicia Homs Ginel, Sandra Gómez López, Javi López, Laura Ballarín Cereza, Marcos Ros Sempere, Idoia Mendia, Lina Gálvez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Visto 21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Vista la evaluación de la Comisión, de 30 de mayo de 2026, del Reglamento (UE) No 1380/2013 sobre la Política Pesquera Común,</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14</w:t>
      </w:r>
      <w:r>
        <w:rPr>
          <w:rStyle w:val="HideTWBExt"/>
        </w:rPr>
        <w:t>&lt;/NumAm&gt;</w:t>
      </w:r>
    </w:p>
    <w:p>
      <w:pPr>
        <w:pStyle w:val="NormalBold"/>
      </w:pPr>
      <w:r>
        <w:rPr>
          <w:rStyle w:val="HideTWBExt"/>
          <w:b w:val="0"/>
        </w:rPr>
        <w:t>&lt;RepeatBlock-By&gt;</w:t>
      </w:r>
      <w:r>
        <w:rPr>
          <w:rStyle w:val="HideTWBExt"/>
          <w:b w:val="0"/>
        </w:rPr>
        <w:t>&lt;Members&gt;</w:t>
      </w:r>
      <w:r>
        <w:t>Nicolás González Casares, Leire Pajín, Alicia Homs Ginel, Sandra Gómez López, Javi López, Laura Ballarín Cereza, Marcos Ros Sempere, Idoia Mendia, Lina Gálvez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Visto 21 ter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Visto el informe de la FAO titulado 'La situación de la pesca en el Mediterráneo y el Mar Negro 2025',</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15</w:t>
      </w:r>
      <w:r>
        <w:rPr>
          <w:rStyle w:val="HideTWBExt"/>
        </w:rPr>
        <w:t>&lt;/NumAm&gt;</w:t>
      </w:r>
    </w:p>
    <w:p>
      <w:pPr>
        <w:pStyle w:val="NormalBold"/>
      </w:pPr>
      <w:r>
        <w:rPr>
          <w:rStyle w:val="HideTWBExt"/>
          <w:b w:val="0"/>
        </w:rPr>
        <w:t>&lt;RepeatBlock-By&gt;</w:t>
      </w:r>
      <w:r>
        <w:rPr>
          <w:rStyle w:val="HideTWBExt"/>
          <w:b w:val="0"/>
        </w:rPr>
        <w:t>&lt;Members&gt;</w:t>
      </w:r>
      <w:r>
        <w:t>Eric Sargiacomo, Nicolás González Casares, Giuseppe Lupo, Sakis Arnaoutoglou, Idoia Mendia, Claire Fita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Visto 23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Vista la Resolución del Parlamento Europeo, de 20 de mayo de 2026, sobre las repercusiones de la aplicación de la Directiva 2014/89/UE sobre la ordenación del espacio marítimo para la pesca en ciertas zonas de pesca y cuencas marítimas (2024/2126(INI)),</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16</w:t>
      </w:r>
      <w:r>
        <w:rPr>
          <w:rStyle w:val="HideTWBExt"/>
        </w:rPr>
        <w:t>&lt;/NumAm&gt;</w:t>
      </w:r>
    </w:p>
    <w:p>
      <w:pPr>
        <w:pStyle w:val="NormalBold"/>
      </w:pPr>
      <w:r>
        <w:rPr>
          <w:rStyle w:val="HideTWBExt"/>
          <w:b w:val="0"/>
        </w:rPr>
        <w:t>&lt;RepeatBlock-By&gt;</w:t>
      </w:r>
      <w:r>
        <w:rPr>
          <w:rStyle w:val="HideTWBExt"/>
          <w:b w:val="0"/>
        </w:rPr>
        <w:t>&lt;Members&gt;</w:t>
      </w:r>
      <w:r>
        <w:t>Emma Wiesner,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Considerando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Considerando que el mar Mediterráneo es una de las regiones marinas más diversas del mundo, que apoya a las comunidades y economías costeras que han dependido de la pesca durante milenios, cuna de civilizaciones y </w:t>
            </w:r>
            <w:r>
              <w:rPr>
                <w:b/>
                <w:i/>
              </w:rPr>
              <w:t>pilar</w:t>
            </w:r>
            <w:r>
              <w:t xml:space="preserve"> fundamental de la identidad cultural, histórica y económica de Europa;</w:t>
            </w:r>
          </w:p>
        </w:tc>
        <w:tc>
          <w:tcPr>
            <w:tcW w:w="4876" w:type="dxa"/>
            <w:tcBorders>
              <w:top w:val="nil"/>
              <w:left w:val="nil"/>
              <w:bottom w:val="nil"/>
              <w:right w:val="nil"/>
            </w:tcBorders>
          </w:tcPr>
          <w:p>
            <w:pPr>
              <w:pStyle w:val="Normal6a"/>
            </w:pPr>
            <w:r>
              <w:t>A.</w:t>
            </w:r>
            <w:r>
              <w:tab/>
            </w:r>
            <w:r>
              <w:t xml:space="preserve">Considerando que el mar Mediterráneo es una de las regiones marinas más diversas del mundo, que </w:t>
            </w:r>
            <w:r>
              <w:rPr>
                <w:b/>
                <w:i/>
              </w:rPr>
              <w:t>acoge ecosistemas marinos de los que dependen muchas especies,</w:t>
            </w:r>
            <w:r>
              <w:t xml:space="preserve"> apoya a las comunidades y economías costeras que han dependido de la pesca durante milenios, cuna de civilizaciones y </w:t>
            </w:r>
            <w:r>
              <w:rPr>
                <w:b/>
                <w:i/>
              </w:rPr>
              <w:t>es uno de los pilares</w:t>
            </w:r>
            <w:r>
              <w:t xml:space="preserve"> fundamental de la identidad cultural, histórica y económica de Europa;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17</w:t>
      </w:r>
      <w:r>
        <w:rPr>
          <w:rStyle w:val="HideTWBExt"/>
        </w:rPr>
        <w:t>&lt;/NumAm&gt;</w:t>
      </w:r>
    </w:p>
    <w:p>
      <w:pPr>
        <w:pStyle w:val="NormalBold"/>
      </w:pPr>
      <w:r>
        <w:rPr>
          <w:rStyle w:val="HideTWBExt"/>
          <w:b w:val="0"/>
        </w:rPr>
        <w:t>&lt;RepeatBlock-By&gt;</w:t>
      </w:r>
      <w:r>
        <w:rPr>
          <w:rStyle w:val="HideTWBExt"/>
          <w:b w:val="0"/>
        </w:rPr>
        <w:t>&lt;Members&gt;</w:t>
      </w:r>
      <w:r>
        <w:t>Mélissa Camara</w:t>
      </w:r>
      <w:r>
        <w:rPr>
          <w:rStyle w:val="HideTWBExt"/>
          <w:b w:val="0"/>
        </w:rPr>
        <w:t>&lt;/Members&gt;</w:t>
      </w:r>
    </w:p>
    <w:p>
      <w:r>
        <w:rPr>
          <w:rStyle w:val="HideTWBExt"/>
          <w:b w:val="0"/>
        </w:rPr>
        <w:t>&lt;AuNomDe&gt;</w:t>
      </w:r>
      <w:r>
        <w:rPr>
          <w:rStyle w:val="HideTWBInt"/>
        </w:rPr>
        <w:t>{Verts/ALE}</w:t>
      </w:r>
      <w:r>
        <w:t>en nombre del Grupo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Considerando A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bis.</w:t>
            </w:r>
            <w:r>
              <w:tab/>
            </w:r>
            <w:r>
              <w:rPr>
                <w:b/>
                <w:i/>
              </w:rPr>
              <w:t>Considerando que el mar Mediterráneo es también uno de los ecosistemas marinos más vulnerables, que se enfrenta a presiones cada vez mayores derivadas del cambio climático, la pérdida de biodiversidad, la contaminación, la sobreexplotación de los recursos marinos y el desarrollo costero insostenible, por lo que la restauración y la protección de su integridad ecológica son esenciales para la resiliencia a largo plazo de las comunidades costeras y la pesca sostenible;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18</w:t>
      </w:r>
      <w:r>
        <w:rPr>
          <w:rStyle w:val="HideTWBExt"/>
        </w:rPr>
        <w:t>&lt;/NumAm&gt;</w:t>
      </w:r>
    </w:p>
    <w:p>
      <w:pPr>
        <w:pStyle w:val="NormalBold"/>
      </w:pPr>
      <w:r>
        <w:rPr>
          <w:rStyle w:val="HideTWBExt"/>
          <w:b w:val="0"/>
        </w:rPr>
        <w:t>&lt;RepeatBlock-By&gt;</w:t>
      </w:r>
      <w:r>
        <w:rPr>
          <w:rStyle w:val="HideTWBExt"/>
          <w:b w:val="0"/>
        </w:rPr>
        <w:t>&lt;Members&gt;</w:t>
      </w:r>
      <w:r>
        <w:t>Sebastian Everding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Considerando A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bis.</w:t>
            </w:r>
            <w:r>
              <w:tab/>
            </w:r>
            <w:r>
              <w:rPr>
                <w:b/>
                <w:i/>
              </w:rPr>
              <w:t>Considerando que los peces y los crustáceos son animales capaces de experimentar estados adversos y que, de conformidad con el artículo 13 del TFUE, la política pesquera debe tener plenamente en cuenta sus exigencias en materia de bienestar como seres sensibles y tratar de prevenir y reducir el sufrimiento evitable durante la captura, recuperación, manipulación, almacenamiento y sacrificio;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19</w:t>
      </w:r>
      <w:r>
        <w:rPr>
          <w:rStyle w:val="HideTWBExt"/>
        </w:rPr>
        <w:t>&lt;/NumAm&gt;</w:t>
      </w:r>
    </w:p>
    <w:p>
      <w:pPr>
        <w:pStyle w:val="NormalBold"/>
      </w:pPr>
      <w:r>
        <w:rPr>
          <w:rStyle w:val="HideTWBExt"/>
          <w:b w:val="0"/>
        </w:rPr>
        <w:t>&lt;RepeatBlock-By&gt;</w:t>
      </w:r>
      <w:r>
        <w:rPr>
          <w:rStyle w:val="HideTWBExt"/>
          <w:b w:val="0"/>
        </w:rPr>
        <w:t>&lt;Members&gt;</w:t>
      </w:r>
      <w:r>
        <w:t>Sebastian Everding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Considerando A ter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ter.</w:t>
            </w:r>
            <w:r>
              <w:tab/>
            </w:r>
            <w:r>
              <w:rPr>
                <w:b/>
                <w:i/>
              </w:rPr>
              <w:t>Considerando que los animales marinos tienen un valor intrínseco independiente de su uso económico;</w:t>
            </w:r>
            <w:r>
              <w:t xml:space="preserve"> </w:t>
            </w:r>
            <w:r>
              <w:rPr>
                <w:b/>
                <w:i/>
              </w:rPr>
              <w:t>que la gestión de la pesca no debe considerar a los animales sensibles únicamente como recursos explotables, sino que debe tratar de reducir el número de animales sacrificados y minimizar el sufrimiento a lo largo de la captura, la recuperación, la manipulación y el sacrificio;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20</w:t>
      </w:r>
      <w:r>
        <w:rPr>
          <w:rStyle w:val="HideTWBExt"/>
        </w:rPr>
        <w:t>&lt;/NumAm&gt;</w:t>
      </w:r>
    </w:p>
    <w:p>
      <w:pPr>
        <w:pStyle w:val="NormalBold"/>
      </w:pPr>
      <w:r>
        <w:rPr>
          <w:rStyle w:val="HideTWBExt"/>
          <w:b w:val="0"/>
        </w:rPr>
        <w:t>&lt;RepeatBlock-By&gt;</w:t>
      </w:r>
      <w:r>
        <w:rPr>
          <w:rStyle w:val="HideTWBExt"/>
          <w:b w:val="0"/>
        </w:rPr>
        <w:t>&lt;Members&gt;</w:t>
      </w:r>
      <w:r>
        <w:t>Carmen Crespo Díaz, Isabelle Le Callennec, Paulo do Nascimento Cabral, Susana Solís Pérez, Francisco José Millán Mon, Fredis Beleris, Marco Falcone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Considerando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Considerando que el sector pesquero del Mediterráneo </w:t>
            </w:r>
            <w:r>
              <w:rPr>
                <w:b/>
                <w:i/>
              </w:rPr>
              <w:t>es</w:t>
            </w:r>
            <w:r>
              <w:t xml:space="preserve"> esencial </w:t>
            </w:r>
            <w:r>
              <w:rPr>
                <w:b/>
                <w:i/>
              </w:rPr>
              <w:t>para el empleo</w:t>
            </w:r>
            <w:r>
              <w:t xml:space="preserve">, la cohesión </w:t>
            </w:r>
            <w:r>
              <w:rPr>
                <w:b/>
                <w:i/>
              </w:rPr>
              <w:t>territorial y</w:t>
            </w:r>
            <w:r>
              <w:t xml:space="preserve"> la seguridad alimentaria de la Unión;</w:t>
            </w:r>
          </w:p>
        </w:tc>
        <w:tc>
          <w:tcPr>
            <w:tcW w:w="4876" w:type="dxa"/>
            <w:tcBorders>
              <w:top w:val="nil"/>
              <w:left w:val="nil"/>
              <w:bottom w:val="nil"/>
              <w:right w:val="nil"/>
            </w:tcBorders>
          </w:tcPr>
          <w:p>
            <w:pPr>
              <w:pStyle w:val="Normal6a"/>
            </w:pPr>
            <w:r>
              <w:t>B.</w:t>
            </w:r>
            <w:r>
              <w:tab/>
            </w:r>
            <w:r>
              <w:t xml:space="preserve">Considerando que el sector pesquero del Mediterráneo </w:t>
            </w:r>
            <w:r>
              <w:rPr>
                <w:b/>
                <w:i/>
              </w:rPr>
              <w:t>desempeña un papel</w:t>
            </w:r>
            <w:r>
              <w:t xml:space="preserve"> esencial </w:t>
            </w:r>
            <w:r>
              <w:rPr>
                <w:b/>
                <w:i/>
              </w:rPr>
              <w:t>en su desarrollo económico</w:t>
            </w:r>
            <w:r>
              <w:t xml:space="preserve">, la cohesión </w:t>
            </w:r>
            <w:r>
              <w:rPr>
                <w:b/>
                <w:i/>
              </w:rPr>
              <w:t>social y la creación de empleo en las regiones costeras y litorales, contribuyendo de manera decisiva a la estabilidad y prosperidad de estas zonas, así como</w:t>
            </w:r>
            <w:r>
              <w:t xml:space="preserve"> la seguridad alimentaria </w:t>
            </w:r>
            <w:r>
              <w:rPr>
                <w:b/>
                <w:i/>
              </w:rPr>
              <w:t>para el conjunto</w:t>
            </w:r>
            <w:r>
              <w:t xml:space="preserve"> de la Unión </w:t>
            </w:r>
            <w:r>
              <w:rPr>
                <w:b/>
                <w:i/>
              </w:rPr>
              <w:t>al proporcionar productos de alta calidad y bajo impacto ambiental, contribuyendo al mismo tiempo a la autonomía estratégica europea y a la resiliencia de las cadenas de suministro alimentarias</w:t>
            </w:r>
            <w:r>
              <w:t>;</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21</w:t>
      </w:r>
      <w:r>
        <w:rPr>
          <w:rStyle w:val="HideTWBExt"/>
        </w:rPr>
        <w:t>&lt;/NumAm&gt;</w:t>
      </w:r>
    </w:p>
    <w:p>
      <w:pPr>
        <w:pStyle w:val="NormalBold"/>
      </w:pPr>
      <w:r>
        <w:rPr>
          <w:rStyle w:val="HideTWBExt"/>
          <w:b w:val="0"/>
        </w:rPr>
        <w:t>&lt;RepeatBlock-By&gt;</w:t>
      </w:r>
      <w:r>
        <w:rPr>
          <w:rStyle w:val="HideTWBExt"/>
          <w:b w:val="0"/>
        </w:rPr>
        <w:t>&lt;Members&gt;</w:t>
      </w:r>
      <w:r>
        <w:t>Nora Junco García, Kristoffer Storm, Piotr Müller, Stephen Nikola Bartulica, Sander Smit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Considerando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Considerando que el sector pesquero del Mediterráneo es esencial para el empleo, la cohesión territorial y la seguridad alimentaria de la Unión;</w:t>
            </w:r>
          </w:p>
        </w:tc>
        <w:tc>
          <w:tcPr>
            <w:tcW w:w="4876" w:type="dxa"/>
            <w:tcBorders>
              <w:top w:val="nil"/>
              <w:left w:val="nil"/>
              <w:bottom w:val="nil"/>
              <w:right w:val="nil"/>
            </w:tcBorders>
          </w:tcPr>
          <w:p>
            <w:pPr>
              <w:pStyle w:val="Normal6a"/>
            </w:pPr>
            <w:r>
              <w:t>B.</w:t>
            </w:r>
            <w:r>
              <w:tab/>
            </w:r>
            <w:r>
              <w:t xml:space="preserve">Considerando que el sector pesquero del Mediterráneo es esencial para el empleo, la cohesión territorial y la seguridad alimentaria de la Unión; </w:t>
            </w:r>
            <w:r>
              <w:rPr>
                <w:b/>
                <w:i/>
              </w:rPr>
              <w:t>que, además, sostiene un tejido económico auxiliar cuya viabilidad depende directamente de la actividad extractiva, y que constituye un elemento irremplazable del patrimonio europeo en las regiones costeras del Mediterráneo;</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22</w:t>
      </w:r>
      <w:r>
        <w:rPr>
          <w:rStyle w:val="HideTWBExt"/>
        </w:rPr>
        <w:t>&lt;/NumAm&gt;</w:t>
      </w:r>
    </w:p>
    <w:p>
      <w:pPr>
        <w:pStyle w:val="NormalBold"/>
      </w:pPr>
      <w:r>
        <w:rPr>
          <w:rStyle w:val="HideTWBExt"/>
          <w:b w:val="0"/>
        </w:rPr>
        <w:t>&lt;RepeatBlock-By&gt;</w:t>
      </w:r>
      <w:r>
        <w:rPr>
          <w:rStyle w:val="HideTWBExt"/>
          <w:b w:val="0"/>
        </w:rPr>
        <w:t>&lt;Members&gt;</w:t>
      </w:r>
      <w:r>
        <w:t>Sebastian Everding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Considerando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Considerando que el </w:t>
            </w:r>
            <w:r>
              <w:rPr>
                <w:b/>
                <w:i/>
              </w:rPr>
              <w:t>sector pesquero del</w:t>
            </w:r>
            <w:r>
              <w:t xml:space="preserve"> Mediterráneo </w:t>
            </w:r>
            <w:r>
              <w:rPr>
                <w:b/>
                <w:i/>
              </w:rPr>
              <w:t>es esencial para el empleo, la cohesión territorial y la seguridad alimentaria de la Unión</w:t>
            </w:r>
            <w:r>
              <w:t>;</w:t>
            </w:r>
          </w:p>
        </w:tc>
        <w:tc>
          <w:tcPr>
            <w:tcW w:w="4876" w:type="dxa"/>
            <w:tcBorders>
              <w:top w:val="nil"/>
              <w:left w:val="nil"/>
              <w:bottom w:val="nil"/>
              <w:right w:val="nil"/>
            </w:tcBorders>
          </w:tcPr>
          <w:p>
            <w:pPr>
              <w:pStyle w:val="Normal6a"/>
            </w:pPr>
            <w:r>
              <w:t>B.</w:t>
            </w:r>
            <w:r>
              <w:tab/>
            </w:r>
            <w:r>
              <w:t xml:space="preserve">Considerando que el </w:t>
            </w:r>
            <w:r>
              <w:rPr>
                <w:b/>
                <w:i/>
              </w:rPr>
              <w:t>plan plurianual para el</w:t>
            </w:r>
            <w:r>
              <w:t xml:space="preserve"> Mediterráneo </w:t>
            </w:r>
            <w:r>
              <w:rPr>
                <w:b/>
                <w:i/>
              </w:rPr>
              <w:t>occidental se ha adoptado en el contexto del desequilibrio estructural entre la capacidad pesquera y las posibilidades de pesca disponibles en la región, que pone en peligro la recuperación de las poblaciones de peces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23</w:t>
      </w:r>
      <w:r>
        <w:rPr>
          <w:rStyle w:val="HideTWBExt"/>
        </w:rPr>
        <w:t>&lt;/NumAm&gt;</w:t>
      </w:r>
    </w:p>
    <w:p>
      <w:pPr>
        <w:pStyle w:val="NormalBold"/>
      </w:pPr>
      <w:r>
        <w:rPr>
          <w:rStyle w:val="HideTWBExt"/>
          <w:b w:val="0"/>
        </w:rPr>
        <w:t>&lt;RepeatBlock-By&gt;</w:t>
      </w:r>
      <w:r>
        <w:rPr>
          <w:rStyle w:val="HideTWBExt"/>
          <w:b w:val="0"/>
        </w:rPr>
        <w:t>&lt;Members&gt;</w:t>
      </w:r>
      <w:r>
        <w:t>France Jamet, António Tânger Corrêa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Considerando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Considerando que el sector pesquero del Mediterráneo es esencial para el empleo, la cohesión territorial y la seguridad alimentaria de la Unión;</w:t>
            </w:r>
          </w:p>
        </w:tc>
        <w:tc>
          <w:tcPr>
            <w:tcW w:w="4876" w:type="dxa"/>
            <w:tcBorders>
              <w:top w:val="nil"/>
              <w:left w:val="nil"/>
              <w:bottom w:val="nil"/>
              <w:right w:val="nil"/>
            </w:tcBorders>
          </w:tcPr>
          <w:p>
            <w:pPr>
              <w:pStyle w:val="Normal6a"/>
            </w:pPr>
            <w:r>
              <w:t>B.</w:t>
            </w:r>
            <w:r>
              <w:tab/>
            </w:r>
            <w:r>
              <w:t xml:space="preserve">Considerando que el sector pesquero del Mediterráneo es esencial para el empleo, la cohesión territorial y la seguridad </w:t>
            </w:r>
            <w:r>
              <w:rPr>
                <w:b/>
                <w:i/>
              </w:rPr>
              <w:t>y soberanía</w:t>
            </w:r>
            <w:r>
              <w:t xml:space="preserve"> alimentaria de la Unión;</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24</w:t>
      </w:r>
      <w:r>
        <w:rPr>
          <w:rStyle w:val="HideTWBExt"/>
        </w:rPr>
        <w:t>&lt;/NumAm&gt;</w:t>
      </w:r>
    </w:p>
    <w:p>
      <w:pPr>
        <w:pStyle w:val="NormalBold"/>
      </w:pPr>
      <w:r>
        <w:rPr>
          <w:rStyle w:val="HideTWBExt"/>
          <w:b w:val="0"/>
        </w:rPr>
        <w:t>&lt;RepeatBlock-By&gt;</w:t>
      </w:r>
      <w:r>
        <w:rPr>
          <w:rStyle w:val="HideTWBExt"/>
          <w:b w:val="0"/>
        </w:rPr>
        <w:t>&lt;Members&gt;</w:t>
      </w:r>
      <w:r>
        <w:t>Carmen Crespo Díaz, Isabelle Le Callennec, Paulo do Nascimento Cabral, Susana Solís Pérez, Francisco José Millán Mon, Fredis Beleris, Marco Falcone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Considerando B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bis.</w:t>
            </w:r>
            <w:r>
              <w:tab/>
            </w:r>
            <w:r>
              <w:rPr>
                <w:b/>
                <w:i/>
              </w:rPr>
              <w:t>Considerando que el Mediterráneo constituye una de las principales cuencas pesqueras de la Unión Europea, en la que operan alrededor de 30 000 buques, lo que representa cerca del 58 % de la flota pesquera de la Unión;</w:t>
            </w:r>
            <w:r>
              <w:t xml:space="preserve"> </w:t>
            </w:r>
            <w:r>
              <w:rPr>
                <w:b/>
                <w:i/>
              </w:rPr>
              <w:t>considerando, asimismo, que el 81 % de esta flota está compuesta por embarcaciones de pequeña escala, gestionadas en su mayoría como empresas familiares, que desempeñan un papel esencial para el empleo, la cohesión territorial y el desarrollo de las comunidades costeras;</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25</w:t>
      </w:r>
      <w:r>
        <w:rPr>
          <w:rStyle w:val="HideTWBExt"/>
        </w:rPr>
        <w:t>&lt;/NumAm&gt;</w:t>
      </w:r>
    </w:p>
    <w:p>
      <w:pPr>
        <w:pStyle w:val="NormalBold"/>
      </w:pPr>
      <w:r>
        <w:rPr>
          <w:rStyle w:val="HideTWBExt"/>
          <w:b w:val="0"/>
        </w:rPr>
        <w:t>&lt;RepeatBlock-By&gt;</w:t>
      </w:r>
      <w:r>
        <w:rPr>
          <w:rStyle w:val="HideTWBExt"/>
          <w:b w:val="0"/>
        </w:rPr>
        <w:t>&lt;Members&gt;</w:t>
      </w:r>
      <w:r>
        <w:t>Mélissa Camara</w:t>
      </w:r>
      <w:r>
        <w:rPr>
          <w:rStyle w:val="HideTWBExt"/>
          <w:b w:val="0"/>
        </w:rPr>
        <w:t>&lt;/Members&gt;</w:t>
      </w:r>
    </w:p>
    <w:p>
      <w:r>
        <w:rPr>
          <w:rStyle w:val="HideTWBExt"/>
          <w:b w:val="0"/>
        </w:rPr>
        <w:t>&lt;AuNomDe&gt;</w:t>
      </w:r>
      <w:r>
        <w:rPr>
          <w:rStyle w:val="HideTWBInt"/>
        </w:rPr>
        <w:t>{Verts/ALE}</w:t>
      </w:r>
      <w:r>
        <w:t>en nombre del Grupo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Considerando B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bis.</w:t>
            </w:r>
            <w:r>
              <w:tab/>
            </w:r>
            <w:r>
              <w:rPr>
                <w:b/>
                <w:i/>
              </w:rPr>
              <w:t>Considerando que el ámbito geográfico del Reglamento (UE) 2019/1022 es el «Mediterráneo occidental», definido como las aguas de las subzonas geográficas de la CGPM 1 (Norte del Mar de Alborán), 2 (Isla de Alborán), 5 (Islas Baleares), 6 (Norte de España), 7 (Golfo de León), 8 (Isla de Córcega), 9 (Mar Ligur y norte del Mar Tirreno), 10 (Sur del Mar Tirreno) y 11 (Cerdeña), tal como se definen en el anexo I del Reglamento (UE) n.º 1343/2011 del Parlamento Europeo y del Consejo;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26</w:t>
      </w:r>
      <w:r>
        <w:rPr>
          <w:rStyle w:val="HideTWBExt"/>
        </w:rPr>
        <w:t>&lt;/NumAm&gt;</w:t>
      </w:r>
    </w:p>
    <w:p>
      <w:pPr>
        <w:pStyle w:val="NormalBold"/>
      </w:pPr>
      <w:r>
        <w:rPr>
          <w:rStyle w:val="HideTWBExt"/>
          <w:b w:val="0"/>
        </w:rPr>
        <w:t>&lt;RepeatBlock-By&gt;</w:t>
      </w:r>
      <w:r>
        <w:rPr>
          <w:rStyle w:val="HideTWBExt"/>
          <w:b w:val="0"/>
        </w:rPr>
        <w:t>&lt;Members&gt;</w:t>
      </w:r>
      <w:r>
        <w:t>Emma Wiesner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Considerando B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bis.</w:t>
            </w:r>
            <w:r>
              <w:tab/>
            </w:r>
            <w:r>
              <w:rPr>
                <w:b/>
                <w:i/>
              </w:rPr>
              <w:t>Considerando que las poblaciones de peces del Mediterráneo están mejorando, pero que muchas siguen sometidas a presión y siguen siendo necesarias nuevas medidas;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27</w:t>
      </w:r>
      <w:r>
        <w:rPr>
          <w:rStyle w:val="HideTWBExt"/>
        </w:rPr>
        <w:t>&lt;/NumAm&gt;</w:t>
      </w:r>
    </w:p>
    <w:p>
      <w:pPr>
        <w:pStyle w:val="NormalBold"/>
      </w:pPr>
      <w:r>
        <w:rPr>
          <w:rStyle w:val="HideTWBExt"/>
          <w:b w:val="0"/>
        </w:rPr>
        <w:t>&lt;RepeatBlock-By&gt;</w:t>
      </w:r>
      <w:r>
        <w:rPr>
          <w:rStyle w:val="HideTWBExt"/>
          <w:b w:val="0"/>
        </w:rPr>
        <w:t>&lt;Members&gt;</w:t>
      </w:r>
      <w:r>
        <w:t>Carmen Crespo Díaz, Isabelle Le Callennec, Paulo do Nascimento Cabral, Susana Solís Pérez, Francisco José Millán Mon, Fredis Beleris, Marco Falcone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Considerando B ter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ter.</w:t>
            </w:r>
            <w:r>
              <w:tab/>
            </w:r>
            <w:r>
              <w:rPr>
                <w:b/>
                <w:i/>
              </w:rPr>
              <w:t>Considerando que la flota pesquera de la Unión en el Mediterráneo se ha reducido un 17 % desde 2017;</w:t>
            </w:r>
            <w:r>
              <w:t xml:space="preserve"> </w:t>
            </w:r>
            <w:r>
              <w:rPr>
                <w:b/>
                <w:i/>
              </w:rPr>
              <w:t>considerando que este sector representa todavía el 47 % del empleo pesquero de la Unión, con 57 616 puestos de trabajo en 2023, si bien esta cifra supone un descenso de casi el 8 % con respecto a 2018;</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28</w:t>
      </w:r>
      <w:r>
        <w:rPr>
          <w:rStyle w:val="HideTWBExt"/>
        </w:rPr>
        <w:t>&lt;/NumAm&gt;</w:t>
      </w:r>
    </w:p>
    <w:p>
      <w:pPr>
        <w:pStyle w:val="NormalBold"/>
      </w:pPr>
      <w:r>
        <w:rPr>
          <w:rStyle w:val="HideTWBExt"/>
          <w:b w:val="0"/>
        </w:rPr>
        <w:t>&lt;RepeatBlock-By&gt;</w:t>
      </w:r>
      <w:r>
        <w:rPr>
          <w:rStyle w:val="HideTWBExt"/>
          <w:b w:val="0"/>
        </w:rPr>
        <w:t>&lt;Members&gt;</w:t>
      </w:r>
      <w:r>
        <w:t>Mélissa Camara</w:t>
      </w:r>
      <w:r>
        <w:rPr>
          <w:rStyle w:val="HideTWBExt"/>
          <w:b w:val="0"/>
        </w:rPr>
        <w:t>&lt;/Members&gt;</w:t>
      </w:r>
    </w:p>
    <w:p>
      <w:r>
        <w:rPr>
          <w:rStyle w:val="HideTWBExt"/>
          <w:b w:val="0"/>
        </w:rPr>
        <w:t>&lt;AuNomDe&gt;</w:t>
      </w:r>
      <w:r>
        <w:rPr>
          <w:rStyle w:val="HideTWBInt"/>
        </w:rPr>
        <w:t>{Verts/ALE}</w:t>
      </w:r>
      <w:r>
        <w:t>en nombre del Grupo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Considerando B ter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ter.</w:t>
            </w:r>
            <w:r>
              <w:tab/>
            </w:r>
            <w:r>
              <w:rPr>
                <w:b/>
                <w:i/>
              </w:rPr>
              <w:t>Considerando que, antes de la aprobación del Reglamento (UE) 2019/1022, más del 80 % de las poblaciones evaluadas estaban sobreexplotadas en la subregión y que la biomasa de algunas de estas poblaciones se acercaba al punto de referencia límite con una alta probabilidad de colapso;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29</w:t>
      </w:r>
      <w:r>
        <w:rPr>
          <w:rStyle w:val="HideTWBExt"/>
        </w:rPr>
        <w:t>&lt;/NumAm&gt;</w:t>
      </w:r>
    </w:p>
    <w:p>
      <w:pPr>
        <w:pStyle w:val="NormalBold"/>
      </w:pPr>
      <w:r>
        <w:rPr>
          <w:rStyle w:val="HideTWBExt"/>
          <w:b w:val="0"/>
        </w:rPr>
        <w:t>&lt;RepeatBlock-By&gt;</w:t>
      </w:r>
      <w:r>
        <w:rPr>
          <w:rStyle w:val="HideTWBExt"/>
          <w:b w:val="0"/>
        </w:rPr>
        <w:t>&lt;Members&gt;</w:t>
      </w:r>
      <w:r>
        <w:t>Mélissa Camara</w:t>
      </w:r>
      <w:r>
        <w:rPr>
          <w:rStyle w:val="HideTWBExt"/>
          <w:b w:val="0"/>
        </w:rPr>
        <w:t>&lt;/Members&gt;</w:t>
      </w:r>
    </w:p>
    <w:p>
      <w:r>
        <w:rPr>
          <w:rStyle w:val="HideTWBExt"/>
          <w:b w:val="0"/>
        </w:rPr>
        <w:t>&lt;AuNomDe&gt;</w:t>
      </w:r>
      <w:r>
        <w:rPr>
          <w:rStyle w:val="HideTWBInt"/>
        </w:rPr>
        <w:t>{Verts/ALE}</w:t>
      </w:r>
      <w:r>
        <w:t>en nombre del Grupo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Considerando B quater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quater.</w:t>
            </w:r>
            <w:r>
              <w:tab/>
            </w:r>
            <w:r>
              <w:rPr>
                <w:b/>
                <w:i/>
              </w:rPr>
              <w:t>Considerando que, en 2026, 11 de las 20 poblaciones evaluadas siguen estando sobreexplotadas;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30</w:t>
      </w:r>
      <w:r>
        <w:rPr>
          <w:rStyle w:val="HideTWBExt"/>
        </w:rPr>
        <w:t>&lt;/NumAm&gt;</w:t>
      </w:r>
    </w:p>
    <w:p>
      <w:pPr>
        <w:pStyle w:val="NormalBold"/>
      </w:pPr>
      <w:r>
        <w:rPr>
          <w:rStyle w:val="HideTWBExt"/>
          <w:b w:val="0"/>
        </w:rPr>
        <w:t>&lt;RepeatBlock-By&gt;</w:t>
      </w:r>
      <w:r>
        <w:rPr>
          <w:rStyle w:val="HideTWBExt"/>
          <w:b w:val="0"/>
        </w:rPr>
        <w:t>&lt;Members&gt;</w:t>
      </w:r>
      <w:r>
        <w:t>Nora Junco García, Kristoffer Storm, Piotr Müller, Stephen Nikola Bartulica, Sander Smit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Considerando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Considerando que, en los últimos siete años, las flotas pesqueras del Mediterráneo han estado sometidas a importantes reducciones del esfuerzo pesquero y que, en algunos segmentos, como la flota española de arrastre, dichas reducciones han superado el 44 %;</w:t>
            </w:r>
          </w:p>
        </w:tc>
        <w:tc>
          <w:tcPr>
            <w:tcW w:w="4876" w:type="dxa"/>
            <w:tcBorders>
              <w:top w:val="nil"/>
              <w:left w:val="nil"/>
              <w:bottom w:val="nil"/>
              <w:right w:val="nil"/>
            </w:tcBorders>
          </w:tcPr>
          <w:p>
            <w:pPr>
              <w:pStyle w:val="Normal6a"/>
            </w:pPr>
            <w:r>
              <w:t>C.</w:t>
            </w:r>
            <w:r>
              <w:tab/>
            </w:r>
            <w:r>
              <w:t xml:space="preserve">Considerando que, en los últimos siete años, las flotas pesqueras del Mediterráneo han estado sometidas a importantes reducciones del esfuerzo pesquero y que, en algunos segmentos, como la flota española de arrastre, dichas reducciones han superado el 44 %; </w:t>
            </w:r>
            <w:r>
              <w:rPr>
                <w:b/>
                <w:i/>
              </w:rPr>
              <w:t>que la flota de pequeña escala y artesanal, sufre igualmente los efectos indirectos de los cierres de zonas, las restricciones de artes y la competencia por el mismo recurso, sin que el plan plurianual disponga de indicadores desagregados que permitan evaluar su impacto socioeconómico específico;</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31</w:t>
      </w:r>
      <w:r>
        <w:rPr>
          <w:rStyle w:val="HideTWBExt"/>
        </w:rPr>
        <w:t>&lt;/NumAm&gt;</w:t>
      </w:r>
    </w:p>
    <w:p>
      <w:pPr>
        <w:pStyle w:val="NormalBold"/>
      </w:pPr>
      <w:r>
        <w:rPr>
          <w:rStyle w:val="HideTWBExt"/>
          <w:b w:val="0"/>
        </w:rPr>
        <w:t>&lt;RepeatBlock-By&gt;</w:t>
      </w:r>
      <w:r>
        <w:rPr>
          <w:rStyle w:val="HideTWBExt"/>
          <w:b w:val="0"/>
        </w:rPr>
        <w:t>&lt;Members&gt;</w:t>
      </w:r>
      <w:r>
        <w:t>Eric Sargiacomo, Nicolás González Casares, Giuseppe Lupo, Sakis Arnaoutoglou, Idoia Mendia, Claire Fita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Considerando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 xml:space="preserve">Considerando que, en los últimos siete años, las flotas pesqueras del Mediterráneo </w:t>
            </w:r>
            <w:r>
              <w:rPr>
                <w:b/>
                <w:i/>
              </w:rPr>
              <w:t>han estado sometidas a importantes reducciones del esfuerzo pesquero</w:t>
            </w:r>
            <w:r>
              <w:t xml:space="preserve"> y que, en algunos segmentos, como la flota española de </w:t>
            </w:r>
            <w:r>
              <w:rPr>
                <w:b/>
                <w:i/>
              </w:rPr>
              <w:t>arrastre, dichas reducciones han superado</w:t>
            </w:r>
            <w:r>
              <w:t xml:space="preserve"> el 44 %;</w:t>
            </w:r>
          </w:p>
        </w:tc>
        <w:tc>
          <w:tcPr>
            <w:tcW w:w="4876" w:type="dxa"/>
            <w:tcBorders>
              <w:top w:val="nil"/>
              <w:left w:val="nil"/>
              <w:bottom w:val="nil"/>
              <w:right w:val="nil"/>
            </w:tcBorders>
          </w:tcPr>
          <w:p>
            <w:pPr>
              <w:pStyle w:val="Normal6a"/>
            </w:pPr>
            <w:r>
              <w:t>C.</w:t>
            </w:r>
            <w:r>
              <w:tab/>
            </w:r>
            <w:r>
              <w:t xml:space="preserve">Considerando que, en los últimos siete años, </w:t>
            </w:r>
            <w:r>
              <w:rPr>
                <w:b/>
                <w:i/>
              </w:rPr>
              <w:t>se ha producido una reducción significativa del esfuerzo pesquero de</w:t>
            </w:r>
            <w:r>
              <w:t xml:space="preserve"> las flotas pesqueras del Mediterráneo y que, en algunos segmentos, como la flota española de </w:t>
            </w:r>
            <w:r>
              <w:rPr>
                <w:b/>
                <w:i/>
              </w:rPr>
              <w:t>arrastreros, esta reducción superó</w:t>
            </w:r>
            <w:r>
              <w:t xml:space="preserve"> el 44 % </w:t>
            </w:r>
            <w:r>
              <w:rPr>
                <w:b/>
                <w:i/>
              </w:rPr>
              <w:t>y, en el caso de la flota francesa, el 64 % entre 2019 y 2025, y además, la capacidad pesquera del segmento de arrastre se redujo un 30 % en el marco del plan de salida de la flota decidido en 2022</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32</w:t>
      </w:r>
      <w:r>
        <w:rPr>
          <w:rStyle w:val="HideTWBExt"/>
        </w:rPr>
        <w:t>&lt;/NumAm&gt;</w:t>
      </w:r>
    </w:p>
    <w:p>
      <w:pPr>
        <w:pStyle w:val="NormalBold"/>
      </w:pPr>
      <w:r>
        <w:rPr>
          <w:rStyle w:val="HideTWBExt"/>
          <w:b w:val="0"/>
        </w:rPr>
        <w:t>&lt;RepeatBlock-By&gt;</w:t>
      </w:r>
      <w:r>
        <w:rPr>
          <w:rStyle w:val="HideTWBExt"/>
          <w:b w:val="0"/>
        </w:rPr>
        <w:t>&lt;Members&gt;</w:t>
      </w:r>
      <w:r>
        <w:t>Carmen Crespo Díaz, Isabelle Le Callennec, Paulo do Nascimento Cabral, Susana Solís Pérez, Francisco José Millán Mon, Fredis Beleris, Marco Falcone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Considerando C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 bis.</w:t>
            </w:r>
            <w:r>
              <w:tab/>
            </w:r>
            <w:r>
              <w:rPr>
                <w:b/>
                <w:i/>
              </w:rPr>
              <w:t>Considerando que, además de las importantes reducciones del esfuerzo pesquero aplicadas en virtud del Reglamento (UE) 2019/1022, las flotas del Mediterráneo occidental están sujetas a cierres espaciales permanentes y temporales establecidos tanto por el propio plan plurianual como por otras medidas de conservación de la Unión y de los Estados miembros;</w:t>
            </w:r>
            <w:r>
              <w:t xml:space="preserve"> </w:t>
            </w:r>
            <w:r>
              <w:rPr>
                <w:b/>
                <w:i/>
              </w:rPr>
              <w:t>que el efecto acumulativo de estas restricciones reduce significativamente el acceso efectivo a los caladeros, limita la flexibilidad operativa de las empresas pesqueras y debe tenerse plenamente en cuenta al evaluar la proporcionalidad y eficacia del marco de gestión;</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33</w:t>
      </w:r>
      <w:r>
        <w:rPr>
          <w:rStyle w:val="HideTWBExt"/>
        </w:rPr>
        <w:t>&lt;/NumAm&gt;</w:t>
      </w:r>
    </w:p>
    <w:p>
      <w:pPr>
        <w:pStyle w:val="NormalBold"/>
      </w:pPr>
      <w:r>
        <w:rPr>
          <w:rStyle w:val="HideTWBExt"/>
          <w:b w:val="0"/>
        </w:rPr>
        <w:t>&lt;RepeatBlock-By&gt;</w:t>
      </w:r>
      <w:r>
        <w:rPr>
          <w:rStyle w:val="HideTWBExt"/>
          <w:b w:val="0"/>
        </w:rPr>
        <w:t>&lt;Members&gt;</w:t>
      </w:r>
      <w:r>
        <w:t>Mélissa Camara</w:t>
      </w:r>
      <w:r>
        <w:rPr>
          <w:rStyle w:val="HideTWBExt"/>
          <w:b w:val="0"/>
        </w:rPr>
        <w:t>&lt;/Members&gt;</w:t>
      </w:r>
    </w:p>
    <w:p>
      <w:r>
        <w:rPr>
          <w:rStyle w:val="HideTWBExt"/>
          <w:b w:val="0"/>
        </w:rPr>
        <w:t>&lt;AuNomDe&gt;</w:t>
      </w:r>
      <w:r>
        <w:rPr>
          <w:rStyle w:val="HideTWBInt"/>
        </w:rPr>
        <w:t>{Verts/ALE}</w:t>
      </w:r>
      <w:r>
        <w:t>en nombre del Grupo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Considerando C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 bis.</w:t>
            </w:r>
            <w:r>
              <w:tab/>
            </w:r>
            <w:r>
              <w:rPr>
                <w:b/>
                <w:i/>
              </w:rPr>
              <w:t>Considerando que el exceso de capacidad de la flota sigue siendo significativo para las flotas cubiertas por el plan plurianual para el Mediterráneo occidental;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34</w:t>
      </w:r>
      <w:r>
        <w:rPr>
          <w:rStyle w:val="HideTWBExt"/>
        </w:rPr>
        <w:t>&lt;/NumAm&gt;</w:t>
      </w:r>
    </w:p>
    <w:p>
      <w:pPr>
        <w:pStyle w:val="NormalBold"/>
      </w:pPr>
      <w:r>
        <w:rPr>
          <w:rStyle w:val="HideTWBExt"/>
          <w:b w:val="0"/>
        </w:rPr>
        <w:t>&lt;RepeatBlock-By&gt;</w:t>
      </w:r>
      <w:r>
        <w:rPr>
          <w:rStyle w:val="HideTWBExt"/>
          <w:b w:val="0"/>
        </w:rPr>
        <w:t>&lt;Members&gt;</w:t>
      </w:r>
      <w:r>
        <w:t>Carmen Crespo Díaz, Isabelle Le Callennec, Paulo do Nascimento Cabral, Susana Solís Pérez, Francisco José Millán Mon, Fredis Beleris, Marco Falcone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Considerando C ter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 ter.</w:t>
            </w:r>
            <w:r>
              <w:tab/>
            </w:r>
            <w:r>
              <w:rPr>
                <w:b/>
                <w:i/>
              </w:rPr>
              <w:t>Considerando que el actual sistema de gestión se ha basado principalmente en reducciones lineales del esfuerzo pesquero, lo que ha situado en numerosos casos la actividad media anual de las embarcaciones por debajo del umbral crítico de rentabilidad, estimado en torno a 180 días de actividad en el mar por año, considerado el mínimo necesario para garantizar la cobertura de los costes fijos y la viabilidad económica de las empresas pesqueras;</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35</w:t>
      </w:r>
      <w:r>
        <w:rPr>
          <w:rStyle w:val="HideTWBExt"/>
        </w:rPr>
        <w:t>&lt;/NumAm&gt;</w:t>
      </w:r>
    </w:p>
    <w:p>
      <w:pPr>
        <w:pStyle w:val="NormalBold"/>
      </w:pPr>
      <w:r>
        <w:rPr>
          <w:rStyle w:val="HideTWBExt"/>
          <w:b w:val="0"/>
        </w:rPr>
        <w:t>&lt;RepeatBlock-By&gt;</w:t>
      </w:r>
      <w:r>
        <w:rPr>
          <w:rStyle w:val="HideTWBExt"/>
          <w:b w:val="0"/>
        </w:rPr>
        <w:t>&lt;Members&gt;</w:t>
      </w:r>
      <w:r>
        <w:t>Mélissa Camara</w:t>
      </w:r>
      <w:r>
        <w:rPr>
          <w:rStyle w:val="HideTWBExt"/>
          <w:b w:val="0"/>
        </w:rPr>
        <w:t>&lt;/Members&gt;</w:t>
      </w:r>
    </w:p>
    <w:p>
      <w:r>
        <w:rPr>
          <w:rStyle w:val="HideTWBExt"/>
          <w:b w:val="0"/>
        </w:rPr>
        <w:t>&lt;AuNomDe&gt;</w:t>
      </w:r>
      <w:r>
        <w:rPr>
          <w:rStyle w:val="HideTWBInt"/>
        </w:rPr>
        <w:t>{Verts/ALE}</w:t>
      </w:r>
      <w:r>
        <w:t>en nombre del Grupo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Considerando C ter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 ter.</w:t>
            </w:r>
            <w:r>
              <w:tab/>
            </w:r>
            <w:r>
              <w:rPr>
                <w:b/>
                <w:i/>
              </w:rPr>
              <w:t>Considerando que el plan plurianual para el Mediterráneo occidental permitía un período adicional de 5 años en comparación con la PPC, a fin de alcanzar el objetivo de RMS de forma progresiva y paulatina en 2020, en la medida de lo posible, y a más tardar el 1 de enero de 2025, para las poblaciones afectadas;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36</w:t>
      </w:r>
      <w:r>
        <w:rPr>
          <w:rStyle w:val="HideTWBExt"/>
        </w:rPr>
        <w:t>&lt;/NumAm&gt;</w:t>
      </w:r>
    </w:p>
    <w:p>
      <w:pPr>
        <w:pStyle w:val="NormalBold"/>
      </w:pPr>
      <w:r>
        <w:rPr>
          <w:rStyle w:val="HideTWBExt"/>
          <w:b w:val="0"/>
        </w:rPr>
        <w:t>&lt;RepeatBlock-By&gt;</w:t>
      </w:r>
      <w:r>
        <w:rPr>
          <w:rStyle w:val="HideTWBExt"/>
          <w:b w:val="0"/>
        </w:rPr>
        <w:t>&lt;Members&gt;</w:t>
      </w:r>
      <w:r>
        <w:t>Nora Junco García, Kristoffer Storm, Piotr Müller, Stephen Nikola Bartulica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Considerando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 xml:space="preserve">Considerando que la flota pesquera, especialmente la del Mediterráneo, ha realizado importantes esfuerzos de adaptación e innovación hacia prácticas más sostenibles, </w:t>
            </w:r>
            <w:r>
              <w:rPr>
                <w:b/>
                <w:i/>
              </w:rPr>
              <w:t>en particular</w:t>
            </w:r>
            <w:r>
              <w:t xml:space="preserve"> en el segmento de arrastre;</w:t>
            </w:r>
          </w:p>
        </w:tc>
        <w:tc>
          <w:tcPr>
            <w:tcW w:w="4876" w:type="dxa"/>
            <w:tcBorders>
              <w:top w:val="nil"/>
              <w:left w:val="nil"/>
              <w:bottom w:val="nil"/>
              <w:right w:val="nil"/>
            </w:tcBorders>
          </w:tcPr>
          <w:p>
            <w:pPr>
              <w:pStyle w:val="Normal6a"/>
            </w:pPr>
            <w:r>
              <w:t>D.</w:t>
            </w:r>
            <w:r>
              <w:tab/>
            </w:r>
            <w:r>
              <w:t xml:space="preserve">Considerando que la flota pesquera, especialmente la del Mediterráneo, ha realizado importantes esfuerzos de adaptación e innovación hacia prácticas más sostenibles, </w:t>
            </w:r>
            <w:r>
              <w:rPr>
                <w:b/>
                <w:i/>
              </w:rPr>
              <w:t>no solo</w:t>
            </w:r>
            <w:r>
              <w:t xml:space="preserve"> en el segmento de arrastre </w:t>
            </w:r>
            <w:r>
              <w:rPr>
                <w:b/>
                <w:i/>
              </w:rPr>
              <w:t>sino también en los segmentos de artes menores, palangre y cerco, cuyas particularidades operativas y necesidades de gestión difieren sustancialmente de las del arrastre de fondo y requieren un tratamiento diferenciado en el plan plurianual</w:t>
            </w:r>
            <w:r>
              <w:t>;</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37</w:t>
      </w:r>
      <w:r>
        <w:rPr>
          <w:rStyle w:val="HideTWBExt"/>
        </w:rPr>
        <w:t>&lt;/NumAm&gt;</w:t>
      </w:r>
    </w:p>
    <w:p>
      <w:pPr>
        <w:pStyle w:val="NormalBold"/>
      </w:pPr>
      <w:r>
        <w:rPr>
          <w:rStyle w:val="HideTWBExt"/>
          <w:b w:val="0"/>
        </w:rPr>
        <w:t>&lt;RepeatBlock-By&gt;</w:t>
      </w:r>
      <w:r>
        <w:rPr>
          <w:rStyle w:val="HideTWBExt"/>
          <w:b w:val="0"/>
        </w:rPr>
        <w:t>&lt;Members&gt;</w:t>
      </w:r>
      <w:r>
        <w:t>Mélissa Camara</w:t>
      </w:r>
      <w:r>
        <w:rPr>
          <w:rStyle w:val="HideTWBExt"/>
          <w:b w:val="0"/>
        </w:rPr>
        <w:t>&lt;/Members&gt;</w:t>
      </w:r>
    </w:p>
    <w:p>
      <w:r>
        <w:rPr>
          <w:rStyle w:val="HideTWBExt"/>
          <w:b w:val="0"/>
        </w:rPr>
        <w:t>&lt;AuNomDe&gt;</w:t>
      </w:r>
      <w:r>
        <w:rPr>
          <w:rStyle w:val="HideTWBInt"/>
        </w:rPr>
        <w:t>{Verts/ALE}</w:t>
      </w:r>
      <w:r>
        <w:t>en nombre del Grupo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Considerando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Considerando que la flota pesquera, especialmente la del Mediterráneo, ha realizado importantes esfuerzos de adaptación e innovación hacia prácticas más sostenibles, en particular en el segmento de arrastre;</w:t>
            </w:r>
          </w:p>
        </w:tc>
        <w:tc>
          <w:tcPr>
            <w:tcW w:w="4876" w:type="dxa"/>
            <w:tcBorders>
              <w:top w:val="nil"/>
              <w:left w:val="nil"/>
              <w:bottom w:val="nil"/>
              <w:right w:val="nil"/>
            </w:tcBorders>
          </w:tcPr>
          <w:p>
            <w:pPr>
              <w:pStyle w:val="Normal6a"/>
            </w:pPr>
            <w:r>
              <w:t>D.</w:t>
            </w:r>
            <w:r>
              <w:tab/>
            </w:r>
            <w:r>
              <w:t xml:space="preserve">Considerando que la flota pesquera, especialmente la del Mediterráneo, ha realizado importantes esfuerzos de adaptación e innovación hacia prácticas más sostenibles, en particular en el segmento de arrastre; </w:t>
            </w:r>
            <w:r>
              <w:rPr>
                <w:b/>
                <w:i/>
              </w:rPr>
              <w:t>que siguen siendo necesarios esfuerzos adicionales para garantizar que las actividades pesqueras se ajusten plenamente a los objetivos de gestión de la pesca basada en los ecosistemas, restauración de la biodiversidad y resiliencia frente al cambio climático;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38</w:t>
      </w:r>
      <w:r>
        <w:rPr>
          <w:rStyle w:val="HideTWBExt"/>
        </w:rPr>
        <w:t>&lt;/NumAm&gt;</w:t>
      </w:r>
    </w:p>
    <w:p>
      <w:pPr>
        <w:pStyle w:val="NormalBold"/>
      </w:pPr>
      <w:r>
        <w:rPr>
          <w:rStyle w:val="HideTWBExt"/>
          <w:b w:val="0"/>
        </w:rPr>
        <w:t>&lt;RepeatBlock-By&gt;</w:t>
      </w:r>
      <w:r>
        <w:rPr>
          <w:rStyle w:val="HideTWBExt"/>
          <w:b w:val="0"/>
        </w:rPr>
        <w:t>&lt;Members&gt;</w:t>
      </w:r>
      <w:r>
        <w:t>Carmen Crespo Díaz, Isabelle Le Callennec, Paulo do Nascimento Cabral, Susana Solís Pérez, Francisco José Millán Mon, Fredis Beleris, Marco Falcone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Considerando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Considerando que la flota pesquera, especialmente la del Mediterráneo, ha realizado importantes esfuerzos de adaptación e innovación hacia prácticas más sostenibles, en particular en el segmento de arrastre;</w:t>
            </w:r>
          </w:p>
        </w:tc>
        <w:tc>
          <w:tcPr>
            <w:tcW w:w="4876" w:type="dxa"/>
            <w:tcBorders>
              <w:top w:val="nil"/>
              <w:left w:val="nil"/>
              <w:bottom w:val="nil"/>
              <w:right w:val="nil"/>
            </w:tcBorders>
          </w:tcPr>
          <w:p>
            <w:pPr>
              <w:pStyle w:val="Normal6a"/>
            </w:pPr>
            <w:r>
              <w:t>D.</w:t>
            </w:r>
            <w:r>
              <w:tab/>
            </w:r>
            <w:r>
              <w:t>Considerando que la flota pesquera, especialmente la del Mediterráneo, ha realizado importantes esfuerzos de adaptación e innovación hacia prácticas más sostenibles, en particular en el segmento de arrastre</w:t>
            </w:r>
            <w:r>
              <w:rPr>
                <w:b/>
                <w:i/>
              </w:rPr>
              <w:t>, incorporando mejoras en la selectividad de los artes de pesca, al tiempo que ha asumido importantes sacrificios económicos derivados de las sucesivas reducciones de los días de pesca</w:t>
            </w:r>
            <w:r>
              <w:t>;</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39</w:t>
      </w:r>
      <w:r>
        <w:rPr>
          <w:rStyle w:val="HideTWBExt"/>
        </w:rPr>
        <w:t>&lt;/NumAm&gt;</w:t>
      </w:r>
    </w:p>
    <w:p>
      <w:pPr>
        <w:pStyle w:val="NormalBold"/>
      </w:pPr>
      <w:r>
        <w:rPr>
          <w:rStyle w:val="HideTWBExt"/>
          <w:b w:val="0"/>
        </w:rPr>
        <w:t>&lt;RepeatBlock-By&gt;</w:t>
      </w:r>
      <w:r>
        <w:rPr>
          <w:rStyle w:val="HideTWBExt"/>
          <w:b w:val="0"/>
        </w:rPr>
        <w:t>&lt;Members&gt;</w:t>
      </w:r>
      <w:r>
        <w:t>Nicolás González Casares, Leire Pajín, Alicia Homs Ginel, Sandra Gómez López, Javi López, Laura Ballarín Cereza, Marcos Ros Sempere, Idoia Mendia, Lina Gálvez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Considerando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Considerando que la flota pesquera, especialmente la del Mediterráneo, ha realizado importantes esfuerzos de adaptación e innovación hacia prácticas más sostenibles, en particular en el segmento de arrastre;</w:t>
            </w:r>
          </w:p>
        </w:tc>
        <w:tc>
          <w:tcPr>
            <w:tcW w:w="4876" w:type="dxa"/>
            <w:tcBorders>
              <w:top w:val="nil"/>
              <w:left w:val="nil"/>
              <w:bottom w:val="nil"/>
              <w:right w:val="nil"/>
            </w:tcBorders>
          </w:tcPr>
          <w:p>
            <w:pPr>
              <w:pStyle w:val="Normal6a"/>
            </w:pPr>
            <w:r>
              <w:t>D.</w:t>
            </w:r>
            <w:r>
              <w:tab/>
            </w:r>
            <w:r>
              <w:t xml:space="preserve">Considerando que la flota pesquera, especialmente la del Mediterráneo, ha realizado importantes esfuerzos de adaptación e innovación hacia prácticas más </w:t>
            </w:r>
            <w:r>
              <w:rPr>
                <w:b/>
                <w:i/>
              </w:rPr>
              <w:t>selectivas y</w:t>
            </w:r>
            <w:r>
              <w:t xml:space="preserve"> sostenibles, en particular en el segmento de arrastre;</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40</w:t>
      </w:r>
      <w:r>
        <w:rPr>
          <w:rStyle w:val="HideTWBExt"/>
        </w:rPr>
        <w:t>&lt;/NumAm&gt;</w:t>
      </w:r>
    </w:p>
    <w:p>
      <w:pPr>
        <w:pStyle w:val="NormalBold"/>
      </w:pPr>
      <w:r>
        <w:rPr>
          <w:rStyle w:val="HideTWBExt"/>
          <w:b w:val="0"/>
        </w:rPr>
        <w:t>&lt;RepeatBlock-By&gt;</w:t>
      </w:r>
      <w:r>
        <w:rPr>
          <w:rStyle w:val="HideTWBExt"/>
          <w:b w:val="0"/>
        </w:rPr>
        <w:t>&lt;Members&gt;</w:t>
      </w:r>
      <w:r>
        <w:t>Carmen Crespo Díaz, Isabelle Le Callennec, Paulo do Nascimento Cabral, Susana Solís Pérez, Francisco José Millán Mon, Fredis Beleris, Marco Falcone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Considerando D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 bis.</w:t>
            </w:r>
            <w:r>
              <w:tab/>
            </w:r>
            <w:r>
              <w:rPr>
                <w:b/>
                <w:i/>
              </w:rPr>
              <w:t>Considerando los importantes esfuerzos de adaptación técnica e inversión realizados por la flota de arrastre en favor de una pesca más sostenible, mediante la incorporación de medidas para mejorar la selectividad de los artes y reducir el impacto de la actividad pesquera, como el uso de mallas cuadradas de 40 mm o romboidales de 50 mm, rejillas de selección para juveniles, paneles de malla más ancha y puertas voladoras;</w:t>
            </w:r>
            <w:r>
              <w:t xml:space="preserve"> </w:t>
            </w:r>
            <w:r>
              <w:rPr>
                <w:b/>
                <w:i/>
              </w:rPr>
              <w:t>considerando, asimismo, que en España alrededor del 60% de la flota ya ha incorporado estas y otras mejoras técnicas en los últimos años;</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41</w:t>
      </w:r>
      <w:r>
        <w:rPr>
          <w:rStyle w:val="HideTWBExt"/>
        </w:rPr>
        <w:t>&lt;/NumAm&gt;</w:t>
      </w:r>
    </w:p>
    <w:p>
      <w:pPr>
        <w:pStyle w:val="NormalBold"/>
      </w:pPr>
      <w:r>
        <w:rPr>
          <w:rStyle w:val="HideTWBExt"/>
          <w:b w:val="0"/>
        </w:rPr>
        <w:t>&lt;RepeatBlock-By&gt;</w:t>
      </w:r>
      <w:r>
        <w:rPr>
          <w:rStyle w:val="HideTWBExt"/>
          <w:b w:val="0"/>
        </w:rPr>
        <w:t>&lt;Members&gt;</w:t>
      </w:r>
      <w:r>
        <w:t>Carmen Crespo Díaz, Isabelle Le Callennec, Paulo do Nascimento Cabral, Susana Solís Pérez, Francisco José Millán Mon, Fredis Beleris, Marco Falcone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Considerando D ter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 ter.</w:t>
            </w:r>
            <w:r>
              <w:tab/>
            </w:r>
            <w:r>
              <w:rPr>
                <w:b/>
                <w:i/>
              </w:rPr>
              <w:t>Considerando que las flotas pesqueras del Mediterráneo se enfrentan simultáneamente a presiones acumulativas derivadas del aumento de los costes de la energía y del combustible, de las exigencias asociadas al proceso de descarbonización y de la creciente competencia por el espacio marítimo;</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42</w:t>
      </w:r>
      <w:r>
        <w:rPr>
          <w:rStyle w:val="HideTWBExt"/>
        </w:rPr>
        <w:t>&lt;/NumAm&gt;</w:t>
      </w:r>
    </w:p>
    <w:p>
      <w:pPr>
        <w:pStyle w:val="NormalBold"/>
      </w:pPr>
      <w:r>
        <w:rPr>
          <w:rStyle w:val="HideTWBExt"/>
          <w:b w:val="0"/>
        </w:rPr>
        <w:t>&lt;RepeatBlock-By&gt;</w:t>
      </w:r>
      <w:r>
        <w:rPr>
          <w:rStyle w:val="HideTWBExt"/>
          <w:b w:val="0"/>
        </w:rPr>
        <w:t>&lt;Members&gt;</w:t>
      </w:r>
      <w:r>
        <w:t>Nora Junco García, Kristoffer Storm, Piotr Müller, Stephen Nikola Bartulica, Sander Smit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Considerando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 xml:space="preserve">Considerando que las medidas compensatorias aplicadas a la flota del Mediterráneo </w:t>
            </w:r>
            <w:r>
              <w:rPr>
                <w:b/>
                <w:i/>
              </w:rPr>
              <w:t>han contribuido a mitigar parcialmente</w:t>
            </w:r>
            <w:r>
              <w:t xml:space="preserve"> los efectos socioeconómicos de las reducciones del esfuerzo pesquero, </w:t>
            </w:r>
            <w:r>
              <w:rPr>
                <w:b/>
                <w:i/>
              </w:rPr>
              <w:t>si bien resultan</w:t>
            </w:r>
            <w:r>
              <w:t xml:space="preserve"> insuficientes para garantizar la viabilidad a largo plazo del sector;</w:t>
            </w:r>
          </w:p>
        </w:tc>
        <w:tc>
          <w:tcPr>
            <w:tcW w:w="4876" w:type="dxa"/>
            <w:tcBorders>
              <w:top w:val="nil"/>
              <w:left w:val="nil"/>
              <w:bottom w:val="nil"/>
              <w:right w:val="nil"/>
            </w:tcBorders>
          </w:tcPr>
          <w:p>
            <w:pPr>
              <w:pStyle w:val="Normal6a"/>
            </w:pPr>
            <w:r>
              <w:t>E.</w:t>
            </w:r>
            <w:r>
              <w:tab/>
            </w:r>
            <w:r>
              <w:t xml:space="preserve">Considerando que las medidas compensatorias aplicadas a la flota del Mediterráneo </w:t>
            </w:r>
            <w:r>
              <w:rPr>
                <w:b/>
                <w:i/>
              </w:rPr>
              <w:t>no han logrado compensar</w:t>
            </w:r>
            <w:r>
              <w:t xml:space="preserve"> los efectos socioeconómicos de las </w:t>
            </w:r>
            <w:r>
              <w:rPr>
                <w:b/>
                <w:i/>
              </w:rPr>
              <w:t>sucesivas</w:t>
            </w:r>
            <w:r>
              <w:t xml:space="preserve"> reducciones del esfuerzo pesquero, </w:t>
            </w:r>
            <w:r>
              <w:rPr>
                <w:b/>
                <w:i/>
              </w:rPr>
              <w:t>situando a numerosas empresas pesqueras al borde de la rentabilidad o por debajo de ella, y resultando manifiestamente</w:t>
            </w:r>
            <w:r>
              <w:t xml:space="preserve"> insuficientes para garantizar la viabilidad a </w:t>
            </w:r>
            <w:r>
              <w:rPr>
                <w:b/>
                <w:i/>
              </w:rPr>
              <w:t>medio y</w:t>
            </w:r>
            <w:r>
              <w:t xml:space="preserve"> largo plazo del sector;</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43</w:t>
      </w:r>
      <w:r>
        <w:rPr>
          <w:rStyle w:val="HideTWBExt"/>
        </w:rPr>
        <w:t>&lt;/NumAm&gt;</w:t>
      </w:r>
    </w:p>
    <w:p>
      <w:pPr>
        <w:pStyle w:val="NormalBold"/>
      </w:pPr>
      <w:r>
        <w:rPr>
          <w:rStyle w:val="HideTWBExt"/>
          <w:b w:val="0"/>
        </w:rPr>
        <w:t>&lt;RepeatBlock-By&gt;</w:t>
      </w:r>
      <w:r>
        <w:rPr>
          <w:rStyle w:val="HideTWBExt"/>
          <w:b w:val="0"/>
        </w:rPr>
        <w:t>&lt;Members&gt;</w:t>
      </w:r>
      <w:r>
        <w:t>Nicolás González Casares, Leire Pajín, Alicia Homs Ginel, Sandra Gómez López, Javi López, Laura Ballarín Cereza, Marcos Ros Sempere, Idoia Mendia, Lina Gálvez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Considerando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Considerando que las medidas compensatorias aplicadas a la flota del Mediterráneo han contribuido a mitigar parcialmente los efectos socioeconómicos de las reducciones del esfuerzo pesquero, si bien resultan insuficientes para garantizar la viabilidad a largo plazo del sector;</w:t>
            </w:r>
          </w:p>
        </w:tc>
        <w:tc>
          <w:tcPr>
            <w:tcW w:w="4876" w:type="dxa"/>
            <w:tcBorders>
              <w:top w:val="nil"/>
              <w:left w:val="nil"/>
              <w:bottom w:val="nil"/>
              <w:right w:val="nil"/>
            </w:tcBorders>
          </w:tcPr>
          <w:p>
            <w:pPr>
              <w:pStyle w:val="Normal6a"/>
            </w:pPr>
            <w:r>
              <w:t>E.</w:t>
            </w:r>
            <w:r>
              <w:tab/>
            </w:r>
            <w:r>
              <w:t>Considerando que las medidas compensatorias aplicadas a</w:t>
            </w:r>
            <w:r>
              <w:rPr>
                <w:b/>
                <w:i/>
              </w:rPr>
              <w:t>, e implementadas por,</w:t>
            </w:r>
            <w:r>
              <w:t xml:space="preserve"> la flota del Mediterráneo han contribuido a mitigar parcialmente los efectos socioeconómicos de las reducciones del esfuerzo pesquero, si bien resultan insuficientes para garantizar la viabilidad a largo plazo del sector;</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44</w:t>
      </w:r>
      <w:r>
        <w:rPr>
          <w:rStyle w:val="HideTWBExt"/>
        </w:rPr>
        <w:t>&lt;/NumAm&gt;</w:t>
      </w:r>
    </w:p>
    <w:p>
      <w:pPr>
        <w:pStyle w:val="NormalBold"/>
      </w:pPr>
      <w:r>
        <w:rPr>
          <w:rStyle w:val="HideTWBExt"/>
          <w:b w:val="0"/>
        </w:rPr>
        <w:t>&lt;RepeatBlock-By&gt;</w:t>
      </w:r>
      <w:r>
        <w:rPr>
          <w:rStyle w:val="HideTWBExt"/>
          <w:b w:val="0"/>
        </w:rPr>
        <w:t>&lt;Members&gt;</w:t>
      </w:r>
      <w:r>
        <w:t>Emma Wiesner,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Considerando E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 bis.</w:t>
            </w:r>
            <w:r>
              <w:tab/>
            </w:r>
            <w:r>
              <w:rPr>
                <w:b/>
                <w:i/>
              </w:rPr>
              <w:t>Considerando que la previsibilidad a largo plazo y un plan global son necesarios para garantizar la sostenibilidad a largo plazo tanto de las poblaciones como del sector pesquero;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45</w:t>
      </w:r>
      <w:r>
        <w:rPr>
          <w:rStyle w:val="HideTWBExt"/>
        </w:rPr>
        <w:t>&lt;/NumAm&gt;</w:t>
      </w:r>
    </w:p>
    <w:p>
      <w:pPr>
        <w:pStyle w:val="NormalBold"/>
      </w:pPr>
      <w:r>
        <w:rPr>
          <w:rStyle w:val="HideTWBExt"/>
          <w:b w:val="0"/>
        </w:rPr>
        <w:t>&lt;RepeatBlock-By&gt;</w:t>
      </w:r>
      <w:r>
        <w:rPr>
          <w:rStyle w:val="HideTWBExt"/>
          <w:b w:val="0"/>
        </w:rPr>
        <w:t>&lt;Members&gt;</w:t>
      </w:r>
      <w:r>
        <w:t>Mélissa Camara</w:t>
      </w:r>
      <w:r>
        <w:rPr>
          <w:rStyle w:val="HideTWBExt"/>
          <w:b w:val="0"/>
        </w:rPr>
        <w:t>&lt;/Members&gt;</w:t>
      </w:r>
    </w:p>
    <w:p>
      <w:r>
        <w:rPr>
          <w:rStyle w:val="HideTWBExt"/>
          <w:b w:val="0"/>
        </w:rPr>
        <w:t>&lt;AuNomDe&gt;</w:t>
      </w:r>
      <w:r>
        <w:rPr>
          <w:rStyle w:val="HideTWBInt"/>
        </w:rPr>
        <w:t>{Verts/ALE}</w:t>
      </w:r>
      <w:r>
        <w:t>en nombre del Grupo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Considerando E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 bis.</w:t>
            </w:r>
            <w:r>
              <w:tab/>
            </w:r>
            <w:r>
              <w:rPr>
                <w:b/>
                <w:i/>
              </w:rPr>
              <w:t>Considerando que las opciones de medidas compensatorias recientemente adoptadas permiten en total un mayor esfuerzo pesquero para las flotas respectivas que la limitación inicial;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46</w:t>
      </w:r>
      <w:r>
        <w:rPr>
          <w:rStyle w:val="HideTWBExt"/>
        </w:rPr>
        <w:t>&lt;/NumAm&gt;</w:t>
      </w:r>
    </w:p>
    <w:p>
      <w:pPr>
        <w:pStyle w:val="NormalBold"/>
      </w:pPr>
      <w:r>
        <w:rPr>
          <w:rStyle w:val="HideTWBExt"/>
          <w:b w:val="0"/>
        </w:rPr>
        <w:t>&lt;RepeatBlock-By&gt;</w:t>
      </w:r>
      <w:r>
        <w:rPr>
          <w:rStyle w:val="HideTWBExt"/>
          <w:b w:val="0"/>
        </w:rPr>
        <w:t>&lt;Members&gt;</w:t>
      </w:r>
      <w:r>
        <w:t>Mélissa Camara</w:t>
      </w:r>
      <w:r>
        <w:rPr>
          <w:rStyle w:val="HideTWBExt"/>
          <w:b w:val="0"/>
        </w:rPr>
        <w:t>&lt;/Members&gt;</w:t>
      </w:r>
    </w:p>
    <w:p>
      <w:r>
        <w:rPr>
          <w:rStyle w:val="HideTWBExt"/>
          <w:b w:val="0"/>
        </w:rPr>
        <w:t>&lt;AuNomDe&gt;</w:t>
      </w:r>
      <w:r>
        <w:rPr>
          <w:rStyle w:val="HideTWBInt"/>
        </w:rPr>
        <w:t>{Verts/ALE}</w:t>
      </w:r>
      <w:r>
        <w:t>en nombre del Grupo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Considerando E ter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 ter.</w:t>
            </w:r>
            <w:r>
              <w:tab/>
            </w:r>
            <w:r>
              <w:rPr>
                <w:b/>
                <w:i/>
              </w:rPr>
              <w:t>Considerando que la rentabilidad de los pescadores a pequeña escala depende de las cuotas que se les asignen;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47</w:t>
      </w:r>
      <w:r>
        <w:rPr>
          <w:rStyle w:val="HideTWBExt"/>
        </w:rPr>
        <w:t>&lt;/NumAm&gt;</w:t>
      </w:r>
    </w:p>
    <w:p>
      <w:pPr>
        <w:pStyle w:val="NormalBold"/>
      </w:pPr>
      <w:r>
        <w:rPr>
          <w:rStyle w:val="HideTWBExt"/>
          <w:b w:val="0"/>
        </w:rPr>
        <w:t>&lt;RepeatBlock-By&gt;</w:t>
      </w:r>
      <w:r>
        <w:rPr>
          <w:rStyle w:val="HideTWBExt"/>
          <w:b w:val="0"/>
        </w:rPr>
        <w:t>&lt;Members&gt;</w:t>
      </w:r>
      <w:r>
        <w:t>Carmen Crespo Díaz, Isabelle Le Callennec, Paulo do Nascimento Cabral, Susana Solís Pérez, Francisco José Millán Mon, Fredis Beleris, Marco Falcone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Considerando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 xml:space="preserve">Considerando que </w:t>
            </w:r>
            <w:r>
              <w:rPr>
                <w:b/>
                <w:i/>
              </w:rPr>
              <w:t>el</w:t>
            </w:r>
            <w:r>
              <w:t xml:space="preserve"> CCTEP </w:t>
            </w:r>
            <w:r>
              <w:rPr>
                <w:b/>
                <w:i/>
              </w:rPr>
              <w:t>y la CGPM han señalado</w:t>
            </w:r>
            <w:r>
              <w:t xml:space="preserve"> la persistencia de </w:t>
            </w:r>
            <w:r>
              <w:rPr>
                <w:b/>
                <w:i/>
              </w:rPr>
              <w:t>importantes</w:t>
            </w:r>
            <w:r>
              <w:t xml:space="preserve"> lagunas en los datos </w:t>
            </w:r>
            <w:r>
              <w:rPr>
                <w:b/>
                <w:i/>
              </w:rPr>
              <w:t>científicos sobre</w:t>
            </w:r>
            <w:r>
              <w:t xml:space="preserve"> las poblaciones demersales </w:t>
            </w:r>
            <w:r>
              <w:rPr>
                <w:b/>
                <w:i/>
              </w:rPr>
              <w:t>del Mediterráneo, lo que dificulta su</w:t>
            </w:r>
            <w:r>
              <w:t xml:space="preserve"> evaluación </w:t>
            </w:r>
            <w:r>
              <w:rPr>
                <w:b/>
                <w:i/>
              </w:rPr>
              <w:t>adecuada</w:t>
            </w:r>
            <w:r>
              <w:t>;</w:t>
            </w:r>
          </w:p>
        </w:tc>
        <w:tc>
          <w:tcPr>
            <w:tcW w:w="4876" w:type="dxa"/>
            <w:tcBorders>
              <w:top w:val="nil"/>
              <w:left w:val="nil"/>
              <w:bottom w:val="nil"/>
              <w:right w:val="nil"/>
            </w:tcBorders>
          </w:tcPr>
          <w:p>
            <w:pPr>
              <w:pStyle w:val="Normal6a"/>
            </w:pPr>
            <w:r>
              <w:t>F.</w:t>
            </w:r>
            <w:r>
              <w:tab/>
            </w:r>
            <w:r>
              <w:t xml:space="preserve">Considerando que </w:t>
            </w:r>
            <w:r>
              <w:rPr>
                <w:b/>
                <w:i/>
              </w:rPr>
              <w:t>los informes del Comité Científico, Técnico y Económico de Pesca (</w:t>
            </w:r>
            <w:r>
              <w:t>CCTEP</w:t>
            </w:r>
            <w:r>
              <w:rPr>
                <w:b/>
                <w:i/>
              </w:rPr>
              <w:t>) y de la Comisión General de Pesca del Mediterráneo (CGPM) ponen de relieve</w:t>
            </w:r>
            <w:r>
              <w:t xml:space="preserve"> la persistencia de lagunas en los datos </w:t>
            </w:r>
            <w:r>
              <w:rPr>
                <w:b/>
                <w:i/>
              </w:rPr>
              <w:t>relativos a</w:t>
            </w:r>
            <w:r>
              <w:t xml:space="preserve"> las poblaciones demersales</w:t>
            </w:r>
            <w:r>
              <w:rPr>
                <w:b/>
                <w:i/>
              </w:rPr>
              <w:t>, con una</w:t>
            </w:r>
            <w:r>
              <w:t xml:space="preserve"> evaluación </w:t>
            </w:r>
            <w:r>
              <w:rPr>
                <w:b/>
                <w:i/>
              </w:rPr>
              <w:t>cuantitativa de menos del 40 % de las poblaciones mediterráneas debido a la insuficiencia de los datos pesqueros y que las decisiones de gestión se adoptan frecuentemente sobre la base de evaluaciones científicas elaboradas con datos de hasta dos años de antigüedad, lo que limita su capacidad para reflejar la situación real de las pesquerías</w:t>
            </w:r>
            <w:r>
              <w:t>;</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48</w:t>
      </w:r>
      <w:r>
        <w:rPr>
          <w:rStyle w:val="HideTWBExt"/>
        </w:rPr>
        <w:t>&lt;/NumAm&gt;</w:t>
      </w:r>
    </w:p>
    <w:p>
      <w:pPr>
        <w:pStyle w:val="NormalBold"/>
      </w:pPr>
      <w:r>
        <w:rPr>
          <w:rStyle w:val="HideTWBExt"/>
          <w:b w:val="0"/>
        </w:rPr>
        <w:t>&lt;RepeatBlock-By&gt;</w:t>
      </w:r>
      <w:r>
        <w:rPr>
          <w:rStyle w:val="HideTWBExt"/>
          <w:b w:val="0"/>
        </w:rPr>
        <w:t>&lt;Members&gt;</w:t>
      </w:r>
      <w:r>
        <w:t>Nora Junco García, Kristoffer Storm, Piotr Müller, Sander Smit, Stephen Nikola Bartulica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Considerando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Considerando que el CCTEP y la CGPM han señalado la persistencia de importantes lagunas en los datos científicos sobre las poblaciones demersales del Mediterráneo, lo que dificulta su evaluación adecuada;</w:t>
            </w:r>
          </w:p>
        </w:tc>
        <w:tc>
          <w:tcPr>
            <w:tcW w:w="4876" w:type="dxa"/>
            <w:tcBorders>
              <w:top w:val="nil"/>
              <w:left w:val="nil"/>
              <w:bottom w:val="nil"/>
              <w:right w:val="nil"/>
            </w:tcBorders>
          </w:tcPr>
          <w:p>
            <w:pPr>
              <w:pStyle w:val="Normal6a"/>
            </w:pPr>
            <w:r>
              <w:t>F.</w:t>
            </w:r>
            <w:r>
              <w:tab/>
            </w:r>
            <w:r>
              <w:t xml:space="preserve">Considerando que el CCTEP y la CGPM han señalado la persistencia de importantes lagunas en los datos científicos sobre las poblaciones demersales del Mediterráneo, lo que dificulta su evaluación adecuada; </w:t>
            </w:r>
            <w:r>
              <w:rPr>
                <w:b/>
                <w:i/>
              </w:rPr>
              <w:t>que resulta indispensable actualizar y ampliar los estudios científicos disponibles, evitando que las decisiones de gestión de toda la pesquería mixta se sustenten de forma desproporcionada en la evaluación de una única especie indicadora, cuyo estado puede no ser representativo del conjunto de poblaciones ni de la realidad operativa de los distintos segmentos de flota ;</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49</w:t>
      </w:r>
      <w:r>
        <w:rPr>
          <w:rStyle w:val="HideTWBExt"/>
        </w:rPr>
        <w:t>&lt;/NumAm&gt;</w:t>
      </w:r>
    </w:p>
    <w:p>
      <w:pPr>
        <w:pStyle w:val="NormalBold"/>
      </w:pPr>
      <w:r>
        <w:rPr>
          <w:rStyle w:val="HideTWBExt"/>
          <w:b w:val="0"/>
        </w:rPr>
        <w:t>&lt;RepeatBlock-By&gt;</w:t>
      </w:r>
      <w:r>
        <w:rPr>
          <w:rStyle w:val="HideTWBExt"/>
          <w:b w:val="0"/>
        </w:rPr>
        <w:t>&lt;Members&gt;</w:t>
      </w:r>
      <w:r>
        <w:t>Eric Sargiacomo, Giuseppe Lupo, Sakis Arnaoutoglou, Claire Fita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Considerando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Considerando que el CCTEP y la CGPM han señalado la persistencia de importantes lagunas en los datos científicos sobre las poblaciones demersales del Mediterráneo, lo que dificulta su evaluación adecuada;</w:t>
            </w:r>
          </w:p>
        </w:tc>
        <w:tc>
          <w:tcPr>
            <w:tcW w:w="4876" w:type="dxa"/>
            <w:tcBorders>
              <w:top w:val="nil"/>
              <w:left w:val="nil"/>
              <w:bottom w:val="nil"/>
              <w:right w:val="nil"/>
            </w:tcBorders>
          </w:tcPr>
          <w:p>
            <w:pPr>
              <w:pStyle w:val="Normal6a"/>
            </w:pPr>
            <w:r>
              <w:t>F.</w:t>
            </w:r>
            <w:r>
              <w:tab/>
            </w:r>
            <w:r>
              <w:t xml:space="preserve">Considerando que el CCTEP y la CGPM han señalado la persistencia de importantes lagunas en los datos científicos sobre las poblaciones demersales del Mediterráneo, lo que dificulta su evaluación adecuada; </w:t>
            </w:r>
            <w:r>
              <w:rPr>
                <w:b/>
                <w:i/>
              </w:rPr>
              <w:t>que el aumento de los recursos para la recopilación de datos sigue siendo una condición indispensable para una gestión basada en los mejores conocimientos científicos disponibles y recientes;</w:t>
            </w:r>
            <w:r>
              <w:t xml:space="preserve"> </w:t>
            </w:r>
            <w:r>
              <w:rPr>
                <w:b/>
                <w:i/>
              </w:rPr>
              <w:t>que hay una falta de datos científicos sobre las principales poblaciones del plan para la flota de Córcega en la subzona geográfica 8 y para la flota de Cerdeña en la subzona geográfica 11.2;</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50</w:t>
      </w:r>
      <w:r>
        <w:rPr>
          <w:rStyle w:val="HideTWBExt"/>
        </w:rPr>
        <w:t>&lt;/NumAm&gt;</w:t>
      </w:r>
    </w:p>
    <w:p>
      <w:pPr>
        <w:pStyle w:val="NormalBold"/>
      </w:pPr>
      <w:r>
        <w:rPr>
          <w:rStyle w:val="HideTWBExt"/>
          <w:b w:val="0"/>
        </w:rPr>
        <w:t>&lt;RepeatBlock-By&gt;</w:t>
      </w:r>
      <w:r>
        <w:rPr>
          <w:rStyle w:val="HideTWBExt"/>
          <w:b w:val="0"/>
        </w:rPr>
        <w:t>&lt;Members&gt;</w:t>
      </w:r>
      <w:r>
        <w:t>Emma Wiesner,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Considerando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Considerando que el CCTEP y la CGPM han señalado la persistencia de importantes lagunas en los datos científicos sobre las poblaciones demersales del Mediterráneo, lo que dificulta su evaluación adecuada;</w:t>
            </w:r>
          </w:p>
        </w:tc>
        <w:tc>
          <w:tcPr>
            <w:tcW w:w="4876" w:type="dxa"/>
            <w:tcBorders>
              <w:top w:val="nil"/>
              <w:left w:val="nil"/>
              <w:bottom w:val="nil"/>
              <w:right w:val="nil"/>
            </w:tcBorders>
          </w:tcPr>
          <w:p>
            <w:pPr>
              <w:pStyle w:val="Normal6a"/>
            </w:pPr>
            <w:r>
              <w:t>F.</w:t>
            </w:r>
            <w:r>
              <w:tab/>
            </w:r>
            <w:r>
              <w:t>Considerando que el CCTEP y la CGPM han señalado la persistencia de importantes lagunas en los datos científicos sobre las poblaciones demersales del Mediterráneo, lo que dificulta su evaluación adecuada</w:t>
            </w:r>
            <w:r>
              <w:rPr>
                <w:b/>
                <w:i/>
              </w:rPr>
              <w:t>, y que la plena aplicación de un enfoque ecosistémico requiere más esfuerzos para colmar las lagunas de datos existentes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51</w:t>
      </w:r>
      <w:r>
        <w:rPr>
          <w:rStyle w:val="HideTWBExt"/>
        </w:rPr>
        <w:t>&lt;/NumAm&gt;</w:t>
      </w:r>
    </w:p>
    <w:p>
      <w:pPr>
        <w:pStyle w:val="NormalBold"/>
      </w:pPr>
      <w:r>
        <w:rPr>
          <w:rStyle w:val="HideTWBExt"/>
          <w:b w:val="0"/>
        </w:rPr>
        <w:t>&lt;RepeatBlock-By&gt;</w:t>
      </w:r>
      <w:r>
        <w:rPr>
          <w:rStyle w:val="HideTWBExt"/>
          <w:b w:val="0"/>
        </w:rPr>
        <w:t>&lt;Members&gt;</w:t>
      </w:r>
      <w:r>
        <w:t>Carmen Crespo Díaz, Isabelle Le Callennec, Paulo do Nascimento Cabral, Susana Solís Pérez, Francisco José Millán Mon, Fredis Beleris, Marco Falcone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Considerando F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 bis.</w:t>
            </w:r>
            <w:r>
              <w:tab/>
            </w:r>
            <w:r>
              <w:rPr>
                <w:b/>
                <w:i/>
              </w:rPr>
              <w:t>Considerando que los recientes estudios oceanográficos indican la recuperación de biomasa para determinadas poblaciones demersales, lo que pone de manifiesto posibles divergencias entre las campañas científicas, las evaluaciones basadas en modelos y las decisiones de gestión, para lo cual es esencial reforzar la coordinación de la investigación científica pesquera a escala europea, nacional y regional;</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52</w:t>
      </w:r>
      <w:r>
        <w:rPr>
          <w:rStyle w:val="HideTWBExt"/>
        </w:rPr>
        <w:t>&lt;/NumAm&gt;</w:t>
      </w:r>
    </w:p>
    <w:p>
      <w:pPr>
        <w:pStyle w:val="NormalBold"/>
      </w:pPr>
      <w:r>
        <w:rPr>
          <w:rStyle w:val="HideTWBExt"/>
          <w:b w:val="0"/>
        </w:rPr>
        <w:t>&lt;RepeatBlock-By&gt;</w:t>
      </w:r>
      <w:r>
        <w:rPr>
          <w:rStyle w:val="HideTWBExt"/>
          <w:b w:val="0"/>
        </w:rPr>
        <w:t>&lt;Members&gt;</w:t>
      </w:r>
      <w:r>
        <w:t>Eric Sargiacomo, Nicolás González Casares, Giuseppe Lupo, Sakis Arnaoutoglou, Idoia Mendia, Chloé Ridel, Claire Fita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Considerando F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 bis.</w:t>
            </w:r>
            <w:r>
              <w:tab/>
            </w:r>
            <w:r>
              <w:rPr>
                <w:b/>
                <w:i/>
              </w:rPr>
              <w:t>Considerando que los cambios en las poblaciones de peces también dependen de factores medioambientales como el cambio climático, la contaminación, la mortalidad natural, la calidad de los hábitats, los cambios en el reclutamiento y las interacciones entre especies, y que estos factores deben integrarse en mayor medida en las evaluaciones científicas;</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53</w:t>
      </w:r>
      <w:r>
        <w:rPr>
          <w:rStyle w:val="HideTWBExt"/>
        </w:rPr>
        <w:t>&lt;/NumAm&gt;</w:t>
      </w:r>
    </w:p>
    <w:p>
      <w:pPr>
        <w:pStyle w:val="NormalBold"/>
      </w:pPr>
      <w:r>
        <w:rPr>
          <w:rStyle w:val="HideTWBExt"/>
          <w:b w:val="0"/>
        </w:rPr>
        <w:t>&lt;RepeatBlock-By&gt;</w:t>
      </w:r>
      <w:r>
        <w:rPr>
          <w:rStyle w:val="HideTWBExt"/>
          <w:b w:val="0"/>
        </w:rPr>
        <w:t>&lt;Members&gt;</w:t>
      </w:r>
      <w:r>
        <w:t>Mélissa Camara</w:t>
      </w:r>
      <w:r>
        <w:rPr>
          <w:rStyle w:val="HideTWBExt"/>
          <w:b w:val="0"/>
        </w:rPr>
        <w:t>&lt;/Members&gt;</w:t>
      </w:r>
    </w:p>
    <w:p>
      <w:r>
        <w:rPr>
          <w:rStyle w:val="HideTWBExt"/>
          <w:b w:val="0"/>
        </w:rPr>
        <w:t>&lt;AuNomDe&gt;</w:t>
      </w:r>
      <w:r>
        <w:rPr>
          <w:rStyle w:val="HideTWBInt"/>
        </w:rPr>
        <w:t>{Verts/ALE}</w:t>
      </w:r>
      <w:r>
        <w:t>en nombre del Grupo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Considerando F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 bis.</w:t>
            </w:r>
            <w:r>
              <w:tab/>
            </w:r>
            <w:r>
              <w:rPr>
                <w:b/>
                <w:i/>
              </w:rPr>
              <w:t>Considerando que la política de la Unión en el ámbito del medio ambiente tendrá como objetivo alcanzar un nivel de protección elevado, teniendo presente la diversidad de situaciones existentes en las distintas regiones de la Unión y se basará en el principio de precaución;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54</w:t>
      </w:r>
      <w:r>
        <w:rPr>
          <w:rStyle w:val="HideTWBExt"/>
        </w:rPr>
        <w:t>&lt;/NumAm&gt;</w:t>
      </w:r>
    </w:p>
    <w:p>
      <w:pPr>
        <w:pStyle w:val="NormalBold"/>
      </w:pPr>
      <w:r>
        <w:rPr>
          <w:rStyle w:val="HideTWBExt"/>
          <w:b w:val="0"/>
        </w:rPr>
        <w:t>&lt;RepeatBlock-By&gt;</w:t>
      </w:r>
      <w:r>
        <w:rPr>
          <w:rStyle w:val="HideTWBExt"/>
          <w:b w:val="0"/>
        </w:rPr>
        <w:t>&lt;Members&gt;</w:t>
      </w:r>
      <w:r>
        <w:t>Nora Junco García, Kristoffer Storm, Piotr Müller, Stephen Nikola Bartulica, Sander Smit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Considerando 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G.</w:t>
            </w:r>
            <w:r>
              <w:tab/>
            </w:r>
            <w:r>
              <w:t>Considerando que la vinculación del esfuerzo pesquero a la población más vulnerable ha generado de facto «especies de estrangulamiento», con efectos desproporcionados sobre las pesquerías mixtas y la viabilidad económica del sector;</w:t>
            </w:r>
          </w:p>
        </w:tc>
        <w:tc>
          <w:tcPr>
            <w:tcW w:w="4876" w:type="dxa"/>
            <w:tcBorders>
              <w:top w:val="nil"/>
              <w:left w:val="nil"/>
              <w:bottom w:val="nil"/>
              <w:right w:val="nil"/>
            </w:tcBorders>
          </w:tcPr>
          <w:p>
            <w:pPr>
              <w:pStyle w:val="Normal6a"/>
            </w:pPr>
            <w:r>
              <w:t>G.</w:t>
            </w:r>
            <w:r>
              <w:tab/>
            </w:r>
            <w:r>
              <w:t xml:space="preserve">Considerando que la vinculación del esfuerzo pesquero a la población más vulnerable ha generado de facto «especies de estrangulamiento», con efectos desproporcionados sobre las pesquerías mixtas y la viabilidad económica del sector; </w:t>
            </w:r>
            <w:r>
              <w:rPr>
                <w:b/>
                <w:i/>
              </w:rPr>
              <w:t>que informes recientes del CCTEP han constatado avances positivos en la recuperación de varias poblaciones, incluida la propia merluza, sin que ello se haya traducido todavía en una revisión del enfoque metodológico que permita liberar días de pesca en consecuencia, lo que evidencia la rigidez e inadecuación del sistema actual frente a la evolución real de los stocks;</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55</w:t>
      </w:r>
      <w:r>
        <w:rPr>
          <w:rStyle w:val="HideTWBExt"/>
        </w:rPr>
        <w:t>&lt;/NumAm&gt;</w:t>
      </w:r>
    </w:p>
    <w:p>
      <w:pPr>
        <w:pStyle w:val="NormalBold"/>
      </w:pPr>
      <w:r>
        <w:rPr>
          <w:rStyle w:val="HideTWBExt"/>
          <w:b w:val="0"/>
        </w:rPr>
        <w:t>&lt;RepeatBlock-By&gt;</w:t>
      </w:r>
      <w:r>
        <w:rPr>
          <w:rStyle w:val="HideTWBExt"/>
          <w:b w:val="0"/>
        </w:rPr>
        <w:t>&lt;Members&gt;</w:t>
      </w:r>
      <w:r>
        <w:t>Mélissa Camara</w:t>
      </w:r>
      <w:r>
        <w:rPr>
          <w:rStyle w:val="HideTWBExt"/>
          <w:b w:val="0"/>
        </w:rPr>
        <w:t>&lt;/Members&gt;</w:t>
      </w:r>
    </w:p>
    <w:p>
      <w:r>
        <w:rPr>
          <w:rStyle w:val="HideTWBExt"/>
          <w:b w:val="0"/>
        </w:rPr>
        <w:t>&lt;AuNomDe&gt;</w:t>
      </w:r>
      <w:r>
        <w:rPr>
          <w:rStyle w:val="HideTWBInt"/>
        </w:rPr>
        <w:t>{Verts/ALE}</w:t>
      </w:r>
      <w:r>
        <w:t>en nombre del Grupo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Considerando 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G.</w:t>
            </w:r>
            <w:r>
              <w:tab/>
            </w:r>
            <w:r>
              <w:t xml:space="preserve">Considerando que </w:t>
            </w:r>
            <w:r>
              <w:rPr>
                <w:b/>
                <w:i/>
              </w:rPr>
              <w:t>la vinculación del esfuerzo pesquero a la población más vulnerable ha generado de facto «especies de estrangulamiento», con efectos desproporcionados sobre</w:t>
            </w:r>
            <w:r>
              <w:t xml:space="preserve"> las pesquerías mixtas </w:t>
            </w:r>
            <w:r>
              <w:rPr>
                <w:b/>
                <w:i/>
              </w:rPr>
              <w:t>y la viabilidad económica del sector</w:t>
            </w:r>
            <w:r>
              <w:t>;</w:t>
            </w:r>
          </w:p>
        </w:tc>
        <w:tc>
          <w:tcPr>
            <w:tcW w:w="4876" w:type="dxa"/>
            <w:tcBorders>
              <w:top w:val="nil"/>
              <w:left w:val="nil"/>
              <w:bottom w:val="nil"/>
              <w:right w:val="nil"/>
            </w:tcBorders>
          </w:tcPr>
          <w:p>
            <w:pPr>
              <w:pStyle w:val="Normal6a"/>
            </w:pPr>
            <w:r>
              <w:t>G.</w:t>
            </w:r>
            <w:r>
              <w:tab/>
            </w:r>
            <w:r>
              <w:t>Considerando que</w:t>
            </w:r>
            <w:r>
              <w:rPr>
                <w:b/>
                <w:i/>
              </w:rPr>
              <w:t>, en</w:t>
            </w:r>
            <w:r>
              <w:t xml:space="preserve"> las pesquerías mixtas</w:t>
            </w:r>
            <w:r>
              <w:rPr>
                <w:b/>
                <w:i/>
              </w:rPr>
              <w:t>, las poblaciones en mal estado biológico pueden llegar a limitar las poblaciones y aumentar el riesgo de estrangulamiento;</w:t>
            </w:r>
            <w:r>
              <w:t xml:space="preserve"> </w:t>
            </w:r>
            <w:r>
              <w:rPr>
                <w:b/>
                <w:i/>
              </w:rPr>
              <w:t>que estos riesgos deben abordarse mediante la mejora de la selectividad táctica y técnica, medidas de evitación, cierres espacio-temporales, medidas correctoras e incentivos adecuados, garantizando al mismo tiempo que las poblaciones más saludables no enmascaren la sobrepesca continuada de las poblaciones más débiles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56</w:t>
      </w:r>
      <w:r>
        <w:rPr>
          <w:rStyle w:val="HideTWBExt"/>
        </w:rPr>
        <w:t>&lt;/NumAm&gt;</w:t>
      </w:r>
    </w:p>
    <w:p>
      <w:pPr>
        <w:pStyle w:val="NormalBold"/>
      </w:pPr>
      <w:r>
        <w:rPr>
          <w:rStyle w:val="HideTWBExt"/>
          <w:b w:val="0"/>
        </w:rPr>
        <w:t>&lt;RepeatBlock-By&gt;</w:t>
      </w:r>
      <w:r>
        <w:rPr>
          <w:rStyle w:val="HideTWBExt"/>
          <w:b w:val="0"/>
        </w:rPr>
        <w:t>&lt;Members&gt;</w:t>
      </w:r>
      <w:r>
        <w:t>Eric Sargiacomo, Nicolás González Casares, Giuseppe Lupo, Sakis Arnaoutoglou, Idoia Mendia, Claire Fita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Considerando 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G.</w:t>
            </w:r>
            <w:r>
              <w:tab/>
            </w:r>
            <w:r>
              <w:t xml:space="preserve">Considerando que la vinculación del esfuerzo pesquero a la población más vulnerable ha generado de facto «especies de estrangulamiento», </w:t>
            </w:r>
            <w:r>
              <w:rPr>
                <w:b/>
                <w:i/>
              </w:rPr>
              <w:t>con efectos desproporcionados sobre</w:t>
            </w:r>
            <w:r>
              <w:t xml:space="preserve"> las pesquerías mixtas </w:t>
            </w:r>
            <w:r>
              <w:rPr>
                <w:b/>
                <w:i/>
              </w:rPr>
              <w:t>y la viabilidad económica del sector</w:t>
            </w:r>
            <w:r>
              <w:t>;</w:t>
            </w:r>
          </w:p>
        </w:tc>
        <w:tc>
          <w:tcPr>
            <w:tcW w:w="4876" w:type="dxa"/>
            <w:tcBorders>
              <w:top w:val="nil"/>
              <w:left w:val="nil"/>
              <w:bottom w:val="nil"/>
              <w:right w:val="nil"/>
            </w:tcBorders>
          </w:tcPr>
          <w:p>
            <w:pPr>
              <w:pStyle w:val="Normal6a"/>
            </w:pPr>
            <w:r>
              <w:t>G.</w:t>
            </w:r>
            <w:r>
              <w:tab/>
            </w:r>
            <w:r>
              <w:t xml:space="preserve">Considerando que la vinculación del esfuerzo pesquero a la población más vulnerable ha generado de facto «especies de estrangulamiento», </w:t>
            </w:r>
            <w:r>
              <w:rPr>
                <w:b/>
                <w:i/>
              </w:rPr>
              <w:t>y que este enfoque debe cambiarse por una gestión de</w:t>
            </w:r>
            <w:r>
              <w:t xml:space="preserve"> las pesquerías mixtas </w:t>
            </w:r>
            <w:r>
              <w:rPr>
                <w:b/>
                <w:i/>
              </w:rPr>
              <w:t>basada en una evaluación global del estado de las principales poblaciones explotadas, como un índice ponderado, que garantice al mismo tiempo la consecución del rendimiento máximo sostenible para cada una de las poblaciones</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57</w:t>
      </w:r>
      <w:r>
        <w:rPr>
          <w:rStyle w:val="HideTWBExt"/>
        </w:rPr>
        <w:t>&lt;/NumAm&gt;</w:t>
      </w:r>
    </w:p>
    <w:p>
      <w:pPr>
        <w:pStyle w:val="NormalBold"/>
      </w:pPr>
      <w:r>
        <w:rPr>
          <w:rStyle w:val="HideTWBExt"/>
          <w:b w:val="0"/>
        </w:rPr>
        <w:t>&lt;RepeatBlock-By&gt;</w:t>
      </w:r>
      <w:r>
        <w:rPr>
          <w:rStyle w:val="HideTWBExt"/>
          <w:b w:val="0"/>
        </w:rPr>
        <w:t>&lt;Members&gt;</w:t>
      </w:r>
      <w:r>
        <w:t>Carmen Crespo Díaz, Isabelle Le Callennec, Paulo do Nascimento Cabral, Susana Solís Pérez, Francisco José Millán Mon, Fredis Beleris, Marco Falcone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Considerando 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G.</w:t>
            </w:r>
            <w:r>
              <w:tab/>
            </w:r>
            <w:r>
              <w:t xml:space="preserve">Considerando que </w:t>
            </w:r>
            <w:r>
              <w:rPr>
                <w:b/>
                <w:i/>
              </w:rPr>
              <w:t>la vinculación del</w:t>
            </w:r>
            <w:r>
              <w:t xml:space="preserve"> esfuerzo pesquero a la población más vulnerable </w:t>
            </w:r>
            <w:r>
              <w:rPr>
                <w:b/>
                <w:i/>
              </w:rPr>
              <w:t>ha generado</w:t>
            </w:r>
            <w:r>
              <w:t xml:space="preserve"> de facto «especies de estrangulamiento», </w:t>
            </w:r>
            <w:r>
              <w:rPr>
                <w:b/>
                <w:i/>
              </w:rPr>
              <w:t>con efectos desproporcionados sobre</w:t>
            </w:r>
            <w:r>
              <w:t xml:space="preserve"> las pesquerías mixtas y </w:t>
            </w:r>
            <w:r>
              <w:rPr>
                <w:b/>
                <w:i/>
              </w:rPr>
              <w:t>la viabilidad</w:t>
            </w:r>
            <w:r>
              <w:t xml:space="preserve"> económica del sector;</w:t>
            </w:r>
          </w:p>
        </w:tc>
        <w:tc>
          <w:tcPr>
            <w:tcW w:w="4876" w:type="dxa"/>
            <w:tcBorders>
              <w:top w:val="nil"/>
              <w:left w:val="nil"/>
              <w:bottom w:val="nil"/>
              <w:right w:val="nil"/>
            </w:tcBorders>
          </w:tcPr>
          <w:p>
            <w:pPr>
              <w:pStyle w:val="Normal6a"/>
            </w:pPr>
            <w:r>
              <w:t>G.</w:t>
            </w:r>
            <w:r>
              <w:tab/>
            </w:r>
            <w:r>
              <w:t xml:space="preserve">Considerando que </w:t>
            </w:r>
            <w:r>
              <w:rPr>
                <w:b/>
                <w:i/>
              </w:rPr>
              <w:t>el rígido enfoque de gestión del plan plurianual WestMed, que vincula el</w:t>
            </w:r>
            <w:r>
              <w:t xml:space="preserve"> esfuerzo pesquero a </w:t>
            </w:r>
            <w:r>
              <w:rPr>
                <w:b/>
                <w:i/>
              </w:rPr>
              <w:t>la situación de</w:t>
            </w:r>
            <w:r>
              <w:t xml:space="preserve"> la población más vulnerable</w:t>
            </w:r>
            <w:r>
              <w:rPr>
                <w:b/>
                <w:i/>
              </w:rPr>
              <w:t>, ha creado un problema</w:t>
            </w:r>
            <w:r>
              <w:t xml:space="preserve"> de facto </w:t>
            </w:r>
            <w:r>
              <w:rPr>
                <w:b/>
                <w:i/>
              </w:rPr>
              <w:t>de</w:t>
            </w:r>
            <w:r>
              <w:t xml:space="preserve"> «especies de estrangulamiento», </w:t>
            </w:r>
            <w:r>
              <w:rPr>
                <w:b/>
                <w:i/>
              </w:rPr>
              <w:t>restringiendo de manera desproporcionada</w:t>
            </w:r>
            <w:r>
              <w:t xml:space="preserve"> las pesquerías mixtas y </w:t>
            </w:r>
            <w:r>
              <w:rPr>
                <w:b/>
                <w:i/>
              </w:rPr>
              <w:t>socavando la sostenibilidad</w:t>
            </w:r>
            <w:r>
              <w:t xml:space="preserve"> económica del sector </w:t>
            </w:r>
            <w:r>
              <w:rPr>
                <w:b/>
                <w:i/>
              </w:rPr>
              <w:t>sin ofrecer beneficios de conservación proporcionales</w:t>
            </w:r>
            <w:r>
              <w:t>;</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58</w:t>
      </w:r>
      <w:r>
        <w:rPr>
          <w:rStyle w:val="HideTWBExt"/>
        </w:rPr>
        <w:t>&lt;/NumAm&gt;</w:t>
      </w:r>
    </w:p>
    <w:p>
      <w:pPr>
        <w:pStyle w:val="NormalBold"/>
      </w:pPr>
      <w:r>
        <w:rPr>
          <w:rStyle w:val="HideTWBExt"/>
          <w:b w:val="0"/>
        </w:rPr>
        <w:t>&lt;RepeatBlock-By&gt;</w:t>
      </w:r>
      <w:r>
        <w:rPr>
          <w:rStyle w:val="HideTWBExt"/>
          <w:b w:val="0"/>
        </w:rPr>
        <w:t>&lt;Members&gt;</w:t>
      </w:r>
      <w:r>
        <w:t>Emma Wiesner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Considerando 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G.</w:t>
            </w:r>
            <w:r>
              <w:tab/>
            </w:r>
            <w:r>
              <w:t xml:space="preserve">Considerando que la vinculación del esfuerzo pesquero a la población más vulnerable ha generado </w:t>
            </w:r>
            <w:r>
              <w:rPr>
                <w:b/>
                <w:i/>
              </w:rPr>
              <w:t>de facto</w:t>
            </w:r>
            <w:r>
              <w:t xml:space="preserve"> «especies de estrangulamiento», con efectos </w:t>
            </w:r>
            <w:r>
              <w:rPr>
                <w:b/>
                <w:i/>
              </w:rPr>
              <w:t>desproporcionados</w:t>
            </w:r>
            <w:r>
              <w:t xml:space="preserve"> sobre las pesquerías mixtas y </w:t>
            </w:r>
            <w:r>
              <w:rPr>
                <w:b/>
                <w:i/>
              </w:rPr>
              <w:t>la</w:t>
            </w:r>
            <w:r>
              <w:t xml:space="preserve"> viabilidad económica </w:t>
            </w:r>
            <w:r>
              <w:rPr>
                <w:b/>
                <w:i/>
              </w:rPr>
              <w:t>del sector</w:t>
            </w:r>
            <w:r>
              <w:t>;</w:t>
            </w:r>
          </w:p>
        </w:tc>
        <w:tc>
          <w:tcPr>
            <w:tcW w:w="4876" w:type="dxa"/>
            <w:tcBorders>
              <w:top w:val="nil"/>
              <w:left w:val="nil"/>
              <w:bottom w:val="nil"/>
              <w:right w:val="nil"/>
            </w:tcBorders>
          </w:tcPr>
          <w:p>
            <w:pPr>
              <w:pStyle w:val="Normal6a"/>
            </w:pPr>
            <w:r>
              <w:t>G.</w:t>
            </w:r>
            <w:r>
              <w:tab/>
            </w:r>
            <w:r>
              <w:t xml:space="preserve">Considerando que la vinculación del esfuerzo pesquero a la población más vulnerable ha generado </w:t>
            </w:r>
            <w:r>
              <w:rPr>
                <w:b/>
                <w:i/>
              </w:rPr>
              <w:t>efectos como las</w:t>
            </w:r>
            <w:r>
              <w:t xml:space="preserve"> «especies de estrangulamiento», con efectos sobre las pesquerías mixtas y </w:t>
            </w:r>
            <w:r>
              <w:rPr>
                <w:b/>
                <w:i/>
              </w:rPr>
              <w:t>su</w:t>
            </w:r>
            <w:r>
              <w:t xml:space="preserve"> viabilidad económica;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59</w:t>
      </w:r>
      <w:r>
        <w:rPr>
          <w:rStyle w:val="HideTWBExt"/>
        </w:rPr>
        <w:t>&lt;/NumAm&gt;</w:t>
      </w:r>
    </w:p>
    <w:p>
      <w:pPr>
        <w:pStyle w:val="NormalBold"/>
      </w:pPr>
      <w:r>
        <w:rPr>
          <w:rStyle w:val="HideTWBExt"/>
          <w:b w:val="0"/>
        </w:rPr>
        <w:t>&lt;RepeatBlock-By&gt;</w:t>
      </w:r>
      <w:r>
        <w:rPr>
          <w:rStyle w:val="HideTWBExt"/>
          <w:b w:val="0"/>
        </w:rPr>
        <w:t>&lt;Members&gt;</w:t>
      </w:r>
      <w:r>
        <w:t>Nicolás González Casares, Leire Pajín, Alicia Homs Ginel, Sandra Gómez López, Javi López, Laura Ballarín Cereza, Marcos Ros Sempere, Idoia Mendia, Lina Gálvez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Considerando 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G.</w:t>
            </w:r>
            <w:r>
              <w:tab/>
            </w:r>
            <w:r>
              <w:t>Considerando que la vinculación del esfuerzo pesquero a la población más vulnerable ha generado de facto «especies de estrangulamiento», con efectos desproporcionados sobre las pesquerías mixtas y la viabilidad económica del sector;</w:t>
            </w:r>
          </w:p>
        </w:tc>
        <w:tc>
          <w:tcPr>
            <w:tcW w:w="4876" w:type="dxa"/>
            <w:tcBorders>
              <w:top w:val="nil"/>
              <w:left w:val="nil"/>
              <w:bottom w:val="nil"/>
              <w:right w:val="nil"/>
            </w:tcBorders>
          </w:tcPr>
          <w:p>
            <w:pPr>
              <w:pStyle w:val="Normal6a"/>
            </w:pPr>
            <w:r>
              <w:t>G.</w:t>
            </w:r>
            <w:r>
              <w:tab/>
            </w:r>
            <w:r>
              <w:t xml:space="preserve">Considerando que la vinculación del esfuerzo pesquero a la población más vulnerable ha generado de facto «especies de estrangulamiento», con efectos desproporcionados sobre las pesquerías mixtas y la viabilidad económica del sector </w:t>
            </w:r>
            <w:r>
              <w:rPr>
                <w:b/>
                <w:i/>
              </w:rPr>
              <w:t>y de las comunidades dependientes del mismo</w:t>
            </w:r>
            <w:r>
              <w:t>;</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60</w:t>
      </w:r>
      <w:r>
        <w:rPr>
          <w:rStyle w:val="HideTWBExt"/>
        </w:rPr>
        <w:t>&lt;/NumAm&gt;</w:t>
      </w:r>
    </w:p>
    <w:p>
      <w:pPr>
        <w:pStyle w:val="NormalBold"/>
      </w:pPr>
      <w:r>
        <w:rPr>
          <w:rStyle w:val="HideTWBExt"/>
          <w:b w:val="0"/>
        </w:rPr>
        <w:t>&lt;RepeatBlock-By&gt;</w:t>
      </w:r>
      <w:r>
        <w:rPr>
          <w:rStyle w:val="HideTWBExt"/>
          <w:b w:val="0"/>
        </w:rPr>
        <w:t>&lt;Members&gt;</w:t>
      </w:r>
      <w:r>
        <w:t>Carmen Crespo Díaz, Isabelle Le Callennec, Paulo do Nascimento Cabral, Susana Solís Pérez, Francisco José Millán Mon, Fredis Beleris, Marco Falcone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Considerando G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G bis.</w:t>
            </w:r>
            <w:r>
              <w:tab/>
            </w:r>
            <w:r>
              <w:rPr>
                <w:b/>
                <w:i/>
              </w:rPr>
              <w:t>Considerando que la evolución de los ecosistemas marinos depende de múltiples factores, entre ellos el cambio climático, el aumento de las temporaturas, la contaminación, la degradación de hábitats, las especies invasoras y la depredación natural, por lo que las políticas de conservación deben abordar todas estas presiones de manera integrada;</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61</w:t>
      </w:r>
      <w:r>
        <w:rPr>
          <w:rStyle w:val="HideTWBExt"/>
        </w:rPr>
        <w:t>&lt;/NumAm&gt;</w:t>
      </w:r>
    </w:p>
    <w:p>
      <w:pPr>
        <w:pStyle w:val="NormalBold"/>
      </w:pPr>
      <w:r>
        <w:rPr>
          <w:rStyle w:val="HideTWBExt"/>
          <w:b w:val="0"/>
        </w:rPr>
        <w:t>&lt;RepeatBlock-By&gt;</w:t>
      </w:r>
      <w:r>
        <w:rPr>
          <w:rStyle w:val="HideTWBExt"/>
          <w:b w:val="0"/>
        </w:rPr>
        <w:t>&lt;Members&gt;</w:t>
      </w:r>
      <w:r>
        <w:t>Isabelle Le Callennec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Considerando H</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H.</w:t>
            </w:r>
            <w:r>
              <w:tab/>
            </w:r>
            <w:r>
              <w:t>Considerando que, tras cinco años de aplicación, el plan plurianual del Mediterráneo occidental ha arrojado resultados desiguales, con signos positivos de recuperación en determinadas poblaciones —como la gamba blanca de altura—, mientras que otras, en particular la merluza como población más vulnerable, presentan una recuperación más lenta;</w:t>
            </w:r>
          </w:p>
        </w:tc>
        <w:tc>
          <w:tcPr>
            <w:tcW w:w="4876" w:type="dxa"/>
            <w:tcBorders>
              <w:top w:val="nil"/>
              <w:left w:val="nil"/>
              <w:bottom w:val="nil"/>
              <w:right w:val="nil"/>
            </w:tcBorders>
          </w:tcPr>
          <w:p>
            <w:pPr>
              <w:pStyle w:val="Normal6a"/>
            </w:pPr>
            <w:r>
              <w:t>H.</w:t>
            </w:r>
            <w:r>
              <w:tab/>
            </w:r>
            <w:r>
              <w:t>Considerando que, tras cinco años de aplicación, el plan plurianual del Mediterráneo occidental ha arrojado resultados desiguales, con signos positivos de recuperación en determinadas poblaciones —como la gamba blanca de altura—, mientras que otras, en particular la merluza como población más vulnerable, presentan una recuperación más lenta</w:t>
            </w:r>
            <w:r>
              <w:rPr>
                <w:b/>
                <w:i/>
              </w:rPr>
              <w:t>, y que varias medidas de gestión aplicadas recientemente aún no han surtido todos sus efectos biológicos y socioeconómicos, por lo que debe realizarse una evaluación completa de su eficacia antes de considerar una nueva reducción de las posibilidades de pesca</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62</w:t>
      </w:r>
      <w:r>
        <w:rPr>
          <w:rStyle w:val="HideTWBExt"/>
        </w:rPr>
        <w:t>&lt;/NumAm&gt;</w:t>
      </w:r>
    </w:p>
    <w:p>
      <w:pPr>
        <w:pStyle w:val="NormalBold"/>
      </w:pPr>
      <w:r>
        <w:rPr>
          <w:rStyle w:val="HideTWBExt"/>
          <w:b w:val="0"/>
        </w:rPr>
        <w:t>&lt;RepeatBlock-By&gt;</w:t>
      </w:r>
      <w:r>
        <w:rPr>
          <w:rStyle w:val="HideTWBExt"/>
          <w:b w:val="0"/>
        </w:rPr>
        <w:t>&lt;Members&gt;</w:t>
      </w:r>
      <w:r>
        <w:t>Nora Junco García, Kristoffer Storm, Piotr Müller, Stephen Nikola Bartulica, Sander Smit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Considerando H</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H.</w:t>
            </w:r>
            <w:r>
              <w:tab/>
            </w:r>
            <w:r>
              <w:t>Considerando que, tras cinco años de aplicación, el plan plurianual del Mediterráneo occidental ha arrojado resultados desiguales, con signos positivos de recuperación en determinadas poblaciones —como la gamba blanca de altura</w:t>
            </w:r>
            <w:r>
              <w:rPr>
                <w:b/>
                <w:i/>
              </w:rPr>
              <w:t>—, mientras que otras, en particular</w:t>
            </w:r>
            <w:r>
              <w:t xml:space="preserve"> la merluza </w:t>
            </w:r>
            <w:r>
              <w:rPr>
                <w:b/>
                <w:i/>
              </w:rPr>
              <w:t>como población más vulnerable, presentan una recuperación más lenta</w:t>
            </w:r>
            <w:r>
              <w:t>;</w:t>
            </w:r>
          </w:p>
        </w:tc>
        <w:tc>
          <w:tcPr>
            <w:tcW w:w="4876" w:type="dxa"/>
            <w:tcBorders>
              <w:top w:val="nil"/>
              <w:left w:val="nil"/>
              <w:bottom w:val="nil"/>
              <w:right w:val="nil"/>
            </w:tcBorders>
          </w:tcPr>
          <w:p>
            <w:pPr>
              <w:pStyle w:val="Normal6a"/>
            </w:pPr>
            <w:r>
              <w:t>H.</w:t>
            </w:r>
            <w:r>
              <w:tab/>
            </w:r>
            <w:r>
              <w:t>Considerando que, tras cinco años de aplicación, el plan plurianual del Mediterráneo occidental ha arrojado resultados desiguales, con signos positivos de recuperación en determinadas poblaciones —como la gamba blanca de altura</w:t>
            </w:r>
            <w:r>
              <w:rPr>
                <w:b/>
                <w:i/>
              </w:rPr>
              <w:t>, el salmonete y la gamba roja— ;</w:t>
            </w:r>
            <w:r>
              <w:t xml:space="preserve"> </w:t>
            </w:r>
            <w:r>
              <w:rPr>
                <w:b/>
                <w:i/>
              </w:rPr>
              <w:t>que informes científicos recientes constatan igualmente un progreso positivo en</w:t>
            </w:r>
            <w:r>
              <w:t xml:space="preserve"> la </w:t>
            </w:r>
            <w:r>
              <w:rPr>
                <w:b/>
                <w:i/>
              </w:rPr>
              <w:t>propia</w:t>
            </w:r>
            <w:r>
              <w:t xml:space="preserve"> merluza</w:t>
            </w:r>
            <w:r>
              <w:rPr>
                <w:b/>
                <w:i/>
              </w:rPr>
              <w:t>, lo que cuestiona la pertinencia de seguir supeditando la totalidad del esfuerzo pesquero de la pesquería mixta a los indicadores de una sola especie, y refuerza la necesidad de revisar sin demora la metodología de asignación de días de pesca</w:t>
            </w:r>
            <w:r>
              <w:t>;</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63</w:t>
      </w:r>
      <w:r>
        <w:rPr>
          <w:rStyle w:val="HideTWBExt"/>
        </w:rPr>
        <w:t>&lt;/NumAm&gt;</w:t>
      </w:r>
    </w:p>
    <w:p>
      <w:pPr>
        <w:pStyle w:val="NormalBold"/>
      </w:pPr>
      <w:r>
        <w:rPr>
          <w:rStyle w:val="HideTWBExt"/>
          <w:b w:val="0"/>
        </w:rPr>
        <w:t>&lt;RepeatBlock-By&gt;</w:t>
      </w:r>
      <w:r>
        <w:rPr>
          <w:rStyle w:val="HideTWBExt"/>
          <w:b w:val="0"/>
        </w:rPr>
        <w:t>&lt;Members&gt;</w:t>
      </w:r>
      <w:r>
        <w:t>Carmen Crespo Díaz, Isabelle Le Callennec, Paulo do Nascimento Cabral, Susana Solís Pérez, Francisco José Millán Mon, Fredis Beleris, Marco Falcone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Considerando H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 bis.</w:t>
            </w:r>
            <w:r>
              <w:tab/>
            </w:r>
            <w:r>
              <w:rPr>
                <w:b/>
                <w:i/>
              </w:rPr>
              <w:t>Considerando que estos avances se han logrado a un elevado coste económico y social para la flota mediterránea y las comunidades costeras;</w:t>
            </w:r>
            <w:r>
              <w:t xml:space="preserve"> </w:t>
            </w:r>
            <w:r>
              <w:rPr>
                <w:b/>
                <w:i/>
              </w:rPr>
              <w:t>considerando que futuras decisiones de gestión deben consolidar dichos avances evitando nuevas reducciones desproporcionadas del esfuerzo pesquero;</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64</w:t>
      </w:r>
      <w:r>
        <w:rPr>
          <w:rStyle w:val="HideTWBExt"/>
        </w:rPr>
        <w:t>&lt;/NumAm&gt;</w:t>
      </w:r>
    </w:p>
    <w:p>
      <w:pPr>
        <w:pStyle w:val="NormalBold"/>
      </w:pPr>
      <w:r>
        <w:rPr>
          <w:rStyle w:val="HideTWBExt"/>
          <w:b w:val="0"/>
        </w:rPr>
        <w:t>&lt;RepeatBlock-By&gt;</w:t>
      </w:r>
      <w:r>
        <w:rPr>
          <w:rStyle w:val="HideTWBExt"/>
          <w:b w:val="0"/>
        </w:rPr>
        <w:t>&lt;Members&gt;</w:t>
      </w:r>
      <w:r>
        <w:t>Nicolás González Casares, Leire Pajín, Alicia Homs Ginel, Sandra Gómez López, Javi López, Laura Ballarín Cereza, Marcos Ros Sempere, Idoia Mendia, Lina Gálvez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Considerando H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 bis.</w:t>
            </w:r>
            <w:r>
              <w:tab/>
            </w:r>
            <w:r>
              <w:rPr>
                <w:b/>
                <w:i/>
              </w:rPr>
              <w:t>Considerando que los últimos estudios</w:t>
            </w:r>
            <w:r>
              <w:rPr>
                <w:b/>
                <w:i/>
                <w:vertAlign w:val="superscript"/>
              </w:rPr>
              <w:t>1 a</w:t>
            </w:r>
            <w:r>
              <w:rPr>
                <w:b/>
                <w:i/>
              </w:rPr>
              <w:t xml:space="preserve"> muestran resultados positivos en la tendencia de la biomasa en el Mediterráneo Occidental y una reducción de la sobrepesca;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 a</w:t>
            </w:r>
            <w:r>
              <w:t xml:space="preserve"> </w:t>
            </w:r>
            <w:r>
              <w:rPr>
                <w:b/>
                <w:i/>
              </w:rPr>
              <w:t>European Commission, Joint Research Centre, Scientific, Technical and Economic Committee for Fisheries (STECF) Monitoring the Performance of the Common Fisheries Policy (STECF-Adhoc-25-01), 2025.</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65</w:t>
      </w:r>
      <w:r>
        <w:rPr>
          <w:rStyle w:val="HideTWBExt"/>
        </w:rPr>
        <w:t>&lt;/NumAm&gt;</w:t>
      </w:r>
    </w:p>
    <w:p>
      <w:pPr>
        <w:pStyle w:val="NormalBold"/>
      </w:pPr>
      <w:r>
        <w:rPr>
          <w:rStyle w:val="HideTWBExt"/>
          <w:b w:val="0"/>
        </w:rPr>
        <w:t>&lt;RepeatBlock-By&gt;</w:t>
      </w:r>
      <w:r>
        <w:rPr>
          <w:rStyle w:val="HideTWBExt"/>
          <w:b w:val="0"/>
        </w:rPr>
        <w:t>&lt;Members&gt;</w:t>
      </w:r>
      <w:r>
        <w:t>Nicolás González Casares, Leire Pajín, Alicia Homs Ginel, Sandra Gómez López, Javi López, Laura Ballarín Cereza, Marcos Ros Sempere, Idoia Mendia, Lina Gálvez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Considerando H ter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 ter.</w:t>
            </w:r>
            <w:r>
              <w:tab/>
            </w:r>
            <w:r>
              <w:rPr>
                <w:b/>
                <w:i/>
              </w:rPr>
              <w:t xml:space="preserve">Considerando que, de acuerdo con los últimos informes de la FAO </w:t>
            </w:r>
            <w:r>
              <w:rPr>
                <w:b/>
                <w:i/>
                <w:vertAlign w:val="superscript"/>
              </w:rPr>
              <w:t>1 a</w:t>
            </w:r>
            <w:r>
              <w:rPr>
                <w:b/>
                <w:i/>
              </w:rPr>
              <w:t>, el porcentaje de poblaciones sobreexplotadas en el Mediterráneo ha descendido al nivel más bajo registrado en la serie temporal;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 a</w:t>
            </w:r>
            <w:r>
              <w:t xml:space="preserve"> </w:t>
            </w:r>
            <w:r>
              <w:rPr>
                <w:b/>
                <w:i/>
              </w:rPr>
              <w:t>FAO.</w:t>
            </w:r>
            <w:r>
              <w:t xml:space="preserve"> </w:t>
            </w:r>
            <w:r>
              <w:rPr>
                <w:b/>
                <w:i/>
              </w:rPr>
              <w:t>2025.</w:t>
            </w:r>
            <w:r>
              <w:t xml:space="preserve"> </w:t>
            </w:r>
            <w:r>
              <w:rPr>
                <w:b/>
                <w:i/>
              </w:rPr>
              <w:t>The State of Mediterranean and Black Sea Fisheries 2025.</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66</w:t>
      </w:r>
      <w:r>
        <w:rPr>
          <w:rStyle w:val="HideTWBExt"/>
        </w:rPr>
        <w:t>&lt;/NumAm&gt;</w:t>
      </w:r>
    </w:p>
    <w:p>
      <w:pPr>
        <w:pStyle w:val="NormalBold"/>
      </w:pPr>
      <w:r>
        <w:rPr>
          <w:rStyle w:val="HideTWBExt"/>
          <w:b w:val="0"/>
        </w:rPr>
        <w:t>&lt;RepeatBlock-By&gt;</w:t>
      </w:r>
      <w:r>
        <w:rPr>
          <w:rStyle w:val="HideTWBExt"/>
          <w:b w:val="0"/>
        </w:rPr>
        <w:t>&lt;Members&gt;</w:t>
      </w:r>
      <w:r>
        <w:t>Mélissa Camara</w:t>
      </w:r>
      <w:r>
        <w:rPr>
          <w:rStyle w:val="HideTWBExt"/>
          <w:b w:val="0"/>
        </w:rPr>
        <w:t>&lt;/Members&gt;</w:t>
      </w:r>
    </w:p>
    <w:p>
      <w:r>
        <w:rPr>
          <w:rStyle w:val="HideTWBExt"/>
          <w:b w:val="0"/>
        </w:rPr>
        <w:t>&lt;AuNomDe&gt;</w:t>
      </w:r>
      <w:r>
        <w:rPr>
          <w:rStyle w:val="HideTWBInt"/>
        </w:rPr>
        <w:t>{Verts/ALE}</w:t>
      </w:r>
      <w:r>
        <w:t>en nombre del Grupo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Considerando 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I.</w:t>
            </w:r>
            <w:r>
              <w:tab/>
            </w:r>
            <w:r>
              <w:rPr>
                <w:b/>
                <w:i/>
              </w:rPr>
              <w:t>Considerando que el plan plurianual del Mediterráneo occidental carece de los mecanismos de flexibilidad y estabilización interanuales que se encuentran en otros planes plurianuales de la Unión, lo que genera inseguridad jurídica e imprevisibilidad económica;</w:t>
            </w:r>
          </w:p>
        </w:tc>
        <w:tc>
          <w:tcPr>
            <w:tcW w:w="4876" w:type="dxa"/>
            <w:tcBorders>
              <w:top w:val="nil"/>
              <w:left w:val="nil"/>
              <w:bottom w:val="nil"/>
              <w:right w:val="nil"/>
            </w:tcBorders>
          </w:tcPr>
          <w:p>
            <w:pPr>
              <w:pStyle w:val="Normal6a"/>
            </w:pPr>
            <w:r>
              <w:rPr>
                <w:b/>
                <w:i/>
              </w:rPr>
              <w:t>suprimido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67</w:t>
      </w:r>
      <w:r>
        <w:rPr>
          <w:rStyle w:val="HideTWBExt"/>
        </w:rPr>
        <w:t>&lt;/NumAm&gt;</w:t>
      </w:r>
    </w:p>
    <w:p>
      <w:pPr>
        <w:pStyle w:val="NormalBold"/>
      </w:pPr>
      <w:r>
        <w:rPr>
          <w:rStyle w:val="HideTWBExt"/>
          <w:b w:val="0"/>
        </w:rPr>
        <w:t>&lt;RepeatBlock-By&gt;</w:t>
      </w:r>
      <w:r>
        <w:rPr>
          <w:rStyle w:val="HideTWBExt"/>
          <w:b w:val="0"/>
        </w:rPr>
        <w:t>&lt;Members&gt;</w:t>
      </w:r>
      <w:r>
        <w:t>Sebastian Everding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Considerando 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I.</w:t>
            </w:r>
            <w:r>
              <w:tab/>
            </w:r>
            <w:r>
              <w:rPr>
                <w:b/>
                <w:i/>
              </w:rPr>
              <w:t>Considerando que el plan plurianual del Mediterráneo occidental carece de los mecanismos de flexibilidad y estabilización interanuales que se encuentran en otros planes plurianuales de la Unión, lo que genera inseguridad jurídica e imprevisibilidad económica;</w:t>
            </w:r>
          </w:p>
        </w:tc>
        <w:tc>
          <w:tcPr>
            <w:tcW w:w="4876" w:type="dxa"/>
            <w:tcBorders>
              <w:top w:val="nil"/>
              <w:left w:val="nil"/>
              <w:bottom w:val="nil"/>
              <w:right w:val="nil"/>
            </w:tcBorders>
          </w:tcPr>
          <w:p>
            <w:pPr>
              <w:pStyle w:val="Normal6a"/>
            </w:pPr>
            <w:r>
              <w:rPr>
                <w:b/>
                <w:i/>
              </w:rPr>
              <w:t>suprimido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68</w:t>
      </w:r>
      <w:r>
        <w:rPr>
          <w:rStyle w:val="HideTWBExt"/>
        </w:rPr>
        <w:t>&lt;/NumAm&gt;</w:t>
      </w:r>
    </w:p>
    <w:p>
      <w:pPr>
        <w:pStyle w:val="NormalBold"/>
      </w:pPr>
      <w:r>
        <w:rPr>
          <w:rStyle w:val="HideTWBExt"/>
          <w:b w:val="0"/>
        </w:rPr>
        <w:t>&lt;RepeatBlock-By&gt;</w:t>
      </w:r>
      <w:r>
        <w:rPr>
          <w:rStyle w:val="HideTWBExt"/>
          <w:b w:val="0"/>
        </w:rPr>
        <w:t>&lt;Members&gt;</w:t>
      </w:r>
      <w:r>
        <w:t>Emma Wiesner,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Considerando 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I.</w:t>
            </w:r>
            <w:r>
              <w:tab/>
            </w:r>
            <w:r>
              <w:t xml:space="preserve">Considerando que el plan plurianual del Mediterráneo occidental carece de los mecanismos de flexibilidad y estabilización interanuales </w:t>
            </w:r>
            <w:r>
              <w:rPr>
                <w:b/>
                <w:i/>
              </w:rPr>
              <w:t>que se encuentran en otros planes plurianuales de la Unión, lo que genera inseguridad jurídica e imprevisibilidad económica</w:t>
            </w:r>
            <w:r>
              <w:t>;</w:t>
            </w:r>
          </w:p>
        </w:tc>
        <w:tc>
          <w:tcPr>
            <w:tcW w:w="4876" w:type="dxa"/>
            <w:tcBorders>
              <w:top w:val="nil"/>
              <w:left w:val="nil"/>
              <w:bottom w:val="nil"/>
              <w:right w:val="nil"/>
            </w:tcBorders>
          </w:tcPr>
          <w:p>
            <w:pPr>
              <w:pStyle w:val="Normal6a"/>
            </w:pPr>
            <w:r>
              <w:t>I.</w:t>
            </w:r>
            <w:r>
              <w:tab/>
            </w:r>
            <w:r>
              <w:t xml:space="preserve">Considerando que el plan plurianual del Mediterráneo occidental carece de los mecanismos de flexibilidad y estabilización interanuales </w:t>
            </w:r>
            <w:r>
              <w:rPr>
                <w:b/>
                <w:i/>
              </w:rPr>
              <w:t>para una mayor previsibilidad a largo plazo</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69</w:t>
      </w:r>
      <w:r>
        <w:rPr>
          <w:rStyle w:val="HideTWBExt"/>
        </w:rPr>
        <w:t>&lt;/NumAm&gt;</w:t>
      </w:r>
    </w:p>
    <w:p>
      <w:pPr>
        <w:pStyle w:val="NormalBold"/>
      </w:pPr>
      <w:r>
        <w:rPr>
          <w:rStyle w:val="HideTWBExt"/>
          <w:b w:val="0"/>
        </w:rPr>
        <w:t>&lt;RepeatBlock-By&gt;</w:t>
      </w:r>
      <w:r>
        <w:rPr>
          <w:rStyle w:val="HideTWBExt"/>
          <w:b w:val="0"/>
        </w:rPr>
        <w:t>&lt;Members&gt;</w:t>
      </w:r>
      <w:r>
        <w:t>Nicolás González Casares, Leire Pajín, Alicia Homs Ginel, Sandra Gómez López, Javi López, Laura Ballarín Cereza, Marcos Ros Sempere, Idoia Mendia, Lina Gálvez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Considerando 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I.</w:t>
            </w:r>
            <w:r>
              <w:tab/>
            </w:r>
            <w:r>
              <w:t>Considerando que el plan plurianual del Mediterráneo occidental carece de los mecanismos de flexibilidad y estabilización interanuales que se encuentran en otros planes plurianuales de la Unión, lo que genera inseguridad jurídica e imprevisibilidad económica;</w:t>
            </w:r>
          </w:p>
        </w:tc>
        <w:tc>
          <w:tcPr>
            <w:tcW w:w="4876" w:type="dxa"/>
            <w:tcBorders>
              <w:top w:val="nil"/>
              <w:left w:val="nil"/>
              <w:bottom w:val="nil"/>
              <w:right w:val="nil"/>
            </w:tcBorders>
          </w:tcPr>
          <w:p>
            <w:pPr>
              <w:pStyle w:val="Normal6a"/>
            </w:pPr>
            <w:r>
              <w:t>I.</w:t>
            </w:r>
            <w:r>
              <w:tab/>
            </w:r>
            <w:r>
              <w:t xml:space="preserve">Considerando que el plan plurianual del Mediterráneo occidental carece de los mecanismos de flexibilidad y estabilización interanuales que se encuentran en otros planes plurianuales de la Unión, lo que genera </w:t>
            </w:r>
            <w:r>
              <w:rPr>
                <w:b/>
                <w:i/>
              </w:rPr>
              <w:t>desigualdad de trato,</w:t>
            </w:r>
            <w:r>
              <w:t xml:space="preserve"> inseguridad jurídica e imprevisibilidad económica;</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70</w:t>
      </w:r>
      <w:r>
        <w:rPr>
          <w:rStyle w:val="HideTWBExt"/>
        </w:rPr>
        <w:t>&lt;/NumAm&gt;</w:t>
      </w:r>
    </w:p>
    <w:p>
      <w:pPr>
        <w:pStyle w:val="NormalBold"/>
      </w:pPr>
      <w:r>
        <w:rPr>
          <w:rStyle w:val="HideTWBExt"/>
          <w:b w:val="0"/>
        </w:rPr>
        <w:t>&lt;RepeatBlock-By&gt;</w:t>
      </w:r>
      <w:r>
        <w:rPr>
          <w:rStyle w:val="HideTWBExt"/>
          <w:b w:val="0"/>
        </w:rPr>
        <w:t>&lt;Members&gt;</w:t>
      </w:r>
      <w:r>
        <w:t>Sebastian Everding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Considerando I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 bis.</w:t>
            </w:r>
            <w:r>
              <w:tab/>
            </w:r>
            <w:r>
              <w:rPr>
                <w:b/>
                <w:i/>
              </w:rPr>
              <w:t>Considerando que, según el CCTEP, sigue habiendo un elevado nivel de sobrepesca de gamba de altura y que el estado de estas poblaciones no ha cambiado lo suficiente para alcanzar el objetivo de rendimiento máximo sostenible;</w:t>
            </w:r>
            <w:r>
              <w:t xml:space="preserve"> </w:t>
            </w:r>
            <w:r>
              <w:rPr>
                <w:b/>
                <w:i/>
              </w:rPr>
              <w:t>que, por consiguiente, el CCTEP recomienda combinar la reducción continua del esfuerzo de arrastre con límites de capturas como medidas complementarias pertinentes para las poblaciones de gamba de altura;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71</w:t>
      </w:r>
      <w:r>
        <w:rPr>
          <w:rStyle w:val="HideTWBExt"/>
        </w:rPr>
        <w:t>&lt;/NumAm&gt;</w:t>
      </w:r>
    </w:p>
    <w:p>
      <w:pPr>
        <w:pStyle w:val="NormalBold"/>
      </w:pPr>
      <w:r>
        <w:rPr>
          <w:rStyle w:val="HideTWBExt"/>
          <w:b w:val="0"/>
        </w:rPr>
        <w:t>&lt;RepeatBlock-By&gt;</w:t>
      </w:r>
      <w:r>
        <w:rPr>
          <w:rStyle w:val="HideTWBExt"/>
          <w:b w:val="0"/>
        </w:rPr>
        <w:t>&lt;Members&gt;</w:t>
      </w:r>
      <w:r>
        <w:t>Mélissa Camara</w:t>
      </w:r>
      <w:r>
        <w:rPr>
          <w:rStyle w:val="HideTWBExt"/>
          <w:b w:val="0"/>
        </w:rPr>
        <w:t>&lt;/Members&gt;</w:t>
      </w:r>
    </w:p>
    <w:p>
      <w:r>
        <w:rPr>
          <w:rStyle w:val="HideTWBExt"/>
          <w:b w:val="0"/>
        </w:rPr>
        <w:t>&lt;AuNomDe&gt;</w:t>
      </w:r>
      <w:r>
        <w:rPr>
          <w:rStyle w:val="HideTWBInt"/>
        </w:rPr>
        <w:t>{Verts/ALE}</w:t>
      </w:r>
      <w:r>
        <w:t>en nombre del Grupo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Considerando I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 bis.</w:t>
            </w:r>
            <w:r>
              <w:tab/>
            </w:r>
            <w:r>
              <w:rPr>
                <w:b/>
                <w:i/>
              </w:rPr>
              <w:t>Considerando que los operadores se benefician de una mayor previsibilidad para sus inversiones y su actividad;</w:t>
            </w:r>
            <w:r>
              <w:t xml:space="preserve"> </w:t>
            </w:r>
            <w:r>
              <w:rPr>
                <w:b/>
                <w:i/>
              </w:rPr>
              <w:t>que dicha previsibilidad debe mejorarse mediante una planificación oportuna, una comunicación clara y un mejor uso de las herramientas disponibles en el marco del plan plurianual para el Mediterráneo occidental, garantizando al mismo tiempo que la gestión anual se mantenga en consonancia con los mejores dictámenes científicos disponibles;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72</w:t>
      </w:r>
      <w:r>
        <w:rPr>
          <w:rStyle w:val="HideTWBExt"/>
        </w:rPr>
        <w:t>&lt;/NumAm&gt;</w:t>
      </w:r>
    </w:p>
    <w:p>
      <w:pPr>
        <w:pStyle w:val="NormalBold"/>
      </w:pPr>
      <w:r>
        <w:rPr>
          <w:rStyle w:val="HideTWBExt"/>
          <w:b w:val="0"/>
        </w:rPr>
        <w:t>&lt;RepeatBlock-By&gt;</w:t>
      </w:r>
      <w:r>
        <w:rPr>
          <w:rStyle w:val="HideTWBExt"/>
          <w:b w:val="0"/>
        </w:rPr>
        <w:t>&lt;Members&gt;</w:t>
      </w:r>
      <w:r>
        <w:t>Isabelle Le Callennec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Considerando 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J.</w:t>
            </w:r>
            <w:r>
              <w:tab/>
            </w:r>
            <w:r>
              <w:t>Considerando que la naturaleza pesquera mixta del Mediterráneo, en la que se capturan múltiples especies simultáneamente, requiere medidas de gestión adaptativas que tengan en cuenta la selectividad de la flota, la innovación de artes y la resiliencia socioeconómica;</w:t>
            </w:r>
          </w:p>
        </w:tc>
        <w:tc>
          <w:tcPr>
            <w:tcW w:w="4876" w:type="dxa"/>
            <w:tcBorders>
              <w:top w:val="nil"/>
              <w:left w:val="nil"/>
              <w:bottom w:val="nil"/>
              <w:right w:val="nil"/>
            </w:tcBorders>
          </w:tcPr>
          <w:p>
            <w:pPr>
              <w:pStyle w:val="Normal6a"/>
            </w:pPr>
            <w:r>
              <w:t>J.</w:t>
            </w:r>
            <w:r>
              <w:tab/>
            </w:r>
            <w:r>
              <w:t xml:space="preserve">Considerando que la naturaleza pesquera mixta del Mediterráneo, en la que se capturan múltiples especies simultáneamente, requiere medidas de gestión adaptativas que tengan en cuenta la selectividad de la flota, la innovación de artes y la resiliencia socioeconómica </w:t>
            </w:r>
            <w:r>
              <w:rPr>
                <w:b/>
                <w:i/>
              </w:rPr>
              <w:t>y que permitan adaptar las normas de gestión a las características específicas de los distintos segmentos de la flota cuando haya determinadas segmentaciones administrativas que ya no se correspondan con las realidades operativas de las pesquerías mediterráneas</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73</w:t>
      </w:r>
      <w:r>
        <w:rPr>
          <w:rStyle w:val="HideTWBExt"/>
        </w:rPr>
        <w:t>&lt;/NumAm&gt;</w:t>
      </w:r>
    </w:p>
    <w:p>
      <w:pPr>
        <w:pStyle w:val="NormalBold"/>
      </w:pPr>
      <w:r>
        <w:rPr>
          <w:rStyle w:val="HideTWBExt"/>
          <w:b w:val="0"/>
        </w:rPr>
        <w:t>&lt;RepeatBlock-By&gt;</w:t>
      </w:r>
      <w:r>
        <w:rPr>
          <w:rStyle w:val="HideTWBExt"/>
          <w:b w:val="0"/>
        </w:rPr>
        <w:t>&lt;Members&gt;</w:t>
      </w:r>
      <w:r>
        <w:t>Mélissa Camara</w:t>
      </w:r>
      <w:r>
        <w:rPr>
          <w:rStyle w:val="HideTWBExt"/>
          <w:b w:val="0"/>
        </w:rPr>
        <w:t>&lt;/Members&gt;</w:t>
      </w:r>
    </w:p>
    <w:p>
      <w:r>
        <w:rPr>
          <w:rStyle w:val="HideTWBExt"/>
          <w:b w:val="0"/>
        </w:rPr>
        <w:t>&lt;AuNomDe&gt;</w:t>
      </w:r>
      <w:r>
        <w:rPr>
          <w:rStyle w:val="HideTWBInt"/>
        </w:rPr>
        <w:t>{Verts/ALE}</w:t>
      </w:r>
      <w:r>
        <w:t>en nombre del Grupo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Considerando 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J.</w:t>
            </w:r>
            <w:r>
              <w:tab/>
            </w:r>
            <w:r>
              <w:t xml:space="preserve">Considerando que la naturaleza </w:t>
            </w:r>
            <w:r>
              <w:rPr>
                <w:b/>
                <w:i/>
              </w:rPr>
              <w:t>pesquera</w:t>
            </w:r>
            <w:r>
              <w:t xml:space="preserve"> mixta del Mediterráneo, en </w:t>
            </w:r>
            <w:r>
              <w:rPr>
                <w:b/>
                <w:i/>
              </w:rPr>
              <w:t>la que</w:t>
            </w:r>
            <w:r>
              <w:t xml:space="preserve"> se capturan múltiples especies simultáneamente, requiere medidas de gestión </w:t>
            </w:r>
            <w:r>
              <w:rPr>
                <w:b/>
                <w:i/>
              </w:rPr>
              <w:t>adaptativas</w:t>
            </w:r>
            <w:r>
              <w:t xml:space="preserve"> que tengan en cuenta la selectividad de la flota, la innovación </w:t>
            </w:r>
            <w:r>
              <w:rPr>
                <w:b/>
                <w:i/>
              </w:rPr>
              <w:t>de</w:t>
            </w:r>
            <w:r>
              <w:t xml:space="preserve"> artes y la resiliencia </w:t>
            </w:r>
            <w:r>
              <w:rPr>
                <w:b/>
                <w:i/>
              </w:rPr>
              <w:t>socioeconómica</w:t>
            </w:r>
            <w:r>
              <w:t>;</w:t>
            </w:r>
          </w:p>
        </w:tc>
        <w:tc>
          <w:tcPr>
            <w:tcW w:w="4876" w:type="dxa"/>
            <w:tcBorders>
              <w:top w:val="nil"/>
              <w:left w:val="nil"/>
              <w:bottom w:val="nil"/>
              <w:right w:val="nil"/>
            </w:tcBorders>
          </w:tcPr>
          <w:p>
            <w:pPr>
              <w:pStyle w:val="Normal6a"/>
            </w:pPr>
            <w:r>
              <w:t>J.</w:t>
            </w:r>
            <w:r>
              <w:tab/>
            </w:r>
            <w:r>
              <w:t xml:space="preserve">Considerando que la naturaleza mixta </w:t>
            </w:r>
            <w:r>
              <w:rPr>
                <w:b/>
                <w:i/>
              </w:rPr>
              <w:t>de las pesquerías</w:t>
            </w:r>
            <w:r>
              <w:t xml:space="preserve"> del Mediterráneo, en </w:t>
            </w:r>
            <w:r>
              <w:rPr>
                <w:b/>
                <w:i/>
              </w:rPr>
              <w:t>las que a menudo</w:t>
            </w:r>
            <w:r>
              <w:t xml:space="preserve"> se capturan múltiples especies simultáneamente, requiere medidas de gestión </w:t>
            </w:r>
            <w:r>
              <w:rPr>
                <w:b/>
                <w:i/>
              </w:rPr>
              <w:t>ecosistémicas basadas en los mejores dictámenes científicos disponibles,</w:t>
            </w:r>
            <w:r>
              <w:t xml:space="preserve"> que tengan en cuenta la selectividad de la flota, la innovación </w:t>
            </w:r>
            <w:r>
              <w:rPr>
                <w:b/>
                <w:i/>
              </w:rPr>
              <w:t>en</w:t>
            </w:r>
            <w:r>
              <w:t xml:space="preserve"> artes </w:t>
            </w:r>
            <w:r>
              <w:rPr>
                <w:b/>
                <w:i/>
              </w:rPr>
              <w:t>de pesca de bajo impacto, la protección de los ecosistemas marinos vulnerables y las especies de capturas accesorias, y la necesidad de garantizar una transición justa</w:t>
            </w:r>
            <w:r>
              <w:t xml:space="preserve"> y la resiliencia </w:t>
            </w:r>
            <w:r>
              <w:rPr>
                <w:b/>
                <w:i/>
              </w:rPr>
              <w:t>a largo plazo de las comunidades costeras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74</w:t>
      </w:r>
      <w:r>
        <w:rPr>
          <w:rStyle w:val="HideTWBExt"/>
        </w:rPr>
        <w:t>&lt;/NumAm&gt;</w:t>
      </w:r>
    </w:p>
    <w:p>
      <w:pPr>
        <w:pStyle w:val="NormalBold"/>
      </w:pPr>
      <w:r>
        <w:rPr>
          <w:rStyle w:val="HideTWBExt"/>
          <w:b w:val="0"/>
        </w:rPr>
        <w:t>&lt;RepeatBlock-By&gt;</w:t>
      </w:r>
      <w:r>
        <w:rPr>
          <w:rStyle w:val="HideTWBExt"/>
          <w:b w:val="0"/>
        </w:rPr>
        <w:t>&lt;Members&gt;</w:t>
      </w:r>
      <w:r>
        <w:t>Eric Sargiacomo, Nicolás González Casares, Giuseppe Lupo, Sakis Arnaoutoglou, Idoia Mendia, Chloé Ridel, Claire Fita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Considerando 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J.</w:t>
            </w:r>
            <w:r>
              <w:tab/>
            </w:r>
            <w:r>
              <w:t>Considerando que la naturaleza pesquera mixta del Mediterráneo, en la que se capturan múltiples especies simultáneamente, requiere medidas de gestión adaptativas que tengan en cuenta la selectividad de la flota, la innovación de artes y la resiliencia socioeconómica;</w:t>
            </w:r>
          </w:p>
        </w:tc>
        <w:tc>
          <w:tcPr>
            <w:tcW w:w="4876" w:type="dxa"/>
            <w:tcBorders>
              <w:top w:val="nil"/>
              <w:left w:val="nil"/>
              <w:bottom w:val="nil"/>
              <w:right w:val="nil"/>
            </w:tcBorders>
          </w:tcPr>
          <w:p>
            <w:pPr>
              <w:pStyle w:val="Normal6a"/>
            </w:pPr>
            <w:r>
              <w:t>J.</w:t>
            </w:r>
            <w:r>
              <w:tab/>
            </w:r>
            <w:r>
              <w:t>Considerando que la naturaleza pesquera mixta del Mediterráneo, en la que se capturan múltiples especies simultáneamente, requiere medidas de gestión adaptativas que tengan en cuenta la selectividad de la flota, la innovación de artes y la resiliencia socioeconómica</w:t>
            </w:r>
            <w:r>
              <w:rPr>
                <w:b/>
                <w:i/>
              </w:rPr>
              <w:t>, así como las interacciones entre especies, los efectos del cambio climático y otras presiones sobre los ecosistemas marinos</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75</w:t>
      </w:r>
      <w:r>
        <w:rPr>
          <w:rStyle w:val="HideTWBExt"/>
        </w:rPr>
        <w:t>&lt;/NumAm&gt;</w:t>
      </w:r>
    </w:p>
    <w:p>
      <w:pPr>
        <w:pStyle w:val="NormalBold"/>
      </w:pPr>
      <w:r>
        <w:rPr>
          <w:rStyle w:val="HideTWBExt"/>
          <w:b w:val="0"/>
        </w:rPr>
        <w:t>&lt;RepeatBlock-By&gt;</w:t>
      </w:r>
      <w:r>
        <w:rPr>
          <w:rStyle w:val="HideTWBExt"/>
          <w:b w:val="0"/>
        </w:rPr>
        <w:t>&lt;Members&gt;</w:t>
      </w:r>
      <w:r>
        <w:t>Emma Wiesner,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Considerando 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J.</w:t>
            </w:r>
            <w:r>
              <w:tab/>
            </w:r>
            <w:r>
              <w:t>Considerando que la naturaleza pesquera mixta del Mediterráneo, en la que se capturan múltiples especies simultáneamente, requiere medidas de gestión adaptativas que tengan en cuenta la selectividad de la flota, la innovación de artes y la resiliencia socioeconómica;</w:t>
            </w:r>
          </w:p>
        </w:tc>
        <w:tc>
          <w:tcPr>
            <w:tcW w:w="4876" w:type="dxa"/>
            <w:tcBorders>
              <w:top w:val="nil"/>
              <w:left w:val="nil"/>
              <w:bottom w:val="nil"/>
              <w:right w:val="nil"/>
            </w:tcBorders>
          </w:tcPr>
          <w:p>
            <w:pPr>
              <w:pStyle w:val="Normal6a"/>
            </w:pPr>
            <w:r>
              <w:t>J.</w:t>
            </w:r>
            <w:r>
              <w:tab/>
            </w:r>
            <w:r>
              <w:t xml:space="preserve">Considerando que la naturaleza pesquera mixta del Mediterráneo, en la que se capturan múltiples especies simultáneamente, requiere medidas de gestión adaptativas que </w:t>
            </w:r>
            <w:r>
              <w:rPr>
                <w:b/>
                <w:i/>
              </w:rPr>
              <w:t>protejan las especies vulnerables, así como que</w:t>
            </w:r>
            <w:r>
              <w:t xml:space="preserve"> tengan en cuenta la selectividad de la flota, la innovación de artes y la resiliencia socioeconómica;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76</w:t>
      </w:r>
      <w:r>
        <w:rPr>
          <w:rStyle w:val="HideTWBExt"/>
        </w:rPr>
        <w:t>&lt;/NumAm&gt;</w:t>
      </w:r>
    </w:p>
    <w:p>
      <w:pPr>
        <w:pStyle w:val="NormalBold"/>
      </w:pPr>
      <w:r>
        <w:rPr>
          <w:rStyle w:val="HideTWBExt"/>
          <w:b w:val="0"/>
        </w:rPr>
        <w:t>&lt;RepeatBlock-By&gt;</w:t>
      </w:r>
      <w:r>
        <w:rPr>
          <w:rStyle w:val="HideTWBExt"/>
          <w:b w:val="0"/>
        </w:rPr>
        <w:t>&lt;Members&gt;</w:t>
      </w:r>
      <w:r>
        <w:t>Carmen Crespo Díaz, Isabelle Le Callennec, Paulo do Nascimento Cabral, Susana Solís Pérez, Francisco José Millán Mon, Fredis Beleris, Marco Falcone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Considerando J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J bis.</w:t>
            </w:r>
            <w:r>
              <w:tab/>
            </w:r>
            <w:r>
              <w:rPr>
                <w:b/>
                <w:i/>
              </w:rPr>
              <w:t>Considerando que el artículo 9, apartado 5, del Reglamento (UE) n.º 1380/2013 establece que la gestión de las pesquerías mixtas debe tener debidamente en cuenta las dificultades prácticas de alcanzar simultáneamente el rendimiento máximo sostenible para todas las poblaciones;</w:t>
            </w:r>
            <w:r>
              <w:t xml:space="preserve"> </w:t>
            </w:r>
            <w:r>
              <w:rPr>
                <w:b/>
                <w:i/>
              </w:rPr>
              <w:t>que, en consecuencia, las medidas de gestión deben evitar provocar el cierre prematuro de las pesquerías o reducir la actividad pesquera hasta niveles incompatibles con su viabilidad económica y social, garantizando unas posibilidades de pesca suficientes para mantener la actividad de la flota, estableciendo como referencia general, un mínimo medio de 180 días de pesca por buque y año;</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77</w:t>
      </w:r>
      <w:r>
        <w:rPr>
          <w:rStyle w:val="HideTWBExt"/>
        </w:rPr>
        <w:t>&lt;/NumAm&gt;</w:t>
      </w:r>
    </w:p>
    <w:p>
      <w:pPr>
        <w:pStyle w:val="NormalBold"/>
      </w:pPr>
      <w:r>
        <w:rPr>
          <w:rStyle w:val="HideTWBExt"/>
          <w:b w:val="0"/>
        </w:rPr>
        <w:t>&lt;RepeatBlock-By&gt;</w:t>
      </w:r>
      <w:r>
        <w:rPr>
          <w:rStyle w:val="HideTWBExt"/>
          <w:b w:val="0"/>
        </w:rPr>
        <w:t>&lt;Members&gt;</w:t>
      </w:r>
      <w:r>
        <w:t>Isabelle Le Callennec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Considerando J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J bis.</w:t>
            </w:r>
            <w:r>
              <w:tab/>
            </w:r>
            <w:r>
              <w:rPr>
                <w:b/>
                <w:i/>
              </w:rPr>
              <w:t>Considerando que las distintas actividades pesqueras del Mediterráneo presentan niveles muy diferentes de impacto, selectividad, movilidad y dependencia de las poblaciones demersales;</w:t>
            </w:r>
            <w:r>
              <w:t xml:space="preserve"> </w:t>
            </w:r>
            <w:r>
              <w:rPr>
                <w:b/>
                <w:i/>
              </w:rPr>
              <w:t>que un enfoque único de la gestión no siempre permite responder a estas especificidades;</w:t>
            </w:r>
            <w:r>
              <w:t xml:space="preserve"> </w:t>
            </w:r>
            <w:r>
              <w:rPr>
                <w:b/>
                <w:i/>
              </w:rPr>
              <w:t>que, por consiguiente, es necesario garantizar que las medidas de gestión sean proporcionales a las características específicas de cada actividad;</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78</w:t>
      </w:r>
      <w:r>
        <w:rPr>
          <w:rStyle w:val="HideTWBExt"/>
        </w:rPr>
        <w:t>&lt;/NumAm&gt;</w:t>
      </w:r>
    </w:p>
    <w:p>
      <w:pPr>
        <w:pStyle w:val="NormalBold"/>
      </w:pPr>
      <w:r>
        <w:rPr>
          <w:rStyle w:val="HideTWBExt"/>
          <w:b w:val="0"/>
        </w:rPr>
        <w:t>&lt;RepeatBlock-By&gt;</w:t>
      </w:r>
      <w:r>
        <w:rPr>
          <w:rStyle w:val="HideTWBExt"/>
          <w:b w:val="0"/>
        </w:rPr>
        <w:t>&lt;Members&gt;</w:t>
      </w:r>
      <w:r>
        <w:t>Sebastian Everding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Considerando J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J bis.</w:t>
            </w:r>
            <w:r>
              <w:tab/>
            </w:r>
            <w:r>
              <w:rPr>
                <w:b/>
                <w:i/>
              </w:rPr>
              <w:t>Considerando que la gestión de la pesca debe tener en cuenta las presiones acumuladas de la pesca, el cambio climático, la contaminación, el ruido subacuático, la degradación de los hábitats, las especies invasoras y otras actividades humanas;</w:t>
            </w:r>
            <w:r>
              <w:t xml:space="preserve"> </w:t>
            </w:r>
            <w:r>
              <w:rPr>
                <w:b/>
                <w:i/>
              </w:rPr>
              <w:t>que las medidas de gestión de la pesca deben basarse en la capacidad de carga y los límites ecológicos de los ecosistemas marinos;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79</w:t>
      </w:r>
      <w:r>
        <w:rPr>
          <w:rStyle w:val="HideTWBExt"/>
        </w:rPr>
        <w:t>&lt;/NumAm&gt;</w:t>
      </w:r>
    </w:p>
    <w:p>
      <w:pPr>
        <w:pStyle w:val="NormalBold"/>
      </w:pPr>
      <w:r>
        <w:rPr>
          <w:rStyle w:val="HideTWBExt"/>
          <w:b w:val="0"/>
        </w:rPr>
        <w:t>&lt;RepeatBlock-By&gt;</w:t>
      </w:r>
      <w:r>
        <w:rPr>
          <w:rStyle w:val="HideTWBExt"/>
          <w:b w:val="0"/>
        </w:rPr>
        <w:t>&lt;Members&gt;</w:t>
      </w:r>
      <w:r>
        <w:t>Eric Sargiacomo, Nicolás González Casares, Giuseppe Lupo, Sakis Arnaoutoglou, Idoia Mendia, Chloé Ridel, Claire Fita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Considerando J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J bis.</w:t>
            </w:r>
            <w:r>
              <w:tab/>
            </w:r>
            <w:r>
              <w:rPr>
                <w:b/>
                <w:i/>
              </w:rPr>
              <w:t>Considerando que la ordenación del espacio marítimo debe garantizar una coexistencia equilibrada entre la pesca profesional, las zonas marinas protegidas, las zonas estrictamente protegidas, la restauración de los ecosistemas marinos y el desarrollo de energías renovables marinas;</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80</w:t>
      </w:r>
      <w:r>
        <w:rPr>
          <w:rStyle w:val="HideTWBExt"/>
        </w:rPr>
        <w:t>&lt;/NumAm&gt;</w:t>
      </w:r>
    </w:p>
    <w:p>
      <w:pPr>
        <w:pStyle w:val="NormalBold"/>
      </w:pPr>
      <w:r>
        <w:rPr>
          <w:rStyle w:val="HideTWBExt"/>
          <w:b w:val="0"/>
        </w:rPr>
        <w:t>&lt;RepeatBlock-By&gt;</w:t>
      </w:r>
      <w:r>
        <w:rPr>
          <w:rStyle w:val="HideTWBExt"/>
          <w:b w:val="0"/>
        </w:rPr>
        <w:t>&lt;Members&gt;</w:t>
      </w:r>
      <w:r>
        <w:t>Sebastian Everding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Considerando J ter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J ter.</w:t>
            </w:r>
            <w:r>
              <w:tab/>
            </w:r>
            <w:r>
              <w:rPr>
                <w:b/>
                <w:i/>
              </w:rPr>
              <w:t>Considerando que, en su informe de ejecución de 2024, la Comisión considera que el plan plurianual ha demostrado ser un marco beneficioso para aplicar la política pesquera común en el Mediterráneo occidental y lograr el Frms a más tardar el 1 de enero de 2025;</w:t>
            </w:r>
            <w:r>
              <w:t xml:space="preserve"> </w:t>
            </w:r>
            <w:r>
              <w:rPr>
                <w:b/>
                <w:i/>
              </w:rPr>
              <w:t>que, con arreglo al mismo informe, a lo largo de un período de transición de cinco años, el plan plurianual ha logrado un mejor control de la pesca, por ejemplo, mediante el mantenimiento de listas anuales de buques autorizados y la adopción de medidas de conservación; por ejemplo, zonas de veda eficientes;</w:t>
            </w:r>
            <w:r>
              <w:t xml:space="preserve"> </w:t>
            </w:r>
            <w:r>
              <w:rPr>
                <w:b/>
                <w:i/>
              </w:rPr>
              <w:t>que el informe también considera que el plan plurianual preveía una serie de medidas de flexibilidad para ayudar al sector en su transición hacia prácticas más sostenibles, como las transferencias de esfuerzo y las vedas espaciales alternativas eficaces;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81</w:t>
      </w:r>
      <w:r>
        <w:rPr>
          <w:rStyle w:val="HideTWBExt"/>
        </w:rPr>
        <w:t>&lt;/NumAm&gt;</w:t>
      </w:r>
    </w:p>
    <w:p>
      <w:pPr>
        <w:pStyle w:val="NormalBold"/>
      </w:pPr>
      <w:r>
        <w:rPr>
          <w:rStyle w:val="HideTWBExt"/>
          <w:b w:val="0"/>
        </w:rPr>
        <w:t>&lt;RepeatBlock-By&gt;</w:t>
      </w:r>
      <w:r>
        <w:rPr>
          <w:rStyle w:val="HideTWBExt"/>
          <w:b w:val="0"/>
        </w:rPr>
        <w:t>&lt;Members&gt;</w:t>
      </w:r>
      <w:r>
        <w:t>Eric Sargiacomo, Nicolás González Casares, Giuseppe Lupo, Sakis Arnaoutoglou, Idoia Mendia, Claire Fita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Considerando J ter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J ter.</w:t>
            </w:r>
            <w:r>
              <w:tab/>
            </w:r>
            <w:r>
              <w:rPr>
                <w:b/>
                <w:i/>
              </w:rPr>
              <w:t>Considerando que las medidas de conservación deben estar sujetas a una evaluación periódica de sus efectos biológicos, económicos, sociales y territoriales con el fin de garantizar su eficacia y aceptabilidad para las comunidades pesqueras;</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82</w:t>
      </w:r>
      <w:r>
        <w:rPr>
          <w:rStyle w:val="HideTWBExt"/>
        </w:rPr>
        <w:t>&lt;/NumAm&gt;</w:t>
      </w:r>
    </w:p>
    <w:p>
      <w:pPr>
        <w:pStyle w:val="NormalBold"/>
      </w:pPr>
      <w:r>
        <w:rPr>
          <w:rStyle w:val="HideTWBExt"/>
          <w:b w:val="0"/>
        </w:rPr>
        <w:t>&lt;RepeatBlock-By&gt;</w:t>
      </w:r>
      <w:r>
        <w:rPr>
          <w:rStyle w:val="HideTWBExt"/>
          <w:b w:val="0"/>
        </w:rPr>
        <w:t>&lt;Members&gt;</w:t>
      </w:r>
      <w:r>
        <w:t>Nora Junco García, Kristoffer Storm, Piotr Müller, Stephen Nikola Bartulica, Sander Smit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Considerando K</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K.</w:t>
            </w:r>
            <w:r>
              <w:tab/>
            </w:r>
            <w:r>
              <w:t>Considerando que la pesca ilegal, no declarada y no reglamentada (INDNR) y las actividades de flotas de terceros países en el Mediterráneo siguen estando insuficientemente controladas, con efectos negativos sobre las poblaciones pesqueras y la competitividad de la flota europea;</w:t>
            </w:r>
          </w:p>
        </w:tc>
        <w:tc>
          <w:tcPr>
            <w:tcW w:w="4876" w:type="dxa"/>
            <w:tcBorders>
              <w:top w:val="nil"/>
              <w:left w:val="nil"/>
              <w:bottom w:val="nil"/>
              <w:right w:val="nil"/>
            </w:tcBorders>
          </w:tcPr>
          <w:p>
            <w:pPr>
              <w:pStyle w:val="Normal6a"/>
            </w:pPr>
            <w:r>
              <w:t>K.</w:t>
            </w:r>
            <w:r>
              <w:tab/>
            </w:r>
            <w:r>
              <w:t xml:space="preserve">Considerando que la pesca ilegal, no declarada y no reglamentada (INDNR) y las actividades de flotas de terceros países en el Mediterráneo siguen estando insuficientemente controladas, con efectos negativos sobre las poblaciones pesqueras y la competitividad de la flota europea; </w:t>
            </w:r>
            <w:r>
              <w:rPr>
                <w:b/>
                <w:i/>
              </w:rPr>
              <w:t>que el sector pesquero español ha denunciado reiteradamente la presencia de embarcaciones de Marruecos y Argelia faenando en el mar de Alborán con redes de deriva, arte prohibido en la Unión, cuyas capturas acceden posteriormente al mercado europeo en clara competencia desleal;</w:t>
            </w:r>
            <w:r>
              <w:t xml:space="preserve"> </w:t>
            </w:r>
            <w:r>
              <w:rPr>
                <w:b/>
                <w:i/>
              </w:rPr>
              <w:t>que esta situación exige reforzar de manera urgente la cooperación con los países ribereños, los controles en frontera y la trazabilidad de las importaciones pesqueras;</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83</w:t>
      </w:r>
      <w:r>
        <w:rPr>
          <w:rStyle w:val="HideTWBExt"/>
        </w:rPr>
        <w:t>&lt;/NumAm&gt;</w:t>
      </w:r>
    </w:p>
    <w:p>
      <w:pPr>
        <w:pStyle w:val="NormalBold"/>
      </w:pPr>
      <w:r>
        <w:rPr>
          <w:rStyle w:val="HideTWBExt"/>
          <w:b w:val="0"/>
        </w:rPr>
        <w:t>&lt;RepeatBlock-By&gt;</w:t>
      </w:r>
      <w:r>
        <w:rPr>
          <w:rStyle w:val="HideTWBExt"/>
          <w:b w:val="0"/>
        </w:rPr>
        <w:t>&lt;Members&gt;</w:t>
      </w:r>
      <w:r>
        <w:t>Nicolás González Casares, Leire Pajín, Alicia Homs Ginel, Sandra Gómez López, Javi López, Laura Ballarín Cereza, Marcos Ros Sempere, Idoia Mendia, Lina Gálvez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Considerando K</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K.</w:t>
            </w:r>
            <w:r>
              <w:tab/>
            </w:r>
            <w:r>
              <w:t xml:space="preserve">Considerando que la pesca ilegal, no declarada y no reglamentada (INDNR) y las actividades de flotas de terceros países en el Mediterráneo siguen estando insuficientemente controladas, con efectos negativos sobre las poblaciones pesqueras </w:t>
            </w:r>
            <w:r>
              <w:rPr>
                <w:b/>
                <w:i/>
              </w:rPr>
              <w:t>y</w:t>
            </w:r>
            <w:r>
              <w:t xml:space="preserve"> la competitividad de la flota europea;</w:t>
            </w:r>
          </w:p>
        </w:tc>
        <w:tc>
          <w:tcPr>
            <w:tcW w:w="4876" w:type="dxa"/>
            <w:tcBorders>
              <w:top w:val="nil"/>
              <w:left w:val="nil"/>
              <w:bottom w:val="nil"/>
              <w:right w:val="nil"/>
            </w:tcBorders>
          </w:tcPr>
          <w:p>
            <w:pPr>
              <w:pStyle w:val="Normal6a"/>
            </w:pPr>
            <w:r>
              <w:t>K.</w:t>
            </w:r>
            <w:r>
              <w:tab/>
            </w:r>
            <w:r>
              <w:t>Considerando que la pesca ilegal, no declarada y no reglamentada (INDNR) y las actividades de flotas de terceros países en el Mediterráneo siguen estando insuficientemente controladas, con efectos negativos sobre las poblaciones pesqueras</w:t>
            </w:r>
            <w:r>
              <w:rPr>
                <w:b/>
                <w:i/>
              </w:rPr>
              <w:t>,</w:t>
            </w:r>
            <w:r>
              <w:t xml:space="preserve"> la competitividad de la flota europea </w:t>
            </w:r>
            <w:r>
              <w:rPr>
                <w:b/>
                <w:i/>
              </w:rPr>
              <w:t>y los sectores dependientes de la misma y la prosperidad de las comunidades costeras</w:t>
            </w:r>
            <w:r>
              <w:t>;</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84</w:t>
      </w:r>
      <w:r>
        <w:rPr>
          <w:rStyle w:val="HideTWBExt"/>
        </w:rPr>
        <w:t>&lt;/NumAm&gt;</w:t>
      </w:r>
    </w:p>
    <w:p>
      <w:pPr>
        <w:pStyle w:val="NormalBold"/>
      </w:pPr>
      <w:r>
        <w:rPr>
          <w:rStyle w:val="HideTWBExt"/>
          <w:b w:val="0"/>
        </w:rPr>
        <w:t>&lt;RepeatBlock-By&gt;</w:t>
      </w:r>
      <w:r>
        <w:rPr>
          <w:rStyle w:val="HideTWBExt"/>
          <w:b w:val="0"/>
        </w:rPr>
        <w:t>&lt;Members&gt;</w:t>
      </w:r>
      <w:r>
        <w:t>Mélissa Camara</w:t>
      </w:r>
      <w:r>
        <w:rPr>
          <w:rStyle w:val="HideTWBExt"/>
          <w:b w:val="0"/>
        </w:rPr>
        <w:t>&lt;/Members&gt;</w:t>
      </w:r>
    </w:p>
    <w:p>
      <w:r>
        <w:rPr>
          <w:rStyle w:val="HideTWBExt"/>
          <w:b w:val="0"/>
        </w:rPr>
        <w:t>&lt;AuNomDe&gt;</w:t>
      </w:r>
      <w:r>
        <w:rPr>
          <w:rStyle w:val="HideTWBInt"/>
        </w:rPr>
        <w:t>{Verts/ALE}</w:t>
      </w:r>
      <w:r>
        <w:t>en nombre del Grupo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Considerando K</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K.</w:t>
            </w:r>
            <w:r>
              <w:tab/>
            </w:r>
            <w:r>
              <w:t>Considerando que la pesca ilegal, no declarada y no reglamentada (INDNR) y las actividades de flotas de terceros países en el Mediterráneo siguen estando insuficientemente controladas, con efectos negativos sobre las poblaciones pesqueras y la competitividad de la flota europea;</w:t>
            </w:r>
          </w:p>
        </w:tc>
        <w:tc>
          <w:tcPr>
            <w:tcW w:w="4876" w:type="dxa"/>
            <w:tcBorders>
              <w:top w:val="nil"/>
              <w:left w:val="nil"/>
              <w:bottom w:val="nil"/>
              <w:right w:val="nil"/>
            </w:tcBorders>
          </w:tcPr>
          <w:p>
            <w:pPr>
              <w:pStyle w:val="Normal6a"/>
            </w:pPr>
            <w:r>
              <w:t>K.</w:t>
            </w:r>
            <w:r>
              <w:tab/>
            </w:r>
            <w:r>
              <w:t xml:space="preserve">Considerando que la pesca ilegal, no declarada y no reglamentada (INDNR) y las actividades de flotas de terceros países en el Mediterráneo siguen estando </w:t>
            </w:r>
            <w:r>
              <w:rPr>
                <w:b/>
                <w:i/>
              </w:rPr>
              <w:t>en algunos casos</w:t>
            </w:r>
            <w:r>
              <w:t xml:space="preserve"> insuficientemente controladas, con efectos negativos sobre las poblaciones pesqueras y la competitividad de la flota europea </w:t>
            </w:r>
            <w:r>
              <w:rPr>
                <w:b/>
                <w:i/>
              </w:rPr>
              <w:t>fuera del ámbito de aplicación del Reglamento (UE) 2019/1022</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85</w:t>
      </w:r>
      <w:r>
        <w:rPr>
          <w:rStyle w:val="HideTWBExt"/>
        </w:rPr>
        <w:t>&lt;/NumAm&gt;</w:t>
      </w:r>
    </w:p>
    <w:p>
      <w:pPr>
        <w:pStyle w:val="NormalBold"/>
      </w:pPr>
      <w:r>
        <w:rPr>
          <w:rStyle w:val="HideTWBExt"/>
          <w:b w:val="0"/>
        </w:rPr>
        <w:t>&lt;RepeatBlock-By&gt;</w:t>
      </w:r>
      <w:r>
        <w:rPr>
          <w:rStyle w:val="HideTWBExt"/>
          <w:b w:val="0"/>
        </w:rPr>
        <w:t>&lt;Members&gt;</w:t>
      </w:r>
      <w:r>
        <w:t>Carmen Crespo Díaz, Isabelle Le Callennec, Paulo do Nascimento Cabral, Susana Solís Pérez, Francisco José Millán Mon, Fredis Beleris, Marco Falcone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Considerando K</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K.</w:t>
            </w:r>
            <w:r>
              <w:tab/>
            </w:r>
            <w:r>
              <w:t xml:space="preserve">Considerando que la pesca ilegal, no declarada y no reglamentada (INDNR) y las actividades de flotas de terceros países en el Mediterráneo siguen </w:t>
            </w:r>
            <w:r>
              <w:rPr>
                <w:b/>
                <w:i/>
              </w:rPr>
              <w:t>estando insuficientemente controladas, con efectos negativos sobre</w:t>
            </w:r>
            <w:r>
              <w:t xml:space="preserve"> las poblaciones </w:t>
            </w:r>
            <w:r>
              <w:rPr>
                <w:b/>
                <w:i/>
              </w:rPr>
              <w:t>pesqueras y la competitividad</w:t>
            </w:r>
            <w:r>
              <w:t xml:space="preserve"> de la flota europea;</w:t>
            </w:r>
          </w:p>
        </w:tc>
        <w:tc>
          <w:tcPr>
            <w:tcW w:w="4876" w:type="dxa"/>
            <w:tcBorders>
              <w:top w:val="nil"/>
              <w:left w:val="nil"/>
              <w:bottom w:val="nil"/>
              <w:right w:val="nil"/>
            </w:tcBorders>
          </w:tcPr>
          <w:p>
            <w:pPr>
              <w:pStyle w:val="Normal6a"/>
            </w:pPr>
            <w:r>
              <w:t>K.</w:t>
            </w:r>
            <w:r>
              <w:tab/>
            </w:r>
            <w:r>
              <w:t xml:space="preserve">Considerando que la pesca ilegal, no declarada y no reglamentada (INDNR) y las actividades de flotas de terceros países en el Mediterráneo siguen </w:t>
            </w:r>
            <w:r>
              <w:rPr>
                <w:b/>
                <w:i/>
              </w:rPr>
              <w:t>siendo objeto de un seguimiento insuficiente, lo que contribuye al deterioro de</w:t>
            </w:r>
            <w:r>
              <w:t xml:space="preserve"> las poblaciones </w:t>
            </w:r>
            <w:r>
              <w:rPr>
                <w:b/>
                <w:i/>
              </w:rPr>
              <w:t>sin un control adecuado además de competencia desleal en detrimento</w:t>
            </w:r>
            <w:r>
              <w:t xml:space="preserve"> de la flota europea;</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86</w:t>
      </w:r>
      <w:r>
        <w:rPr>
          <w:rStyle w:val="HideTWBExt"/>
        </w:rPr>
        <w:t>&lt;/NumAm&gt;</w:t>
      </w:r>
    </w:p>
    <w:p>
      <w:pPr>
        <w:pStyle w:val="NormalBold"/>
      </w:pPr>
      <w:r>
        <w:rPr>
          <w:rStyle w:val="HideTWBExt"/>
          <w:b w:val="0"/>
        </w:rPr>
        <w:t>&lt;RepeatBlock-By&gt;</w:t>
      </w:r>
      <w:r>
        <w:rPr>
          <w:rStyle w:val="HideTWBExt"/>
          <w:b w:val="0"/>
        </w:rPr>
        <w:t>&lt;Members&gt;</w:t>
      </w:r>
      <w:r>
        <w:t>Sebastian Everding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Considerando K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K bis.</w:t>
            </w:r>
            <w:r>
              <w:tab/>
            </w:r>
            <w:r>
              <w:rPr>
                <w:b/>
                <w:i/>
              </w:rPr>
              <w:t>Considerando que el informe de aplicación de 2024 de la Comisión concluye que las tendencias mixtas en las poblaciones demersales y en la rentabilidad de las pesquerías afectadas también se deben a retrasos en la aplicación y a la limitada propiedad por parte de los Estados miembros, incluido el aumento de las capturas de juveniles, el exceso de capacidad estructural, el aumento del uso de redes de arrastre gemelas y las deficiencias en el control y la ejecución en algunos Estados miembros;</w:t>
            </w:r>
            <w:r>
              <w:t xml:space="preserve"> </w:t>
            </w:r>
            <w:r>
              <w:rPr>
                <w:b/>
                <w:i/>
              </w:rPr>
              <w:t>que la Comisión considera que el desequilibrio entre las posibilidades de pesca y la capacidad de la flota ha socavado los efectos positivos del plan y retrasado la recuperación de las poblaciones;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87</w:t>
      </w:r>
      <w:r>
        <w:rPr>
          <w:rStyle w:val="HideTWBExt"/>
        </w:rPr>
        <w:t>&lt;/NumAm&gt;</w:t>
      </w:r>
    </w:p>
    <w:p>
      <w:pPr>
        <w:pStyle w:val="NormalBold"/>
      </w:pPr>
      <w:r>
        <w:rPr>
          <w:rStyle w:val="HideTWBExt"/>
          <w:b w:val="0"/>
        </w:rPr>
        <w:t>&lt;RepeatBlock-By&gt;</w:t>
      </w:r>
      <w:r>
        <w:rPr>
          <w:rStyle w:val="HideTWBExt"/>
          <w:b w:val="0"/>
        </w:rPr>
        <w:t>&lt;Members&gt;</w:t>
      </w:r>
      <w:r>
        <w:t>Nicolás González Casares, Leire Pajín, Alicia Homs Ginel, Sandra Gómez López, Javi López, Laura Ballarín Cereza, Marcos Ros Sempere, Idoia Mendia, Lina Gálvez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Considerando K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K bis.</w:t>
            </w:r>
            <w:r>
              <w:tab/>
            </w:r>
            <w:r>
              <w:rPr>
                <w:b/>
                <w:i/>
              </w:rPr>
              <w:t>Considerando la labor medioambiental que los pescadores realizan al extraer del mar, junto con sus capturas, residuos que quedan atrapados en sus redes, contribuyendo así a la limpieza de los fondos marinos, como demuestran iniciativas como 'Upcycling the Oceans';</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88</w:t>
      </w:r>
      <w:r>
        <w:rPr>
          <w:rStyle w:val="HideTWBExt"/>
        </w:rPr>
        <w:t>&lt;/NumAm&gt;</w:t>
      </w:r>
    </w:p>
    <w:p>
      <w:pPr>
        <w:pStyle w:val="NormalBold"/>
      </w:pPr>
      <w:r>
        <w:rPr>
          <w:rStyle w:val="HideTWBExt"/>
          <w:b w:val="0"/>
        </w:rPr>
        <w:t>&lt;RepeatBlock-By&gt;</w:t>
      </w:r>
      <w:r>
        <w:rPr>
          <w:rStyle w:val="HideTWBExt"/>
          <w:b w:val="0"/>
        </w:rPr>
        <w:t>&lt;Members&gt;</w:t>
      </w:r>
      <w:r>
        <w:t>France Jamet, António Tânger Corrêa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Considerando K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K bis.</w:t>
            </w:r>
            <w:r>
              <w:tab/>
            </w:r>
            <w:r>
              <w:rPr>
                <w:b/>
                <w:i/>
              </w:rPr>
              <w:t>Considerando que la proliferación de especies invasoras agrava las dificultades de gestión de la pesca en el Mediterráneo;</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89</w:t>
      </w:r>
      <w:r>
        <w:rPr>
          <w:rStyle w:val="HideTWBExt"/>
        </w:rPr>
        <w:t>&lt;/NumAm&gt;</w:t>
      </w:r>
    </w:p>
    <w:p>
      <w:pPr>
        <w:pStyle w:val="NormalBold"/>
      </w:pPr>
      <w:r>
        <w:rPr>
          <w:rStyle w:val="HideTWBExt"/>
          <w:b w:val="0"/>
        </w:rPr>
        <w:t>&lt;RepeatBlock-By&gt;</w:t>
      </w:r>
      <w:r>
        <w:rPr>
          <w:rStyle w:val="HideTWBExt"/>
          <w:b w:val="0"/>
        </w:rPr>
        <w:t>&lt;Members&gt;</w:t>
      </w:r>
      <w:r>
        <w:t>Nora Junco García, Kristoffer Storm, Stephen Nikola Bartulica, Sander Smit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Considerando L</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L.</w:t>
            </w:r>
            <w:r>
              <w:tab/>
            </w:r>
            <w:r>
              <w:t>Considerando la necesidad de reforzar el atractivo del sector pesquero, con el fin de garantizar el relevo generacional, mejorar su competitividad y asegurar su viabilidad;</w:t>
            </w:r>
          </w:p>
        </w:tc>
        <w:tc>
          <w:tcPr>
            <w:tcW w:w="4876" w:type="dxa"/>
            <w:tcBorders>
              <w:top w:val="nil"/>
              <w:left w:val="nil"/>
              <w:bottom w:val="nil"/>
              <w:right w:val="nil"/>
            </w:tcBorders>
          </w:tcPr>
          <w:p>
            <w:pPr>
              <w:pStyle w:val="Normal6a"/>
            </w:pPr>
            <w:r>
              <w:t>L.</w:t>
            </w:r>
            <w:r>
              <w:tab/>
            </w:r>
            <w:r>
              <w:t xml:space="preserve">Considerando la necesidad de reforzar el atractivo del sector pesquero, con el fin de garantizar el relevo generacional, mejorar su competitividad y asegurar su viabilidad; </w:t>
            </w:r>
            <w:r>
              <w:rPr>
                <w:b/>
                <w:i/>
              </w:rPr>
              <w:t>que el primer informe social del CCTEP constata una tendencia descendente del empleo en la pesca extractiva de la Unión y señala la incertidumbre de los ingresos, la elevada carga administrativa y burocrática, la dureza física del trabajo y la falta de formación y de mecanismos de sucesión empresarial como factores que dificultan la incorporación de nuevas generaciones;</w:t>
            </w:r>
            <w:r>
              <w:t xml:space="preserve"> </w:t>
            </w:r>
            <w:r>
              <w:rPr>
                <w:b/>
                <w:i/>
              </w:rPr>
              <w:t>que, sin políticas específicas de formación, simplificación normativa y apoyo a la sucesión empresarial, el relevo generacional en el Mediterráneo quedará gravemente comprometido;</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90</w:t>
      </w:r>
      <w:r>
        <w:rPr>
          <w:rStyle w:val="HideTWBExt"/>
        </w:rPr>
        <w:t>&lt;/NumAm&gt;</w:t>
      </w:r>
    </w:p>
    <w:p>
      <w:pPr>
        <w:pStyle w:val="NormalBold"/>
      </w:pPr>
      <w:r>
        <w:rPr>
          <w:rStyle w:val="HideTWBExt"/>
          <w:b w:val="0"/>
        </w:rPr>
        <w:t>&lt;RepeatBlock-By&gt;</w:t>
      </w:r>
      <w:r>
        <w:rPr>
          <w:rStyle w:val="HideTWBExt"/>
          <w:b w:val="0"/>
        </w:rPr>
        <w:t>&lt;Members&gt;</w:t>
      </w:r>
      <w:r>
        <w:t>Carmen Crespo Díaz, Isabelle Le Callennec, Paulo do Nascimento Cabral, Susana Solís Pérez, Francisco José Millán Mon, Fredis Beleris, Marco Falcone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Considerando L</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L.</w:t>
            </w:r>
            <w:r>
              <w:tab/>
            </w:r>
            <w:r>
              <w:t>Considerando la necesidad de reforzar el atractivo del sector pesquero, con el fin de garantizar el relevo generacional, mejorar su competitividad y asegurar su viabilidad;</w:t>
            </w:r>
          </w:p>
        </w:tc>
        <w:tc>
          <w:tcPr>
            <w:tcW w:w="4876" w:type="dxa"/>
            <w:tcBorders>
              <w:top w:val="nil"/>
              <w:left w:val="nil"/>
              <w:bottom w:val="nil"/>
              <w:right w:val="nil"/>
            </w:tcBorders>
          </w:tcPr>
          <w:p>
            <w:pPr>
              <w:pStyle w:val="Normal6a"/>
            </w:pPr>
            <w:r>
              <w:t>L.</w:t>
            </w:r>
            <w:r>
              <w:tab/>
            </w:r>
            <w:r>
              <w:t>Considerando la necesidad de reforzar el atractivo del sector pesquero</w:t>
            </w:r>
            <w:r>
              <w:rPr>
                <w:b/>
                <w:i/>
              </w:rPr>
              <w:t>, en particular entre los jóvenes</w:t>
            </w:r>
            <w:r>
              <w:t xml:space="preserve">, con el fin de garantizar el relevo generacional, mejorar su competitividad y asegurar su viabilidad </w:t>
            </w:r>
            <w:r>
              <w:rPr>
                <w:b/>
                <w:i/>
              </w:rPr>
              <w:t>a largo plazo</w:t>
            </w:r>
            <w:r>
              <w:t xml:space="preserve">; </w:t>
            </w:r>
            <w:r>
              <w:rPr>
                <w:b/>
                <w:i/>
              </w:rPr>
              <w:t>considerando asimismo la importancia de fomentar la diversificación de las actividades pesqueras para incrementar la rentabilidad del sector y aprovechar plenamente el potencial económico del Mediterráneo;</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91</w:t>
      </w:r>
      <w:r>
        <w:rPr>
          <w:rStyle w:val="HideTWBExt"/>
        </w:rPr>
        <w:t>&lt;/NumAm&gt;</w:t>
      </w:r>
    </w:p>
    <w:p>
      <w:pPr>
        <w:pStyle w:val="NormalBold"/>
      </w:pPr>
      <w:r>
        <w:rPr>
          <w:rStyle w:val="HideTWBExt"/>
          <w:b w:val="0"/>
        </w:rPr>
        <w:t>&lt;RepeatBlock-By&gt;</w:t>
      </w:r>
      <w:r>
        <w:rPr>
          <w:rStyle w:val="HideTWBExt"/>
          <w:b w:val="0"/>
        </w:rPr>
        <w:t>&lt;Members&gt;</w:t>
      </w:r>
      <w:r>
        <w:t>Mélissa Camara</w:t>
      </w:r>
      <w:r>
        <w:rPr>
          <w:rStyle w:val="HideTWBExt"/>
          <w:b w:val="0"/>
        </w:rPr>
        <w:t>&lt;/Members&gt;</w:t>
      </w:r>
    </w:p>
    <w:p>
      <w:r>
        <w:rPr>
          <w:rStyle w:val="HideTWBExt"/>
          <w:b w:val="0"/>
        </w:rPr>
        <w:t>&lt;AuNomDe&gt;</w:t>
      </w:r>
      <w:r>
        <w:rPr>
          <w:rStyle w:val="HideTWBInt"/>
        </w:rPr>
        <w:t>{Verts/ALE}</w:t>
      </w:r>
      <w:r>
        <w:t>en nombre del Grupo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Considerando L</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L.</w:t>
            </w:r>
            <w:r>
              <w:tab/>
            </w:r>
            <w:r>
              <w:t>Considerando la necesidad de reforzar el atractivo del sector pesquero, con el fin de garantizar el relevo generacional, mejorar su competitividad y asegurar su viabilidad;</w:t>
            </w:r>
          </w:p>
        </w:tc>
        <w:tc>
          <w:tcPr>
            <w:tcW w:w="4876" w:type="dxa"/>
            <w:tcBorders>
              <w:top w:val="nil"/>
              <w:left w:val="nil"/>
              <w:bottom w:val="nil"/>
              <w:right w:val="nil"/>
            </w:tcBorders>
          </w:tcPr>
          <w:p>
            <w:pPr>
              <w:pStyle w:val="Normal6a"/>
            </w:pPr>
            <w:r>
              <w:t>L.</w:t>
            </w:r>
            <w:r>
              <w:tab/>
            </w:r>
            <w:r>
              <w:t>Considerando la necesidad de reforzar el atractivo del sector pesquero</w:t>
            </w:r>
            <w:r>
              <w:rPr>
                <w:b/>
                <w:i/>
              </w:rPr>
              <w:t>, en particular mediante la reconstitución de las especies de peces</w:t>
            </w:r>
            <w:r>
              <w:t>, con el fin de garantizar el relevo generacional, mejorar su competitividad y asegurar su viabilidad;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92</w:t>
      </w:r>
      <w:r>
        <w:rPr>
          <w:rStyle w:val="HideTWBExt"/>
        </w:rPr>
        <w:t>&lt;/NumAm&gt;</w:t>
      </w:r>
    </w:p>
    <w:p>
      <w:pPr>
        <w:pStyle w:val="NormalBold"/>
      </w:pPr>
      <w:r>
        <w:rPr>
          <w:rStyle w:val="HideTWBExt"/>
          <w:b w:val="0"/>
        </w:rPr>
        <w:t>&lt;RepeatBlock-By&gt;</w:t>
      </w:r>
      <w:r>
        <w:rPr>
          <w:rStyle w:val="HideTWBExt"/>
          <w:b w:val="0"/>
        </w:rPr>
        <w:t>&lt;Members&gt;</w:t>
      </w:r>
      <w:r>
        <w:t>Nicolás González Casares, Leire Pajín, Alicia Homs Ginel, Sandra Gómez López, Javi López, Laura Ballarín Cereza, Marcos Ros Sempere, Idoia Mendia, Lina Gálvez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Considerando L</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L.</w:t>
            </w:r>
            <w:r>
              <w:tab/>
            </w:r>
            <w:r>
              <w:t>Considerando la necesidad de reforzar el atractivo del sector pesquero, con el fin de garantizar el relevo generacional, mejorar su competitividad y asegurar su viabilidad;</w:t>
            </w:r>
          </w:p>
        </w:tc>
        <w:tc>
          <w:tcPr>
            <w:tcW w:w="4876" w:type="dxa"/>
            <w:tcBorders>
              <w:top w:val="nil"/>
              <w:left w:val="nil"/>
              <w:bottom w:val="nil"/>
              <w:right w:val="nil"/>
            </w:tcBorders>
          </w:tcPr>
          <w:p>
            <w:pPr>
              <w:pStyle w:val="Normal6a"/>
            </w:pPr>
            <w:r>
              <w:t>L.</w:t>
            </w:r>
            <w:r>
              <w:tab/>
            </w:r>
            <w:r>
              <w:t xml:space="preserve">Considerando la necesidad de reforzar el atractivo del sector pesquero, con el fin de garantizar el relevo generacional, mejorar su competitividad y asegurar su viabilidad </w:t>
            </w:r>
            <w:r>
              <w:rPr>
                <w:b/>
                <w:i/>
              </w:rPr>
              <w:t>y la de los sectores conexos</w:t>
            </w:r>
            <w:r>
              <w:t>;</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93</w:t>
      </w:r>
      <w:r>
        <w:rPr>
          <w:rStyle w:val="HideTWBExt"/>
        </w:rPr>
        <w:t>&lt;/NumAm&gt;</w:t>
      </w:r>
    </w:p>
    <w:p>
      <w:pPr>
        <w:pStyle w:val="NormalBold"/>
      </w:pPr>
      <w:r>
        <w:rPr>
          <w:rStyle w:val="HideTWBExt"/>
          <w:b w:val="0"/>
        </w:rPr>
        <w:t>&lt;RepeatBlock-By&gt;</w:t>
      </w:r>
      <w:r>
        <w:rPr>
          <w:rStyle w:val="HideTWBExt"/>
          <w:b w:val="0"/>
        </w:rPr>
        <w:t>&lt;Members&gt;</w:t>
      </w:r>
      <w:r>
        <w:t>Carmen Crespo Díaz, Isabelle Le Callennec, Paulo do Nascimento Cabral, Susana Solís Pérez, Francisco José Millán Mon, Fredis Beleris, Marco Falcone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Considerando L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L bis.</w:t>
            </w:r>
            <w:r>
              <w:tab/>
            </w:r>
            <w:r>
              <w:rPr>
                <w:b/>
                <w:i/>
              </w:rPr>
              <w:t>Considerando que la metodología actual en el marco de la política pesquera común (PPC) no integra de forma suficiente las repercusiones socioeconómicas y se centra predominantemente en criterios biológicos, lo que puede generar efectos desproporcionados sobre los pescadores, la industria transformadora y los medios de subsistencia de las comunidades costeras;</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94</w:t>
      </w:r>
      <w:r>
        <w:rPr>
          <w:rStyle w:val="HideTWBExt"/>
        </w:rPr>
        <w:t>&lt;/NumAm&gt;</w:t>
      </w:r>
    </w:p>
    <w:p>
      <w:pPr>
        <w:pStyle w:val="NormalBold"/>
      </w:pPr>
      <w:r>
        <w:rPr>
          <w:rStyle w:val="HideTWBExt"/>
          <w:b w:val="0"/>
        </w:rPr>
        <w:t>&lt;RepeatBlock-By&gt;</w:t>
      </w:r>
      <w:r>
        <w:rPr>
          <w:rStyle w:val="HideTWBExt"/>
          <w:b w:val="0"/>
        </w:rPr>
        <w:t>&lt;Members&gt;</w:t>
      </w:r>
      <w:r>
        <w:t>Nora Junco García, Kristoffer Storm, Piotr Müller, Stephen Nikola Bartulica, Sander Smit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Considerando M</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M.</w:t>
            </w:r>
            <w:r>
              <w:tab/>
            </w:r>
            <w:r>
              <w:t>Considerando que el Fondo Europeo Marítimo, de Pesca y de Acuicultura es esencial para mejorar la sostenibilidad y competitividad del sector pesquero y acuícola, apoyar a los Grupos de acción local de pesca y fortalecer el desarrollo de las comunidades costeras, por lo que debe mantenerse como un fondo específico con financiación adecuada;</w:t>
            </w:r>
          </w:p>
        </w:tc>
        <w:tc>
          <w:tcPr>
            <w:tcW w:w="4876" w:type="dxa"/>
            <w:tcBorders>
              <w:top w:val="nil"/>
              <w:left w:val="nil"/>
              <w:bottom w:val="nil"/>
              <w:right w:val="nil"/>
            </w:tcBorders>
          </w:tcPr>
          <w:p>
            <w:pPr>
              <w:pStyle w:val="Normal6a"/>
            </w:pPr>
            <w:r>
              <w:t>M.</w:t>
            </w:r>
            <w:r>
              <w:tab/>
            </w:r>
            <w:r>
              <w:t xml:space="preserve">Considerando que el Fondo Europeo Marítimo, de Pesca y de Acuicultura </w:t>
            </w:r>
            <w:r>
              <w:rPr>
                <w:b/>
                <w:i/>
              </w:rPr>
              <w:t>(FEMPA)</w:t>
            </w:r>
            <w:r>
              <w:t xml:space="preserve"> es esencial para mejorar la sostenibilidad y competitividad del sector pesquero y acuícola, apoyar a los Grupos de acción local de pesca y fortalecer el desarrollo de las comunidades costeras, por lo que debe mantenerse como un fondo específico</w:t>
            </w:r>
            <w:r>
              <w:rPr>
                <w:b/>
                <w:i/>
              </w:rPr>
              <w:t>, autónomo y</w:t>
            </w:r>
            <w:r>
              <w:t xml:space="preserve"> con financiación adecuada </w:t>
            </w:r>
            <w:r>
              <w:rPr>
                <w:b/>
                <w:i/>
              </w:rPr>
              <w:t>dentro del próximo marco financiero plurianual 2028-2034</w:t>
            </w:r>
            <w:r>
              <w:t xml:space="preserve">; </w:t>
            </w:r>
            <w:r>
              <w:rPr>
                <w:b/>
                <w:i/>
              </w:rPr>
              <w:t>que cualquier reducción de su dotación presupuestaria comprometería directamente la capacidad de la flota mediterránea para acometer la modernización, la mejora de la selectividad de los artes y las medidas de compensación socioeconómica que el propio plan plurianual exige;</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95</w:t>
      </w:r>
      <w:r>
        <w:rPr>
          <w:rStyle w:val="HideTWBExt"/>
        </w:rPr>
        <w:t>&lt;/NumAm&gt;</w:t>
      </w:r>
    </w:p>
    <w:p>
      <w:pPr>
        <w:pStyle w:val="NormalBold"/>
      </w:pPr>
      <w:r>
        <w:rPr>
          <w:rStyle w:val="HideTWBExt"/>
          <w:b w:val="0"/>
        </w:rPr>
        <w:t>&lt;RepeatBlock-By&gt;</w:t>
      </w:r>
      <w:r>
        <w:rPr>
          <w:rStyle w:val="HideTWBExt"/>
          <w:b w:val="0"/>
        </w:rPr>
        <w:t>&lt;Members&gt;</w:t>
      </w:r>
      <w:r>
        <w:t>Nicolás González Casares, Leire Pajín, Alicia Homs Ginel, Sandra Gómez López, Javi López, Laura Ballarín Cereza, Marcos Ros Sempere, Idoia Mendia, Lina Gálvez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Considerando M</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M.</w:t>
            </w:r>
            <w:r>
              <w:tab/>
            </w:r>
            <w:r>
              <w:t xml:space="preserve">Considerando que el Fondo Europeo Marítimo, de Pesca y de Acuicultura es esencial para </w:t>
            </w:r>
            <w:r>
              <w:rPr>
                <w:b/>
                <w:i/>
              </w:rPr>
              <w:t>mejorar</w:t>
            </w:r>
            <w:r>
              <w:t xml:space="preserve"> la sostenibilidad y competitividad del sector pesquero y acuícola, apoyar a los Grupos de acción local de pesca y fortalecer el desarrollo de las comunidades costeras</w:t>
            </w:r>
            <w:r>
              <w:rPr>
                <w:b/>
                <w:i/>
              </w:rPr>
              <w:t>, por lo</w:t>
            </w:r>
            <w:r>
              <w:t xml:space="preserve"> que debe mantenerse como un fondo específico con financiación adecuada;</w:t>
            </w:r>
          </w:p>
        </w:tc>
        <w:tc>
          <w:tcPr>
            <w:tcW w:w="4876" w:type="dxa"/>
            <w:tcBorders>
              <w:top w:val="nil"/>
              <w:left w:val="nil"/>
              <w:bottom w:val="nil"/>
              <w:right w:val="nil"/>
            </w:tcBorders>
          </w:tcPr>
          <w:p>
            <w:pPr>
              <w:pStyle w:val="Normal6a"/>
            </w:pPr>
            <w:r>
              <w:t>M.</w:t>
            </w:r>
            <w:r>
              <w:tab/>
            </w:r>
            <w:r>
              <w:t xml:space="preserve">Considerando que el Fondo Europeo Marítimo, de Pesca y de Acuicultura es esencial para </w:t>
            </w:r>
            <w:r>
              <w:rPr>
                <w:b/>
                <w:i/>
              </w:rPr>
              <w:t>garantizar</w:t>
            </w:r>
            <w:r>
              <w:t xml:space="preserve"> la sostenibilidad y competitividad del sector pesquero y acuícola, apoyar a los Grupos de acción local de pesca y fortalecer el desarrollo de las comunidades costeras</w:t>
            </w:r>
            <w:r>
              <w:rPr>
                <w:b/>
                <w:i/>
              </w:rPr>
              <w:t>;</w:t>
            </w:r>
            <w:r>
              <w:t xml:space="preserve"> </w:t>
            </w:r>
            <w:r>
              <w:rPr>
                <w:b/>
                <w:i/>
              </w:rPr>
              <w:t>considerando</w:t>
            </w:r>
            <w:r>
              <w:t xml:space="preserve"> que debe mantenerse como un fondo específico </w:t>
            </w:r>
            <w:r>
              <w:rPr>
                <w:b/>
                <w:i/>
              </w:rPr>
              <w:t>independiente,</w:t>
            </w:r>
            <w:r>
              <w:t xml:space="preserve"> con financiación </w:t>
            </w:r>
            <w:r>
              <w:rPr>
                <w:b/>
                <w:i/>
              </w:rPr>
              <w:t>suficiente y</w:t>
            </w:r>
            <w:r>
              <w:t xml:space="preserve"> adecuada</w:t>
            </w:r>
            <w:r>
              <w:rPr>
                <w:b/>
                <w:i/>
              </w:rPr>
              <w:t>, a la altura de los retos que enfrenta el sector, en particular, la modernización, renovación y descarbonización de la flota</w:t>
            </w:r>
            <w:r>
              <w:t>;</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96</w:t>
      </w:r>
      <w:r>
        <w:rPr>
          <w:rStyle w:val="HideTWBExt"/>
        </w:rPr>
        <w:t>&lt;/NumAm&gt;</w:t>
      </w:r>
    </w:p>
    <w:p>
      <w:pPr>
        <w:pStyle w:val="NormalBold"/>
      </w:pPr>
      <w:r>
        <w:rPr>
          <w:rStyle w:val="HideTWBExt"/>
          <w:b w:val="0"/>
        </w:rPr>
        <w:t>&lt;RepeatBlock-By&gt;</w:t>
      </w:r>
      <w:r>
        <w:rPr>
          <w:rStyle w:val="HideTWBExt"/>
          <w:b w:val="0"/>
        </w:rPr>
        <w:t>&lt;Members&gt;</w:t>
      </w:r>
      <w:r>
        <w:t>Carmen Crespo Díaz, Isabelle Le Callennec, Paulo do Nascimento Cabral, Susana Solís Pérez, Francisco José Millán Mon, Fredis Beleris, Marco Falcone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Considerando M</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M.</w:t>
            </w:r>
            <w:r>
              <w:tab/>
            </w:r>
            <w:r>
              <w:t xml:space="preserve">Considerando que el Fondo Europeo Marítimo, de Pesca y de Acuicultura </w:t>
            </w:r>
            <w:r>
              <w:rPr>
                <w:b/>
                <w:i/>
              </w:rPr>
              <w:t>es esencial para mejorar la sostenibilidad y competitividad del sector pesquero y acuícola, apoyar</w:t>
            </w:r>
            <w:r>
              <w:t xml:space="preserve"> a los Grupos de acción local </w:t>
            </w:r>
            <w:r>
              <w:rPr>
                <w:b/>
                <w:i/>
              </w:rPr>
              <w:t>de pesca y fortalecer el desarrollo de las comunidades costeras, por lo que debe mantenerse como un fondo específico con financiación adecuada</w:t>
            </w:r>
            <w:r>
              <w:t>;</w:t>
            </w:r>
          </w:p>
        </w:tc>
        <w:tc>
          <w:tcPr>
            <w:tcW w:w="4876" w:type="dxa"/>
            <w:tcBorders>
              <w:top w:val="nil"/>
              <w:left w:val="nil"/>
              <w:bottom w:val="nil"/>
              <w:right w:val="nil"/>
            </w:tcBorders>
          </w:tcPr>
          <w:p>
            <w:pPr>
              <w:pStyle w:val="Normal6a"/>
            </w:pPr>
            <w:r>
              <w:t>M.</w:t>
            </w:r>
            <w:r>
              <w:tab/>
            </w:r>
            <w:r>
              <w:t xml:space="preserve">Considerando que el Fondo Europeo Marítimo, de Pesca y de Acuicultura </w:t>
            </w:r>
            <w:r>
              <w:rPr>
                <w:b/>
                <w:i/>
              </w:rPr>
              <w:t>(FEMPA) presta un apoyo fundamental a la modernización de la flota, la adopción de artes de pesca más selectivos,</w:t>
            </w:r>
            <w:r>
              <w:t xml:space="preserve"> a los Grupos de Acción Local </w:t>
            </w:r>
            <w:r>
              <w:rPr>
                <w:b/>
                <w:i/>
              </w:rPr>
              <w:t>Pesquero (GALP) y las compensaciones a la flota por paralizaciones temporales, y que resulta esencial mantenerlo de forma independiente y con suficientes recursos para garantizar la sostenibilidad y la viabilidad socioeconómica del sector</w:t>
            </w:r>
            <w:r>
              <w:t>;</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97</w:t>
      </w:r>
      <w:r>
        <w:rPr>
          <w:rStyle w:val="HideTWBExt"/>
        </w:rPr>
        <w:t>&lt;/NumAm&gt;</w:t>
      </w:r>
    </w:p>
    <w:p>
      <w:pPr>
        <w:pStyle w:val="NormalBold"/>
      </w:pPr>
      <w:r>
        <w:rPr>
          <w:rStyle w:val="HideTWBExt"/>
          <w:b w:val="0"/>
        </w:rPr>
        <w:t>&lt;RepeatBlock-By&gt;</w:t>
      </w:r>
      <w:r>
        <w:rPr>
          <w:rStyle w:val="HideTWBExt"/>
          <w:b w:val="0"/>
        </w:rPr>
        <w:t>&lt;Members&gt;</w:t>
      </w:r>
      <w:r>
        <w:t>Emma Wiesner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Considerando M</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M.</w:t>
            </w:r>
            <w:r>
              <w:tab/>
            </w:r>
            <w:r>
              <w:t xml:space="preserve">Considerando que </w:t>
            </w:r>
            <w:r>
              <w:rPr>
                <w:b/>
                <w:i/>
              </w:rPr>
              <w:t>el</w:t>
            </w:r>
            <w:r>
              <w:t xml:space="preserve"> Fondo Europeo Marítimo, de Pesca y de Acuicultura es esencial para mejorar la sostenibilidad y competitividad del sector pesquero y acuícola, apoyar a los Grupos de acción local de pesca y fortalecer el desarrollo de las comunidades costeras, por lo que debe mantenerse como un fondo específico con financiación adecuada;</w:t>
            </w:r>
          </w:p>
        </w:tc>
        <w:tc>
          <w:tcPr>
            <w:tcW w:w="4876" w:type="dxa"/>
            <w:tcBorders>
              <w:top w:val="nil"/>
              <w:left w:val="nil"/>
              <w:bottom w:val="nil"/>
              <w:right w:val="nil"/>
            </w:tcBorders>
          </w:tcPr>
          <w:p>
            <w:pPr>
              <w:pStyle w:val="Normal6a"/>
            </w:pPr>
            <w:r>
              <w:t>M.</w:t>
            </w:r>
            <w:r>
              <w:tab/>
            </w:r>
            <w:r>
              <w:t xml:space="preserve">Considerando que </w:t>
            </w:r>
            <w:r>
              <w:rPr>
                <w:b/>
                <w:i/>
              </w:rPr>
              <w:t>la financiación europea específica como el actual</w:t>
            </w:r>
            <w:r>
              <w:t xml:space="preserve"> Fondo Europeo Marítimo, de Pesca y de Acuicultura es esencial para mejorar la sostenibilidad y competitividad del sector pesquero y acuícola, apoyar a los Grupos de acción local de pesca y fortalecer el desarrollo de las comunidades costeras, por lo que debe mantenerse como un fondo específico con financiación adecuada;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98</w:t>
      </w:r>
      <w:r>
        <w:rPr>
          <w:rStyle w:val="HideTWBExt"/>
        </w:rPr>
        <w:t>&lt;/NumAm&gt;</w:t>
      </w:r>
    </w:p>
    <w:p>
      <w:pPr>
        <w:pStyle w:val="NormalBold"/>
      </w:pPr>
      <w:r>
        <w:rPr>
          <w:rStyle w:val="HideTWBExt"/>
          <w:b w:val="0"/>
        </w:rPr>
        <w:t>&lt;RepeatBlock-By&gt;</w:t>
      </w:r>
      <w:r>
        <w:rPr>
          <w:rStyle w:val="HideTWBExt"/>
          <w:b w:val="0"/>
        </w:rPr>
        <w:t>&lt;Members&gt;</w:t>
      </w:r>
      <w:r>
        <w:t>Carmen Crespo Díaz, Isabelle Le Callennec, Paulo do Nascimento Cabral, Susana Solís Pérez, Francisco José Millán Mon, Fredis Beleris, Marco Falcone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Considerando M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M bis.</w:t>
            </w:r>
            <w:r>
              <w:tab/>
            </w:r>
            <w:r>
              <w:rPr>
                <w:b/>
                <w:i/>
              </w:rPr>
              <w:t>Considerando la creciente preocupación ante la posible desaparición de un instrumento específico para la pesca en el próximo Marco Financiero Plurianual (MFP), así como la reducción y dilución de los recursos financieros destinados al sector en otros fondos genéricos de los planes nacionales y regionales (NRP), lo que podría comprometer gravemente su futuro;</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99</w:t>
      </w:r>
      <w:r>
        <w:rPr>
          <w:rStyle w:val="HideTWBExt"/>
        </w:rPr>
        <w:t>&lt;/NumAm&gt;</w:t>
      </w:r>
    </w:p>
    <w:p>
      <w:pPr>
        <w:pStyle w:val="NormalBold"/>
      </w:pPr>
      <w:r>
        <w:rPr>
          <w:rStyle w:val="HideTWBExt"/>
          <w:b w:val="0"/>
        </w:rPr>
        <w:t>&lt;RepeatBlock-By&gt;</w:t>
      </w:r>
      <w:r>
        <w:rPr>
          <w:rStyle w:val="HideTWBExt"/>
          <w:b w:val="0"/>
        </w:rPr>
        <w:t>&lt;Members&gt;</w:t>
      </w:r>
      <w:r>
        <w:t>Sebastian Everding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Considerando M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M bis.</w:t>
            </w:r>
            <w:r>
              <w:tab/>
            </w:r>
            <w:r>
              <w:rPr>
                <w:b/>
                <w:i/>
              </w:rPr>
              <w:t>Considerando que un desequilibrio persistente entre la capacidad pesquera y las posibilidades de pesca puede socavar la recuperación de las poblaciones y la eficiencia económica;</w:t>
            </w:r>
            <w:r>
              <w:t xml:space="preserve"> </w:t>
            </w:r>
            <w:r>
              <w:rPr>
                <w:b/>
                <w:i/>
              </w:rPr>
              <w:t>que la competitividad a largo plazo requiere una base de recursos recuperada y, en caso necesario, un ajuste justo y permanente de la capacidad, acompañado de la diversificación, el reciclaje profesional y el apoyo a las comunidades costeras;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100</w:t>
      </w:r>
      <w:r>
        <w:rPr>
          <w:rStyle w:val="HideTWBExt"/>
        </w:rPr>
        <w:t>&lt;/NumAm&gt;</w:t>
      </w:r>
    </w:p>
    <w:p>
      <w:pPr>
        <w:pStyle w:val="NormalBold"/>
      </w:pPr>
      <w:r>
        <w:rPr>
          <w:rStyle w:val="HideTWBExt"/>
          <w:b w:val="0"/>
        </w:rPr>
        <w:t>&lt;RepeatBlock-By&gt;</w:t>
      </w:r>
      <w:r>
        <w:rPr>
          <w:rStyle w:val="HideTWBExt"/>
          <w:b w:val="0"/>
        </w:rPr>
        <w:t>&lt;Members&gt;</w:t>
      </w:r>
      <w:r>
        <w:t>France Jamet, António Tânger Corrêa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Considerando M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M bis.</w:t>
            </w:r>
            <w:r>
              <w:tab/>
            </w:r>
            <w:r>
              <w:rPr>
                <w:b/>
                <w:i/>
              </w:rPr>
              <w:t>Considerando que la pesca, por sí sola, no puede hacer todo lo necesario para restaurar los ecosistemas en el mar Mediterráneo;</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101</w:t>
      </w:r>
      <w:r>
        <w:rPr>
          <w:rStyle w:val="HideTWBExt"/>
        </w:rPr>
        <w:t>&lt;/NumAm&gt;</w:t>
      </w:r>
    </w:p>
    <w:p>
      <w:pPr>
        <w:pStyle w:val="NormalBold"/>
      </w:pPr>
      <w:r>
        <w:rPr>
          <w:rStyle w:val="HideTWBExt"/>
          <w:b w:val="0"/>
        </w:rPr>
        <w:t>&lt;RepeatBlock-By&gt;</w:t>
      </w:r>
      <w:r>
        <w:rPr>
          <w:rStyle w:val="HideTWBExt"/>
          <w:b w:val="0"/>
        </w:rPr>
        <w:t>&lt;Members&gt;</w:t>
      </w:r>
      <w:r>
        <w:t>Carmen Crespo Díaz, Isabelle Le Callennec, Paulo do Nascimento Cabral, Susana Solís Pérez, Francisco José Millán Mon, Fredis Beleris, Marco Falcone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Considerando M ter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M ter.</w:t>
            </w:r>
            <w:r>
              <w:tab/>
            </w:r>
            <w:r>
              <w:rPr>
                <w:b/>
                <w:i/>
              </w:rPr>
              <w:t>Considerando que la gestión y conservación de los recursos biológicos marinos es una de las escasas competencias exclusivas atribuidas a la Unión Europea;</w:t>
            </w:r>
            <w:r>
              <w:t xml:space="preserve"> </w:t>
            </w:r>
            <w:r>
              <w:rPr>
                <w:b/>
                <w:i/>
              </w:rPr>
              <w:t>considerando que esta responsabilidad exige a las instituciones europeas, y en particular a la Comisión, mantener un diálogo permanente con el sector y responder de manera efectiva a las preocupaciones planteadas por los ciudadanos y las comunidades que dependen de la actividad pesquera;</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102</w:t>
      </w:r>
      <w:r>
        <w:rPr>
          <w:rStyle w:val="HideTWBExt"/>
        </w:rPr>
        <w:t>&lt;/NumAm&gt;</w:t>
      </w:r>
    </w:p>
    <w:p>
      <w:pPr>
        <w:pStyle w:val="NormalBold"/>
      </w:pPr>
      <w:r>
        <w:rPr>
          <w:rStyle w:val="HideTWBExt"/>
          <w:b w:val="0"/>
        </w:rPr>
        <w:t>&lt;RepeatBlock-By&gt;</w:t>
      </w:r>
      <w:r>
        <w:rPr>
          <w:rStyle w:val="HideTWBExt"/>
          <w:b w:val="0"/>
        </w:rPr>
        <w:t>&lt;Members&gt;</w:t>
      </w:r>
      <w:r>
        <w:t>Sebastian Everding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Considerando M ter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M ter.</w:t>
            </w:r>
            <w:r>
              <w:tab/>
            </w:r>
            <w:r>
              <w:rPr>
                <w:b/>
                <w:i/>
              </w:rPr>
              <w:t>Considerando que la merluza europea sigue estando gravemente sobreexplotada en el Mediterráneo occidental y que las pruebas de que la merluza de talla inferior a la reglamentaria entra en el mercado apuntan a lagunas en la aplicación que socavan la recuperación;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103</w:t>
      </w:r>
      <w:r>
        <w:rPr>
          <w:rStyle w:val="HideTWBExt"/>
        </w:rPr>
        <w:t>&lt;/NumAm&gt;</w:t>
      </w:r>
    </w:p>
    <w:p>
      <w:pPr>
        <w:pStyle w:val="NormalBold"/>
      </w:pPr>
      <w:r>
        <w:rPr>
          <w:rStyle w:val="HideTWBExt"/>
          <w:b w:val="0"/>
        </w:rPr>
        <w:t>&lt;RepeatBlock-By&gt;</w:t>
      </w:r>
      <w:r>
        <w:rPr>
          <w:rStyle w:val="HideTWBExt"/>
          <w:b w:val="0"/>
        </w:rPr>
        <w:t>&lt;Members&gt;</w:t>
      </w:r>
      <w:r>
        <w:t>France Jamet, António Tânger Corrêa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Considerando M ter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M ter.</w:t>
            </w:r>
            <w:r>
              <w:tab/>
            </w:r>
            <w:r>
              <w:rPr>
                <w:b/>
                <w:i/>
              </w:rPr>
              <w:t>Considerando que existen múltiples causas de degradación de los ecosistemas en el mar Mediterráneo, en particular la contaminación industrial procedente de los países de la costa meridional;</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104</w:t>
      </w:r>
      <w:r>
        <w:rPr>
          <w:rStyle w:val="HideTWBExt"/>
        </w:rPr>
        <w:t>&lt;/NumAm&gt;</w:t>
      </w:r>
    </w:p>
    <w:p>
      <w:pPr>
        <w:pStyle w:val="NormalBold"/>
      </w:pPr>
      <w:r>
        <w:rPr>
          <w:rStyle w:val="HideTWBExt"/>
          <w:b w:val="0"/>
        </w:rPr>
        <w:t>&lt;RepeatBlock-By&gt;</w:t>
      </w:r>
      <w:r>
        <w:rPr>
          <w:rStyle w:val="HideTWBExt"/>
          <w:b w:val="0"/>
        </w:rPr>
        <w:t>&lt;Members&gt;</w:t>
      </w:r>
      <w:r>
        <w:t>Sebastian Everding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Considerando M quater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M quater.</w:t>
            </w:r>
            <w:r>
              <w:tab/>
            </w:r>
            <w:r>
              <w:rPr>
                <w:b/>
                <w:i/>
              </w:rPr>
              <w:t>Considerando que las olas de calor marinas están aumentando en el Mediterráneo occidental debido a los efectos del cambio climático y amenazan la biodiversidad marina;</w:t>
            </w:r>
            <w:r>
              <w:t xml:space="preserve"> </w:t>
            </w:r>
            <w:r>
              <w:rPr>
                <w:b/>
                <w:i/>
              </w:rPr>
              <w:t>que unas poblaciones de peces y unos ecosistemas sanos y resilientes son una condición previa para hacer frente a los efectos del cambio climático;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105</w:t>
      </w:r>
      <w:r>
        <w:rPr>
          <w:rStyle w:val="HideTWBExt"/>
        </w:rPr>
        <w:t>&lt;/NumAm&gt;</w:t>
      </w:r>
    </w:p>
    <w:p>
      <w:pPr>
        <w:pStyle w:val="NormalBold"/>
      </w:pPr>
      <w:r>
        <w:rPr>
          <w:rStyle w:val="HideTWBExt"/>
          <w:b w:val="0"/>
        </w:rPr>
        <w:t>&lt;RepeatBlock-By&gt;</w:t>
      </w:r>
      <w:r>
        <w:rPr>
          <w:rStyle w:val="HideTWBExt"/>
          <w:b w:val="0"/>
        </w:rPr>
        <w:t>&lt;Members&gt;</w:t>
      </w:r>
      <w:r>
        <w:t>Mélissa Camara</w:t>
      </w:r>
      <w:r>
        <w:rPr>
          <w:rStyle w:val="HideTWBExt"/>
          <w:b w:val="0"/>
        </w:rPr>
        <w:t>&lt;/Members&gt;</w:t>
      </w:r>
    </w:p>
    <w:p>
      <w:r>
        <w:rPr>
          <w:rStyle w:val="HideTWBExt"/>
          <w:b w:val="0"/>
        </w:rPr>
        <w:t>&lt;AuNomDe&gt;</w:t>
      </w:r>
      <w:r>
        <w:rPr>
          <w:rStyle w:val="HideTWBInt"/>
        </w:rPr>
        <w:t>{Verts/ALE}</w:t>
      </w:r>
      <w:r>
        <w:t>en nombre del Grupo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Epígrafe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Reformando</w:t>
            </w:r>
            <w:r>
              <w:t xml:space="preserve"> el plan multianual del Mediterráneo occidental</w:t>
            </w:r>
          </w:p>
        </w:tc>
        <w:tc>
          <w:tcPr>
            <w:tcW w:w="4876" w:type="dxa"/>
            <w:tcBorders>
              <w:top w:val="nil"/>
              <w:left w:val="nil"/>
              <w:bottom w:val="nil"/>
              <w:right w:val="nil"/>
            </w:tcBorders>
          </w:tcPr>
          <w:p>
            <w:pPr>
              <w:pStyle w:val="Normal6a"/>
            </w:pPr>
            <w:r>
              <w:rPr>
                <w:b/>
                <w:i/>
              </w:rPr>
              <w:t>Evaluando</w:t>
            </w:r>
            <w:r>
              <w:t xml:space="preserve"> el plan multianual del Mediterráneo occidental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106</w:t>
      </w:r>
      <w:r>
        <w:rPr>
          <w:rStyle w:val="HideTWBExt"/>
        </w:rPr>
        <w:t>&lt;/NumAm&gt;</w:t>
      </w:r>
    </w:p>
    <w:p>
      <w:pPr>
        <w:pStyle w:val="NormalBold"/>
      </w:pPr>
      <w:r>
        <w:rPr>
          <w:rStyle w:val="HideTWBExt"/>
          <w:b w:val="0"/>
        </w:rPr>
        <w:t>&lt;RepeatBlock-By&gt;</w:t>
      </w:r>
      <w:r>
        <w:rPr>
          <w:rStyle w:val="HideTWBExt"/>
          <w:b w:val="0"/>
        </w:rPr>
        <w:t>&lt;Members&gt;</w:t>
      </w:r>
      <w:r>
        <w:t>Nicolás González Casares, Leire Pajín, Alicia Homs Ginel, Sandra Gómez López, Javi López, Laura Ballarín Cereza, Marcos Ros Sempere, Idoia Mendia, Lina Gálvez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Destaca los esfuerzos realizados por el sector para adaptarse a las exigencias del plan plurianual y que han dado como resultado una reducción notable de la mortalidad por pesca, una recuperación significativa de las poblaciones evaluadas, incrementos en los niveles de biomasa y acercamiento significativo al rendimiento máximo sostenible;</w:t>
            </w:r>
            <w:r>
              <w:t xml:space="preserve"> </w:t>
            </w:r>
            <w:r>
              <w:rPr>
                <w:b/>
                <w:i/>
              </w:rPr>
              <w:t>hace hincapié en que estas medidas han tenido un coste social elevado, con una reducción superior al 40% del esfuerzo de arrastre entre 2020 y 2024 y disminución tanto en el empleo como en los salarios medios, especialmente de la flota a pequeña escala (</w:t>
            </w:r>
            <w:r>
              <w:rPr>
                <w:b/>
                <w:i/>
                <w:vertAlign w:val="superscript"/>
              </w:rPr>
              <w:t>1 a</w:t>
            </w:r>
            <w:r>
              <w:rPr>
                <w:b/>
                <w:i/>
              </w:rPr>
              <w:t>);</w:t>
            </w:r>
            <w:r>
              <w:t xml:space="preserve"> </w:t>
            </w:r>
            <w:r>
              <w:rPr>
                <w:b/>
                <w:i/>
              </w:rPr>
              <w:t>lamenta la falta de flexibilidad mostrada por la Comisión en la implementación del plan plurianual y reclama un cambio de actitud para garantizar la viabilidad del sector y de las comunidades costeras afectadas;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 a</w:t>
            </w:r>
            <w:r>
              <w:t xml:space="preserve"> </w:t>
            </w:r>
            <w:r>
              <w:rPr>
                <w:b/>
                <w:i/>
              </w:rPr>
              <w:t>Primer informe sobre la aplicación del plan plurianual para la pesca demersal en el Mediterráneo occidental.</w:t>
            </w:r>
            <w:r>
              <w:t xml:space="preserve"> </w:t>
            </w:r>
            <w:r>
              <w:rPr>
                <w:b/>
                <w:i/>
              </w:rPr>
              <w:t>COM(2024) 322 final</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107</w:t>
      </w:r>
      <w:r>
        <w:rPr>
          <w:rStyle w:val="HideTWBExt"/>
        </w:rPr>
        <w:t>&lt;/NumAm&gt;</w:t>
      </w:r>
    </w:p>
    <w:p>
      <w:pPr>
        <w:pStyle w:val="NormalBold"/>
      </w:pPr>
      <w:r>
        <w:rPr>
          <w:rStyle w:val="HideTWBExt"/>
          <w:b w:val="0"/>
        </w:rPr>
        <w:t>&lt;RepeatBlock-By&gt;</w:t>
      </w:r>
      <w:r>
        <w:rPr>
          <w:rStyle w:val="HideTWBExt"/>
          <w:b w:val="0"/>
        </w:rPr>
        <w:t>&lt;Members&gt;</w:t>
      </w:r>
      <w:r>
        <w:t>Sebastian Everding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 – parte introductoria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rPr>
                <w:b/>
                <w:i/>
              </w:rPr>
              <w:t>Urge</w:t>
            </w:r>
            <w:r>
              <w:t xml:space="preserve"> a la Comisión a que</w:t>
            </w:r>
            <w:r>
              <w:rPr>
                <w:b/>
                <w:i/>
              </w:rPr>
              <w:t>, antes del 1 de diciembre de 2026, presente una propuesta legislativa de amplia reforma del Reglamento (UE) 2019/1022</w:t>
            </w:r>
            <w:r>
              <w:t xml:space="preserve">, mediante </w:t>
            </w:r>
            <w:r>
              <w:rPr>
                <w:b/>
                <w:i/>
              </w:rPr>
              <w:t>la modificación de los siguientes aspectos</w:t>
            </w:r>
            <w:r>
              <w:t>:</w:t>
            </w:r>
          </w:p>
        </w:tc>
        <w:tc>
          <w:tcPr>
            <w:tcW w:w="4876" w:type="dxa"/>
            <w:tcBorders>
              <w:top w:val="nil"/>
              <w:left w:val="nil"/>
              <w:bottom w:val="nil"/>
              <w:right w:val="nil"/>
            </w:tcBorders>
          </w:tcPr>
          <w:p>
            <w:pPr>
              <w:pStyle w:val="Normal6a"/>
            </w:pPr>
            <w:r>
              <w:t>1.</w:t>
            </w:r>
            <w:r>
              <w:tab/>
            </w:r>
            <w:r>
              <w:rPr>
                <w:b/>
                <w:i/>
              </w:rPr>
              <w:t>Insta</w:t>
            </w:r>
            <w:r>
              <w:t xml:space="preserve"> a la Comisión a que </w:t>
            </w:r>
            <w:r>
              <w:rPr>
                <w:b/>
                <w:i/>
              </w:rPr>
              <w:t>siga aplicando los objetivos del Mediterráneo occidental con el fin de restaurar eficazmente las poblaciones de peces, tras una evaluación exhaustiva de impacto científico, medioambiental, climático, socioeconómico y en materia de bienestar animal que reconozca el valor intrínseco de los animales marinos y contribuya a reducir progresivamente las muertes y el sufrimiento evitables causados por las actividades pesqueras</w:t>
            </w:r>
            <w:r>
              <w:t>, mediante: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108</w:t>
      </w:r>
      <w:r>
        <w:rPr>
          <w:rStyle w:val="HideTWBExt"/>
        </w:rPr>
        <w:t>&lt;/NumAm&gt;</w:t>
      </w:r>
    </w:p>
    <w:p>
      <w:pPr>
        <w:pStyle w:val="NormalBold"/>
      </w:pPr>
      <w:r>
        <w:rPr>
          <w:rStyle w:val="HideTWBExt"/>
          <w:b w:val="0"/>
        </w:rPr>
        <w:t>&lt;RepeatBlock-By&gt;</w:t>
      </w:r>
      <w:r>
        <w:rPr>
          <w:rStyle w:val="HideTWBExt"/>
          <w:b w:val="0"/>
        </w:rPr>
        <w:t>&lt;Members&gt;</w:t>
      </w:r>
      <w:r>
        <w:t>Nicolás González Casares, Leire Pajín, Alicia Homs Ginel, Sandra Gómez López, Javi López, Laura Ballarín Cereza, Marcos Ros Sempere, Idoia Mendia, Lina Gálvez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 – parte introductoria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Urge a la Comisión a que, antes del 1 de diciembre de 2026, presente una propuesta legislativa de </w:t>
            </w:r>
            <w:r>
              <w:rPr>
                <w:b/>
                <w:i/>
              </w:rPr>
              <w:t>amplia</w:t>
            </w:r>
            <w:r>
              <w:t xml:space="preserve"> reforma del Reglamento (UE) 2019/1022, mediante la modificación de los siguientes aspectos:</w:t>
            </w:r>
          </w:p>
        </w:tc>
        <w:tc>
          <w:tcPr>
            <w:tcW w:w="4876" w:type="dxa"/>
            <w:tcBorders>
              <w:top w:val="nil"/>
              <w:left w:val="nil"/>
              <w:bottom w:val="nil"/>
              <w:right w:val="nil"/>
            </w:tcBorders>
          </w:tcPr>
          <w:p>
            <w:pPr>
              <w:pStyle w:val="Normal6a"/>
            </w:pPr>
            <w:r>
              <w:t>1.</w:t>
            </w:r>
            <w:r>
              <w:tab/>
            </w:r>
            <w:r>
              <w:t xml:space="preserve">Urge a la Comisión a que, antes del 1 de diciembre de 2026, </w:t>
            </w:r>
            <w:r>
              <w:rPr>
                <w:b/>
                <w:i/>
              </w:rPr>
              <w:t>y teniendo en cuenta las aportaciones de las partes interesadas en la consulta pública sobre los planes de gestión plurianuales,</w:t>
            </w:r>
            <w:r>
              <w:t xml:space="preserve"> presente una propuesta legislativa de reforma del Reglamento (UE) 2019/1022, mediante la modificación de los siguientes aspectos:</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109</w:t>
      </w:r>
      <w:r>
        <w:rPr>
          <w:rStyle w:val="HideTWBExt"/>
        </w:rPr>
        <w:t>&lt;/NumAm&gt;</w:t>
      </w:r>
    </w:p>
    <w:p>
      <w:pPr>
        <w:pStyle w:val="NormalBold"/>
      </w:pPr>
      <w:r>
        <w:rPr>
          <w:rStyle w:val="HideTWBExt"/>
          <w:b w:val="0"/>
        </w:rPr>
        <w:t>&lt;RepeatBlock-By&gt;</w:t>
      </w:r>
      <w:r>
        <w:rPr>
          <w:rStyle w:val="HideTWBExt"/>
          <w:b w:val="0"/>
        </w:rPr>
        <w:t>&lt;Members&gt;</w:t>
      </w:r>
      <w:r>
        <w:t>Emma Wiesner,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 – parte introductoria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rPr>
                <w:b/>
                <w:i/>
              </w:rPr>
              <w:t>Urge</w:t>
            </w:r>
            <w:r>
              <w:t xml:space="preserve"> a la Comisión a que</w:t>
            </w:r>
            <w:r>
              <w:rPr>
                <w:b/>
                <w:i/>
              </w:rPr>
              <w:t>, antes del</w:t>
            </w:r>
            <w:r>
              <w:t xml:space="preserve"> 1 de diciembre de 2026, </w:t>
            </w:r>
            <w:r>
              <w:rPr>
                <w:b/>
                <w:i/>
              </w:rPr>
              <w:t>presente una propuesta legislativa de amplia reforma del</w:t>
            </w:r>
            <w:r>
              <w:t xml:space="preserve"> Reglamento (UE) 2019/1022, </w:t>
            </w:r>
            <w:r>
              <w:rPr>
                <w:b/>
                <w:i/>
              </w:rPr>
              <w:t>mediante la modificación de</w:t>
            </w:r>
            <w:r>
              <w:t xml:space="preserve"> los siguientes </w:t>
            </w:r>
            <w:r>
              <w:rPr>
                <w:b/>
                <w:i/>
              </w:rPr>
              <w:t>aspectos</w:t>
            </w:r>
            <w:r>
              <w:t>:</w:t>
            </w:r>
          </w:p>
        </w:tc>
        <w:tc>
          <w:tcPr>
            <w:tcW w:w="4876" w:type="dxa"/>
            <w:tcBorders>
              <w:top w:val="nil"/>
              <w:left w:val="nil"/>
              <w:bottom w:val="nil"/>
              <w:right w:val="nil"/>
            </w:tcBorders>
          </w:tcPr>
          <w:p>
            <w:pPr>
              <w:pStyle w:val="Normal6a"/>
            </w:pPr>
            <w:r>
              <w:t>1.</w:t>
            </w:r>
            <w:r>
              <w:tab/>
            </w:r>
            <w:r>
              <w:rPr>
                <w:b/>
                <w:i/>
              </w:rPr>
              <w:t>Insta</w:t>
            </w:r>
            <w:r>
              <w:t xml:space="preserve"> a la Comisión a que </w:t>
            </w:r>
            <w:r>
              <w:rPr>
                <w:b/>
                <w:i/>
              </w:rPr>
              <w:t>presente, a más tardar el</w:t>
            </w:r>
            <w:r>
              <w:t xml:space="preserve"> 1 de diciembre de 2026, </w:t>
            </w:r>
            <w:r>
              <w:rPr>
                <w:b/>
                <w:i/>
              </w:rPr>
              <w:t>propuestas legislativas y no legislativas para abordar los retos señalados en el</w:t>
            </w:r>
            <w:r>
              <w:t xml:space="preserve"> Reglamento (UE) 2019/1022, </w:t>
            </w:r>
            <w:r>
              <w:rPr>
                <w:b/>
                <w:i/>
              </w:rPr>
              <w:t>abordando en particular</w:t>
            </w:r>
            <w:r>
              <w:t xml:space="preserve"> los siguientes </w:t>
            </w:r>
            <w:r>
              <w:rPr>
                <w:b/>
                <w:i/>
              </w:rPr>
              <w:t>elementos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110</w:t>
      </w:r>
      <w:r>
        <w:rPr>
          <w:rStyle w:val="HideTWBExt"/>
        </w:rPr>
        <w:t>&lt;/NumAm&gt;</w:t>
      </w:r>
    </w:p>
    <w:p>
      <w:pPr>
        <w:pStyle w:val="NormalBold"/>
      </w:pPr>
      <w:r>
        <w:rPr>
          <w:rStyle w:val="HideTWBExt"/>
          <w:b w:val="0"/>
        </w:rPr>
        <w:t>&lt;RepeatBlock-By&gt;</w:t>
      </w:r>
      <w:r>
        <w:rPr>
          <w:rStyle w:val="HideTWBExt"/>
          <w:b w:val="0"/>
        </w:rPr>
        <w:t>&lt;Members&gt;</w:t>
      </w:r>
      <w:r>
        <w:t>Mélissa Camara</w:t>
      </w:r>
      <w:r>
        <w:rPr>
          <w:rStyle w:val="HideTWBExt"/>
          <w:b w:val="0"/>
        </w:rPr>
        <w:t>&lt;/Members&gt;</w:t>
      </w:r>
    </w:p>
    <w:p>
      <w:r>
        <w:rPr>
          <w:rStyle w:val="HideTWBExt"/>
          <w:b w:val="0"/>
        </w:rPr>
        <w:t>&lt;AuNomDe&gt;</w:t>
      </w:r>
      <w:r>
        <w:rPr>
          <w:rStyle w:val="HideTWBInt"/>
        </w:rPr>
        <w:t>{Verts/ALE}</w:t>
      </w:r>
      <w:r>
        <w:t>en nombre del Grupo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 – parte introductoria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rPr>
                <w:b/>
                <w:i/>
              </w:rPr>
              <w:t>Urge</w:t>
            </w:r>
            <w:r>
              <w:t xml:space="preserve"> a la Comisión </w:t>
            </w:r>
            <w:r>
              <w:rPr>
                <w:b/>
                <w:i/>
              </w:rPr>
              <w:t>a que, antes del 1 de diciembre de 2026,</w:t>
            </w:r>
            <w:r>
              <w:t xml:space="preserve"> presente una </w:t>
            </w:r>
            <w:r>
              <w:rPr>
                <w:b/>
                <w:i/>
              </w:rPr>
              <w:t>propuesta legislativa de amplia reforma</w:t>
            </w:r>
            <w:r>
              <w:t xml:space="preserve"> del Reglamento (UE) 2019/1022, </w:t>
            </w:r>
            <w:r>
              <w:rPr>
                <w:b/>
                <w:i/>
              </w:rPr>
              <w:t>mediante la modificación de los siguientes aspectos</w:t>
            </w:r>
            <w:r>
              <w:t>:</w:t>
            </w:r>
          </w:p>
        </w:tc>
        <w:tc>
          <w:tcPr>
            <w:tcW w:w="4876" w:type="dxa"/>
            <w:tcBorders>
              <w:top w:val="nil"/>
              <w:left w:val="nil"/>
              <w:bottom w:val="nil"/>
              <w:right w:val="nil"/>
            </w:tcBorders>
          </w:tcPr>
          <w:p>
            <w:pPr>
              <w:pStyle w:val="Normal6a"/>
            </w:pPr>
            <w:r>
              <w:t>1.</w:t>
            </w:r>
            <w:r>
              <w:tab/>
            </w:r>
            <w:r>
              <w:rPr>
                <w:b/>
                <w:i/>
              </w:rPr>
              <w:t>Pide</w:t>
            </w:r>
            <w:r>
              <w:t xml:space="preserve"> a la Comisión </w:t>
            </w:r>
            <w:r>
              <w:rPr>
                <w:b/>
                <w:i/>
              </w:rPr>
              <w:t>que</w:t>
            </w:r>
            <w:r>
              <w:t xml:space="preserve"> presente una </w:t>
            </w:r>
            <w:r>
              <w:rPr>
                <w:b/>
                <w:i/>
              </w:rPr>
              <w:t>evaluación</w:t>
            </w:r>
            <w:r>
              <w:t xml:space="preserve"> del Reglamento (UE) 2019/1022, </w:t>
            </w:r>
            <w:r>
              <w:rPr>
                <w:b/>
                <w:i/>
              </w:rPr>
              <w:t>que incluya el siguiente tema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111</w:t>
      </w:r>
      <w:r>
        <w:rPr>
          <w:rStyle w:val="HideTWBExt"/>
        </w:rPr>
        <w:t>&lt;/NumAm&gt;</w:t>
      </w:r>
    </w:p>
    <w:p>
      <w:pPr>
        <w:pStyle w:val="NormalBold"/>
      </w:pPr>
      <w:r>
        <w:rPr>
          <w:rStyle w:val="HideTWBExt"/>
          <w:b w:val="0"/>
        </w:rPr>
        <w:t>&lt;RepeatBlock-By&gt;</w:t>
      </w:r>
      <w:r>
        <w:rPr>
          <w:rStyle w:val="HideTWBExt"/>
          <w:b w:val="0"/>
        </w:rPr>
        <w:t>&lt;Members&gt;</w:t>
      </w:r>
      <w:r>
        <w:t>Carmen Crespo Díaz, Isabelle Le Callennec, Paulo do Nascimento Cabral, Susana Solís Pérez, Francisco José Millán Mon, Fredis Beleris, Marco Falcone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 – parte introductoria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Urge a la Comisión a que, antes del 1 de diciembre de 2026, presente una propuesta legislativa de amplia reforma del Reglamento (UE) 2019/1022, mediante la modificación de los siguientes aspectos:</w:t>
            </w:r>
          </w:p>
        </w:tc>
        <w:tc>
          <w:tcPr>
            <w:tcW w:w="4876" w:type="dxa"/>
            <w:tcBorders>
              <w:top w:val="nil"/>
              <w:left w:val="nil"/>
              <w:bottom w:val="nil"/>
              <w:right w:val="nil"/>
            </w:tcBorders>
          </w:tcPr>
          <w:p>
            <w:pPr>
              <w:pStyle w:val="Normal6a"/>
            </w:pPr>
            <w:r>
              <w:t>1.</w:t>
            </w:r>
            <w:r>
              <w:tab/>
            </w:r>
            <w:r>
              <w:t>Urge a la Comisión a que, antes del 1 de diciembre de 2026, presente una propuesta legislativa de amplia reforma del Reglamento (UE) 2019/1022, mediante la modificación</w:t>
            </w:r>
            <w:r>
              <w:rPr>
                <w:b/>
                <w:i/>
              </w:rPr>
              <w:t>, como mínimo,</w:t>
            </w:r>
            <w:r>
              <w:t xml:space="preserve"> de los siguientes aspectos:</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112</w:t>
      </w:r>
      <w:r>
        <w:rPr>
          <w:rStyle w:val="HideTWBExt"/>
        </w:rPr>
        <w:t>&lt;/NumAm&gt;</w:t>
      </w:r>
    </w:p>
    <w:p>
      <w:pPr>
        <w:pStyle w:val="NormalBold"/>
      </w:pPr>
      <w:r>
        <w:rPr>
          <w:rStyle w:val="HideTWBExt"/>
          <w:b w:val="0"/>
        </w:rPr>
        <w:t>&lt;RepeatBlock-By&gt;</w:t>
      </w:r>
      <w:r>
        <w:rPr>
          <w:rStyle w:val="HideTWBExt"/>
          <w:b w:val="0"/>
        </w:rPr>
        <w:t>&lt;Members&gt;</w:t>
      </w:r>
      <w:r>
        <w:t>Mélissa Camara</w:t>
      </w:r>
      <w:r>
        <w:rPr>
          <w:rStyle w:val="HideTWBExt"/>
          <w:b w:val="0"/>
        </w:rPr>
        <w:t>&lt;/Members&gt;</w:t>
      </w:r>
    </w:p>
    <w:p>
      <w:r>
        <w:rPr>
          <w:rStyle w:val="HideTWBExt"/>
          <w:b w:val="0"/>
        </w:rPr>
        <w:t>&lt;AuNomDe&gt;</w:t>
      </w:r>
      <w:r>
        <w:rPr>
          <w:rStyle w:val="HideTWBInt"/>
        </w:rPr>
        <w:t>{Verts/ALE}</w:t>
      </w:r>
      <w:r>
        <w:t>en nombre del Grupo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 – letra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A)</w:t>
            </w:r>
            <w:r>
              <w:tab/>
            </w:r>
            <w:r>
              <w:rPr>
                <w:b/>
                <w:i/>
              </w:rPr>
              <w:t>sustituir las normas vigentes de reducción del esfuerzo presentes en el artículo 4, apartado 3 por un enfoque específico de gestión de la pesca mixta, tal como se aplica en otros planes plurianuales, abandonando la limitación de días de pesca debido a las «especies de estrangulamiento»;</w:t>
            </w:r>
          </w:p>
        </w:tc>
        <w:tc>
          <w:tcPr>
            <w:tcW w:w="4876" w:type="dxa"/>
            <w:tcBorders>
              <w:top w:val="nil"/>
              <w:left w:val="nil"/>
              <w:bottom w:val="nil"/>
              <w:right w:val="nil"/>
            </w:tcBorders>
          </w:tcPr>
          <w:p>
            <w:pPr>
              <w:pStyle w:val="Normal6a"/>
            </w:pPr>
            <w:r>
              <w:rPr>
                <w:b/>
                <w:i/>
              </w:rPr>
              <w:t>suprimido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113</w:t>
      </w:r>
      <w:r>
        <w:rPr>
          <w:rStyle w:val="HideTWBExt"/>
        </w:rPr>
        <w:t>&lt;/NumAm&gt;</w:t>
      </w:r>
    </w:p>
    <w:p>
      <w:pPr>
        <w:pStyle w:val="NormalBold"/>
      </w:pPr>
      <w:r>
        <w:rPr>
          <w:rStyle w:val="HideTWBExt"/>
          <w:b w:val="0"/>
        </w:rPr>
        <w:t>&lt;RepeatBlock-By&gt;</w:t>
      </w:r>
      <w:r>
        <w:rPr>
          <w:rStyle w:val="HideTWBExt"/>
          <w:b w:val="0"/>
        </w:rPr>
        <w:t>&lt;Members&gt;</w:t>
      </w:r>
      <w:r>
        <w:t>Nora Junco García, Kristoffer Storm, Piotr Müller, Stephen Nikola Bartulica, Sander Smit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 – letra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sustituir las normas vigentes de reducción del esfuerzo presentes en el artículo 4, apartado 3 por un enfoque específico de gestión de la pesca mixta, tal como se aplica en otros planes plurianuales, abandonando la limitación de días de pesca </w:t>
            </w:r>
            <w:r>
              <w:rPr>
                <w:b/>
                <w:i/>
              </w:rPr>
              <w:t>debido a las</w:t>
            </w:r>
            <w:r>
              <w:t xml:space="preserve"> «especies de estrangulamiento»</w:t>
            </w:r>
            <w:r>
              <w:rPr>
                <w:b/>
                <w:i/>
              </w:rPr>
              <w:t>;</w:t>
            </w:r>
          </w:p>
        </w:tc>
        <w:tc>
          <w:tcPr>
            <w:tcW w:w="4876" w:type="dxa"/>
            <w:tcBorders>
              <w:top w:val="nil"/>
              <w:left w:val="nil"/>
              <w:bottom w:val="nil"/>
              <w:right w:val="nil"/>
            </w:tcBorders>
          </w:tcPr>
          <w:p>
            <w:pPr>
              <w:pStyle w:val="Normal6a"/>
            </w:pPr>
            <w:r>
              <w:t>A)</w:t>
            </w:r>
            <w:r>
              <w:tab/>
            </w:r>
            <w:r>
              <w:rPr>
                <w:b/>
                <w:i/>
              </w:rPr>
              <w:t>suprimir la definición de «población más vulnerable» del artículo 2 y</w:t>
            </w:r>
            <w:r>
              <w:t xml:space="preserve"> sustituir las normas vigentes de reducción del esfuerzo presentes en el artículo 4, apartado 3</w:t>
            </w:r>
            <w:r>
              <w:rPr>
                <w:b/>
                <w:i/>
              </w:rPr>
              <w:t>,</w:t>
            </w:r>
            <w:r>
              <w:t xml:space="preserve"> por un enfoque específico de gestión de la pesca mixta, tal como se aplica en otros planes plurianuales </w:t>
            </w:r>
            <w:r>
              <w:rPr>
                <w:b/>
                <w:i/>
              </w:rPr>
              <w:t>de la Unión</w:t>
            </w:r>
            <w:r>
              <w:t xml:space="preserve">, abandonando la limitación de días de pesca </w:t>
            </w:r>
            <w:r>
              <w:rPr>
                <w:b/>
                <w:i/>
              </w:rPr>
              <w:t>basada en las denominadas</w:t>
            </w:r>
            <w:r>
              <w:t xml:space="preserve"> «especies de estrangulamiento» </w:t>
            </w:r>
            <w:r>
              <w:rPr>
                <w:b/>
                <w:i/>
              </w:rPr>
              <w:t>y sustituyéndola por un sistema de gestión multiespecífica que pondere el conjunto de las poblaciones capturadas simultáneamente</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114</w:t>
      </w:r>
      <w:r>
        <w:rPr>
          <w:rStyle w:val="HideTWBExt"/>
        </w:rPr>
        <w:t>&lt;/NumAm&gt;</w:t>
      </w:r>
    </w:p>
    <w:p>
      <w:pPr>
        <w:pStyle w:val="NormalBold"/>
      </w:pPr>
      <w:r>
        <w:rPr>
          <w:rStyle w:val="HideTWBExt"/>
          <w:b w:val="0"/>
        </w:rPr>
        <w:t>&lt;RepeatBlock-By&gt;</w:t>
      </w:r>
      <w:r>
        <w:rPr>
          <w:rStyle w:val="HideTWBExt"/>
          <w:b w:val="0"/>
        </w:rPr>
        <w:t>&lt;Members&gt;</w:t>
      </w:r>
      <w:r>
        <w:t>Nicolás González Casares, Leire Pajín, Alicia Homs Ginel, Sandra Gómez López, Javi López, Laura Ballarín Cereza, Marcos Ros Sempere, Idoia Mendia, Lina Gálvez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 – letra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rPr>
                <w:b/>
                <w:i/>
              </w:rPr>
              <w:t>sustituir</w:t>
            </w:r>
            <w:r>
              <w:t xml:space="preserve"> las normas vigentes de reducción del esfuerzo presentes en el artículo 4, apartado 3 </w:t>
            </w:r>
            <w:r>
              <w:rPr>
                <w:b/>
                <w:i/>
              </w:rPr>
              <w:t>por</w:t>
            </w:r>
            <w:r>
              <w:t xml:space="preserve"> un enfoque específico de gestión de la pesca mixta, tal como se aplica en otros planes plurianuales, abandonando la limitación de días de pesca debido a las «especies de estrangulamiento»;</w:t>
            </w:r>
          </w:p>
        </w:tc>
        <w:tc>
          <w:tcPr>
            <w:tcW w:w="4876" w:type="dxa"/>
            <w:tcBorders>
              <w:top w:val="nil"/>
              <w:left w:val="nil"/>
              <w:bottom w:val="nil"/>
              <w:right w:val="nil"/>
            </w:tcBorders>
          </w:tcPr>
          <w:p>
            <w:pPr>
              <w:pStyle w:val="Normal6a"/>
            </w:pPr>
            <w:r>
              <w:t>A)</w:t>
            </w:r>
            <w:r>
              <w:tab/>
            </w:r>
            <w:r>
              <w:rPr>
                <w:b/>
                <w:i/>
              </w:rPr>
              <w:t>modificar</w:t>
            </w:r>
            <w:r>
              <w:t xml:space="preserve"> las normas vigentes de reducción del esfuerzo presentes en el artículo 4, apartado 3 </w:t>
            </w:r>
            <w:r>
              <w:rPr>
                <w:b/>
                <w:i/>
              </w:rPr>
              <w:t>para introducir</w:t>
            </w:r>
            <w:r>
              <w:t xml:space="preserve"> un enfoque específico de gestión de la pesca mixta, tal como se aplica en otros planes plurianuales, </w:t>
            </w:r>
            <w:r>
              <w:rPr>
                <w:b/>
                <w:i/>
              </w:rPr>
              <w:t>que tenga en cuenta la dificultad de explotar todas las poblaciones al rendimiento máximo sostenible de manera simultánea, en particular cuando ello pueda dar lugar al cierre prematuro de la pesquería,</w:t>
            </w:r>
            <w:r>
              <w:t xml:space="preserve"> abandonando la limitación de días de pesca debido a las «especies de estrangulamiento»;</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115</w:t>
      </w:r>
      <w:r>
        <w:rPr>
          <w:rStyle w:val="HideTWBExt"/>
        </w:rPr>
        <w:t>&lt;/NumAm&gt;</w:t>
      </w:r>
    </w:p>
    <w:p>
      <w:pPr>
        <w:pStyle w:val="NormalBold"/>
      </w:pPr>
      <w:r>
        <w:rPr>
          <w:rStyle w:val="HideTWBExt"/>
          <w:b w:val="0"/>
        </w:rPr>
        <w:t>&lt;RepeatBlock-By&gt;</w:t>
      </w:r>
      <w:r>
        <w:rPr>
          <w:rStyle w:val="HideTWBExt"/>
          <w:b w:val="0"/>
        </w:rPr>
        <w:t>&lt;Members&gt;</w:t>
      </w:r>
      <w:r>
        <w:t>Carmen Crespo Díaz, Isabelle Le Callennec, Paulo do Nascimento Cabral, Susana Solís Pérez, Francisco José Millán Mon, Fredis Beleris, Marco Falcone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 – letra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sustituir las normas vigentes de reducción del esfuerzo presentes en el artículo 4, apartado 3 por un enfoque específico de gestión de la pesca mixta, tal como se aplica en otros planes plurianuales, abandonando la limitación de días de pesca debido a las «especies de estrangulamiento»;</w:t>
            </w:r>
          </w:p>
        </w:tc>
        <w:tc>
          <w:tcPr>
            <w:tcW w:w="4876" w:type="dxa"/>
            <w:tcBorders>
              <w:top w:val="nil"/>
              <w:left w:val="nil"/>
              <w:bottom w:val="nil"/>
              <w:right w:val="nil"/>
            </w:tcBorders>
          </w:tcPr>
          <w:p>
            <w:pPr>
              <w:pStyle w:val="Normal6a"/>
            </w:pPr>
            <w:r>
              <w:t>A)</w:t>
            </w:r>
            <w:r>
              <w:tab/>
            </w:r>
            <w:r>
              <w:t xml:space="preserve">sustituir las normas vigentes de reducción del esfuerzo presentes en el artículo 4, apartado 3 por un enfoque específico de gestión de la pesca mixta, tal como se aplica en otros planes plurianuales, abandonando la limitación de días de pesca debido a las «especies de estrangulamiento» </w:t>
            </w:r>
            <w:r>
              <w:rPr>
                <w:b/>
                <w:i/>
              </w:rPr>
              <w:t>dado que la situación de la especie no se debe únicamente al esfuerzo pesquero, sino también a factores exógenos, como la subida de las temperaturas derivado del cambio climático y la polución, entre otros</w:t>
            </w:r>
            <w:r>
              <w:t>;</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116</w:t>
      </w:r>
      <w:r>
        <w:rPr>
          <w:rStyle w:val="HideTWBExt"/>
        </w:rPr>
        <w:t>&lt;/NumAm&gt;</w:t>
      </w:r>
    </w:p>
    <w:p>
      <w:pPr>
        <w:pStyle w:val="NormalBold"/>
      </w:pPr>
      <w:r>
        <w:rPr>
          <w:rStyle w:val="HideTWBExt"/>
          <w:b w:val="0"/>
        </w:rPr>
        <w:t>&lt;RepeatBlock-By&gt;</w:t>
      </w:r>
      <w:r>
        <w:rPr>
          <w:rStyle w:val="HideTWBExt"/>
          <w:b w:val="0"/>
        </w:rPr>
        <w:t>&lt;Members&gt;</w:t>
      </w:r>
      <w:r>
        <w:t>Eric Sargiacomo, Nicolás González Casares, Giuseppe Lupo, Sakis Arnaoutoglou, Idoia Mendia, Claire Fita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 – letra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sustituir las normas vigentes de reducción del esfuerzo presentes en el artículo 4, apartado 3 por un enfoque específico de gestión de la pesca mixta</w:t>
            </w:r>
            <w:r>
              <w:rPr>
                <w:b/>
                <w:i/>
              </w:rPr>
              <w:t>, tal como se aplica en otros planes plurianuales, abandonando</w:t>
            </w:r>
            <w:r>
              <w:t xml:space="preserve"> la limitación de días de pesca debido a las «especies de estrangulamiento»;</w:t>
            </w:r>
          </w:p>
        </w:tc>
        <w:tc>
          <w:tcPr>
            <w:tcW w:w="4876" w:type="dxa"/>
            <w:tcBorders>
              <w:top w:val="nil"/>
              <w:left w:val="nil"/>
              <w:bottom w:val="nil"/>
              <w:right w:val="nil"/>
            </w:tcBorders>
          </w:tcPr>
          <w:p>
            <w:pPr>
              <w:pStyle w:val="Normal6a"/>
            </w:pPr>
            <w:r>
              <w:t>A)</w:t>
            </w:r>
            <w:r>
              <w:tab/>
            </w:r>
            <w:r>
              <w:t>sustituir las normas vigentes de reducción del esfuerzo presentes en el artículo 4, apartado 3</w:t>
            </w:r>
            <w:r>
              <w:rPr>
                <w:b/>
                <w:i/>
              </w:rPr>
              <w:t>,</w:t>
            </w:r>
            <w:r>
              <w:t xml:space="preserve"> por un enfoque específico de gestión de la pesca mixta </w:t>
            </w:r>
            <w:r>
              <w:rPr>
                <w:b/>
                <w:i/>
              </w:rPr>
              <w:t>basado en los mejores dictámenes científicos disponibles, teniendo en cuenta la situación biológica de todas las principales poblaciones explotadas, como un índice ponderado, y manteniendo el objetivo de alcanzar el rendimiento máximo sostenible para cada población, y abandonar</w:t>
            </w:r>
            <w:r>
              <w:t xml:space="preserve"> la limitación de días de pesca debido a las «especies de estrangulamiento»;</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117</w:t>
      </w:r>
      <w:r>
        <w:rPr>
          <w:rStyle w:val="HideTWBExt"/>
        </w:rPr>
        <w:t>&lt;/NumAm&gt;</w:t>
      </w:r>
    </w:p>
    <w:p>
      <w:pPr>
        <w:pStyle w:val="NormalBold"/>
      </w:pPr>
      <w:r>
        <w:rPr>
          <w:rStyle w:val="HideTWBExt"/>
          <w:b w:val="0"/>
        </w:rPr>
        <w:t>&lt;RepeatBlock-By&gt;</w:t>
      </w:r>
      <w:r>
        <w:rPr>
          <w:rStyle w:val="HideTWBExt"/>
          <w:b w:val="0"/>
        </w:rPr>
        <w:t>&lt;Members&gt;</w:t>
      </w:r>
      <w:r>
        <w:t>Isabelle Le Callennec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 – letra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sustituir las normas vigentes de reducción del esfuerzo presentes en el artículo 4, apartado 3 por un enfoque específico de gestión de la pesca mixta, tal como se aplica en otros planes plurianuales, </w:t>
            </w:r>
            <w:r>
              <w:rPr>
                <w:b/>
                <w:i/>
              </w:rPr>
              <w:t>abandonando</w:t>
            </w:r>
            <w:r>
              <w:t xml:space="preserve"> la limitación de días de pesca debido a las «especies de estrangulamiento»;</w:t>
            </w:r>
          </w:p>
        </w:tc>
        <w:tc>
          <w:tcPr>
            <w:tcW w:w="4876" w:type="dxa"/>
            <w:tcBorders>
              <w:top w:val="nil"/>
              <w:left w:val="nil"/>
              <w:bottom w:val="nil"/>
              <w:right w:val="nil"/>
            </w:tcBorders>
          </w:tcPr>
          <w:p>
            <w:pPr>
              <w:pStyle w:val="Normal6a"/>
            </w:pPr>
            <w:r>
              <w:t>A)</w:t>
            </w:r>
            <w:r>
              <w:tab/>
            </w:r>
            <w:r>
              <w:t xml:space="preserve">sustituir las normas vigentes de reducción del esfuerzo presentes en el artículo 4, apartado 3 por un enfoque específico de gestión de la pesca mixta, tal como se aplica en otros planes plurianuales, </w:t>
            </w:r>
            <w:r>
              <w:rPr>
                <w:b/>
                <w:i/>
              </w:rPr>
              <w:t>calcular la evolución del esfuerzo pesquero a partir del año N-1 para reflejar mejor la realidad de la actividad y pasar de</w:t>
            </w:r>
            <w:r>
              <w:t xml:space="preserve"> la limitación de días de pesca debido a las «especies de estrangulamiento» </w:t>
            </w:r>
            <w:r>
              <w:rPr>
                <w:b/>
                <w:i/>
              </w:rPr>
              <w:t>a un índice compuesto ponderado de vulnerabilidad</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118</w:t>
      </w:r>
      <w:r>
        <w:rPr>
          <w:rStyle w:val="HideTWBExt"/>
        </w:rPr>
        <w:t>&lt;/NumAm&gt;</w:t>
      </w:r>
    </w:p>
    <w:p>
      <w:pPr>
        <w:pStyle w:val="NormalBold"/>
      </w:pPr>
      <w:r>
        <w:rPr>
          <w:rStyle w:val="HideTWBExt"/>
          <w:b w:val="0"/>
        </w:rPr>
        <w:t>&lt;RepeatBlock-By&gt;</w:t>
      </w:r>
      <w:r>
        <w:rPr>
          <w:rStyle w:val="HideTWBExt"/>
          <w:b w:val="0"/>
        </w:rPr>
        <w:t>&lt;Members&gt;</w:t>
      </w:r>
      <w:r>
        <w:t>Emma Wiesner,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 – letra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rPr>
                <w:b/>
                <w:i/>
              </w:rPr>
              <w:t>sustituir</w:t>
            </w:r>
            <w:r>
              <w:t xml:space="preserve"> las normas vigentes de reducción del esfuerzo presentes en el artículo 4, apartado 3 </w:t>
            </w:r>
            <w:r>
              <w:rPr>
                <w:b/>
                <w:i/>
              </w:rPr>
              <w:t>por</w:t>
            </w:r>
            <w:r>
              <w:t xml:space="preserve"> un enfoque específico de gestión de la pesca mixta, </w:t>
            </w:r>
            <w:r>
              <w:rPr>
                <w:b/>
                <w:i/>
              </w:rPr>
              <w:t>tal como se aplica en otros planes plurianuales, abandonando la limitación de</w:t>
            </w:r>
            <w:r>
              <w:t xml:space="preserve"> días de pesca debido a las «especies de estrangulamiento»;</w:t>
            </w:r>
          </w:p>
        </w:tc>
        <w:tc>
          <w:tcPr>
            <w:tcW w:w="4876" w:type="dxa"/>
            <w:tcBorders>
              <w:top w:val="nil"/>
              <w:left w:val="nil"/>
              <w:bottom w:val="nil"/>
              <w:right w:val="nil"/>
            </w:tcBorders>
          </w:tcPr>
          <w:p>
            <w:pPr>
              <w:pStyle w:val="Normal6a"/>
            </w:pPr>
            <w:r>
              <w:t>A)</w:t>
            </w:r>
            <w:r>
              <w:tab/>
            </w:r>
            <w:r>
              <w:rPr>
                <w:b/>
                <w:i/>
              </w:rPr>
              <w:t>ajustes de</w:t>
            </w:r>
            <w:r>
              <w:t xml:space="preserve"> las normas vigentes de reducción del esfuerzo presentes en el artículo 4, apartado 3</w:t>
            </w:r>
            <w:r>
              <w:rPr>
                <w:b/>
                <w:i/>
              </w:rPr>
              <w:t>, incorporando</w:t>
            </w:r>
            <w:r>
              <w:t xml:space="preserve"> un enfoque específico de gestión de la pesca mixta, </w:t>
            </w:r>
            <w:r>
              <w:rPr>
                <w:b/>
                <w:i/>
              </w:rPr>
              <w:t>teniendo especialmente en cuenta el aumento de la flexibilidad en relación con las limitaciones de los</w:t>
            </w:r>
            <w:r>
              <w:t xml:space="preserve"> días de pesca debido a las «especies de estrangulamiento»</w:t>
            </w:r>
            <w:r>
              <w:rPr>
                <w:b/>
                <w:i/>
              </w:rPr>
              <w:t>, al tiempo que se sigue garantizando una protección adecuada de las poblaciones, incluida la necesidad de mejorar la situación, en particular en el caso de las poblaciones más valiosas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119</w:t>
      </w:r>
      <w:r>
        <w:rPr>
          <w:rStyle w:val="HideTWBExt"/>
        </w:rPr>
        <w:t>&lt;/NumAm&gt;</w:t>
      </w:r>
    </w:p>
    <w:p>
      <w:pPr>
        <w:pStyle w:val="NormalBold"/>
      </w:pPr>
      <w:r>
        <w:rPr>
          <w:rStyle w:val="HideTWBExt"/>
          <w:b w:val="0"/>
        </w:rPr>
        <w:t>&lt;RepeatBlock-By&gt;</w:t>
      </w:r>
      <w:r>
        <w:rPr>
          <w:rStyle w:val="HideTWBExt"/>
          <w:b w:val="0"/>
        </w:rPr>
        <w:t>&lt;Members&gt;</w:t>
      </w:r>
      <w:r>
        <w:t>Sebastian Everding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 – letra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rPr>
                <w:b/>
                <w:i/>
              </w:rPr>
              <w:t>sustituir las normas vigentes de reducción del esfuerzo presentes en</w:t>
            </w:r>
            <w:r>
              <w:t xml:space="preserve"> el </w:t>
            </w:r>
            <w:r>
              <w:rPr>
                <w:b/>
                <w:i/>
              </w:rPr>
              <w:t>artículo 4, apartado 3 por un</w:t>
            </w:r>
            <w:r>
              <w:t xml:space="preserve"> enfoque </w:t>
            </w:r>
            <w:r>
              <w:rPr>
                <w:b/>
                <w:i/>
              </w:rPr>
              <w:t>específico</w:t>
            </w:r>
            <w:r>
              <w:t xml:space="preserve"> de gestión de la pesca mixta, tal como se aplica en otros planes plurianuales</w:t>
            </w:r>
            <w:r>
              <w:rPr>
                <w:b/>
                <w:i/>
              </w:rPr>
              <w:t>, abandonando la limitación de días de pesca debido a las «especies de estrangulamiento»</w:t>
            </w:r>
            <w:r>
              <w:t>;</w:t>
            </w:r>
          </w:p>
        </w:tc>
        <w:tc>
          <w:tcPr>
            <w:tcW w:w="4876" w:type="dxa"/>
            <w:tcBorders>
              <w:top w:val="nil"/>
              <w:left w:val="nil"/>
              <w:bottom w:val="nil"/>
              <w:right w:val="nil"/>
            </w:tcBorders>
          </w:tcPr>
          <w:p>
            <w:pPr>
              <w:pStyle w:val="Normal6a"/>
            </w:pPr>
            <w:r>
              <w:t>A)</w:t>
            </w:r>
            <w:r>
              <w:tab/>
            </w:r>
            <w:r>
              <w:rPr>
                <w:b/>
                <w:i/>
              </w:rPr>
              <w:t>tener en cuenta</w:t>
            </w:r>
            <w:r>
              <w:t xml:space="preserve"> el enfoque de gestión de la pesca mixta, tal como se aplica en otros planes plurianuales;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120</w:t>
      </w:r>
      <w:r>
        <w:rPr>
          <w:rStyle w:val="HideTWBExt"/>
        </w:rPr>
        <w:t>&lt;/NumAm&gt;</w:t>
      </w:r>
    </w:p>
    <w:p>
      <w:pPr>
        <w:pStyle w:val="NormalBold"/>
      </w:pPr>
      <w:r>
        <w:rPr>
          <w:rStyle w:val="HideTWBExt"/>
          <w:b w:val="0"/>
        </w:rPr>
        <w:t>&lt;RepeatBlock-By&gt;</w:t>
      </w:r>
      <w:r>
        <w:rPr>
          <w:rStyle w:val="HideTWBExt"/>
          <w:b w:val="0"/>
        </w:rPr>
        <w:t>&lt;Members&gt;</w:t>
      </w:r>
      <w:r>
        <w:t>Eric Sargiacomo, Giuseppe Lupo, Sakis Arnaoutoglou, Claire Fita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 – letra A bis (nueva)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bis)</w:t>
            </w:r>
            <w:r>
              <w:tab/>
            </w:r>
            <w:r>
              <w:rPr>
                <w:b/>
                <w:i/>
              </w:rPr>
              <w:t>garantizar que en las decisiones sobre el esfuerzo pesquero se tengan en cuenta, cuando los datos científicos lo permitan, la composición real de las capturas, la selectividad de los artes utilizados y los progresos realizados por las flotas en la reducción de las capturas accesorias;</w:t>
            </w:r>
            <w:r>
              <w:t xml:space="preserve"> </w:t>
            </w:r>
            <w:r>
              <w:rPr>
                <w:b/>
                <w:i/>
              </w:rPr>
              <w:t>pedir que se consideren las especificidades socioeconómicas de la flota de Córcega y de la flota de Cerdeña mediante un enfoque ligado al territorio para las subzonas geográficas 8 y 11.2, respectivamente;</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121</w:t>
      </w:r>
      <w:r>
        <w:rPr>
          <w:rStyle w:val="HideTWBExt"/>
        </w:rPr>
        <w:t>&lt;/NumAm&gt;</w:t>
      </w:r>
    </w:p>
    <w:p>
      <w:pPr>
        <w:pStyle w:val="NormalBold"/>
      </w:pPr>
      <w:r>
        <w:rPr>
          <w:rStyle w:val="HideTWBExt"/>
          <w:b w:val="0"/>
        </w:rPr>
        <w:t>&lt;RepeatBlock-By&gt;</w:t>
      </w:r>
      <w:r>
        <w:rPr>
          <w:rStyle w:val="HideTWBExt"/>
          <w:b w:val="0"/>
        </w:rPr>
        <w:t>&lt;Members&gt;</w:t>
      </w:r>
      <w:r>
        <w:t>Carmen Crespo Díaz, Isabelle Le Callennec, Paulo do Nascimento Cabral, Susana Solís Pérez, Francisco José Millán Mon, Fredis Beleris, Marco Falcone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 – letra A bis) (nueva)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bis)</w:t>
            </w:r>
            <w:r>
              <w:tab/>
            </w:r>
            <w:r>
              <w:rPr>
                <w:b/>
                <w:i/>
              </w:rPr>
              <w:t>Llama por tanto a eliminar la definición de «población más vulnerable» contemplada en el artículo 2, con el fin de evitar enfoques de gestión excesivamente rígidos y garantizar una aplicación más equilibrada y adaptada a la realidad de las pesquerías mixtas del Mediterráneo;</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122</w:t>
      </w:r>
      <w:r>
        <w:rPr>
          <w:rStyle w:val="HideTWBExt"/>
        </w:rPr>
        <w:t>&lt;/NumAm&gt;</w:t>
      </w:r>
    </w:p>
    <w:p>
      <w:pPr>
        <w:pStyle w:val="NormalBold"/>
      </w:pPr>
      <w:r>
        <w:rPr>
          <w:rStyle w:val="HideTWBExt"/>
          <w:b w:val="0"/>
        </w:rPr>
        <w:t>&lt;RepeatBlock-By&gt;</w:t>
      </w:r>
      <w:r>
        <w:rPr>
          <w:rStyle w:val="HideTWBExt"/>
          <w:b w:val="0"/>
        </w:rPr>
        <w:t>&lt;Members&gt;</w:t>
      </w:r>
      <w:r>
        <w:t>Isabelle Le Callennec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 – letra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introducir mecanismos de flexibilidad adaptativa, como la transferencia interanual de al menos el 10 % de las posibilidades de pesca y establecer ciclos bienales de gestión del esfuerzo, a fin de proporcionar previsibilidad a largo plazo para los pescadores y los sectores de transformación;</w:t>
            </w:r>
          </w:p>
        </w:tc>
        <w:tc>
          <w:tcPr>
            <w:tcW w:w="4876" w:type="dxa"/>
            <w:tcBorders>
              <w:top w:val="nil"/>
              <w:left w:val="nil"/>
              <w:bottom w:val="nil"/>
              <w:right w:val="nil"/>
            </w:tcBorders>
          </w:tcPr>
          <w:p>
            <w:pPr>
              <w:pStyle w:val="Normal6a"/>
            </w:pPr>
            <w:r>
              <w:t>B)</w:t>
            </w:r>
            <w:r>
              <w:tab/>
            </w:r>
            <w:r>
              <w:t>introducir mecanismos de flexibilidad adaptativa, como la transferencia interanual de al menos el 10 % de las posibilidades de pesca</w:t>
            </w:r>
            <w:r>
              <w:rPr>
                <w:b/>
                <w:i/>
              </w:rPr>
              <w:t>, adoptar un mecanismo para la transferencia del esfuerzo pesquero no utilizado del año N al año N+1</w:t>
            </w:r>
            <w:r>
              <w:t xml:space="preserve"> y establecer ciclos bienales de gestión del esfuerzo</w:t>
            </w:r>
            <w:r>
              <w:rPr>
                <w:b/>
                <w:i/>
              </w:rPr>
              <w:t>, con una cláusula de revisión temprana solo cuando esté justificado por una evaluación científica importante o un acontecimiento excepcional que lo justifique</w:t>
            </w:r>
            <w:r>
              <w:t>, a fin de proporcionar previsibilidad a largo plazo para los pescadores y los sectores de transformación;</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123</w:t>
      </w:r>
      <w:r>
        <w:rPr>
          <w:rStyle w:val="HideTWBExt"/>
        </w:rPr>
        <w:t>&lt;/NumAm&gt;</w:t>
      </w:r>
    </w:p>
    <w:p>
      <w:pPr>
        <w:pStyle w:val="NormalBold"/>
      </w:pPr>
      <w:r>
        <w:rPr>
          <w:rStyle w:val="HideTWBExt"/>
          <w:b w:val="0"/>
        </w:rPr>
        <w:t>&lt;RepeatBlock-By&gt;</w:t>
      </w:r>
      <w:r>
        <w:rPr>
          <w:rStyle w:val="HideTWBExt"/>
          <w:b w:val="0"/>
        </w:rPr>
        <w:t>&lt;Members&gt;</w:t>
      </w:r>
      <w:r>
        <w:t>Eric Sargiacomo, Giuseppe Lupo, Sakis Arnaoutoglou, Claire Fita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 – letra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introducir mecanismos de flexibilidad adaptativa</w:t>
            </w:r>
            <w:r>
              <w:rPr>
                <w:b/>
                <w:i/>
              </w:rPr>
              <w:t>, como la transferencia interanual de al menos el 10 % de las posibilidades de pesca y establecer ciclos bienales de</w:t>
            </w:r>
            <w:r>
              <w:t xml:space="preserve"> gestión del esfuerzo, a fin de proporcionar </w:t>
            </w:r>
            <w:r>
              <w:rPr>
                <w:b/>
                <w:i/>
              </w:rPr>
              <w:t>previsibilidad a largo plazo para los pescadores y los sectores de transformación</w:t>
            </w:r>
            <w:r>
              <w:t>;</w:t>
            </w:r>
          </w:p>
        </w:tc>
        <w:tc>
          <w:tcPr>
            <w:tcW w:w="4876" w:type="dxa"/>
            <w:tcBorders>
              <w:top w:val="nil"/>
              <w:left w:val="nil"/>
              <w:bottom w:val="nil"/>
              <w:right w:val="nil"/>
            </w:tcBorders>
          </w:tcPr>
          <w:p>
            <w:pPr>
              <w:pStyle w:val="Normal6a"/>
            </w:pPr>
            <w:r>
              <w:t>B)</w:t>
            </w:r>
            <w:r>
              <w:tab/>
            </w:r>
            <w:r>
              <w:t xml:space="preserve">introducir mecanismos de flexibilidad adaptativa </w:t>
            </w:r>
            <w:r>
              <w:rPr>
                <w:b/>
                <w:i/>
              </w:rPr>
              <w:t>que permitan una programación plurianual de cinco años de la</w:t>
            </w:r>
            <w:r>
              <w:t xml:space="preserve"> gestión del esfuerzo </w:t>
            </w:r>
            <w:r>
              <w:rPr>
                <w:b/>
                <w:i/>
              </w:rPr>
              <w:t>pesquero</w:t>
            </w:r>
            <w:r>
              <w:t xml:space="preserve">, a fin de proporcionar </w:t>
            </w:r>
            <w:r>
              <w:rPr>
                <w:b/>
                <w:i/>
              </w:rPr>
              <w:t>a los operadores suficiente visibilidad, manteniendo al mismo tiempo la capacidad de adaptarse a los dictámenes científicos más recientes;</w:t>
            </w:r>
            <w:r>
              <w:t xml:space="preserve"> </w:t>
            </w:r>
            <w:r>
              <w:rPr>
                <w:b/>
                <w:i/>
              </w:rPr>
              <w:t>garantizar que toda reducción significativa del esfuerzo pesquero sea objeto de una evaluación previa de sus repercusiones biológicas, económicas y sociales, así como de una consulta con las partes interesadas pertinentes</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124</w:t>
      </w:r>
      <w:r>
        <w:rPr>
          <w:rStyle w:val="HideTWBExt"/>
        </w:rPr>
        <w:t>&lt;/NumAm&gt;</w:t>
      </w:r>
    </w:p>
    <w:p>
      <w:pPr>
        <w:pStyle w:val="NormalBold"/>
      </w:pPr>
      <w:r>
        <w:rPr>
          <w:rStyle w:val="HideTWBExt"/>
          <w:b w:val="0"/>
        </w:rPr>
        <w:t>&lt;RepeatBlock-By&gt;</w:t>
      </w:r>
      <w:r>
        <w:rPr>
          <w:rStyle w:val="HideTWBExt"/>
          <w:b w:val="0"/>
        </w:rPr>
        <w:t>&lt;Members&gt;</w:t>
      </w:r>
      <w:r>
        <w:t>Emma Wiesner,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 – letra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introducir mecanismos de flexibilidad adaptativa</w:t>
            </w:r>
            <w:r>
              <w:rPr>
                <w:b/>
                <w:i/>
              </w:rPr>
              <w:t>, como la transferencia interanual de al menos el 10 % de las posibilidades de pesca y establecer ciclos bienales de gestión del esfuerzo</w:t>
            </w:r>
            <w:r>
              <w:t>, a fin de proporcionar previsibilidad a largo plazo para los pescadores y los sectores de transformación;</w:t>
            </w:r>
          </w:p>
        </w:tc>
        <w:tc>
          <w:tcPr>
            <w:tcW w:w="4876" w:type="dxa"/>
            <w:tcBorders>
              <w:top w:val="nil"/>
              <w:left w:val="nil"/>
              <w:bottom w:val="nil"/>
              <w:right w:val="nil"/>
            </w:tcBorders>
          </w:tcPr>
          <w:p>
            <w:pPr>
              <w:pStyle w:val="Normal6a"/>
            </w:pPr>
            <w:r>
              <w:t>B)</w:t>
            </w:r>
            <w:r>
              <w:tab/>
            </w:r>
            <w:r>
              <w:rPr>
                <w:b/>
                <w:i/>
              </w:rPr>
              <w:t> </w:t>
            </w:r>
            <w:r>
              <w:t>introducir mecanismos de flexibilidad adaptativa, a fin de proporcionar previsibilidad a largo plazo para los pescadores y los sectores de transformación</w:t>
            </w:r>
            <w:r>
              <w:rPr>
                <w:b/>
                <w:i/>
              </w:rPr>
              <w:t>, incluidas propuestas de posibles flexibilidades anuales, adaptados a la situación específica de la cuenca marítima mediterránea y a su enfoque de gestión de la pesca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125</w:t>
      </w:r>
      <w:r>
        <w:rPr>
          <w:rStyle w:val="HideTWBExt"/>
        </w:rPr>
        <w:t>&lt;/NumAm&gt;</w:t>
      </w:r>
    </w:p>
    <w:p>
      <w:pPr>
        <w:pStyle w:val="NormalBold"/>
      </w:pPr>
      <w:r>
        <w:rPr>
          <w:rStyle w:val="HideTWBExt"/>
          <w:b w:val="0"/>
        </w:rPr>
        <w:t>&lt;RepeatBlock-By&gt;</w:t>
      </w:r>
      <w:r>
        <w:rPr>
          <w:rStyle w:val="HideTWBExt"/>
          <w:b w:val="0"/>
        </w:rPr>
        <w:t>&lt;Members&gt;</w:t>
      </w:r>
      <w:r>
        <w:t>Mélissa Camara</w:t>
      </w:r>
      <w:r>
        <w:rPr>
          <w:rStyle w:val="HideTWBExt"/>
          <w:b w:val="0"/>
        </w:rPr>
        <w:t>&lt;/Members&gt;</w:t>
      </w:r>
    </w:p>
    <w:p>
      <w:r>
        <w:rPr>
          <w:rStyle w:val="HideTWBExt"/>
          <w:b w:val="0"/>
        </w:rPr>
        <w:t>&lt;AuNomDe&gt;</w:t>
      </w:r>
      <w:r>
        <w:rPr>
          <w:rStyle w:val="HideTWBInt"/>
        </w:rPr>
        <w:t>{Verts/ALE}</w:t>
      </w:r>
      <w:r>
        <w:t>en nombre del Grupo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 – letra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rPr>
                <w:b/>
                <w:i/>
              </w:rPr>
              <w:t>introducir</w:t>
            </w:r>
            <w:r>
              <w:t xml:space="preserve"> mecanismos de flexibilidad adaptativa, como la transferencia interanual de </w:t>
            </w:r>
            <w:r>
              <w:rPr>
                <w:b/>
                <w:i/>
              </w:rPr>
              <w:t>al menos el 10 % de</w:t>
            </w:r>
            <w:r>
              <w:t xml:space="preserve"> las posibilidades de pesca y establecer ciclos bienales de gestión del esfuerzo</w:t>
            </w:r>
            <w:r>
              <w:rPr>
                <w:b/>
                <w:i/>
              </w:rPr>
              <w:t>,</w:t>
            </w:r>
            <w:r>
              <w:t xml:space="preserve"> a fin de proporcionar previsibilidad a largo plazo para los pescadores y los sectores de transformación;</w:t>
            </w:r>
          </w:p>
        </w:tc>
        <w:tc>
          <w:tcPr>
            <w:tcW w:w="4876" w:type="dxa"/>
            <w:tcBorders>
              <w:top w:val="nil"/>
              <w:left w:val="nil"/>
              <w:bottom w:val="nil"/>
              <w:right w:val="nil"/>
            </w:tcBorders>
          </w:tcPr>
          <w:p>
            <w:pPr>
              <w:pStyle w:val="Normal6a"/>
            </w:pPr>
            <w:r>
              <w:t>B)</w:t>
            </w:r>
            <w:r>
              <w:tab/>
            </w:r>
            <w:r>
              <w:rPr>
                <w:b/>
                <w:i/>
              </w:rPr>
              <w:t>aplicar</w:t>
            </w:r>
            <w:r>
              <w:t xml:space="preserve"> mecanismos </w:t>
            </w:r>
            <w:r>
              <w:rPr>
                <w:b/>
                <w:i/>
              </w:rPr>
              <w:t>disponibles</w:t>
            </w:r>
            <w:r>
              <w:t xml:space="preserve"> de flexibilidad adaptativa, como la transferencia interanual de las posibilidades de pesca y </w:t>
            </w:r>
            <w:r>
              <w:rPr>
                <w:b/>
                <w:i/>
              </w:rPr>
              <w:t>considerar</w:t>
            </w:r>
            <w:r>
              <w:t xml:space="preserve"> establecer ciclos bienales de gestión del esfuerzo </w:t>
            </w:r>
            <w:r>
              <w:rPr>
                <w:b/>
                <w:i/>
              </w:rPr>
              <w:t>basados en los mejores dictámenes científicos disponibles</w:t>
            </w:r>
            <w:r>
              <w:t xml:space="preserve"> a fin de proporcionar previsibilidad a largo plazo para los pescadores y los sectores de transformación;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126</w:t>
      </w:r>
      <w:r>
        <w:rPr>
          <w:rStyle w:val="HideTWBExt"/>
        </w:rPr>
        <w:t>&lt;/NumAm&gt;</w:t>
      </w:r>
    </w:p>
    <w:p>
      <w:pPr>
        <w:pStyle w:val="NormalBold"/>
      </w:pPr>
      <w:r>
        <w:rPr>
          <w:rStyle w:val="HideTWBExt"/>
          <w:b w:val="0"/>
        </w:rPr>
        <w:t>&lt;RepeatBlock-By&gt;</w:t>
      </w:r>
      <w:r>
        <w:rPr>
          <w:rStyle w:val="HideTWBExt"/>
          <w:b w:val="0"/>
        </w:rPr>
        <w:t>&lt;Members&gt;</w:t>
      </w:r>
      <w:r>
        <w:t>Nicolás González Casares, Leire Pajín, Alicia Homs Ginel, Sandra Gómez López, Javi López, Laura Ballarín Cereza, Marcos Ros Sempere, Idoia Mendia, Lina Gálvez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 – letra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introducir mecanismos de flexibilidad adaptativa, como la transferencia interanual de al menos el 10 % de las posibilidades de pesca y establecer ciclos bienales de gestión del esfuerzo, a fin de proporcionar previsibilidad a largo plazo para los pescadores y los sectores de transformación;</w:t>
            </w:r>
          </w:p>
        </w:tc>
        <w:tc>
          <w:tcPr>
            <w:tcW w:w="4876" w:type="dxa"/>
            <w:tcBorders>
              <w:top w:val="nil"/>
              <w:left w:val="nil"/>
              <w:bottom w:val="nil"/>
              <w:right w:val="nil"/>
            </w:tcBorders>
          </w:tcPr>
          <w:p>
            <w:pPr>
              <w:pStyle w:val="Normal6a"/>
            </w:pPr>
            <w:r>
              <w:t>B)</w:t>
            </w:r>
            <w:r>
              <w:tab/>
            </w:r>
            <w:r>
              <w:t xml:space="preserve">introducir mecanismos de flexibilidad adaptativa, como la transferencia interanual de al menos el 10 % de las posibilidades de pesca </w:t>
            </w:r>
            <w:r>
              <w:rPr>
                <w:b/>
                <w:i/>
              </w:rPr>
              <w:t>en años consecutivos</w:t>
            </w:r>
            <w:r>
              <w:t xml:space="preserve"> y establecer ciclos bienales de gestión del esfuerzo, a fin de proporcionar previsibilidad a largo plazo para los pescadores y los sectores de transformación;</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127</w:t>
      </w:r>
      <w:r>
        <w:rPr>
          <w:rStyle w:val="HideTWBExt"/>
        </w:rPr>
        <w:t>&lt;/NumAm&gt;</w:t>
      </w:r>
    </w:p>
    <w:p>
      <w:pPr>
        <w:pStyle w:val="NormalBold"/>
      </w:pPr>
      <w:r>
        <w:rPr>
          <w:rStyle w:val="HideTWBExt"/>
          <w:b w:val="0"/>
        </w:rPr>
        <w:t>&lt;RepeatBlock-By&gt;</w:t>
      </w:r>
      <w:r>
        <w:rPr>
          <w:rStyle w:val="HideTWBExt"/>
          <w:b w:val="0"/>
        </w:rPr>
        <w:t>&lt;Members&gt;</w:t>
      </w:r>
      <w:r>
        <w:t>Sebastian Everding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 – letra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rPr>
                <w:b/>
                <w:i/>
              </w:rPr>
              <w:t>introducir mecanismos de flexibilidad adaptativa, como la transferencia interanual de al menos el 10 % de las posibilidades de pesca y establecer ciclos bienales de gestión del esfuerzo, a fin de proporcionar</w:t>
            </w:r>
            <w:r>
              <w:t xml:space="preserve"> previsibilidad a largo plazo para los pescadores y los sectores de transformación;</w:t>
            </w:r>
          </w:p>
        </w:tc>
        <w:tc>
          <w:tcPr>
            <w:tcW w:w="4876" w:type="dxa"/>
            <w:tcBorders>
              <w:top w:val="nil"/>
              <w:left w:val="nil"/>
              <w:bottom w:val="nil"/>
              <w:right w:val="nil"/>
            </w:tcBorders>
          </w:tcPr>
          <w:p>
            <w:pPr>
              <w:pStyle w:val="Normal6a"/>
            </w:pPr>
            <w:r>
              <w:t>B)</w:t>
            </w:r>
            <w:r>
              <w:tab/>
            </w:r>
            <w:r>
              <w:rPr>
                <w:b/>
                <w:i/>
              </w:rPr>
              <w:t>mejorar la</w:t>
            </w:r>
            <w:r>
              <w:t xml:space="preserve"> previsibilidad a largo plazo para los pescadores y los sectores de transformación </w:t>
            </w:r>
            <w:r>
              <w:rPr>
                <w:b/>
                <w:i/>
              </w:rPr>
              <w:t>a través de parámetros de gestión plurianuales, siempre que cualquier mecanismo de flexibilidad siga siendo compatible con los objetivos de conservación y no retrase la recuperación de las poblaciones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128</w:t>
      </w:r>
      <w:r>
        <w:rPr>
          <w:rStyle w:val="HideTWBExt"/>
        </w:rPr>
        <w:t>&lt;/NumAm&gt;</w:t>
      </w:r>
    </w:p>
    <w:p>
      <w:pPr>
        <w:pStyle w:val="NormalBold"/>
      </w:pPr>
      <w:r>
        <w:rPr>
          <w:rStyle w:val="HideTWBExt"/>
          <w:b w:val="0"/>
        </w:rPr>
        <w:t>&lt;RepeatBlock-By&gt;</w:t>
      </w:r>
      <w:r>
        <w:rPr>
          <w:rStyle w:val="HideTWBExt"/>
          <w:b w:val="0"/>
        </w:rPr>
        <w:t>&lt;Members&gt;</w:t>
      </w:r>
      <w:r>
        <w:t>Mélissa Camara</w:t>
      </w:r>
      <w:r>
        <w:rPr>
          <w:rStyle w:val="HideTWBExt"/>
          <w:b w:val="0"/>
        </w:rPr>
        <w:t>&lt;/Members&gt;</w:t>
      </w:r>
    </w:p>
    <w:p>
      <w:r>
        <w:rPr>
          <w:rStyle w:val="HideTWBExt"/>
          <w:b w:val="0"/>
        </w:rPr>
        <w:t>&lt;AuNomDe&gt;</w:t>
      </w:r>
      <w:r>
        <w:rPr>
          <w:rStyle w:val="HideTWBInt"/>
        </w:rPr>
        <w:t>{Verts/ALE}</w:t>
      </w:r>
      <w:r>
        <w:t>en nombre del Grupo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 – letra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C)</w:t>
            </w:r>
            <w:r>
              <w:tab/>
            </w:r>
            <w:r>
              <w:rPr>
                <w:b/>
                <w:i/>
              </w:rPr>
              <w:t>contar con estabilizadores que limiten las reducciones y los aumentos de días al 20 %, siempre que se supere un umbral mínimo de rentabilidad, incluyendo explícitamente el impacto socioeconómico en la toma de decisiones (artículo 3);</w:t>
            </w:r>
          </w:p>
        </w:tc>
        <w:tc>
          <w:tcPr>
            <w:tcW w:w="4876" w:type="dxa"/>
            <w:tcBorders>
              <w:top w:val="nil"/>
              <w:left w:val="nil"/>
              <w:bottom w:val="nil"/>
              <w:right w:val="nil"/>
            </w:tcBorders>
          </w:tcPr>
          <w:p>
            <w:pPr>
              <w:pStyle w:val="Normal6a"/>
            </w:pPr>
            <w:r>
              <w:rPr>
                <w:b/>
                <w:i/>
              </w:rPr>
              <w:t>suprimido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129</w:t>
      </w:r>
      <w:r>
        <w:rPr>
          <w:rStyle w:val="HideTWBExt"/>
        </w:rPr>
        <w:t>&lt;/NumAm&gt;</w:t>
      </w:r>
    </w:p>
    <w:p>
      <w:pPr>
        <w:pStyle w:val="NormalBold"/>
      </w:pPr>
      <w:r>
        <w:rPr>
          <w:rStyle w:val="HideTWBExt"/>
          <w:b w:val="0"/>
        </w:rPr>
        <w:t>&lt;RepeatBlock-By&gt;</w:t>
      </w:r>
      <w:r>
        <w:rPr>
          <w:rStyle w:val="HideTWBExt"/>
          <w:b w:val="0"/>
        </w:rPr>
        <w:t>&lt;Members&gt;</w:t>
      </w:r>
      <w:r>
        <w:t>Isabelle Le Callennec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 – letra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 xml:space="preserve">contar con estabilizadores que limiten las reducciones y los aumentos de días al </w:t>
            </w:r>
            <w:r>
              <w:rPr>
                <w:b/>
                <w:i/>
              </w:rPr>
              <w:t>20</w:t>
            </w:r>
            <w:r>
              <w:t xml:space="preserve"> %, siempre que se supere un umbral mínimo de rentabilidad, incluyendo explícitamente el impacto socioeconómico en la toma de decisiones (artículo 3);</w:t>
            </w:r>
          </w:p>
        </w:tc>
        <w:tc>
          <w:tcPr>
            <w:tcW w:w="4876" w:type="dxa"/>
            <w:tcBorders>
              <w:top w:val="nil"/>
              <w:left w:val="nil"/>
              <w:bottom w:val="nil"/>
              <w:right w:val="nil"/>
            </w:tcBorders>
          </w:tcPr>
          <w:p>
            <w:pPr>
              <w:pStyle w:val="Normal6a"/>
            </w:pPr>
            <w:r>
              <w:t>C)</w:t>
            </w:r>
            <w:r>
              <w:tab/>
            </w:r>
            <w:r>
              <w:t xml:space="preserve">contar con estabilizadores que limiten las reducciones y los aumentos de días al </w:t>
            </w:r>
            <w:r>
              <w:rPr>
                <w:b/>
                <w:i/>
              </w:rPr>
              <w:t>8</w:t>
            </w:r>
            <w:r>
              <w:t xml:space="preserve"> %, siempre que se supere un umbral mínimo de rentabilidad, incluyendo explícitamente el impacto socioeconómico en la toma de decisiones (artículo 3)</w:t>
            </w:r>
            <w:r>
              <w:rPr>
                <w:b/>
                <w:i/>
              </w:rPr>
              <w:t>, los factores externos a la pesca (contaminación, cambio climático y otros usos marítimos) en un verdadero enfoque «ecosistémico», y garantizar la estabilidad de los mecanismos de compensación a lo largo de todo el ciclo de gestión, así como permitir su adaptación durante el año cuando las condiciones biológicas lo permitan</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130</w:t>
      </w:r>
      <w:r>
        <w:rPr>
          <w:rStyle w:val="HideTWBExt"/>
        </w:rPr>
        <w:t>&lt;/NumAm&gt;</w:t>
      </w:r>
    </w:p>
    <w:p>
      <w:pPr>
        <w:pStyle w:val="NormalBold"/>
      </w:pPr>
      <w:r>
        <w:rPr>
          <w:rStyle w:val="HideTWBExt"/>
          <w:b w:val="0"/>
        </w:rPr>
        <w:t>&lt;RepeatBlock-By&gt;</w:t>
      </w:r>
      <w:r>
        <w:rPr>
          <w:rStyle w:val="HideTWBExt"/>
          <w:b w:val="0"/>
        </w:rPr>
        <w:t>&lt;Members&gt;</w:t>
      </w:r>
      <w:r>
        <w:t>Nora Junco García, Kristoffer Storm, Piotr Müller, Stephen Nikola Bartulica, Sander Smit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 – letra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contar con estabilizadores que limiten las reducciones y los aumentos de días al 20 %, siempre que se supere un umbral mínimo de rentabilidad, incluyendo explícitamente el impacto socioeconómico en la toma de decisiones (artículo 3);</w:t>
            </w:r>
          </w:p>
        </w:tc>
        <w:tc>
          <w:tcPr>
            <w:tcW w:w="4876" w:type="dxa"/>
            <w:tcBorders>
              <w:top w:val="nil"/>
              <w:left w:val="nil"/>
              <w:bottom w:val="nil"/>
              <w:right w:val="nil"/>
            </w:tcBorders>
          </w:tcPr>
          <w:p>
            <w:pPr>
              <w:pStyle w:val="Normal6a"/>
            </w:pPr>
            <w:r>
              <w:t>C)</w:t>
            </w:r>
            <w:r>
              <w:tab/>
            </w:r>
            <w:r>
              <w:t xml:space="preserve">contar con estabilizadores que limiten las reducciones y los aumentos </w:t>
            </w:r>
            <w:r>
              <w:rPr>
                <w:b/>
                <w:i/>
              </w:rPr>
              <w:t>anuales</w:t>
            </w:r>
            <w:r>
              <w:t xml:space="preserve"> de días </w:t>
            </w:r>
            <w:r>
              <w:rPr>
                <w:b/>
                <w:i/>
              </w:rPr>
              <w:t>de pesca</w:t>
            </w:r>
            <w:r>
              <w:t xml:space="preserve"> al 20 %, siempre que se supere un umbral mínimo de rentabilidad, </w:t>
            </w:r>
            <w:r>
              <w:rPr>
                <w:b/>
                <w:i/>
              </w:rPr>
              <w:t>definido con arreglo al indicador de ingresos de equilibrio (Break-Even Revenue) utilizado por el CCTEP en su Informe Económico Anual sobre la flota pesquera de la Unión,</w:t>
            </w:r>
            <w:r>
              <w:t xml:space="preserve"> incluyendo explícitamente el impacto socioeconómico</w:t>
            </w:r>
            <w:r>
              <w:rPr>
                <w:b/>
                <w:i/>
              </w:rPr>
              <w:t>, medido en términos de empleo, renta de los pescadores y viabilidad empresarial,</w:t>
            </w:r>
            <w:r>
              <w:t xml:space="preserve"> en la toma de decisiones (artículo 3);</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131</w:t>
      </w:r>
      <w:r>
        <w:rPr>
          <w:rStyle w:val="HideTWBExt"/>
        </w:rPr>
        <w:t>&lt;/NumAm&gt;</w:t>
      </w:r>
    </w:p>
    <w:p>
      <w:pPr>
        <w:pStyle w:val="NormalBold"/>
      </w:pPr>
      <w:r>
        <w:rPr>
          <w:rStyle w:val="HideTWBExt"/>
          <w:b w:val="0"/>
        </w:rPr>
        <w:t>&lt;RepeatBlock-By&gt;</w:t>
      </w:r>
      <w:r>
        <w:rPr>
          <w:rStyle w:val="HideTWBExt"/>
          <w:b w:val="0"/>
        </w:rPr>
        <w:t>&lt;Members&gt;</w:t>
      </w:r>
      <w:r>
        <w:t>Carmen Crespo Díaz, Isabelle Le Callennec, Paulo do Nascimento Cabral, Susana Solís Pérez, Francisco José Millán Mon, Fredis Beleris, Marco Falcone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 – letra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contar con estabilizadores que limiten las reducciones y los aumentos de días al 20 %, siempre que se supere un umbral mínimo de rentabilidad, incluyendo explícitamente el impacto socioeconómico en la toma de decisiones (artículo 3);</w:t>
            </w:r>
          </w:p>
        </w:tc>
        <w:tc>
          <w:tcPr>
            <w:tcW w:w="4876" w:type="dxa"/>
            <w:tcBorders>
              <w:top w:val="nil"/>
              <w:left w:val="nil"/>
              <w:bottom w:val="nil"/>
              <w:right w:val="nil"/>
            </w:tcBorders>
          </w:tcPr>
          <w:p>
            <w:pPr>
              <w:pStyle w:val="Normal6a"/>
            </w:pPr>
            <w:r>
              <w:t>C)</w:t>
            </w:r>
            <w:r>
              <w:tab/>
            </w:r>
            <w:r>
              <w:t>contar con estabilizadores que limiten las reducciones y los aumentos de días al 20 %, siempre que se supere un umbral mínimo de rentabilidad, incluyendo explícitamente el impacto socioeconómico en la toma de decisiones (artículo 3)</w:t>
            </w:r>
            <w:r>
              <w:rPr>
                <w:b/>
                <w:i/>
              </w:rPr>
              <w:t>, incluyendo el empleo, la rentabilidad empresarial, el suministro de productos pesqueros y la seguridad alimentaria de la Unión</w:t>
            </w:r>
            <w:r>
              <w:t>;</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132</w:t>
      </w:r>
      <w:r>
        <w:rPr>
          <w:rStyle w:val="HideTWBExt"/>
        </w:rPr>
        <w:t>&lt;/NumAm&gt;</w:t>
      </w:r>
    </w:p>
    <w:p>
      <w:pPr>
        <w:pStyle w:val="NormalBold"/>
      </w:pPr>
      <w:r>
        <w:rPr>
          <w:rStyle w:val="HideTWBExt"/>
          <w:b w:val="0"/>
        </w:rPr>
        <w:t>&lt;RepeatBlock-By&gt;</w:t>
      </w:r>
      <w:r>
        <w:rPr>
          <w:rStyle w:val="HideTWBExt"/>
          <w:b w:val="0"/>
        </w:rPr>
        <w:t>&lt;Members&gt;</w:t>
      </w:r>
      <w:r>
        <w:t>Emma Wiesner,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 – letra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 xml:space="preserve">contar con estabilizadores que limiten las reducciones y los aumentos de </w:t>
            </w:r>
            <w:r>
              <w:rPr>
                <w:b/>
                <w:i/>
              </w:rPr>
              <w:t>días al 20 %, siempre que se supere un umbral mínimo de rentabilidad, incluyendo explícitamente el impacto socioeconómico en la toma de decisiones (artículo 3)</w:t>
            </w:r>
            <w:r>
              <w:t>;</w:t>
            </w:r>
          </w:p>
        </w:tc>
        <w:tc>
          <w:tcPr>
            <w:tcW w:w="4876" w:type="dxa"/>
            <w:tcBorders>
              <w:top w:val="nil"/>
              <w:left w:val="nil"/>
              <w:bottom w:val="nil"/>
              <w:right w:val="nil"/>
            </w:tcBorders>
          </w:tcPr>
          <w:p>
            <w:pPr>
              <w:pStyle w:val="Normal6a"/>
            </w:pPr>
            <w:r>
              <w:t>C)</w:t>
            </w:r>
            <w:r>
              <w:tab/>
            </w:r>
            <w:r>
              <w:t xml:space="preserve">contar con estabilizadores que limiten las reducciones y los aumentos de </w:t>
            </w:r>
            <w:r>
              <w:rPr>
                <w:b/>
                <w:i/>
              </w:rPr>
              <w:t>las posibilidades de pesca, proporcionando una mayor estabilidad y previsibilidad a largo plazo al sector</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133</w:t>
      </w:r>
      <w:r>
        <w:rPr>
          <w:rStyle w:val="HideTWBExt"/>
        </w:rPr>
        <w:t>&lt;/NumAm&gt;</w:t>
      </w:r>
    </w:p>
    <w:p>
      <w:pPr>
        <w:pStyle w:val="NormalBold"/>
      </w:pPr>
      <w:r>
        <w:rPr>
          <w:rStyle w:val="HideTWBExt"/>
          <w:b w:val="0"/>
        </w:rPr>
        <w:t>&lt;RepeatBlock-By&gt;</w:t>
      </w:r>
      <w:r>
        <w:rPr>
          <w:rStyle w:val="HideTWBExt"/>
          <w:b w:val="0"/>
        </w:rPr>
        <w:t>&lt;Members&gt;</w:t>
      </w:r>
      <w:r>
        <w:t>Nicolás González Casares, Leire Pajín, Alicia Homs Ginel, Sandra Gómez López, Javi López, Laura Ballarín Cereza, Marcos Ros Sempere, Idoia Mendia, Lina Gálvez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 – letra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contar con estabilizadores que limiten las reducciones y los aumentos de días al 20 %, siempre que se supere un umbral mínimo de rentabilidad, incluyendo explícitamente el impacto socioeconómico en la toma de decisiones (artículo 3);</w:t>
            </w:r>
          </w:p>
        </w:tc>
        <w:tc>
          <w:tcPr>
            <w:tcW w:w="4876" w:type="dxa"/>
            <w:tcBorders>
              <w:top w:val="nil"/>
              <w:left w:val="nil"/>
              <w:bottom w:val="nil"/>
              <w:right w:val="nil"/>
            </w:tcBorders>
          </w:tcPr>
          <w:p>
            <w:pPr>
              <w:pStyle w:val="Normal6a"/>
            </w:pPr>
            <w:r>
              <w:t>C)</w:t>
            </w:r>
            <w:r>
              <w:tab/>
            </w:r>
            <w:r>
              <w:t xml:space="preserve">contar con estabilizadores </w:t>
            </w:r>
            <w:r>
              <w:rPr>
                <w:b/>
                <w:i/>
              </w:rPr>
              <w:t>automáticos</w:t>
            </w:r>
            <w:r>
              <w:t xml:space="preserve"> que limiten las reducciones y los aumentos de días </w:t>
            </w:r>
            <w:r>
              <w:rPr>
                <w:b/>
                <w:i/>
              </w:rPr>
              <w:t>de pesca</w:t>
            </w:r>
            <w:r>
              <w:t xml:space="preserve"> al 20 %, siempre que se supere un umbral mínimo de rentabilidad, incluyendo explícitamente el impacto socioeconómico en la toma de decisiones (artículo 3);</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134</w:t>
      </w:r>
      <w:r>
        <w:rPr>
          <w:rStyle w:val="HideTWBExt"/>
        </w:rPr>
        <w:t>&lt;/NumAm&gt;</w:t>
      </w:r>
    </w:p>
    <w:p>
      <w:pPr>
        <w:pStyle w:val="NormalBold"/>
      </w:pPr>
      <w:r>
        <w:rPr>
          <w:rStyle w:val="HideTWBExt"/>
          <w:b w:val="0"/>
        </w:rPr>
        <w:t>&lt;RepeatBlock-By&gt;</w:t>
      </w:r>
      <w:r>
        <w:rPr>
          <w:rStyle w:val="HideTWBExt"/>
          <w:b w:val="0"/>
        </w:rPr>
        <w:t>&lt;Members&gt;</w:t>
      </w:r>
      <w:r>
        <w:t>Sebastian Everding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 – letra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rPr>
                <w:b/>
                <w:i/>
              </w:rPr>
              <w:t>contar con estabilizadores que limiten las reducciones y los aumentos de días al 20 %, siempre que se supere un umbral mínimo de rentabilidad, incluyendo explícitamente el impacto socioeconómico en la toma de decisiones (artículo 3)</w:t>
            </w:r>
            <w:r>
              <w:t>;</w:t>
            </w:r>
          </w:p>
        </w:tc>
        <w:tc>
          <w:tcPr>
            <w:tcW w:w="4876" w:type="dxa"/>
            <w:tcBorders>
              <w:top w:val="nil"/>
              <w:left w:val="nil"/>
              <w:bottom w:val="nil"/>
              <w:right w:val="nil"/>
            </w:tcBorders>
          </w:tcPr>
          <w:p>
            <w:pPr>
              <w:pStyle w:val="Normal6a"/>
            </w:pPr>
            <w:r>
              <w:t>C)</w:t>
            </w:r>
            <w:r>
              <w:tab/>
            </w:r>
            <w:r>
              <w:rPr>
                <w:b/>
                <w:i/>
              </w:rPr>
              <w:t>abordar las conclusiones del informe de ejecución de 2024 de la Comisión, en particular el exceso de capacidad estructural, las capturas de juveniles y las deficiencias en el control y la ejecución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135</w:t>
      </w:r>
      <w:r>
        <w:rPr>
          <w:rStyle w:val="HideTWBExt"/>
        </w:rPr>
        <w:t>&lt;/NumAm&gt;</w:t>
      </w:r>
    </w:p>
    <w:p>
      <w:pPr>
        <w:pStyle w:val="NormalBold"/>
      </w:pPr>
      <w:r>
        <w:rPr>
          <w:rStyle w:val="HideTWBExt"/>
          <w:b w:val="0"/>
        </w:rPr>
        <w:t>&lt;RepeatBlock-By&gt;</w:t>
      </w:r>
      <w:r>
        <w:rPr>
          <w:rStyle w:val="HideTWBExt"/>
          <w:b w:val="0"/>
        </w:rPr>
        <w:t>&lt;Members&gt;</w:t>
      </w:r>
      <w:r>
        <w:t>Eric Sargiacomo, Giuseppe Lupo, Sakis Arnaoutoglou, Claire Fita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 – letra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rPr>
                <w:b/>
                <w:i/>
              </w:rPr>
              <w:t>contar con estabilizadores que limiten las reducciones y los aumentos de días al 20 %, siempre que se supere un umbral mínimo de rentabilidad, incluyendo explícitamente el impacto socioeconómico en la toma de decisiones (artículo 3);</w:t>
            </w:r>
          </w:p>
        </w:tc>
        <w:tc>
          <w:tcPr>
            <w:tcW w:w="4876" w:type="dxa"/>
            <w:tcBorders>
              <w:top w:val="nil"/>
              <w:left w:val="nil"/>
              <w:bottom w:val="nil"/>
              <w:right w:val="nil"/>
            </w:tcBorders>
          </w:tcPr>
          <w:p>
            <w:pPr>
              <w:pStyle w:val="Normal6a"/>
            </w:pPr>
            <w:r>
              <w:t>C)</w:t>
            </w:r>
            <w:r>
              <w:tab/>
            </w:r>
            <w:r>
              <w:rPr>
                <w:b/>
                <w:i/>
              </w:rPr>
              <w:t>establecer mecanismos para limitar las variaciones anuales excesivas del esfuerzo pesquero cuando puedan poner en peligro la viabilidad económica de las empresas, respetando plenamente los objetivos de conservación.</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136</w:t>
      </w:r>
      <w:r>
        <w:rPr>
          <w:rStyle w:val="HideTWBExt"/>
        </w:rPr>
        <w:t>&lt;/NumAm&gt;</w:t>
      </w:r>
    </w:p>
    <w:p>
      <w:pPr>
        <w:pStyle w:val="NormalBold"/>
      </w:pPr>
      <w:r>
        <w:rPr>
          <w:rStyle w:val="HideTWBExt"/>
          <w:b w:val="0"/>
        </w:rPr>
        <w:t>&lt;RepeatBlock-By&gt;</w:t>
      </w:r>
      <w:r>
        <w:rPr>
          <w:rStyle w:val="HideTWBExt"/>
          <w:b w:val="0"/>
        </w:rPr>
        <w:t>&lt;Members&gt;</w:t>
      </w:r>
      <w:r>
        <w:t>Nora Junco García, Kristoffer Storm, Piotr Müller, Stephen Nikola Bartulica, Sander Smit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 – letra C bis) (nueva)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 bis)</w:t>
            </w:r>
            <w:r>
              <w:tab/>
            </w:r>
            <w:r>
              <w:rPr>
                <w:b/>
                <w:i/>
              </w:rPr>
              <w:t>reforzar las medidas técnicas de protección de los ejemplares juveniles, incluyendo el cierre de zonas de cría identificadas científicamente, el refuerzo del control de las tallas mínimas de referencia de conservación y la reducción de los descartes, a fin de garantizar el reclutamiento futuro de las poblaciones sin necesidad de recurrir a reducciones generalizadas del esfuerzo pesquero;</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137</w:t>
      </w:r>
      <w:r>
        <w:rPr>
          <w:rStyle w:val="HideTWBExt"/>
        </w:rPr>
        <w:t>&lt;/NumAm&gt;</w:t>
      </w:r>
    </w:p>
    <w:p>
      <w:pPr>
        <w:pStyle w:val="NormalBold"/>
      </w:pPr>
      <w:r>
        <w:rPr>
          <w:rStyle w:val="HideTWBExt"/>
          <w:b w:val="0"/>
        </w:rPr>
        <w:t>&lt;RepeatBlock-By&gt;</w:t>
      </w:r>
      <w:r>
        <w:rPr>
          <w:rStyle w:val="HideTWBExt"/>
          <w:b w:val="0"/>
        </w:rPr>
        <w:t>&lt;Members&gt;</w:t>
      </w:r>
      <w:r>
        <w:t>Eric Sargiacomo, Nicolás González Casares, Giuseppe Lupo, Sakis Arnaoutoglou, Idoia Mendia, Chloé Ridel, Claire Fita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 – letra C bis (nueva)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 bis)</w:t>
            </w:r>
            <w:r>
              <w:tab/>
            </w:r>
            <w:r>
              <w:rPr>
                <w:b/>
                <w:i/>
              </w:rPr>
              <w:t>incluir en el Reglamento un mecanismo permanente de compensación de las medidas técnicas de selectividad, que garantice la seguridad jurídica, la estabilidad normativa y una visibilidad suficiente de las inversiones realizadas por las empresas pesqueras;</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138</w:t>
      </w:r>
      <w:r>
        <w:rPr>
          <w:rStyle w:val="HideTWBExt"/>
        </w:rPr>
        <w:t>&lt;/NumAm&gt;</w:t>
      </w:r>
    </w:p>
    <w:p>
      <w:pPr>
        <w:pStyle w:val="NormalBold"/>
      </w:pPr>
      <w:r>
        <w:rPr>
          <w:rStyle w:val="HideTWBExt"/>
          <w:b w:val="0"/>
        </w:rPr>
        <w:t>&lt;RepeatBlock-By&gt;</w:t>
      </w:r>
      <w:r>
        <w:rPr>
          <w:rStyle w:val="HideTWBExt"/>
          <w:b w:val="0"/>
        </w:rPr>
        <w:t>&lt;Members&gt;</w:t>
      </w:r>
      <w:r>
        <w:t>Sebastian Everding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 – letra C bis (nueva)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 bis)</w:t>
            </w:r>
            <w:r>
              <w:tab/>
            </w:r>
            <w:r>
              <w:rPr>
                <w:b/>
                <w:i/>
              </w:rPr>
              <w:t>mejorar la selectividad, el control y el seguimiento de los artes de pesca e introducir y aplicar eficazmente vedas espaciales y temporales, en particular en las zonas de desove y cría;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139</w:t>
      </w:r>
      <w:r>
        <w:rPr>
          <w:rStyle w:val="HideTWBExt"/>
        </w:rPr>
        <w:t>&lt;/NumAm&gt;</w:t>
      </w:r>
    </w:p>
    <w:p>
      <w:pPr>
        <w:pStyle w:val="NormalBold"/>
      </w:pPr>
      <w:r>
        <w:rPr>
          <w:rStyle w:val="HideTWBExt"/>
          <w:b w:val="0"/>
        </w:rPr>
        <w:t>&lt;RepeatBlock-By&gt;</w:t>
      </w:r>
      <w:r>
        <w:rPr>
          <w:rStyle w:val="HideTWBExt"/>
          <w:b w:val="0"/>
        </w:rPr>
        <w:t>&lt;Members&gt;</w:t>
      </w:r>
      <w:r>
        <w:t>Isabelle Le Callennec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 – letra C bis (nueva)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 bis)</w:t>
            </w:r>
            <w:r>
              <w:tab/>
            </w:r>
            <w:r>
              <w:rPr>
                <w:b/>
                <w:i/>
              </w:rPr>
              <w:t>incluir el reconocimiento de medias jornadas de pesca en el cálculo del esfuerzo pesquero;</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140</w:t>
      </w:r>
      <w:r>
        <w:rPr>
          <w:rStyle w:val="HideTWBExt"/>
        </w:rPr>
        <w:t>&lt;/NumAm&gt;</w:t>
      </w:r>
    </w:p>
    <w:p>
      <w:pPr>
        <w:pStyle w:val="NormalBold"/>
      </w:pPr>
      <w:r>
        <w:rPr>
          <w:rStyle w:val="HideTWBExt"/>
          <w:b w:val="0"/>
        </w:rPr>
        <w:t>&lt;RepeatBlock-By&gt;</w:t>
      </w:r>
      <w:r>
        <w:rPr>
          <w:rStyle w:val="HideTWBExt"/>
          <w:b w:val="0"/>
        </w:rPr>
        <w:t>&lt;Members&gt;</w:t>
      </w:r>
      <w:r>
        <w:t>Nora Junco García, Stephen Nikola Bartulica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 – letra C ter) (nueva)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 ter)</w:t>
            </w:r>
            <w:r>
              <w:tab/>
            </w:r>
            <w:r>
              <w:rPr>
                <w:b/>
                <w:i/>
              </w:rPr>
              <w:t>revisar el método de asignación del esfuerzo pesquero para garantizar una distribución más equilibrada entre los distintos segmentos de la flota que capturan las mismas poblaciones demersales, evaluando la conveniencia de extender un marco de gestión armonizado a escala de la Unión a los segmentos de pesca artesanal y de artes menores allí donde su contribución a la mortalidad por pesca de dichas poblaciones sea significativa, así como actualizar los criterios de reparto interno de días entre segmentos de eslora de la flota de arrastre, hoy basados en la actividad histórica del periodo 2019-2020, para reflejar la realidad operativa actual de la flota;</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141</w:t>
      </w:r>
      <w:r>
        <w:rPr>
          <w:rStyle w:val="HideTWBExt"/>
        </w:rPr>
        <w:t>&lt;/NumAm&gt;</w:t>
      </w:r>
    </w:p>
    <w:p>
      <w:pPr>
        <w:pStyle w:val="NormalBold"/>
      </w:pPr>
      <w:r>
        <w:rPr>
          <w:rStyle w:val="HideTWBExt"/>
          <w:b w:val="0"/>
        </w:rPr>
        <w:t>&lt;RepeatBlock-By&gt;</w:t>
      </w:r>
      <w:r>
        <w:rPr>
          <w:rStyle w:val="HideTWBExt"/>
          <w:b w:val="0"/>
        </w:rPr>
        <w:t>&lt;Members&gt;</w:t>
      </w:r>
      <w:r>
        <w:t>Eric Sargiacomo, Nicolás González Casares, Giuseppe Lupo, Sakis Arnaoutoglou, Idoia Mendia, Claire Fita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 – letra C ter (nueva)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 ter)</w:t>
            </w:r>
            <w:r>
              <w:tab/>
            </w:r>
            <w:r>
              <w:rPr>
                <w:b/>
                <w:i/>
              </w:rPr>
              <w:t>disponer que las modificaciones sustanciales de las medidas técnicas o de los mecanismos de compensación vayan precedidas de un período de evaluación científica suficiente para medir sus efectos biológicos, económicos y sociales antes de cualquier revisión posterior.</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142</w:t>
      </w:r>
      <w:r>
        <w:rPr>
          <w:rStyle w:val="HideTWBExt"/>
        </w:rPr>
        <w:t>&lt;/NumAm&gt;</w:t>
      </w:r>
    </w:p>
    <w:p>
      <w:pPr>
        <w:pStyle w:val="NormalBold"/>
      </w:pPr>
      <w:r>
        <w:rPr>
          <w:rStyle w:val="HideTWBExt"/>
          <w:b w:val="0"/>
        </w:rPr>
        <w:t>&lt;RepeatBlock-By&gt;</w:t>
      </w:r>
      <w:r>
        <w:rPr>
          <w:rStyle w:val="HideTWBExt"/>
          <w:b w:val="0"/>
        </w:rPr>
        <w:t>&lt;Members&gt;</w:t>
      </w:r>
      <w:r>
        <w:t>Isabelle Le Callennec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 – párrafo 1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eliminar los grupos de esfuerzo segmentados por eslora del buque, fusionarlos en un único grupo por subzona geográfica (SZG);</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143</w:t>
      </w:r>
      <w:r>
        <w:rPr>
          <w:rStyle w:val="HideTWBExt"/>
        </w:rPr>
        <w:t>&lt;/NumAm&gt;</w:t>
      </w:r>
    </w:p>
    <w:p>
      <w:pPr>
        <w:pStyle w:val="NormalBold"/>
      </w:pPr>
      <w:r>
        <w:rPr>
          <w:rStyle w:val="HideTWBExt"/>
          <w:b w:val="0"/>
        </w:rPr>
        <w:t>&lt;RepeatBlock-By&gt;</w:t>
      </w:r>
      <w:r>
        <w:rPr>
          <w:rStyle w:val="HideTWBExt"/>
          <w:b w:val="0"/>
        </w:rPr>
        <w:t>&lt;Members&gt;</w:t>
      </w:r>
      <w:r>
        <w:t>Eric Sargiacomo, Nicolás González Casares, Giuseppe Lupo, Sakis Arnaoutoglou, Idoia Mendia, Claire Fita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 – letra C quater (nueva)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 quater)</w:t>
            </w:r>
            <w:r>
              <w:tab/>
            </w:r>
            <w:r>
              <w:rPr>
                <w:b/>
                <w:i/>
              </w:rPr>
              <w:t>Pide a la Comisión que revise las condiciones de aplicación del plan a los buques que utilizan artes pelágicos, siempre que no ejerzan una presión significativa sobre las poblaciones demersales;</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144</w:t>
      </w:r>
      <w:r>
        <w:rPr>
          <w:rStyle w:val="HideTWBExt"/>
        </w:rPr>
        <w:t>&lt;/NumAm&gt;</w:t>
      </w:r>
    </w:p>
    <w:p>
      <w:pPr>
        <w:pStyle w:val="NormalBold"/>
      </w:pPr>
      <w:r>
        <w:rPr>
          <w:rStyle w:val="HideTWBExt"/>
          <w:b w:val="0"/>
        </w:rPr>
        <w:t>&lt;RepeatBlock-By&gt;</w:t>
      </w:r>
      <w:r>
        <w:rPr>
          <w:rStyle w:val="HideTWBExt"/>
          <w:b w:val="0"/>
        </w:rPr>
        <w:t>&lt;Members&gt;</w:t>
      </w:r>
      <w:r>
        <w:t>Sebastian Everding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 bis.</w:t>
            </w:r>
            <w:r>
              <w:tab/>
            </w:r>
            <w:r>
              <w:rPr>
                <w:b/>
                <w:i/>
              </w:rPr>
              <w:t>Destaca el valor intrínseco del océano y de todas las especies que dependen de él;</w:t>
            </w:r>
            <w:r>
              <w:t xml:space="preserve"> </w:t>
            </w:r>
            <w:r>
              <w:rPr>
                <w:b/>
                <w:i/>
              </w:rPr>
              <w:t>insiste en que, si bien el mar Mediterráneo cubre menos del 1 % del océano mundial, es una de las mayores fuentes de biodiversidad marina y costera del planeta que se enfrenta a múltiples presiones, como la sobrepesca, la contaminación, la destrucción de hábitats y la acidificación, y se está calentando aproximadamente un 20 % más rápido que la media mundial debido al cambio climático;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145</w:t>
      </w:r>
      <w:r>
        <w:rPr>
          <w:rStyle w:val="HideTWBExt"/>
        </w:rPr>
        <w:t>&lt;/NumAm&gt;</w:t>
      </w:r>
    </w:p>
    <w:p>
      <w:pPr>
        <w:pStyle w:val="NormalBold"/>
      </w:pPr>
      <w:r>
        <w:rPr>
          <w:rStyle w:val="HideTWBExt"/>
          <w:b w:val="0"/>
        </w:rPr>
        <w:t>&lt;RepeatBlock-By&gt;</w:t>
      </w:r>
      <w:r>
        <w:rPr>
          <w:rStyle w:val="HideTWBExt"/>
          <w:b w:val="0"/>
        </w:rPr>
        <w:t>&lt;Members&gt;</w:t>
      </w:r>
      <w:r>
        <w:t>Isabelle Le Callennec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 bis.</w:t>
            </w:r>
            <w:r>
              <w:tab/>
            </w:r>
            <w:r>
              <w:rPr>
                <w:b/>
                <w:i/>
              </w:rPr>
              <w:t>definir el término siguiente: «pesquería mixta»;</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146</w:t>
      </w:r>
      <w:r>
        <w:rPr>
          <w:rStyle w:val="HideTWBExt"/>
        </w:rPr>
        <w:t>&lt;/NumAm&gt;</w:t>
      </w:r>
    </w:p>
    <w:p>
      <w:pPr>
        <w:pStyle w:val="NormalBold"/>
      </w:pPr>
      <w:r>
        <w:rPr>
          <w:rStyle w:val="HideTWBExt"/>
          <w:b w:val="0"/>
        </w:rPr>
        <w:t>&lt;RepeatBlock-By&gt;</w:t>
      </w:r>
      <w:r>
        <w:rPr>
          <w:rStyle w:val="HideTWBExt"/>
          <w:b w:val="0"/>
        </w:rPr>
        <w:t>&lt;Members&gt;</w:t>
      </w:r>
      <w:r>
        <w:t>Isabelle Le Callennec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 ter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 ter.</w:t>
            </w:r>
            <w:r>
              <w:tab/>
            </w:r>
            <w:r>
              <w:rPr>
                <w:b/>
                <w:i/>
              </w:rPr>
              <w:t>introducir un principio de proporcionalidad entre los Estados miembros basado en su contribución real a la mortalidad por pesca;</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147</w:t>
      </w:r>
      <w:r>
        <w:rPr>
          <w:rStyle w:val="HideTWBExt"/>
        </w:rPr>
        <w:t>&lt;/NumAm&gt;</w:t>
      </w:r>
    </w:p>
    <w:p>
      <w:pPr>
        <w:pStyle w:val="NormalBold"/>
      </w:pPr>
      <w:r>
        <w:rPr>
          <w:rStyle w:val="HideTWBExt"/>
          <w:b w:val="0"/>
        </w:rPr>
        <w:t>&lt;RepeatBlock-By&gt;</w:t>
      </w:r>
      <w:r>
        <w:rPr>
          <w:rStyle w:val="HideTWBExt"/>
          <w:b w:val="0"/>
        </w:rPr>
        <w:t>&lt;Members&gt;</w:t>
      </w:r>
      <w:r>
        <w:t>Isabelle Le Callennec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 quater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 quater.</w:t>
            </w:r>
            <w:r>
              <w:tab/>
            </w:r>
            <w:r>
              <w:rPr>
                <w:b/>
                <w:i/>
              </w:rPr>
              <w:t>mantener el mecanismo de compensación, así como su diversificación y una duración mínima de tres años para las medidas que dan derecho a días de pesca adicionales;</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148</w:t>
      </w:r>
      <w:r>
        <w:rPr>
          <w:rStyle w:val="HideTWBExt"/>
        </w:rPr>
        <w:t>&lt;/NumAm&gt;</w:t>
      </w:r>
    </w:p>
    <w:p>
      <w:pPr>
        <w:pStyle w:val="NormalBold"/>
      </w:pPr>
      <w:r>
        <w:rPr>
          <w:rStyle w:val="HideTWBExt"/>
          <w:b w:val="0"/>
        </w:rPr>
        <w:t>&lt;RepeatBlock-By&gt;</w:t>
      </w:r>
      <w:r>
        <w:rPr>
          <w:rStyle w:val="HideTWBExt"/>
          <w:b w:val="0"/>
        </w:rPr>
        <w:t>&lt;Members&gt;</w:t>
      </w:r>
      <w:r>
        <w:t>Isabelle Le Callennec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 quinquies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 quinquies.</w:t>
            </w:r>
            <w:r>
              <w:tab/>
            </w:r>
            <w:r>
              <w:rPr>
                <w:b/>
                <w:i/>
              </w:rPr>
              <w:t>aclarar el tratamiento de los buques dedicados a la pesca de arrastre pelágico (OTM);</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149</w:t>
      </w:r>
      <w:r>
        <w:rPr>
          <w:rStyle w:val="HideTWBExt"/>
        </w:rPr>
        <w:t>&lt;/NumAm&gt;</w:t>
      </w:r>
    </w:p>
    <w:p>
      <w:pPr>
        <w:pStyle w:val="NormalBold"/>
      </w:pPr>
      <w:r>
        <w:rPr>
          <w:rStyle w:val="HideTWBExt"/>
          <w:b w:val="0"/>
        </w:rPr>
        <w:t>&lt;RepeatBlock-By&gt;</w:t>
      </w:r>
      <w:r>
        <w:rPr>
          <w:rStyle w:val="HideTWBExt"/>
          <w:b w:val="0"/>
        </w:rPr>
        <w:t>&lt;Members&gt;</w:t>
      </w:r>
      <w:r>
        <w:t>Isabelle Le Callennec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 sexies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 sexies.</w:t>
            </w:r>
            <w:r>
              <w:tab/>
            </w:r>
            <w:r>
              <w:rPr>
                <w:b/>
                <w:i/>
              </w:rPr>
              <w:t>llevar a cabo una evaluación científica, técnica y socioeconómica periódica de las medidas técnicas aplicables en el Mediterráneo occidental, con el fin de adaptar o suprimir aquellas cuya eficacia biológica no se haya demostrado o cuyas consecuencias socioeconómicas parezcan desproporcionadas;</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150</w:t>
      </w:r>
      <w:r>
        <w:rPr>
          <w:rStyle w:val="HideTWBExt"/>
        </w:rPr>
        <w:t>&lt;/NumAm&gt;</w:t>
      </w:r>
    </w:p>
    <w:p>
      <w:pPr>
        <w:pStyle w:val="NormalBold"/>
      </w:pPr>
      <w:r>
        <w:rPr>
          <w:rStyle w:val="HideTWBExt"/>
          <w:b w:val="0"/>
        </w:rPr>
        <w:t>&lt;RepeatBlock-By&gt;</w:t>
      </w:r>
      <w:r>
        <w:rPr>
          <w:rStyle w:val="HideTWBExt"/>
          <w:b w:val="0"/>
        </w:rPr>
        <w:t>&lt;Members&gt;</w:t>
      </w:r>
      <w:r>
        <w:t>Carmen Crespo Díaz, Isabelle Le Callennec, Paulo do Nascimento Cabral, Susana Solís Pérez, Francisco José Millán Mon, Fredis Beleris, Marco Falcone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Acoge con satisfacción la convocatoria de datos para una evaluación de impacto publicada por la Comisión el 26 de mayo de 2026 sobre el plan plurianual, así como su compromiso de evaluar los efectos socioeconómicos de las medidas aplicadas;</w:t>
            </w:r>
          </w:p>
        </w:tc>
        <w:tc>
          <w:tcPr>
            <w:tcW w:w="4876" w:type="dxa"/>
            <w:tcBorders>
              <w:top w:val="nil"/>
              <w:left w:val="nil"/>
              <w:bottom w:val="nil"/>
              <w:right w:val="nil"/>
            </w:tcBorders>
          </w:tcPr>
          <w:p>
            <w:pPr>
              <w:pStyle w:val="Normal6a"/>
            </w:pPr>
            <w:r>
              <w:t>2.</w:t>
            </w:r>
            <w:r>
              <w:tab/>
            </w:r>
            <w:r>
              <w:t xml:space="preserve">Acoge con satisfacción la convocatoria de datos para una evaluación de impacto publicada por la Comisión el 26 de mayo de 2026 sobre el plan plurianual, así como su compromiso de evaluar los efectos socioeconómicos de las medidas aplicadas </w:t>
            </w:r>
            <w:r>
              <w:rPr>
                <w:b/>
                <w:i/>
              </w:rPr>
              <w:t>desde 2019, prestando especial atención a la evolución del empleo y de la flota, a la resiliencia económica y social de las comunidades costeras y a la eficacia de las medidas compensatorias</w:t>
            </w:r>
            <w:r>
              <w:t>;</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151</w:t>
      </w:r>
      <w:r>
        <w:rPr>
          <w:rStyle w:val="HideTWBExt"/>
        </w:rPr>
        <w:t>&lt;/NumAm&gt;</w:t>
      </w:r>
    </w:p>
    <w:p>
      <w:pPr>
        <w:pStyle w:val="NormalBold"/>
      </w:pPr>
      <w:r>
        <w:rPr>
          <w:rStyle w:val="HideTWBExt"/>
          <w:b w:val="0"/>
        </w:rPr>
        <w:t>&lt;RepeatBlock-By&gt;</w:t>
      </w:r>
      <w:r>
        <w:rPr>
          <w:rStyle w:val="HideTWBExt"/>
          <w:b w:val="0"/>
        </w:rPr>
        <w:t>&lt;Members&gt;</w:t>
      </w:r>
      <w:r>
        <w:t>Mélissa Camara</w:t>
      </w:r>
      <w:r>
        <w:rPr>
          <w:rStyle w:val="HideTWBExt"/>
          <w:b w:val="0"/>
        </w:rPr>
        <w:t>&lt;/Members&gt;</w:t>
      </w:r>
    </w:p>
    <w:p>
      <w:r>
        <w:rPr>
          <w:rStyle w:val="HideTWBExt"/>
          <w:b w:val="0"/>
        </w:rPr>
        <w:t>&lt;AuNomDe&gt;</w:t>
      </w:r>
      <w:r>
        <w:rPr>
          <w:rStyle w:val="HideTWBInt"/>
        </w:rPr>
        <w:t>{Verts/ALE}</w:t>
      </w:r>
      <w:r>
        <w:t>en nombre del Grupo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Acoge con satisfacción la convocatoria de datos para una evaluación de impacto publicada por la Comisión el 26 de mayo de 2026 sobre el plan plurianual, así como su compromiso de evaluar los efectos socioeconómicos de las medidas aplicadas;</w:t>
            </w:r>
          </w:p>
        </w:tc>
        <w:tc>
          <w:tcPr>
            <w:tcW w:w="4876" w:type="dxa"/>
            <w:tcBorders>
              <w:top w:val="nil"/>
              <w:left w:val="nil"/>
              <w:bottom w:val="nil"/>
              <w:right w:val="nil"/>
            </w:tcBorders>
          </w:tcPr>
          <w:p>
            <w:pPr>
              <w:pStyle w:val="Normal6a"/>
            </w:pPr>
            <w:r>
              <w:t>2.</w:t>
            </w:r>
            <w:r>
              <w:tab/>
            </w:r>
            <w:r>
              <w:t xml:space="preserve">Acoge con satisfacción la convocatoria de datos para una evaluación de impacto publicada por la Comisión el 26 de mayo de 2026 sobre el plan plurianual, así como su compromiso de evaluar los efectos socioeconómicos de las medidas aplicadas; </w:t>
            </w:r>
            <w:r>
              <w:rPr>
                <w:b/>
                <w:i/>
              </w:rPr>
              <w:t>destaca que esta evaluación debe basarse en la evaluación de impacto de 2018, el informe de aplicación de 2024, el dictamen pertinente del CCTEP y los datos medioambientales y socioeconómicos actualizados;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152</w:t>
      </w:r>
      <w:r>
        <w:rPr>
          <w:rStyle w:val="HideTWBExt"/>
        </w:rPr>
        <w:t>&lt;/NumAm&gt;</w:t>
      </w:r>
    </w:p>
    <w:p>
      <w:pPr>
        <w:pStyle w:val="NormalBold"/>
      </w:pPr>
      <w:r>
        <w:rPr>
          <w:rStyle w:val="HideTWBExt"/>
          <w:b w:val="0"/>
        </w:rPr>
        <w:t>&lt;RepeatBlock-By&gt;</w:t>
      </w:r>
      <w:r>
        <w:rPr>
          <w:rStyle w:val="HideTWBExt"/>
          <w:b w:val="0"/>
        </w:rPr>
        <w:t>&lt;Members&gt;</w:t>
      </w:r>
      <w:r>
        <w:t>Siegbert Frank Droese, Volker Schnurrbusch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rPr>
                <w:b/>
                <w:i/>
              </w:rPr>
              <w:t>Acoge con satisfacción</w:t>
            </w:r>
            <w:r>
              <w:t xml:space="preserve"> la convocatoria de datos para una evaluación de impacto publicada por la Comisión el 26 de mayo de 2026 sobre el plan plurianual, así como su compromiso de evaluar los efectos socioeconómicos de las medidas aplicadas;</w:t>
            </w:r>
          </w:p>
        </w:tc>
        <w:tc>
          <w:tcPr>
            <w:tcW w:w="4876" w:type="dxa"/>
            <w:tcBorders>
              <w:top w:val="nil"/>
              <w:left w:val="nil"/>
              <w:bottom w:val="nil"/>
              <w:right w:val="nil"/>
            </w:tcBorders>
          </w:tcPr>
          <w:p>
            <w:pPr>
              <w:pStyle w:val="Normal6a"/>
            </w:pPr>
            <w:r>
              <w:t>2.</w:t>
            </w:r>
            <w:r>
              <w:tab/>
            </w:r>
            <w:r>
              <w:rPr>
                <w:b/>
                <w:i/>
              </w:rPr>
              <w:t>Toma nota de</w:t>
            </w:r>
            <w:r>
              <w:t xml:space="preserve"> la convocatoria de datos para una evaluación de impacto publicada por la Comisión el 26 de mayo de 2026 sobre el plan plurianual, así como su compromiso de evaluar los efectos socioeconómicos de las medidas aplicadas; </w:t>
            </w:r>
            <w:r>
              <w:rPr>
                <w:b/>
                <w:i/>
              </w:rPr>
              <w:t>lamenta que dicha evaluación solo se realice después de más de cinco años de reducciones acumuladas del esfuerzo pesquero impuestas a la flota;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153</w:t>
      </w:r>
      <w:r>
        <w:rPr>
          <w:rStyle w:val="HideTWBExt"/>
        </w:rPr>
        <w:t>&lt;/NumAm&gt;</w:t>
      </w:r>
    </w:p>
    <w:p>
      <w:pPr>
        <w:pStyle w:val="NormalBold"/>
      </w:pPr>
      <w:r>
        <w:rPr>
          <w:rStyle w:val="HideTWBExt"/>
          <w:b w:val="0"/>
        </w:rPr>
        <w:t>&lt;RepeatBlock-By&gt;</w:t>
      </w:r>
      <w:r>
        <w:rPr>
          <w:rStyle w:val="HideTWBExt"/>
          <w:b w:val="0"/>
        </w:rPr>
        <w:t>&lt;Members&gt;</w:t>
      </w:r>
      <w:r>
        <w:t>Carmen Crespo Díaz, Isabelle Le Callennec, Paulo do Nascimento Cabral, Susana Solís Pérez, Francisco José Millán Mon, Fredis Beleris, Marco Falcone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2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 bis.</w:t>
            </w:r>
            <w:r>
              <w:tab/>
            </w:r>
            <w:r>
              <w:rPr>
                <w:b/>
                <w:i/>
              </w:rPr>
              <w:t>Subraya que la fase transitoria prevista en el artículo 7 del Reglamento (UE) 2019/1022, basada en una reducción progresiva del esfuerzo pesquero durante el período 2020-2024, ha concluido;</w:t>
            </w:r>
            <w:r>
              <w:t xml:space="preserve"> </w:t>
            </w:r>
            <w:r>
              <w:rPr>
                <w:b/>
                <w:i/>
              </w:rPr>
              <w:t>considera, por tanto, que la gestión del Plan WestMed debe entrar en una nueva fase centrada en la consolidación de los resultados alcanzados, abandonando las reducciones sistemáticas de los días de pesca y permitiendo, cuando los datos científicos lo avalen y se garantice la sostenibilidad de las poblaciones, incrementar progresivamente las posibilidades de pesca con el fin de restablecer la viabilidad económica y social de la flota mediterránea;</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154</w:t>
      </w:r>
      <w:r>
        <w:rPr>
          <w:rStyle w:val="HideTWBExt"/>
        </w:rPr>
        <w:t>&lt;/NumAm&gt;</w:t>
      </w:r>
    </w:p>
    <w:p>
      <w:pPr>
        <w:pStyle w:val="NormalBold"/>
      </w:pPr>
      <w:r>
        <w:rPr>
          <w:rStyle w:val="HideTWBExt"/>
          <w:b w:val="0"/>
        </w:rPr>
        <w:t>&lt;RepeatBlock-By&gt;</w:t>
      </w:r>
      <w:r>
        <w:rPr>
          <w:rStyle w:val="HideTWBExt"/>
          <w:b w:val="0"/>
        </w:rPr>
        <w:t>&lt;Members&gt;</w:t>
      </w:r>
      <w:r>
        <w:t>Mélissa Camara</w:t>
      </w:r>
      <w:r>
        <w:rPr>
          <w:rStyle w:val="HideTWBExt"/>
          <w:b w:val="0"/>
        </w:rPr>
        <w:t>&lt;/Members&gt;</w:t>
      </w:r>
    </w:p>
    <w:p>
      <w:r>
        <w:rPr>
          <w:rStyle w:val="HideTWBExt"/>
          <w:b w:val="0"/>
        </w:rPr>
        <w:t>&lt;AuNomDe&gt;</w:t>
      </w:r>
      <w:r>
        <w:rPr>
          <w:rStyle w:val="HideTWBInt"/>
        </w:rPr>
        <w:t>{Verts/ALE}</w:t>
      </w:r>
      <w:r>
        <w:t>en nombre del Grupo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2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 bis.</w:t>
            </w:r>
            <w:r>
              <w:tab/>
            </w:r>
            <w:r>
              <w:rPr>
                <w:b/>
                <w:i/>
              </w:rPr>
              <w:t>Pide a la Comisión y a los Estados miembros que mejoren la disponibilidad y la calidad de los datos relativos a los criterios de edad y tamaño de las poblaciones afectadas en la preparación de las decisiones de gestión de la pesca para la zona en el marco del plan plurianual para el Mediterráneo occidental;</w:t>
            </w:r>
            <w:r>
              <w:t xml:space="preserve"> </w:t>
            </w:r>
            <w:r>
              <w:rPr>
                <w:b/>
                <w:i/>
              </w:rPr>
              <w:t>destaca que una mejora en la recogida de datos sobre estos parámetros debería contribuir a la integración del descriptor 3, criterio 3 (D3C3), de la Directiva marco sobre la estrategia marina, tal como exige el artículo 3, apartado 4, del plan;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155</w:t>
      </w:r>
      <w:r>
        <w:rPr>
          <w:rStyle w:val="HideTWBExt"/>
        </w:rPr>
        <w:t>&lt;/NumAm&gt;</w:t>
      </w:r>
    </w:p>
    <w:p>
      <w:pPr>
        <w:pStyle w:val="NormalBold"/>
      </w:pPr>
      <w:r>
        <w:rPr>
          <w:rStyle w:val="HideTWBExt"/>
          <w:b w:val="0"/>
        </w:rPr>
        <w:t>&lt;RepeatBlock-By&gt;</w:t>
      </w:r>
      <w:r>
        <w:rPr>
          <w:rStyle w:val="HideTWBExt"/>
          <w:b w:val="0"/>
        </w:rPr>
        <w:t>&lt;Members&gt;</w:t>
      </w:r>
      <w:r>
        <w:t>Mélissa Camara</w:t>
      </w:r>
      <w:r>
        <w:rPr>
          <w:rStyle w:val="HideTWBExt"/>
          <w:b w:val="0"/>
        </w:rPr>
        <w:t>&lt;/Members&gt;</w:t>
      </w:r>
    </w:p>
    <w:p>
      <w:r>
        <w:rPr>
          <w:rStyle w:val="HideTWBExt"/>
          <w:b w:val="0"/>
        </w:rPr>
        <w:t>&lt;AuNomDe&gt;</w:t>
      </w:r>
      <w:r>
        <w:rPr>
          <w:rStyle w:val="HideTWBInt"/>
        </w:rPr>
        <w:t>{Verts/ALE}</w:t>
      </w:r>
      <w:r>
        <w:t>en nombre del Grupo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2 ter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 ter.</w:t>
            </w:r>
            <w:r>
              <w:tab/>
            </w:r>
            <w:r>
              <w:rPr>
                <w:b/>
                <w:i/>
              </w:rPr>
              <w:t>Pide a la Comisión y a los Estados miembros que velen porque la gestión de las poblaciones de peces con arreglo al plan multianual del Mediterráneo occidental incluya objetivos para restablecer la distribución natural por tallas y edades dentro de las poblaciones, de conformidad con el artículo 2, apartado 5, letra j), de la PPC, que hace referencia al artículo 1, apartado 1, de la Directiva marco sobre la estrategia marina, reconociendo que unas estructuras demográficas sanas son esenciales para la capacidad reproductiva, la resiliencia de las poblaciones y la estabilidad de los ecosistemas;</w:t>
            </w:r>
            <w:r>
              <w:t xml:space="preserve"> </w:t>
            </w:r>
            <w:r>
              <w:rPr>
                <w:b/>
                <w:i/>
              </w:rPr>
              <w:t>alienta el desarrollo de indicadores de seguimiento y prácticas pesqueras más selectivas desarrolladas en cooperación con el sector que puedan reducir la eliminación sistemática de peces de mayor tamaño y edad y proteger mejor el potencial de reclutamiento de la población;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156</w:t>
      </w:r>
      <w:r>
        <w:rPr>
          <w:rStyle w:val="HideTWBExt"/>
        </w:rPr>
        <w:t>&lt;/NumAm&gt;</w:t>
      </w:r>
    </w:p>
    <w:p>
      <w:pPr>
        <w:pStyle w:val="NormalBold"/>
      </w:pPr>
      <w:r>
        <w:rPr>
          <w:rStyle w:val="HideTWBExt"/>
          <w:b w:val="0"/>
        </w:rPr>
        <w:t>&lt;RepeatBlock-By&gt;</w:t>
      </w:r>
      <w:r>
        <w:rPr>
          <w:rStyle w:val="HideTWBExt"/>
          <w:b w:val="0"/>
        </w:rPr>
        <w:t>&lt;Members&gt;</w:t>
      </w:r>
      <w:r>
        <w:t>Carmen Crespo Díaz, Paulo do Nascimento Cabral, Susana Solís Pérez, Francisco José Millán Mon, Fredis Beleris, Marco Falcone, Isabelle Le Callennec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2 ter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 ter.</w:t>
            </w:r>
            <w:r>
              <w:tab/>
            </w:r>
            <w:r>
              <w:rPr>
                <w:b/>
                <w:i/>
              </w:rPr>
              <w:t>Toma nota de los importantes esfuerzos de adaptación técnica e inversión realizados por la flota de arrastre en favor de una pesca más sostenible, mediante la incorporación de medidas para mejorar la selectividad de los artes y reducir el impacto de la actividad pesquera, como el uso de mallas cuadradas de 40 mm o romboidales de 50 mm, rejillas de selección para juveniles, paneles de malla más ancha y puertas voladoras;</w:t>
            </w:r>
            <w:r>
              <w:t xml:space="preserve"> </w:t>
            </w:r>
            <w:r>
              <w:rPr>
                <w:b/>
                <w:i/>
              </w:rPr>
              <w:t>considerando, asimismo, que en España alrededor del 60% de la flota ya ha incorporado estas y otras mejoras técnicas en los últimos años;</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157</w:t>
      </w:r>
      <w:r>
        <w:rPr>
          <w:rStyle w:val="HideTWBExt"/>
        </w:rPr>
        <w:t>&lt;/NumAm&gt;</w:t>
      </w:r>
    </w:p>
    <w:p>
      <w:pPr>
        <w:pStyle w:val="NormalBold"/>
      </w:pPr>
      <w:r>
        <w:rPr>
          <w:rStyle w:val="HideTWBExt"/>
          <w:b w:val="0"/>
        </w:rPr>
        <w:t>&lt;RepeatBlock-By&gt;</w:t>
      </w:r>
      <w:r>
        <w:rPr>
          <w:rStyle w:val="HideTWBExt"/>
          <w:b w:val="0"/>
        </w:rPr>
        <w:t>&lt;Members&gt;</w:t>
      </w:r>
      <w:r>
        <w:t>Eric Sargiacomo, Nicolás González Casares, Giuseppe Lupo, Sakis Arnaoutoglou, Idoia Mendia, Claire Fita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Pide a la Comisión que celebre consultas obligatorias con todas las partes interesadas pertinentes, en particular el Consejo Consultivo Mediterráneo, los organismos científicos regionales, las organizaciones de pescadores y las industrias de transformación, antes de adoptar nuevas restricciones;</w:t>
            </w:r>
          </w:p>
        </w:tc>
        <w:tc>
          <w:tcPr>
            <w:tcW w:w="4876" w:type="dxa"/>
            <w:tcBorders>
              <w:top w:val="nil"/>
              <w:left w:val="nil"/>
              <w:bottom w:val="nil"/>
              <w:right w:val="nil"/>
            </w:tcBorders>
          </w:tcPr>
          <w:p>
            <w:pPr>
              <w:pStyle w:val="Normal6a"/>
            </w:pPr>
            <w:r>
              <w:t>3.</w:t>
            </w:r>
            <w:r>
              <w:tab/>
            </w:r>
            <w:r>
              <w:t>Pide a la Comisión que celebre consultas obligatorias con todas las partes interesadas pertinentes, en particular el Consejo Consultivo Mediterráneo, los organismos científicos regionales, las organizaciones de pescadores</w:t>
            </w:r>
            <w:r>
              <w:rPr>
                <w:b/>
                <w:i/>
              </w:rPr>
              <w:t>, las organizaciones que representan a la pesca a pequeña escala, como las cofradías, las prud’homies y las cooperativas italianas, los sindicatos que representan a los trabajadores del sector, las organizaciones medioambientales</w:t>
            </w:r>
            <w:r>
              <w:t xml:space="preserve"> y las industrias de transformación, antes de adoptar nuevas restricciones </w:t>
            </w:r>
            <w:r>
              <w:rPr>
                <w:b/>
                <w:i/>
              </w:rPr>
              <w:t>o de modificar las medidas técnicas existentes</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158</w:t>
      </w:r>
      <w:r>
        <w:rPr>
          <w:rStyle w:val="HideTWBExt"/>
        </w:rPr>
        <w:t>&lt;/NumAm&gt;</w:t>
      </w:r>
    </w:p>
    <w:p>
      <w:pPr>
        <w:pStyle w:val="NormalBold"/>
      </w:pPr>
      <w:r>
        <w:rPr>
          <w:rStyle w:val="HideTWBExt"/>
          <w:b w:val="0"/>
        </w:rPr>
        <w:t>&lt;RepeatBlock-By&gt;</w:t>
      </w:r>
      <w:r>
        <w:rPr>
          <w:rStyle w:val="HideTWBExt"/>
          <w:b w:val="0"/>
        </w:rPr>
        <w:t>&lt;Members&gt;</w:t>
      </w:r>
      <w:r>
        <w:t>Sebastian Everding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Pide a la Comisión que </w:t>
            </w:r>
            <w:r>
              <w:rPr>
                <w:b/>
                <w:i/>
              </w:rPr>
              <w:t>celebre</w:t>
            </w:r>
            <w:r>
              <w:t xml:space="preserve"> consultas </w:t>
            </w:r>
            <w:r>
              <w:rPr>
                <w:b/>
                <w:i/>
              </w:rPr>
              <w:t>obligatorias</w:t>
            </w:r>
            <w:r>
              <w:t xml:space="preserve"> con todas las partes interesadas pertinentes, en particular el Consejo Consultivo Mediterráneo, los organismos científicos regionales, las organizaciones de pescadores y las industrias de transformación</w:t>
            </w:r>
            <w:r>
              <w:rPr>
                <w:b/>
                <w:i/>
              </w:rPr>
              <w:t>, antes de adoptar nuevas restricciones</w:t>
            </w:r>
            <w:r>
              <w:t>;</w:t>
            </w:r>
          </w:p>
        </w:tc>
        <w:tc>
          <w:tcPr>
            <w:tcW w:w="4876" w:type="dxa"/>
            <w:tcBorders>
              <w:top w:val="nil"/>
              <w:left w:val="nil"/>
              <w:bottom w:val="nil"/>
              <w:right w:val="nil"/>
            </w:tcBorders>
          </w:tcPr>
          <w:p>
            <w:pPr>
              <w:pStyle w:val="Normal6a"/>
            </w:pPr>
            <w:r>
              <w:t>3.</w:t>
            </w:r>
            <w:r>
              <w:tab/>
            </w:r>
            <w:r>
              <w:t xml:space="preserve">Pide a la Comisión que </w:t>
            </w:r>
            <w:r>
              <w:rPr>
                <w:b/>
                <w:i/>
              </w:rPr>
              <w:t>al preparar medidas de gestión que afecten a las oportunidades de pesca, garantice</w:t>
            </w:r>
            <w:r>
              <w:t xml:space="preserve"> consultas </w:t>
            </w:r>
            <w:r>
              <w:rPr>
                <w:b/>
                <w:i/>
              </w:rPr>
              <w:t>oportunas y satisfactorias</w:t>
            </w:r>
            <w:r>
              <w:t xml:space="preserve"> con todas las partes interesadas pertinentes, en particular el Consejo Consultivo Mediterráneo, los organismos científicos regionales, las </w:t>
            </w:r>
            <w:r>
              <w:rPr>
                <w:b/>
                <w:i/>
              </w:rPr>
              <w:t>ONG medioambientales, las</w:t>
            </w:r>
            <w:r>
              <w:t xml:space="preserve"> organizaciones de pescadores y las industrias de transformación</w:t>
            </w:r>
            <w:r>
              <w:rPr>
                <w:b/>
                <w:i/>
              </w:rPr>
              <w:t>;</w:t>
            </w:r>
            <w:r>
              <w:t xml:space="preserve"> </w:t>
            </w:r>
            <w:r>
              <w:rPr>
                <w:b/>
                <w:i/>
              </w:rPr>
              <w:t>destaca que dicha consulta debe mejorar la transparencia, la proporcionalidad y la aplicación práctica, manteniendo al mismo tiempo la coherencia con los mejores dictámenes científicos disponibles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159</w:t>
      </w:r>
      <w:r>
        <w:rPr>
          <w:rStyle w:val="HideTWBExt"/>
        </w:rPr>
        <w:t>&lt;/NumAm&gt;</w:t>
      </w:r>
    </w:p>
    <w:p>
      <w:pPr>
        <w:pStyle w:val="NormalBold"/>
      </w:pPr>
      <w:r>
        <w:rPr>
          <w:rStyle w:val="HideTWBExt"/>
          <w:b w:val="0"/>
        </w:rPr>
        <w:t>&lt;RepeatBlock-By&gt;</w:t>
      </w:r>
      <w:r>
        <w:rPr>
          <w:rStyle w:val="HideTWBExt"/>
          <w:b w:val="0"/>
        </w:rPr>
        <w:t>&lt;Members&gt;</w:t>
      </w:r>
      <w:r>
        <w:t>Nora Junco García, Kristoffer Storm, Piotr Müller, Stephen Nikola Bartulica, Sander Smit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Pide a la Comisión que celebre consultas obligatorias con todas las partes interesadas pertinentes, en particular el Consejo Consultivo Mediterráneo, los organismos científicos regionales, las organizaciones de pescadores y las industrias de transformación, antes de adoptar nuevas restricciones;</w:t>
            </w:r>
          </w:p>
        </w:tc>
        <w:tc>
          <w:tcPr>
            <w:tcW w:w="4876" w:type="dxa"/>
            <w:tcBorders>
              <w:top w:val="nil"/>
              <w:left w:val="nil"/>
              <w:bottom w:val="nil"/>
              <w:right w:val="nil"/>
            </w:tcBorders>
          </w:tcPr>
          <w:p>
            <w:pPr>
              <w:pStyle w:val="Normal6a"/>
            </w:pPr>
            <w:r>
              <w:t>3.</w:t>
            </w:r>
            <w:r>
              <w:tab/>
            </w:r>
            <w:r>
              <w:t>Pide a la Comisión que celebre consultas obligatorias</w:t>
            </w:r>
            <w:r>
              <w:rPr>
                <w:b/>
                <w:i/>
              </w:rPr>
              <w:t>, con una antelación mínima de ocho semanas,</w:t>
            </w:r>
            <w:r>
              <w:t xml:space="preserve"> con todas las partes interesadas pertinentes, en particular el Consejo Consultivo Mediterráneo, los organismos científicos regionales, las organizaciones de pescadores y las industrias de transformación, antes de adoptar nuevas restricciones; </w:t>
            </w:r>
            <w:r>
              <w:rPr>
                <w:b/>
                <w:i/>
              </w:rPr>
              <w:t>pide asimismo a la Comisión que motive por escrito cualquier decisión que se aparte sustancialmente de las posiciones expresadas por dichas partes interesadas durante el proceso de consulta;</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160</w:t>
      </w:r>
      <w:r>
        <w:rPr>
          <w:rStyle w:val="HideTWBExt"/>
        </w:rPr>
        <w:t>&lt;/NumAm&gt;</w:t>
      </w:r>
    </w:p>
    <w:p>
      <w:pPr>
        <w:pStyle w:val="NormalBold"/>
      </w:pPr>
      <w:r>
        <w:rPr>
          <w:rStyle w:val="HideTWBExt"/>
          <w:b w:val="0"/>
        </w:rPr>
        <w:t>&lt;RepeatBlock-By&gt;</w:t>
      </w:r>
      <w:r>
        <w:rPr>
          <w:rStyle w:val="HideTWBExt"/>
          <w:b w:val="0"/>
        </w:rPr>
        <w:t>&lt;Members&gt;</w:t>
      </w:r>
      <w:r>
        <w:t>Carmen Crespo Díaz, Isabelle Le Callennec, Paulo do Nascimento Cabral, Susana Solís Pérez, Francisco José Millán Mon, Fredis Beleris, Marco Falcone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Pide a la Comisión que celebre consultas obligatorias con todas las partes interesadas pertinentes, en particular el Consejo Consultivo Mediterráneo, los organismos científicos regionales, las organizaciones de pescadores y las industrias de transformación, antes de adoptar nuevas restricciones;</w:t>
            </w:r>
          </w:p>
        </w:tc>
        <w:tc>
          <w:tcPr>
            <w:tcW w:w="4876" w:type="dxa"/>
            <w:tcBorders>
              <w:top w:val="nil"/>
              <w:left w:val="nil"/>
              <w:bottom w:val="nil"/>
              <w:right w:val="nil"/>
            </w:tcBorders>
          </w:tcPr>
          <w:p>
            <w:pPr>
              <w:pStyle w:val="Normal6a"/>
            </w:pPr>
            <w:r>
              <w:t>3.</w:t>
            </w:r>
            <w:r>
              <w:tab/>
            </w:r>
            <w:r>
              <w:t>Pide a la Comisión que celebre consultas obligatorias con todas las partes interesadas pertinentes, en particular el Consejo Consultivo Mediterráneo, los organismos científicos regionales, las organizaciones de pescadores</w:t>
            </w:r>
            <w:r>
              <w:rPr>
                <w:b/>
                <w:i/>
              </w:rPr>
              <w:t>, los interlocutores sociales</w:t>
            </w:r>
            <w:r>
              <w:t xml:space="preserve"> y las industrias de transformación</w:t>
            </w:r>
            <w:r>
              <w:rPr>
                <w:b/>
                <w:i/>
              </w:rPr>
              <w:t>, prestando especial atención a los sectores artesanales</w:t>
            </w:r>
            <w:r>
              <w:t>, antes de adoptar nuevas restricciones;</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161</w:t>
      </w:r>
      <w:r>
        <w:rPr>
          <w:rStyle w:val="HideTWBExt"/>
        </w:rPr>
        <w:t>&lt;/NumAm&gt;</w:t>
      </w:r>
    </w:p>
    <w:p>
      <w:pPr>
        <w:pStyle w:val="NormalBold"/>
      </w:pPr>
      <w:r>
        <w:rPr>
          <w:rStyle w:val="HideTWBExt"/>
          <w:b w:val="0"/>
        </w:rPr>
        <w:t>&lt;RepeatBlock-By&gt;</w:t>
      </w:r>
      <w:r>
        <w:rPr>
          <w:rStyle w:val="HideTWBExt"/>
          <w:b w:val="0"/>
        </w:rPr>
        <w:t>&lt;Members&gt;</w:t>
      </w:r>
      <w:r>
        <w:t>Mélissa Camara</w:t>
      </w:r>
      <w:r>
        <w:rPr>
          <w:rStyle w:val="HideTWBExt"/>
          <w:b w:val="0"/>
        </w:rPr>
        <w:t>&lt;/Members&gt;</w:t>
      </w:r>
    </w:p>
    <w:p>
      <w:r>
        <w:rPr>
          <w:rStyle w:val="HideTWBExt"/>
          <w:b w:val="0"/>
        </w:rPr>
        <w:t>&lt;AuNomDe&gt;</w:t>
      </w:r>
      <w:r>
        <w:rPr>
          <w:rStyle w:val="HideTWBInt"/>
        </w:rPr>
        <w:t>{Verts/ALE}</w:t>
      </w:r>
      <w:r>
        <w:t>en nombre del Grupo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Pide a la Comisión que </w:t>
            </w:r>
            <w:r>
              <w:rPr>
                <w:b/>
                <w:i/>
              </w:rPr>
              <w:t>celebre</w:t>
            </w:r>
            <w:r>
              <w:t xml:space="preserve"> consultas </w:t>
            </w:r>
            <w:r>
              <w:rPr>
                <w:b/>
                <w:i/>
              </w:rPr>
              <w:t>obligatorias</w:t>
            </w:r>
            <w:r>
              <w:t xml:space="preserve"> con todas las partes interesadas pertinentes, en particular el Consejo Consultivo Mediterráneo, los organismos científicos regionales, las organizaciones de pescadores y las industrias de transformación</w:t>
            </w:r>
            <w:r>
              <w:rPr>
                <w:b/>
                <w:i/>
              </w:rPr>
              <w:t>, antes de adoptar nuevas restricciones</w:t>
            </w:r>
            <w:r>
              <w:t>;</w:t>
            </w:r>
          </w:p>
        </w:tc>
        <w:tc>
          <w:tcPr>
            <w:tcW w:w="4876" w:type="dxa"/>
            <w:tcBorders>
              <w:top w:val="nil"/>
              <w:left w:val="nil"/>
              <w:bottom w:val="nil"/>
              <w:right w:val="nil"/>
            </w:tcBorders>
          </w:tcPr>
          <w:p>
            <w:pPr>
              <w:pStyle w:val="Normal6a"/>
            </w:pPr>
            <w:r>
              <w:t>3.</w:t>
            </w:r>
            <w:r>
              <w:tab/>
            </w:r>
            <w:r>
              <w:t xml:space="preserve">Pide a la Comisión que </w:t>
            </w:r>
            <w:r>
              <w:rPr>
                <w:b/>
                <w:i/>
              </w:rPr>
              <w:t>permita</w:t>
            </w:r>
            <w:r>
              <w:t xml:space="preserve"> consultas </w:t>
            </w:r>
            <w:r>
              <w:rPr>
                <w:b/>
                <w:i/>
              </w:rPr>
              <w:t>inclusivas</w:t>
            </w:r>
            <w:r>
              <w:t xml:space="preserve"> con todas las partes interesadas pertinentes, en particular </w:t>
            </w:r>
            <w:r>
              <w:rPr>
                <w:b/>
                <w:i/>
              </w:rPr>
              <w:t>con</w:t>
            </w:r>
            <w:r>
              <w:t xml:space="preserve"> el Consejo Consultivo </w:t>
            </w:r>
            <w:r>
              <w:rPr>
                <w:b/>
                <w:i/>
              </w:rPr>
              <w:t>del</w:t>
            </w:r>
            <w:r>
              <w:t xml:space="preserve"> Mediterráneo </w:t>
            </w:r>
            <w:r>
              <w:rPr>
                <w:b/>
                <w:i/>
              </w:rPr>
              <w:t>en su estructura y funcionamiento, tal como se prevé en el Reglamento Delegado (UE) 2017/1575 de la Comisión</w:t>
            </w:r>
            <w:r>
              <w:t>, los organismos científicos regionales, las organizaciones de pescadores</w:t>
            </w:r>
            <w:r>
              <w:rPr>
                <w:b/>
                <w:i/>
              </w:rPr>
              <w:t>, las ONG medioambientales</w:t>
            </w:r>
            <w:r>
              <w:t xml:space="preserve"> y las industrias de transformación;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162</w:t>
      </w:r>
      <w:r>
        <w:rPr>
          <w:rStyle w:val="HideTWBExt"/>
        </w:rPr>
        <w:t>&lt;/NumAm&gt;</w:t>
      </w:r>
    </w:p>
    <w:p>
      <w:pPr>
        <w:pStyle w:val="NormalBold"/>
      </w:pPr>
      <w:r>
        <w:rPr>
          <w:rStyle w:val="HideTWBExt"/>
          <w:b w:val="0"/>
        </w:rPr>
        <w:t>&lt;RepeatBlock-By&gt;</w:t>
      </w:r>
      <w:r>
        <w:rPr>
          <w:rStyle w:val="HideTWBExt"/>
          <w:b w:val="0"/>
        </w:rPr>
        <w:t>&lt;Members&gt;</w:t>
      </w:r>
      <w:r>
        <w:t>Emma Wiesner,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Pide a la Comisión que </w:t>
            </w:r>
            <w:r>
              <w:rPr>
                <w:b/>
                <w:i/>
              </w:rPr>
              <w:t>celebre</w:t>
            </w:r>
            <w:r>
              <w:t xml:space="preserve"> consultas </w:t>
            </w:r>
            <w:r>
              <w:rPr>
                <w:b/>
                <w:i/>
              </w:rPr>
              <w:t>obligatorias</w:t>
            </w:r>
            <w:r>
              <w:t xml:space="preserve"> con todas las partes interesadas pertinentes, en particular el Consejo Consultivo Mediterráneo, los organismos científicos regionales, las organizaciones de pescadores y las industrias de transformación</w:t>
            </w:r>
            <w:r>
              <w:rPr>
                <w:b/>
                <w:i/>
              </w:rPr>
              <w:t>, antes de adoptar nuevas restricciones</w:t>
            </w:r>
            <w:r>
              <w:t>;</w:t>
            </w:r>
          </w:p>
        </w:tc>
        <w:tc>
          <w:tcPr>
            <w:tcW w:w="4876" w:type="dxa"/>
            <w:tcBorders>
              <w:top w:val="nil"/>
              <w:left w:val="nil"/>
              <w:bottom w:val="nil"/>
              <w:right w:val="nil"/>
            </w:tcBorders>
          </w:tcPr>
          <w:p>
            <w:pPr>
              <w:pStyle w:val="Normal6a"/>
            </w:pPr>
            <w:r>
              <w:t>3.</w:t>
            </w:r>
            <w:r>
              <w:tab/>
            </w:r>
            <w:r>
              <w:t xml:space="preserve">Pide a la Comisión que </w:t>
            </w:r>
            <w:r>
              <w:rPr>
                <w:b/>
                <w:i/>
              </w:rPr>
              <w:t>antes de presentar propuestas de gestión de la pesca garantice</w:t>
            </w:r>
            <w:r>
              <w:t xml:space="preserve"> consultas con todas las partes interesadas pertinentes, en particular el Consejo Consultivo Mediterráneo, los organismos científicos regionales, las organizaciones de pescadores y las industrias de transformación;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163</w:t>
      </w:r>
      <w:r>
        <w:rPr>
          <w:rStyle w:val="HideTWBExt"/>
        </w:rPr>
        <w:t>&lt;/NumAm&gt;</w:t>
      </w:r>
    </w:p>
    <w:p>
      <w:pPr>
        <w:pStyle w:val="NormalBold"/>
      </w:pPr>
      <w:r>
        <w:rPr>
          <w:rStyle w:val="HideTWBExt"/>
          <w:b w:val="0"/>
        </w:rPr>
        <w:t>&lt;RepeatBlock-By&gt;</w:t>
      </w:r>
      <w:r>
        <w:rPr>
          <w:rStyle w:val="HideTWBExt"/>
          <w:b w:val="0"/>
        </w:rPr>
        <w:t>&lt;Members&gt;</w:t>
      </w:r>
      <w:r>
        <w:t>Mélissa Camara</w:t>
      </w:r>
      <w:r>
        <w:rPr>
          <w:rStyle w:val="HideTWBExt"/>
          <w:b w:val="0"/>
        </w:rPr>
        <w:t>&lt;/Members&gt;</w:t>
      </w:r>
    </w:p>
    <w:p>
      <w:r>
        <w:rPr>
          <w:rStyle w:val="HideTWBExt"/>
          <w:b w:val="0"/>
        </w:rPr>
        <w:t>&lt;AuNomDe&gt;</w:t>
      </w:r>
      <w:r>
        <w:rPr>
          <w:rStyle w:val="HideTWBInt"/>
        </w:rPr>
        <w:t>{Verts/ALE}</w:t>
      </w:r>
      <w:r>
        <w:t>en nombre del Grupo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3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 bis.</w:t>
            </w:r>
            <w:r>
              <w:tab/>
            </w:r>
            <w:r>
              <w:rPr>
                <w:b/>
                <w:i/>
              </w:rPr>
              <w:t>Recuerda los compromisos y objetivos de la Unión en términos de cobertura de zonas y eficacia de las zonas marinas protegidas (ZMP);</w:t>
            </w:r>
            <w:r>
              <w:t xml:space="preserve"> </w:t>
            </w:r>
            <w:r>
              <w:rPr>
                <w:b/>
                <w:i/>
              </w:rPr>
              <w:t>alienta la correcta aplicación de medidas de gestión eficaces en las actuales ZMP en la zona en el marco del plan plurianual para el Mediterráneo occidental, así como la designación de ZMP adicionales en consonancia con los compromisos de la Unión;</w:t>
            </w:r>
            <w:r>
              <w:t xml:space="preserve"> </w:t>
            </w:r>
            <w:r>
              <w:rPr>
                <w:b/>
                <w:i/>
              </w:rPr>
              <w:t>destaca que esta designación debe basarse en evaluaciones científicas que muestren hábitats críticos o zonas de desove;</w:t>
            </w:r>
            <w:r>
              <w:t xml:space="preserve"> </w:t>
            </w:r>
            <w:r>
              <w:rPr>
                <w:b/>
                <w:i/>
              </w:rPr>
              <w:t>señala la necesidad de medidas de gestión eficaces, junto con proyectos piloto para artes de pesca selectivos y de bajo impacto inspirados en iniciativas exitosas en otras cuencas marítimas de la Unión;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164</w:t>
      </w:r>
      <w:r>
        <w:rPr>
          <w:rStyle w:val="HideTWBExt"/>
        </w:rPr>
        <w:t>&lt;/NumAm&gt;</w:t>
      </w:r>
    </w:p>
    <w:p>
      <w:pPr>
        <w:pStyle w:val="NormalBold"/>
      </w:pPr>
      <w:r>
        <w:rPr>
          <w:rStyle w:val="HideTWBExt"/>
          <w:b w:val="0"/>
        </w:rPr>
        <w:t>&lt;RepeatBlock-By&gt;</w:t>
      </w:r>
      <w:r>
        <w:rPr>
          <w:rStyle w:val="HideTWBExt"/>
          <w:b w:val="0"/>
        </w:rPr>
        <w:t>&lt;Members&gt;</w:t>
      </w:r>
      <w:r>
        <w:t>Eric Sargiacomo, Nicolás González Casares, Giuseppe Lupo, Sakis Arnaoutoglou, Idoia Mendia, Chloé Ridel, Claire Fita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3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 bis.</w:t>
            </w:r>
            <w:r>
              <w:tab/>
            </w:r>
            <w:r>
              <w:rPr>
                <w:b/>
                <w:i/>
              </w:rPr>
              <w:t>Pide a la Comisión y a los Estados miembros que impliquen sistemáticamente a las organizaciones de productores, los institutos científicos, los consejos consultivos y los representantes de las comunidades costeras en la evaluación del impacto del plan plurianual para el Mediterráneo occidental.</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165</w:t>
      </w:r>
      <w:r>
        <w:rPr>
          <w:rStyle w:val="HideTWBExt"/>
        </w:rPr>
        <w:t>&lt;/NumAm&gt;</w:t>
      </w:r>
    </w:p>
    <w:p>
      <w:pPr>
        <w:pStyle w:val="NormalBold"/>
      </w:pPr>
      <w:r>
        <w:rPr>
          <w:rStyle w:val="HideTWBExt"/>
          <w:b w:val="0"/>
        </w:rPr>
        <w:t>&lt;RepeatBlock-By&gt;</w:t>
      </w:r>
      <w:r>
        <w:rPr>
          <w:rStyle w:val="HideTWBExt"/>
          <w:b w:val="0"/>
        </w:rPr>
        <w:t>&lt;Members&gt;</w:t>
      </w:r>
      <w:r>
        <w:t>Carmen Crespo Díaz, Paulo do Nascimento Cabral, Susana Solís Pérez, Francisco José Millán Mon, Fredis Beleris, Marco Falcone, Isabelle Le Callennec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Llama a la Comisión a revisar de manera urgente la situación específica de la pesquería de la gamba roja, única especie sometida simultáneamente a dos medidas coercitivas como son el sistema de cuotas y las limitaciones de días de pesca, a fin de eliminar una doble carga regulatoria que ha tenido efectos especialmente graves sobre la viabilidad económica y operativa de esta pesquería en el Mediterráneo occidental;</w:t>
            </w:r>
          </w:p>
        </w:tc>
        <w:tc>
          <w:tcPr>
            <w:tcW w:w="4876" w:type="dxa"/>
            <w:tcBorders>
              <w:top w:val="nil"/>
              <w:left w:val="nil"/>
              <w:bottom w:val="nil"/>
              <w:right w:val="nil"/>
            </w:tcBorders>
          </w:tcPr>
          <w:p>
            <w:pPr>
              <w:pStyle w:val="Normal6a"/>
            </w:pPr>
            <w:r>
              <w:t>4.</w:t>
            </w:r>
            <w:r>
              <w:tab/>
            </w:r>
            <w:r>
              <w:t xml:space="preserve">Llama a la Comisión a revisar de manera urgente la situación específica de la pesquería de la gamba roja, única especie sometida simultáneamente a dos medidas coercitivas como son el sistema de cuotas y las limitaciones de días de pesca, a fin de eliminar </w:t>
            </w:r>
            <w:r>
              <w:rPr>
                <w:b/>
                <w:i/>
              </w:rPr>
              <w:t>este TAC, que supone</w:t>
            </w:r>
            <w:r>
              <w:t xml:space="preserve"> una doble carga regulatoria que ha tenido efectos especialmente graves sobre la viabilidad económica y operativa de esta pesquería en el Mediterráneo occidental; </w:t>
            </w:r>
            <w:r>
              <w:rPr>
                <w:b/>
                <w:i/>
              </w:rPr>
              <w:t>considera, por tanto, que su gestión debe basarse exclusivamente en el régimen de esfuerzo pesquero previsto en el Plan WestMed, suprimiendo el actual sistema de TAC;</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166</w:t>
      </w:r>
      <w:r>
        <w:rPr>
          <w:rStyle w:val="HideTWBExt"/>
        </w:rPr>
        <w:t>&lt;/NumAm&gt;</w:t>
      </w:r>
    </w:p>
    <w:p>
      <w:pPr>
        <w:pStyle w:val="NormalBold"/>
      </w:pPr>
      <w:r>
        <w:rPr>
          <w:rStyle w:val="HideTWBExt"/>
          <w:b w:val="0"/>
        </w:rPr>
        <w:t>&lt;RepeatBlock-By&gt;</w:t>
      </w:r>
      <w:r>
        <w:rPr>
          <w:rStyle w:val="HideTWBExt"/>
          <w:b w:val="0"/>
        </w:rPr>
        <w:t>&lt;Members&gt;</w:t>
      </w:r>
      <w:r>
        <w:t>Sebastian Everding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rPr>
                <w:b/>
                <w:i/>
              </w:rPr>
              <w:t>Llama</w:t>
            </w:r>
            <w:r>
              <w:t xml:space="preserve"> a la Comisión </w:t>
            </w:r>
            <w:r>
              <w:rPr>
                <w:b/>
                <w:i/>
              </w:rPr>
              <w:t>a revisar de manera urgente la situación específica de la pesquería</w:t>
            </w:r>
            <w:r>
              <w:t xml:space="preserve"> de la gamba roja</w:t>
            </w:r>
            <w:r>
              <w:rPr>
                <w:b/>
                <w:i/>
              </w:rPr>
              <w:t>, única especie sometida simultáneamente a dos medidas coercitivas como son el sistema de cuotas y las limitaciones de días de pesca, a fin de eliminar una doble carga regulatoria que ha tenido efectos especialmente graves sobre la viabilidad económica y operativa de esta pesquería en el</w:t>
            </w:r>
            <w:r>
              <w:t xml:space="preserve"> Mediterráneo </w:t>
            </w:r>
            <w:r>
              <w:rPr>
                <w:b/>
                <w:i/>
              </w:rPr>
              <w:t>occidental</w:t>
            </w:r>
            <w:r>
              <w:t>;</w:t>
            </w:r>
          </w:p>
        </w:tc>
        <w:tc>
          <w:tcPr>
            <w:tcW w:w="4876" w:type="dxa"/>
            <w:tcBorders>
              <w:top w:val="nil"/>
              <w:left w:val="nil"/>
              <w:bottom w:val="nil"/>
              <w:right w:val="nil"/>
            </w:tcBorders>
          </w:tcPr>
          <w:p>
            <w:pPr>
              <w:pStyle w:val="Normal6a"/>
            </w:pPr>
            <w:r>
              <w:t>4.</w:t>
            </w:r>
            <w:r>
              <w:tab/>
            </w:r>
            <w:r>
              <w:rPr>
                <w:b/>
                <w:i/>
              </w:rPr>
              <w:t>Pide</w:t>
            </w:r>
            <w:r>
              <w:t xml:space="preserve"> a la Comisión </w:t>
            </w:r>
            <w:r>
              <w:rPr>
                <w:b/>
                <w:i/>
              </w:rPr>
              <w:t>que evalúe las medidas de gestión aplicables a la pesca</w:t>
            </w:r>
            <w:r>
              <w:t xml:space="preserve"> de la gamba roja </w:t>
            </w:r>
            <w:r>
              <w:rPr>
                <w:b/>
                <w:i/>
              </w:rPr>
              <w:t>del</w:t>
            </w:r>
            <w:r>
              <w:t xml:space="preserve"> Mediterráneo</w:t>
            </w:r>
            <w:r>
              <w:rPr>
                <w:b/>
                <w:i/>
              </w:rPr>
              <w:t>, en consonancia con los mejores dictámenes científicos disponibles, con vistas a reducir la mortalidad por pesca y permitir la recuperación de las poblaciones</w:t>
            </w:r>
            <w:r>
              <w:t xml:space="preserve">; </w:t>
            </w:r>
            <w:r>
              <w:rPr>
                <w:b/>
                <w:i/>
              </w:rPr>
              <w:t>pide que dicha evaluación abarque la interacción entre los límites del esfuerzo pesquero, los límites de capturas, las medidas técnicas y sus repercusiones medioambientales y socioeconómicas;</w:t>
            </w:r>
            <w:r>
              <w:t xml:space="preserve"> </w:t>
            </w:r>
            <w:r>
              <w:rPr>
                <w:b/>
                <w:i/>
              </w:rPr>
              <w:t>subraya que cualquier ajuste debe mantener las medidas necesarias para reducir la mortalidad por pesca y apoyar la recuperación de las poblaciones;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167</w:t>
      </w:r>
      <w:r>
        <w:rPr>
          <w:rStyle w:val="HideTWBExt"/>
        </w:rPr>
        <w:t>&lt;/NumAm&gt;</w:t>
      </w:r>
    </w:p>
    <w:p>
      <w:pPr>
        <w:pStyle w:val="NormalBold"/>
      </w:pPr>
      <w:r>
        <w:rPr>
          <w:rStyle w:val="HideTWBExt"/>
          <w:b w:val="0"/>
        </w:rPr>
        <w:t>&lt;RepeatBlock-By&gt;</w:t>
      </w:r>
      <w:r>
        <w:rPr>
          <w:rStyle w:val="HideTWBExt"/>
          <w:b w:val="0"/>
        </w:rPr>
        <w:t>&lt;Members&gt;</w:t>
      </w:r>
      <w:r>
        <w:t>Emma Wiesner,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Llama a la Comisión a revisar de manera urgente la situación específica de la pesquería de la gamba roja, única especie sometida simultáneamente a dos medidas </w:t>
            </w:r>
            <w:r>
              <w:rPr>
                <w:b/>
                <w:i/>
              </w:rPr>
              <w:t>coercitivas</w:t>
            </w:r>
            <w:r>
              <w:t xml:space="preserve"> como son el sistema de cuotas y las limitaciones de días de pesca, a fin de </w:t>
            </w:r>
            <w:r>
              <w:rPr>
                <w:b/>
                <w:i/>
              </w:rPr>
              <w:t>eliminar una doble carga regulatoria que ha tenido efectos especialmente graves sobre la viabilidad</w:t>
            </w:r>
            <w:r>
              <w:t xml:space="preserve"> económica y operativa de esta pesquería en el Mediterráneo occidental;</w:t>
            </w:r>
          </w:p>
        </w:tc>
        <w:tc>
          <w:tcPr>
            <w:tcW w:w="4876" w:type="dxa"/>
            <w:tcBorders>
              <w:top w:val="nil"/>
              <w:left w:val="nil"/>
              <w:bottom w:val="nil"/>
              <w:right w:val="nil"/>
            </w:tcBorders>
          </w:tcPr>
          <w:p>
            <w:pPr>
              <w:pStyle w:val="Normal6a"/>
            </w:pPr>
            <w:r>
              <w:t>4.</w:t>
            </w:r>
            <w:r>
              <w:tab/>
            </w:r>
            <w:r>
              <w:t xml:space="preserve">Llama a la Comisión a revisar de manera urgente la situación específica de la pesquería de la gamba roja, única especie sometida simultáneamente a dos medidas como son el sistema de cuotas y las limitaciones de días de pesca, a fin de </w:t>
            </w:r>
            <w:r>
              <w:rPr>
                <w:b/>
                <w:i/>
              </w:rPr>
              <w:t>establecer un régimen para garantizar una mejor predictibilidad, la estabilidad</w:t>
            </w:r>
            <w:r>
              <w:t xml:space="preserve"> económica y operativa de esta pesquería en el Mediterráneo occidental;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168</w:t>
      </w:r>
      <w:r>
        <w:rPr>
          <w:rStyle w:val="HideTWBExt"/>
        </w:rPr>
        <w:t>&lt;/NumAm&gt;</w:t>
      </w:r>
    </w:p>
    <w:p>
      <w:pPr>
        <w:pStyle w:val="NormalBold"/>
      </w:pPr>
      <w:r>
        <w:rPr>
          <w:rStyle w:val="HideTWBExt"/>
          <w:b w:val="0"/>
        </w:rPr>
        <w:t>&lt;RepeatBlock-By&gt;</w:t>
      </w:r>
      <w:r>
        <w:rPr>
          <w:rStyle w:val="HideTWBExt"/>
          <w:b w:val="0"/>
        </w:rPr>
        <w:t>&lt;Members&gt;</w:t>
      </w:r>
      <w:r>
        <w:t>Mélissa Camara</w:t>
      </w:r>
      <w:r>
        <w:rPr>
          <w:rStyle w:val="HideTWBExt"/>
          <w:b w:val="0"/>
        </w:rPr>
        <w:t>&lt;/Members&gt;</w:t>
      </w:r>
    </w:p>
    <w:p>
      <w:r>
        <w:rPr>
          <w:rStyle w:val="HideTWBExt"/>
          <w:b w:val="0"/>
        </w:rPr>
        <w:t>&lt;AuNomDe&gt;</w:t>
      </w:r>
      <w:r>
        <w:rPr>
          <w:rStyle w:val="HideTWBInt"/>
        </w:rPr>
        <w:t>{Verts/ALE}</w:t>
      </w:r>
      <w:r>
        <w:t>en nombre del Grupo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Llama a la Comisión a revisar de manera urgente la situación específica de la pesquería de la gamba roja, </w:t>
            </w:r>
            <w:r>
              <w:rPr>
                <w:b/>
                <w:i/>
              </w:rPr>
              <w:t>única especie sometida simultáneamente a dos medidas coercitivas como son el sistema de cuotas y las limitaciones de días de pesca, a fin de eliminar una doble carga regulatoria que ha tenido efectos especialmente graves</w:t>
            </w:r>
            <w:r>
              <w:t xml:space="preserve"> sobre la </w:t>
            </w:r>
            <w:r>
              <w:rPr>
                <w:b/>
                <w:i/>
              </w:rPr>
              <w:t>viabilidad económica y operativa de esta pesquería en el Mediterráneo occidental</w:t>
            </w:r>
            <w:r>
              <w:t>;</w:t>
            </w:r>
          </w:p>
        </w:tc>
        <w:tc>
          <w:tcPr>
            <w:tcW w:w="4876" w:type="dxa"/>
            <w:tcBorders>
              <w:top w:val="nil"/>
              <w:left w:val="nil"/>
              <w:bottom w:val="nil"/>
              <w:right w:val="nil"/>
            </w:tcBorders>
          </w:tcPr>
          <w:p>
            <w:pPr>
              <w:pStyle w:val="Normal6a"/>
            </w:pPr>
            <w:r>
              <w:t>4.</w:t>
            </w:r>
            <w:r>
              <w:tab/>
            </w:r>
            <w:r>
              <w:t xml:space="preserve">Llama a la Comisión a revisar de manera urgente la situación específica de la pesquería de la gamba roja, </w:t>
            </w:r>
            <w:r>
              <w:rPr>
                <w:b/>
                <w:i/>
              </w:rPr>
              <w:t>con vistas a mejorar la gestión</w:t>
            </w:r>
            <w:r>
              <w:t xml:space="preserve"> sobre la </w:t>
            </w:r>
            <w:r>
              <w:rPr>
                <w:b/>
                <w:i/>
              </w:rPr>
              <w:t>base de los mejores dictámenes científicos disponibles y teniendo en cuenta las interacciones entre las medidas aplicadas actualmente sin socavar las metas y los objetivos del plan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169</w:t>
      </w:r>
      <w:r>
        <w:rPr>
          <w:rStyle w:val="HideTWBExt"/>
        </w:rPr>
        <w:t>&lt;/NumAm&gt;</w:t>
      </w:r>
    </w:p>
    <w:p>
      <w:pPr>
        <w:pStyle w:val="NormalBold"/>
      </w:pPr>
      <w:r>
        <w:rPr>
          <w:rStyle w:val="HideTWBExt"/>
          <w:b w:val="0"/>
        </w:rPr>
        <w:t>&lt;RepeatBlock-By&gt;</w:t>
      </w:r>
      <w:r>
        <w:rPr>
          <w:rStyle w:val="HideTWBExt"/>
          <w:b w:val="0"/>
        </w:rPr>
        <w:t>&lt;Members&gt;</w:t>
      </w:r>
      <w:r>
        <w:t>Nicolás González Casares, Leire Pajín, Alicia Homs Ginel, Sandra Gómez López, Javi López, Laura Ballarín Cereza, Marcos Ros Sempere, Idoia Mendia, Lina Gálvez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Llama a la Comisión a revisar de manera urgente la situación específica de la pesquería de la gamba roja, única especie sometida simultáneamente a dos medidas coercitivas como son el sistema de cuotas y las limitaciones de días de pesca, a fin de eliminar una doble </w:t>
            </w:r>
            <w:r>
              <w:rPr>
                <w:b/>
                <w:i/>
              </w:rPr>
              <w:t>carga regulatoria</w:t>
            </w:r>
            <w:r>
              <w:t xml:space="preserve"> que ha tenido efectos especialmente graves sobre la viabilidad económica y operativa de esta pesquería en el Mediterráneo occidental;</w:t>
            </w:r>
          </w:p>
        </w:tc>
        <w:tc>
          <w:tcPr>
            <w:tcW w:w="4876" w:type="dxa"/>
            <w:tcBorders>
              <w:top w:val="nil"/>
              <w:left w:val="nil"/>
              <w:bottom w:val="nil"/>
              <w:right w:val="nil"/>
            </w:tcBorders>
          </w:tcPr>
          <w:p>
            <w:pPr>
              <w:pStyle w:val="Normal6a"/>
            </w:pPr>
            <w:r>
              <w:t>4.</w:t>
            </w:r>
            <w:r>
              <w:tab/>
            </w:r>
            <w:r>
              <w:t xml:space="preserve">Llama a la Comisión a revisar de manera urgente la situación específica de la pesquería de la gamba roja, única especie sometida simultáneamente a dos medidas coercitivas como son el sistema de cuotas y las limitaciones de días de pesca, a fin de eliminar una doble </w:t>
            </w:r>
            <w:r>
              <w:rPr>
                <w:b/>
                <w:i/>
              </w:rPr>
              <w:t>restricción</w:t>
            </w:r>
            <w:r>
              <w:t xml:space="preserve"> que ha tenido efectos especialmente graves sobre la viabilidad económica y operativa de esta pesquería en el Mediterráneo occidental;</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170</w:t>
      </w:r>
      <w:r>
        <w:rPr>
          <w:rStyle w:val="HideTWBExt"/>
        </w:rPr>
        <w:t>&lt;/NumAm&gt;</w:t>
      </w:r>
    </w:p>
    <w:p>
      <w:pPr>
        <w:pStyle w:val="NormalBold"/>
      </w:pPr>
      <w:r>
        <w:rPr>
          <w:rStyle w:val="HideTWBExt"/>
          <w:b w:val="0"/>
        </w:rPr>
        <w:t>&lt;RepeatBlock-By&gt;</w:t>
      </w:r>
      <w:r>
        <w:rPr>
          <w:rStyle w:val="HideTWBExt"/>
          <w:b w:val="0"/>
        </w:rPr>
        <w:t>&lt;Members&gt;</w:t>
      </w:r>
      <w:r>
        <w:t>Mélissa Camara</w:t>
      </w:r>
      <w:r>
        <w:rPr>
          <w:rStyle w:val="HideTWBExt"/>
          <w:b w:val="0"/>
        </w:rPr>
        <w:t>&lt;/Members&gt;</w:t>
      </w:r>
    </w:p>
    <w:p>
      <w:r>
        <w:rPr>
          <w:rStyle w:val="HideTWBExt"/>
          <w:b w:val="0"/>
        </w:rPr>
        <w:t>&lt;AuNomDe&gt;</w:t>
      </w:r>
      <w:r>
        <w:rPr>
          <w:rStyle w:val="HideTWBInt"/>
        </w:rPr>
        <w:t>{Verts/ALE}</w:t>
      </w:r>
      <w:r>
        <w:t>en nombre del Grupo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4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 bis.</w:t>
            </w:r>
            <w:r>
              <w:tab/>
            </w:r>
            <w:r>
              <w:rPr>
                <w:b/>
                <w:i/>
              </w:rPr>
              <w:t>Anima a la Comisión y al Consejo a que velen por que el establecimiento de los TAC sea transparente y se base en los mejores conocimientos y dictámenes científicos disponibles, de conformidad con los objetivos del Reglamento sobre el plan multianual del Mediterráneo occidental y la PPC, y con el dictamen basado en ecosistemas y multiespecífico, y tenga en cuenta las interacciones entre la pesca y la estabilidad socioeconómica a largo plazo de las comunidades costeras;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171</w:t>
      </w:r>
      <w:r>
        <w:rPr>
          <w:rStyle w:val="HideTWBExt"/>
        </w:rPr>
        <w:t>&lt;/NumAm&gt;</w:t>
      </w:r>
    </w:p>
    <w:p>
      <w:pPr>
        <w:pStyle w:val="NormalBold"/>
      </w:pPr>
      <w:r>
        <w:rPr>
          <w:rStyle w:val="HideTWBExt"/>
          <w:b w:val="0"/>
        </w:rPr>
        <w:t>&lt;RepeatBlock-By&gt;</w:t>
      </w:r>
      <w:r>
        <w:rPr>
          <w:rStyle w:val="HideTWBExt"/>
          <w:b w:val="0"/>
        </w:rPr>
        <w:t>&lt;Members&gt;</w:t>
      </w:r>
      <w:r>
        <w:t>Isabelle Le Callennec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4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 bis.</w:t>
            </w:r>
            <w:r>
              <w:tab/>
            </w:r>
            <w:r>
              <w:rPr>
                <w:b/>
                <w:i/>
              </w:rPr>
              <w:t>Pide que las medidas de salvaguardia sean específicas, proporcionadas y adaptadas a las circunstancias locales y que se prioricen medidas de conservación concretas en lugar de una reducción uniforme del esfuerzo y se refuercen al mismo tiempo las obligaciones de los Estados miembros en términos de coordinación entre el plan WestMed, las restricciones espaciales y la ordenación marítima, mediante una evaluación de los efectos acumulativos de la normativa;</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172</w:t>
      </w:r>
      <w:r>
        <w:rPr>
          <w:rStyle w:val="HideTWBExt"/>
        </w:rPr>
        <w:t>&lt;/NumAm&gt;</w:t>
      </w:r>
    </w:p>
    <w:p>
      <w:pPr>
        <w:pStyle w:val="NormalBold"/>
      </w:pPr>
      <w:r>
        <w:rPr>
          <w:rStyle w:val="HideTWBExt"/>
          <w:b w:val="0"/>
        </w:rPr>
        <w:t>&lt;RepeatBlock-By&gt;</w:t>
      </w:r>
      <w:r>
        <w:rPr>
          <w:rStyle w:val="HideTWBExt"/>
          <w:b w:val="0"/>
        </w:rPr>
        <w:t>&lt;Members&gt;</w:t>
      </w:r>
      <w:r>
        <w:t>Sebastian Everding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4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 bis.</w:t>
            </w:r>
            <w:r>
              <w:tab/>
            </w:r>
            <w:r>
              <w:rPr>
                <w:b/>
                <w:i/>
              </w:rPr>
              <w:t>Reitera su llamamiento a la Comisión para que se inspire en el exitoso ejemplo del atún rojo estudiando la introducción de totales admisibles de capturas (TAC) a largo plazo para algunas especies;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173</w:t>
      </w:r>
      <w:r>
        <w:rPr>
          <w:rStyle w:val="HideTWBExt"/>
        </w:rPr>
        <w:t>&lt;/NumAm&gt;</w:t>
      </w:r>
    </w:p>
    <w:p>
      <w:pPr>
        <w:pStyle w:val="NormalBold"/>
      </w:pPr>
      <w:r>
        <w:rPr>
          <w:rStyle w:val="HideTWBExt"/>
          <w:b w:val="0"/>
        </w:rPr>
        <w:t>&lt;RepeatBlock-By&gt;</w:t>
      </w:r>
      <w:r>
        <w:rPr>
          <w:rStyle w:val="HideTWBExt"/>
          <w:b w:val="0"/>
        </w:rPr>
        <w:t>&lt;Members&gt;</w:t>
      </w:r>
      <w:r>
        <w:t>Mélissa Camara</w:t>
      </w:r>
      <w:r>
        <w:rPr>
          <w:rStyle w:val="HideTWBExt"/>
          <w:b w:val="0"/>
        </w:rPr>
        <w:t>&lt;/Members&gt;</w:t>
      </w:r>
    </w:p>
    <w:p>
      <w:r>
        <w:rPr>
          <w:rStyle w:val="HideTWBExt"/>
          <w:b w:val="0"/>
        </w:rPr>
        <w:t>&lt;AuNomDe&gt;</w:t>
      </w:r>
      <w:r>
        <w:rPr>
          <w:rStyle w:val="HideTWBInt"/>
        </w:rPr>
        <w:t>{Verts/ALE}</w:t>
      </w:r>
      <w:r>
        <w:t>en nombre del Grupo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4 ter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 ter.</w:t>
            </w:r>
            <w:r>
              <w:tab/>
            </w:r>
            <w:r>
              <w:rPr>
                <w:b/>
                <w:i/>
              </w:rPr>
              <w:t>Pide medidas eficaces de atenuación del cambio climático y adaptación al mismo para abordar los riesgos relacionados con el clima de manera oportuna y evitar el aumento de los riesgos y los costes de una acción tardía en la región;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174</w:t>
      </w:r>
      <w:r>
        <w:rPr>
          <w:rStyle w:val="HideTWBExt"/>
        </w:rPr>
        <w:t>&lt;/NumAm&gt;</w:t>
      </w:r>
    </w:p>
    <w:p>
      <w:pPr>
        <w:pStyle w:val="NormalBold"/>
      </w:pPr>
      <w:r>
        <w:rPr>
          <w:rStyle w:val="HideTWBExt"/>
          <w:b w:val="0"/>
        </w:rPr>
        <w:t>&lt;RepeatBlock-By&gt;</w:t>
      </w:r>
      <w:r>
        <w:rPr>
          <w:rStyle w:val="HideTWBExt"/>
          <w:b w:val="0"/>
        </w:rPr>
        <w:t>&lt;Members&gt;</w:t>
      </w:r>
      <w:r>
        <w:t>Isabelle Le Callennec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4 ter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 ter.</w:t>
            </w:r>
            <w:r>
              <w:tab/>
            </w:r>
            <w:r>
              <w:rPr>
                <w:b/>
                <w:i/>
              </w:rPr>
              <w:t>Pide que se reconozca la pesca como una actividad de gran interés público y como un uso prioritario en la ordenación del espacio marítimo;</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175</w:t>
      </w:r>
      <w:r>
        <w:rPr>
          <w:rStyle w:val="HideTWBExt"/>
        </w:rPr>
        <w:t>&lt;/NumAm&gt;</w:t>
      </w:r>
    </w:p>
    <w:p>
      <w:pPr>
        <w:pStyle w:val="NormalBold"/>
      </w:pPr>
      <w:r>
        <w:rPr>
          <w:rStyle w:val="HideTWBExt"/>
          <w:b w:val="0"/>
        </w:rPr>
        <w:t>&lt;RepeatBlock-By&gt;</w:t>
      </w:r>
      <w:r>
        <w:rPr>
          <w:rStyle w:val="HideTWBExt"/>
          <w:b w:val="0"/>
        </w:rPr>
        <w:t>&lt;Members&gt;</w:t>
      </w:r>
      <w:r>
        <w:t>Isabelle Le Callennec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Pide a la Comisión y a los Estados miembros que refuercen la coordinación de la investigación científica pesquera con los datos más actualizados a escala europea, nacional y regional, mejoren la interoperabilidad y el intercambio entre las bases de datos de la Unión, las de la CGPM y los institutos técnicos nacionales;</w:t>
            </w:r>
          </w:p>
        </w:tc>
        <w:tc>
          <w:tcPr>
            <w:tcW w:w="4876" w:type="dxa"/>
            <w:tcBorders>
              <w:top w:val="nil"/>
              <w:left w:val="nil"/>
              <w:bottom w:val="nil"/>
              <w:right w:val="nil"/>
            </w:tcBorders>
          </w:tcPr>
          <w:p>
            <w:pPr>
              <w:pStyle w:val="Normal6a"/>
            </w:pPr>
            <w:r>
              <w:t>5.</w:t>
            </w:r>
            <w:r>
              <w:tab/>
            </w:r>
            <w:r>
              <w:t>Pide a la Comisión y a los Estados miembros que refuercen la coordinación de la investigación científica pesquera con los datos más actualizados a escala europea, nacional y regional, mejoren la interoperabilidad y el intercambio entre las bases de datos de la Unión, las de la CGPM y los institutos técnicos nacionales</w:t>
            </w:r>
            <w:r>
              <w:rPr>
                <w:b/>
                <w:i/>
              </w:rPr>
              <w:t>, reforzando los recursos dedicados a la mejora de los conjuntos de datos, al seguimiento de las poblaciones insuficientemente documentadas, a la evaluación específica de la eficacia real de las medidas ya en vigor, a la aplicación de medidas específicas adaptadas a la diversidad de las situaciones locales y regionales, a la consideración de factores externos a la pesca que influyen en el estado de los recursos, a la instauración de revisiones periódicas del plan, sobre la base de indicadores transparentes para ajustar las medidas, así como a la integración de conocimientos ecológicos empíricos y locales en los procesos de recopilación de datos, evaluación y gestión de la pesca</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176</w:t>
      </w:r>
      <w:r>
        <w:rPr>
          <w:rStyle w:val="HideTWBExt"/>
        </w:rPr>
        <w:t>&lt;/NumAm&gt;</w:t>
      </w:r>
    </w:p>
    <w:p>
      <w:pPr>
        <w:pStyle w:val="NormalBold"/>
      </w:pPr>
      <w:r>
        <w:rPr>
          <w:rStyle w:val="HideTWBExt"/>
          <w:b w:val="0"/>
        </w:rPr>
        <w:t>&lt;RepeatBlock-By&gt;</w:t>
      </w:r>
      <w:r>
        <w:rPr>
          <w:rStyle w:val="HideTWBExt"/>
          <w:b w:val="0"/>
        </w:rPr>
        <w:t>&lt;Members&gt;</w:t>
      </w:r>
      <w:r>
        <w:t>Nicolás González Casares, Leire Pajín, Alicia Homs Ginel, Sandra Gómez López, Javi López, Laura Ballarín Cereza, Marcos Ros Sempere, Idoia Mendia, Lina Gálvez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Pide a la Comisión y a los Estados miembros que refuercen la coordinación de la investigación científica pesquera con los datos más actualizados a escala europea, nacional y regional, mejoren la interoperabilidad y el intercambio entre las bases de datos de la Unión, las de la CGPM y los institutos técnicos nacionales;</w:t>
            </w:r>
          </w:p>
        </w:tc>
        <w:tc>
          <w:tcPr>
            <w:tcW w:w="4876" w:type="dxa"/>
            <w:tcBorders>
              <w:top w:val="nil"/>
              <w:left w:val="nil"/>
              <w:bottom w:val="nil"/>
              <w:right w:val="nil"/>
            </w:tcBorders>
          </w:tcPr>
          <w:p>
            <w:pPr>
              <w:pStyle w:val="Normal6a"/>
            </w:pPr>
            <w:r>
              <w:t>5.</w:t>
            </w:r>
            <w:r>
              <w:tab/>
            </w:r>
            <w:r>
              <w:t xml:space="preserve">Pide a la Comisión y a los Estados miembros que refuercen la coordinación de la investigación científica pesquera con los datos más actualizados a escala europea, nacional y regional, mejoren la interoperabilidad y el intercambio entre las bases de datos de la Unión, las de la CGPM y los institutos técnicos nacionales; </w:t>
            </w:r>
            <w:r>
              <w:rPr>
                <w:b/>
                <w:i/>
              </w:rPr>
              <w:t>pide, en concreto, a la Comisión que garantice que las decisiones anuales relativas a las posibilidades de pesca y al esfuerzo pesquero se fundamenten en los mejores conocimientos científicos disponibles, publicados de forma transparente y accesible antes de la adopción de dichas decisiones;</w:t>
            </w:r>
            <w:r>
              <w:t xml:space="preserve"> </w:t>
            </w:r>
            <w:r>
              <w:rPr>
                <w:b/>
                <w:i/>
              </w:rPr>
              <w:t>reclama, igualmente, a la Comisión y a los Estados miembros que incorporen una evaluación específica de los efectos del cambio climático sobre la distribución, abundancia y productividad de las poblaciones pesqueras del Mediterráneo;</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177</w:t>
      </w:r>
      <w:r>
        <w:rPr>
          <w:rStyle w:val="HideTWBExt"/>
        </w:rPr>
        <w:t>&lt;/NumAm&gt;</w:t>
      </w:r>
    </w:p>
    <w:p>
      <w:pPr>
        <w:pStyle w:val="NormalBold"/>
      </w:pPr>
      <w:r>
        <w:rPr>
          <w:rStyle w:val="HideTWBExt"/>
          <w:b w:val="0"/>
        </w:rPr>
        <w:t>&lt;RepeatBlock-By&gt;</w:t>
      </w:r>
      <w:r>
        <w:rPr>
          <w:rStyle w:val="HideTWBExt"/>
          <w:b w:val="0"/>
        </w:rPr>
        <w:t>&lt;Members&gt;</w:t>
      </w:r>
      <w:r>
        <w:t>Eric Sargiacomo, Nicolás González Casares, Sakis Arnaoutoglou, Idoia Mendia, Claire Fita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Pide a la Comisión y a los Estados miembros que refuercen la coordinación de la investigación científica pesquera con los datos más actualizados a escala europea, nacional y regional, mejoren la interoperabilidad y el intercambio entre las bases de datos de la Unión, las de la CGPM y los institutos técnicos nacionales;</w:t>
            </w:r>
          </w:p>
        </w:tc>
        <w:tc>
          <w:tcPr>
            <w:tcW w:w="4876" w:type="dxa"/>
            <w:tcBorders>
              <w:top w:val="nil"/>
              <w:left w:val="nil"/>
              <w:bottom w:val="nil"/>
              <w:right w:val="nil"/>
            </w:tcBorders>
          </w:tcPr>
          <w:p>
            <w:pPr>
              <w:pStyle w:val="Normal6a"/>
            </w:pPr>
            <w:r>
              <w:t>5.</w:t>
            </w:r>
            <w:r>
              <w:tab/>
            </w:r>
            <w:r>
              <w:t xml:space="preserve">Pide a la Comisión y a los Estados miembros que refuercen la coordinación de la investigación científica pesquera con los datos más actualizados a escala europea, nacional y regional, mejoren la interoperabilidad y el intercambio entre las bases de datos de la Unión, las de la CGPM y los institutos técnicos nacionales; </w:t>
            </w:r>
            <w:r>
              <w:rPr>
                <w:b/>
                <w:i/>
              </w:rPr>
              <w:t>subraya que esta cooperación científica también debería permitir el desarrollo de un enfoque ecosistémico que integre los efectos del cambio climático, los cambios oceanográficos, las interacciones entre especies, la disponibilidad de hábitats esenciales y otras presiones antropogénicas sobre los recursos pesqueros, como la pesca recreativa;</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178</w:t>
      </w:r>
      <w:r>
        <w:rPr>
          <w:rStyle w:val="HideTWBExt"/>
        </w:rPr>
        <w:t>&lt;/NumAm&gt;</w:t>
      </w:r>
    </w:p>
    <w:p>
      <w:pPr>
        <w:pStyle w:val="NormalBold"/>
      </w:pPr>
      <w:r>
        <w:rPr>
          <w:rStyle w:val="HideTWBExt"/>
          <w:b w:val="0"/>
        </w:rPr>
        <w:t>&lt;RepeatBlock-By&gt;</w:t>
      </w:r>
      <w:r>
        <w:rPr>
          <w:rStyle w:val="HideTWBExt"/>
          <w:b w:val="0"/>
        </w:rPr>
        <w:t>&lt;Members&gt;</w:t>
      </w:r>
      <w:r>
        <w:t>Nora Junco García, Kristoffer Storm, Stephen Nikola Bartulica, Sander Smit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Pide a la Comisión y a los Estados miembros que refuercen la coordinación de la investigación científica pesquera con los datos más actualizados a escala europea, nacional y regional</w:t>
            </w:r>
            <w:r>
              <w:rPr>
                <w:b/>
                <w:i/>
              </w:rPr>
              <w:t>, mejoren</w:t>
            </w:r>
            <w:r>
              <w:t xml:space="preserve"> la interoperabilidad y el intercambio entre las bases de datos de la Unión, las de la CGPM y los institutos técnicos nacionales;</w:t>
            </w:r>
          </w:p>
        </w:tc>
        <w:tc>
          <w:tcPr>
            <w:tcW w:w="4876" w:type="dxa"/>
            <w:tcBorders>
              <w:top w:val="nil"/>
              <w:left w:val="nil"/>
              <w:bottom w:val="nil"/>
              <w:right w:val="nil"/>
            </w:tcBorders>
          </w:tcPr>
          <w:p>
            <w:pPr>
              <w:pStyle w:val="Normal6a"/>
            </w:pPr>
            <w:r>
              <w:t>5.</w:t>
            </w:r>
            <w:r>
              <w:tab/>
            </w:r>
            <w:r>
              <w:t>Pide a la Comisión y a los Estados miembros que refuercen la coordinación de la investigación científica pesquera</w:t>
            </w:r>
            <w:r>
              <w:rPr>
                <w:b/>
                <w:i/>
              </w:rPr>
              <w:t>, en particular a través de campañas científicas independientes como la campaña MEDITS coordinada por institutos como el Instituto Español de Oceanografía,</w:t>
            </w:r>
            <w:r>
              <w:t xml:space="preserve"> con los datos más actualizados a escala europea, nacional y regional</w:t>
            </w:r>
            <w:r>
              <w:rPr>
                <w:b/>
                <w:i/>
              </w:rPr>
              <w:t>;</w:t>
            </w:r>
            <w:r>
              <w:t xml:space="preserve"> </w:t>
            </w:r>
            <w:r>
              <w:rPr>
                <w:b/>
                <w:i/>
              </w:rPr>
              <w:t>pide que se mejore</w:t>
            </w:r>
            <w:r>
              <w:t xml:space="preserve"> la interoperabilidad y el intercambio entre las bases de datos de la Unión, las de la CGPM y los institutos técnicos nacionales</w:t>
            </w:r>
            <w:r>
              <w:rPr>
                <w:b/>
                <w:i/>
              </w:rPr>
              <w:t>, y que se publique con periodicidad anual un informe consolidado y de acceso público sobre el estado de las poblaciones y de las capturas en el Mediterráneo occidental</w:t>
            </w:r>
            <w:r>
              <w:t>;</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179</w:t>
      </w:r>
      <w:r>
        <w:rPr>
          <w:rStyle w:val="HideTWBExt"/>
        </w:rPr>
        <w:t>&lt;/NumAm&gt;</w:t>
      </w:r>
    </w:p>
    <w:p>
      <w:pPr>
        <w:pStyle w:val="NormalBold"/>
      </w:pPr>
      <w:r>
        <w:rPr>
          <w:rStyle w:val="HideTWBExt"/>
          <w:b w:val="0"/>
        </w:rPr>
        <w:t>&lt;RepeatBlock-By&gt;</w:t>
      </w:r>
      <w:r>
        <w:rPr>
          <w:rStyle w:val="HideTWBExt"/>
          <w:b w:val="0"/>
        </w:rPr>
        <w:t>&lt;Members&gt;</w:t>
      </w:r>
      <w:r>
        <w:t>Carmen Crespo Díaz, Isabelle Le Callennec, Paulo do Nascimento Cabral, Susana Solís Pérez, Francisco José Millán Mon, Fredis Beleris, Marco Falcone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5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 bis.</w:t>
            </w:r>
            <w:r>
              <w:tab/>
            </w:r>
            <w:r>
              <w:rPr>
                <w:b/>
                <w:i/>
              </w:rPr>
              <w:t>Subraya la necesidad de reforzar la recopilación de datos científicos sobre las poblaciones pesqueras del Mediterráneo, habida cuenta de que, en la evaluación más reciente, solo pudieron evaluarse analíticamente 13 de las 20 poblaciones consideradas debido a la insuficiencia de datos;</w:t>
            </w:r>
            <w:r>
              <w:t xml:space="preserve"> </w:t>
            </w:r>
            <w:r>
              <w:rPr>
                <w:b/>
                <w:i/>
              </w:rPr>
              <w:t>pide, por tanto, a la Comisión y a los Estados miembros que incrementen los recursos destinados a la investigación científica, el seguimiento de las poblaciones y la recopilación de datos para mejorar la base científica de la toma de decisiones;</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180</w:t>
      </w:r>
      <w:r>
        <w:rPr>
          <w:rStyle w:val="HideTWBExt"/>
        </w:rPr>
        <w:t>&lt;/NumAm&gt;</w:t>
      </w:r>
    </w:p>
    <w:p>
      <w:pPr>
        <w:pStyle w:val="NormalBold"/>
      </w:pPr>
      <w:r>
        <w:rPr>
          <w:rStyle w:val="HideTWBExt"/>
          <w:b w:val="0"/>
        </w:rPr>
        <w:t>&lt;RepeatBlock-By&gt;</w:t>
      </w:r>
      <w:r>
        <w:rPr>
          <w:rStyle w:val="HideTWBExt"/>
          <w:b w:val="0"/>
        </w:rPr>
        <w:t>&lt;Members&gt;</w:t>
      </w:r>
      <w:r>
        <w:t>Eric Sargiacomo, Nicolás González Casares, Giuseppe Lupo, Sakis Arnaoutoglou, Idoia Mendia, Claire Fita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5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 bis.</w:t>
            </w:r>
            <w:r>
              <w:tab/>
            </w:r>
            <w:r>
              <w:rPr>
                <w:b/>
                <w:i/>
              </w:rPr>
              <w:t>Pide a la Comisión que, en cooperación con el CCTEP, la Comisión General de Pesca del Mediterráneo (CGPM) y los institutos científicos nacionales, desarrolle un programa científico específico dedicado a los efectos del cambio climático en la pesca del Mediterráneo occidental, en particular en lo que se refiere al reclutamiento, la distribución de especies, la mortalidad natural y la evolución de los hábitats marinos;</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181</w:t>
      </w:r>
      <w:r>
        <w:rPr>
          <w:rStyle w:val="HideTWBExt"/>
        </w:rPr>
        <w:t>&lt;/NumAm&gt;</w:t>
      </w:r>
    </w:p>
    <w:p>
      <w:pPr>
        <w:pStyle w:val="NormalBold"/>
      </w:pPr>
      <w:r>
        <w:rPr>
          <w:rStyle w:val="HideTWBExt"/>
          <w:b w:val="0"/>
        </w:rPr>
        <w:t>&lt;RepeatBlock-By&gt;</w:t>
      </w:r>
      <w:r>
        <w:rPr>
          <w:rStyle w:val="HideTWBExt"/>
          <w:b w:val="0"/>
        </w:rPr>
        <w:t>&lt;Members&gt;</w:t>
      </w:r>
      <w:r>
        <w:t>Sebastian Everding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5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 bis.</w:t>
            </w:r>
            <w:r>
              <w:tab/>
            </w:r>
            <w:r>
              <w:rPr>
                <w:b/>
                <w:i/>
              </w:rPr>
              <w:t>Pide a la Comisión que desarrolle, en cooperación con científicos independientes, expertos en bienestar animal y partes interesadas del sector pesquero, indicadores específicos por especie para el bienestar de los peces y crustáceos durante la captura, recuperación, manipulación, almacenamiento y sacrificio;</w:t>
            </w:r>
            <w:r>
              <w:t xml:space="preserve"> </w:t>
            </w:r>
            <w:r>
              <w:rPr>
                <w:b/>
                <w:i/>
              </w:rPr>
              <w:t>pide que estos indicadores se integren en la gestión de la pesca, las medidas técnicas y los criterios de financiación de la Unión;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182</w:t>
      </w:r>
      <w:r>
        <w:rPr>
          <w:rStyle w:val="HideTWBExt"/>
        </w:rPr>
        <w:t>&lt;/NumAm&gt;</w:t>
      </w:r>
    </w:p>
    <w:p>
      <w:pPr>
        <w:pStyle w:val="NormalBold"/>
      </w:pPr>
      <w:r>
        <w:rPr>
          <w:rStyle w:val="HideTWBExt"/>
          <w:b w:val="0"/>
        </w:rPr>
        <w:t>&lt;RepeatBlock-By&gt;</w:t>
      </w:r>
      <w:r>
        <w:rPr>
          <w:rStyle w:val="HideTWBExt"/>
          <w:b w:val="0"/>
        </w:rPr>
        <w:t>&lt;Members&gt;</w:t>
      </w:r>
      <w:r>
        <w:t>Mélissa Camara</w:t>
      </w:r>
      <w:r>
        <w:rPr>
          <w:rStyle w:val="HideTWBExt"/>
          <w:b w:val="0"/>
        </w:rPr>
        <w:t>&lt;/Members&gt;</w:t>
      </w:r>
    </w:p>
    <w:p>
      <w:r>
        <w:rPr>
          <w:rStyle w:val="HideTWBExt"/>
          <w:b w:val="0"/>
        </w:rPr>
        <w:t>&lt;AuNomDe&gt;</w:t>
      </w:r>
      <w:r>
        <w:rPr>
          <w:rStyle w:val="HideTWBInt"/>
        </w:rPr>
        <w:t>{Verts/ALE}</w:t>
      </w:r>
      <w:r>
        <w:t>en nombre del Grupo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5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 bis.</w:t>
            </w:r>
            <w:r>
              <w:tab/>
            </w:r>
            <w:r>
              <w:rPr>
                <w:b/>
                <w:i/>
              </w:rPr>
              <w:t>Pide a la Comisión y a los Estados miembros que mejoren la aplicación de la gestión de la pesca mixta en el marco del plan plurianual vigente para el Mediterráneo occidental, en particular mediante un mejor uso de las medidas de selectividad, los cierres espacio-temporales, las medidas de evitación, las medidas correctoras y el mecanismo de compensación, manteniendo al mismo tiempo salvaguardias para las poblaciones agotadas;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183</w:t>
      </w:r>
      <w:r>
        <w:rPr>
          <w:rStyle w:val="HideTWBExt"/>
        </w:rPr>
        <w:t>&lt;/NumAm&gt;</w:t>
      </w:r>
    </w:p>
    <w:p>
      <w:pPr>
        <w:pStyle w:val="NormalBold"/>
      </w:pPr>
      <w:r>
        <w:rPr>
          <w:rStyle w:val="HideTWBExt"/>
          <w:b w:val="0"/>
        </w:rPr>
        <w:t>&lt;RepeatBlock-By&gt;</w:t>
      </w:r>
      <w:r>
        <w:rPr>
          <w:rStyle w:val="HideTWBExt"/>
          <w:b w:val="0"/>
        </w:rPr>
        <w:t>&lt;Members&gt;</w:t>
      </w:r>
      <w:r>
        <w:t>Emma Wiesner,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5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 bis.</w:t>
            </w:r>
            <w:r>
              <w:tab/>
            </w:r>
            <w:r>
              <w:rPr>
                <w:b/>
                <w:i/>
              </w:rPr>
              <w:t>Destaca la necesidad de una recopilación de datos adecuada como piedra angular para cualquier evaluación científica adecuada;</w:t>
            </w:r>
            <w:r>
              <w:t xml:space="preserve"> </w:t>
            </w:r>
            <w:r>
              <w:rPr>
                <w:b/>
                <w:i/>
              </w:rPr>
              <w:t>recuerda que un asesoramiento científico adecuado es fundamental para permitir la correcta aplicación de un enfoque ecosistémico a la gestión de la pesca;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184</w:t>
      </w:r>
      <w:r>
        <w:rPr>
          <w:rStyle w:val="HideTWBExt"/>
        </w:rPr>
        <w:t>&lt;/NumAm&gt;</w:t>
      </w:r>
    </w:p>
    <w:p>
      <w:pPr>
        <w:pStyle w:val="NormalBold"/>
      </w:pPr>
      <w:r>
        <w:rPr>
          <w:rStyle w:val="HideTWBExt"/>
          <w:b w:val="0"/>
        </w:rPr>
        <w:t>&lt;RepeatBlock-By&gt;</w:t>
      </w:r>
      <w:r>
        <w:rPr>
          <w:rStyle w:val="HideTWBExt"/>
          <w:b w:val="0"/>
        </w:rPr>
        <w:t>&lt;Members&gt;</w:t>
      </w:r>
      <w:r>
        <w:t>Carmen Crespo Díaz, Isabelle Le Callennec, Paulo do Nascimento Cabral, Susana Solís Pérez, Francisco José Millán Mon, Fredis Beleris, Marco Falcone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5 ter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 ter.</w:t>
            </w:r>
            <w:r>
              <w:tab/>
            </w:r>
            <w:r>
              <w:rPr>
                <w:b/>
                <w:i/>
              </w:rPr>
              <w:t>Insta a la Comisión a reconocer plenamente las evaluaciones científicas elaboradas por el Comité Científico Consultivo (SAC) de la CGPM en la definición de las medidas de gestión del Plan WestMed, en igualdad de consideración con las emitidas por el CCTEP;</w:t>
            </w:r>
            <w:r>
              <w:t xml:space="preserve"> </w:t>
            </w:r>
            <w:r>
              <w:rPr>
                <w:b/>
                <w:i/>
              </w:rPr>
              <w:t>pide, asimismo, revisar los puntos de referencia y los modelos de evaluación aplicables a la merluza, a fin de garantizar que las decisiones de gestión reflejen adecuadamente la realidad biológica observada y los datos científicos más actualizados;</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185</w:t>
      </w:r>
      <w:r>
        <w:rPr>
          <w:rStyle w:val="HideTWBExt"/>
        </w:rPr>
        <w:t>&lt;/NumAm&gt;</w:t>
      </w:r>
    </w:p>
    <w:p>
      <w:pPr>
        <w:pStyle w:val="NormalBold"/>
      </w:pPr>
      <w:r>
        <w:rPr>
          <w:rStyle w:val="HideTWBExt"/>
          <w:b w:val="0"/>
        </w:rPr>
        <w:t>&lt;RepeatBlock-By&gt;</w:t>
      </w:r>
      <w:r>
        <w:rPr>
          <w:rStyle w:val="HideTWBExt"/>
          <w:b w:val="0"/>
        </w:rPr>
        <w:t>&lt;Members&gt;</w:t>
      </w:r>
      <w:r>
        <w:t>Eric Sargiacomo, Nicolás González Casares, Giuseppe Lupo, Sakis Arnaoutoglou, Idoia Mendia, Claire Fita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5 ter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 ter.</w:t>
            </w:r>
            <w:r>
              <w:tab/>
            </w:r>
            <w:r>
              <w:rPr>
                <w:b/>
                <w:i/>
              </w:rPr>
              <w:t>Pide a la Comisión que desarrolle indicadores armonizados que permitan evaluar el impacto acumulativo de las medidas de gestión de la pesca, las zonas marinas protegidas, las zonas estrictamente protegidas, la pesca recreativa, los proyectos de energías renovables marinas y otros usos del espacio marítimo en la actividad de las flotas pesqueras profesionales;</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186</w:t>
      </w:r>
      <w:r>
        <w:rPr>
          <w:rStyle w:val="HideTWBExt"/>
        </w:rPr>
        <w:t>&lt;/NumAm&gt;</w:t>
      </w:r>
    </w:p>
    <w:p>
      <w:pPr>
        <w:pStyle w:val="NormalBold"/>
      </w:pPr>
      <w:r>
        <w:rPr>
          <w:rStyle w:val="HideTWBExt"/>
          <w:b w:val="0"/>
        </w:rPr>
        <w:t>&lt;RepeatBlock-By&gt;</w:t>
      </w:r>
      <w:r>
        <w:rPr>
          <w:rStyle w:val="HideTWBExt"/>
          <w:b w:val="0"/>
        </w:rPr>
        <w:t>&lt;Members&gt;</w:t>
      </w:r>
      <w:r>
        <w:t>Sebastian Everding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5 ter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 ter.</w:t>
            </w:r>
            <w:r>
              <w:tab/>
            </w:r>
            <w:r>
              <w:rPr>
                <w:b/>
                <w:i/>
              </w:rPr>
              <w:t>Pide la eliminación progresiva de las prácticas y artes de pesca que causan un sufrimiento especialmente grave o prolongado, una elevada mortalidad de animales no objetivo o una destrucción significativa del hábitat, y un apoyo específico que permita a los pescadores y trabajadores afectados la transición hacia prácticas menos perjudiciales;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187</w:t>
      </w:r>
      <w:r>
        <w:rPr>
          <w:rStyle w:val="HideTWBExt"/>
        </w:rPr>
        <w:t>&lt;/NumAm&gt;</w:t>
      </w:r>
    </w:p>
    <w:p>
      <w:pPr>
        <w:pStyle w:val="NormalBold"/>
      </w:pPr>
      <w:r>
        <w:rPr>
          <w:rStyle w:val="HideTWBExt"/>
          <w:b w:val="0"/>
        </w:rPr>
        <w:t>&lt;RepeatBlock-By&gt;</w:t>
      </w:r>
      <w:r>
        <w:rPr>
          <w:rStyle w:val="HideTWBExt"/>
          <w:b w:val="0"/>
        </w:rPr>
        <w:t>&lt;Members&gt;</w:t>
      </w:r>
      <w:r>
        <w:t>Sebastian Everding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5 quater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 quater.</w:t>
            </w:r>
            <w:r>
              <w:tab/>
            </w:r>
            <w:r>
              <w:rPr>
                <w:b/>
                <w:i/>
              </w:rPr>
              <w:t>Pide a la Comisión y a los Estados miembros que establezcan y gestionen eficazmente una red ecológicamente coherente de zonas marinas protegidas, incluidas zonas estrictamente protegidas y de veda que abarquen zonas de desove, zonas de cría, refugios climáticos, ecosistemas marinos vulnerables y zonas de especial importancia para las especies protegidas;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188</w:t>
      </w:r>
      <w:r>
        <w:rPr>
          <w:rStyle w:val="HideTWBExt"/>
        </w:rPr>
        <w:t>&lt;/NumAm&gt;</w:t>
      </w:r>
    </w:p>
    <w:p>
      <w:pPr>
        <w:pStyle w:val="NormalBold"/>
      </w:pPr>
      <w:r>
        <w:rPr>
          <w:rStyle w:val="HideTWBExt"/>
          <w:b w:val="0"/>
        </w:rPr>
        <w:t>&lt;RepeatBlock-By&gt;</w:t>
      </w:r>
      <w:r>
        <w:rPr>
          <w:rStyle w:val="HideTWBExt"/>
          <w:b w:val="0"/>
        </w:rPr>
        <w:t>&lt;Members&gt;</w:t>
      </w:r>
      <w:r>
        <w:t>Sebastian Everding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5 quinquies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 quinquies.</w:t>
            </w:r>
            <w:r>
              <w:tab/>
            </w:r>
            <w:r>
              <w:rPr>
                <w:b/>
                <w:i/>
              </w:rPr>
              <w:t>Pide que la evaluación del plan plurianual incluya indicadores sobre el estado del hábitat, la integridad del fondo marino, la estructura trófica, la diversidad genética, la estructura de edad y tamaño de la población, la mortalidad por capturas accesorias, la abundancia de especies protegidas y la resiliencia de los ecosistemas marinos al cambio climático;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189</w:t>
      </w:r>
      <w:r>
        <w:rPr>
          <w:rStyle w:val="HideTWBExt"/>
        </w:rPr>
        <w:t>&lt;/NumAm&gt;</w:t>
      </w:r>
    </w:p>
    <w:p>
      <w:pPr>
        <w:pStyle w:val="NormalBold"/>
      </w:pPr>
      <w:r>
        <w:rPr>
          <w:rStyle w:val="HideTWBExt"/>
          <w:b w:val="0"/>
        </w:rPr>
        <w:t>&lt;RepeatBlock-By&gt;</w:t>
      </w:r>
      <w:r>
        <w:rPr>
          <w:rStyle w:val="HideTWBExt"/>
          <w:b w:val="0"/>
        </w:rPr>
        <w:t>&lt;Members&gt;</w:t>
      </w:r>
      <w:r>
        <w:t>Carmen Crespo Díaz, Isabelle Le Callennec, Paulo do Nascimento Cabral, Susana Solís Pérez, Francisco José Millán Mon, Fredis Beleris, Marco Falcone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Muestra su profunda preocupación ante las informaciones sobre pesca INDNR de terceros países en aguas del Mediterráneo, incluyendo las zonas económicas exclusivas de Estados miembros; subraya la necesidad de crear una Oficina Europea de Control de las Importaciones a fin de evitar la entrada en el mercado interior de productos provenientes de pesca INDNR;</w:t>
            </w:r>
          </w:p>
        </w:tc>
        <w:tc>
          <w:tcPr>
            <w:tcW w:w="4876" w:type="dxa"/>
            <w:tcBorders>
              <w:top w:val="nil"/>
              <w:left w:val="nil"/>
              <w:bottom w:val="nil"/>
              <w:right w:val="nil"/>
            </w:tcBorders>
          </w:tcPr>
          <w:p>
            <w:pPr>
              <w:pStyle w:val="Normal6a"/>
            </w:pPr>
            <w:r>
              <w:t>6.</w:t>
            </w:r>
            <w:r>
              <w:tab/>
            </w:r>
            <w:r>
              <w:t xml:space="preserve">Muestra su profunda preocupación ante las informaciones sobre pesca INDNR de terceros países en aguas del Mediterráneo, incluyendo las zonas económicas exclusivas de Estados miembros; </w:t>
            </w:r>
            <w:r>
              <w:rPr>
                <w:b/>
                <w:i/>
              </w:rPr>
              <w:t>insta a la Comisión y a la Agencia Europea de Control Pesquero (EFCA) a hacer un seguimiento más exhaustivo de las actividades de la flota de pabellón extracomunitario en la cuenca mediterránea, así como considerar medidas de mercado contra los estados que permiten estas prácticas;</w:t>
            </w:r>
            <w:r>
              <w:t xml:space="preserve"> subraya la necesidad de crear una Oficina Europea de Control de las Importaciones a fin de evitar la entrada en el mercado interior de productos provenientes de pesca INDNR; </w:t>
            </w:r>
            <w:r>
              <w:rPr>
                <w:b/>
                <w:i/>
              </w:rPr>
              <w:t>muestra su especial preocupación por la utilización de redes de deriva por parte de determinados buques de pabellón de terceros países en el mar de Alborán, una práctica prohibida que supone una grave amenaza para la biodiversidad marina y competencia justa en el Mediterráneo;</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190</w:t>
      </w:r>
      <w:r>
        <w:rPr>
          <w:rStyle w:val="HideTWBExt"/>
        </w:rPr>
        <w:t>&lt;/NumAm&gt;</w:t>
      </w:r>
    </w:p>
    <w:p>
      <w:pPr>
        <w:pStyle w:val="NormalBold"/>
      </w:pPr>
      <w:r>
        <w:rPr>
          <w:rStyle w:val="HideTWBExt"/>
          <w:b w:val="0"/>
        </w:rPr>
        <w:t>&lt;RepeatBlock-By&gt;</w:t>
      </w:r>
      <w:r>
        <w:rPr>
          <w:rStyle w:val="HideTWBExt"/>
          <w:b w:val="0"/>
        </w:rPr>
        <w:t>&lt;Members&gt;</w:t>
      </w:r>
      <w:r>
        <w:t>Nora Junco García, Kristoffer Storm, Stephen Nikola Bartulica, Sander Smit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Muestra su profunda preocupación ante las informaciones sobre pesca INDNR de terceros países en aguas del Mediterráneo</w:t>
            </w:r>
            <w:r>
              <w:rPr>
                <w:b/>
                <w:i/>
              </w:rPr>
              <w:t>, incluyendo las</w:t>
            </w:r>
            <w:r>
              <w:t xml:space="preserve"> zonas económicas exclusivas </w:t>
            </w:r>
            <w:r>
              <w:rPr>
                <w:b/>
                <w:i/>
              </w:rPr>
              <w:t>de Estados miembros</w:t>
            </w:r>
            <w:r>
              <w:t xml:space="preserve">; subraya la necesidad de </w:t>
            </w:r>
            <w:r>
              <w:rPr>
                <w:b/>
                <w:i/>
              </w:rPr>
              <w:t>crear una Oficina</w:t>
            </w:r>
            <w:r>
              <w:t xml:space="preserve"> Europea de Control de </w:t>
            </w:r>
            <w:r>
              <w:rPr>
                <w:b/>
                <w:i/>
              </w:rPr>
              <w:t>las</w:t>
            </w:r>
            <w:r>
              <w:t xml:space="preserve"> Importaciones a fin de evitar la entrada en el mercado interior de productos provenientes de pesca INDNR;</w:t>
            </w:r>
          </w:p>
        </w:tc>
        <w:tc>
          <w:tcPr>
            <w:tcW w:w="4876" w:type="dxa"/>
            <w:tcBorders>
              <w:top w:val="nil"/>
              <w:left w:val="nil"/>
              <w:bottom w:val="nil"/>
              <w:right w:val="nil"/>
            </w:tcBorders>
          </w:tcPr>
          <w:p>
            <w:pPr>
              <w:pStyle w:val="Normal6a"/>
            </w:pPr>
            <w:r>
              <w:t>6.</w:t>
            </w:r>
            <w:r>
              <w:tab/>
            </w:r>
            <w:r>
              <w:t xml:space="preserve">Muestra su profunda preocupación ante las </w:t>
            </w:r>
            <w:r>
              <w:rPr>
                <w:b/>
                <w:i/>
              </w:rPr>
              <w:t>reiteradas</w:t>
            </w:r>
            <w:r>
              <w:t xml:space="preserve"> informaciones sobre pesca INDNR de terceros países en aguas del Mediterráneo </w:t>
            </w:r>
            <w:r>
              <w:rPr>
                <w:b/>
                <w:i/>
              </w:rPr>
              <w:t>por parte de embarcaciones de Marruecos y Argelia en el mar de Alborán, cuyas capturas acceden posteriormente al mercado de la Unión en condiciones de competencia desleal frente a la flota europea;</w:t>
            </w:r>
            <w:r>
              <w:t xml:space="preserve"> </w:t>
            </w:r>
            <w:r>
              <w:rPr>
                <w:b/>
                <w:i/>
              </w:rPr>
              <w:t>recuerda que fenómenos análogos de pesca no autorizada y de reivindicaciones unilaterales de terceros países sobre</w:t>
            </w:r>
            <w:r>
              <w:t xml:space="preserve"> zonas económicas exclusivas </w:t>
            </w:r>
            <w:r>
              <w:rPr>
                <w:b/>
                <w:i/>
              </w:rPr>
              <w:t>afectan también a otras aguas de la Unión, como las del archipiélago canario</w:t>
            </w:r>
            <w:r>
              <w:t xml:space="preserve">; subraya la necesidad de </w:t>
            </w:r>
            <w:r>
              <w:rPr>
                <w:b/>
                <w:i/>
              </w:rPr>
              <w:t>reforzar las competencias y los recursos de la Agencia</w:t>
            </w:r>
            <w:r>
              <w:t xml:space="preserve"> Europea de Control de </w:t>
            </w:r>
            <w:r>
              <w:rPr>
                <w:b/>
                <w:i/>
              </w:rPr>
              <w:t>la Pesca (AECP) en materia de control de</w:t>
            </w:r>
            <w:r>
              <w:t xml:space="preserve"> importaciones</w:t>
            </w:r>
            <w:r>
              <w:rPr>
                <w:b/>
                <w:i/>
              </w:rPr>
              <w:t>,</w:t>
            </w:r>
            <w:r>
              <w:t xml:space="preserve"> a fin de evitar la entrada en el mercado interior de productos provenientes de pesca INDNR </w:t>
            </w:r>
            <w:r>
              <w:rPr>
                <w:b/>
                <w:i/>
              </w:rPr>
              <w:t>con independencia de la cuenca marítima de origen</w:t>
            </w:r>
            <w:r>
              <w:t>;</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191</w:t>
      </w:r>
      <w:r>
        <w:rPr>
          <w:rStyle w:val="HideTWBExt"/>
        </w:rPr>
        <w:t>&lt;/NumAm&gt;</w:t>
      </w:r>
    </w:p>
    <w:p>
      <w:pPr>
        <w:pStyle w:val="NormalBold"/>
      </w:pPr>
      <w:r>
        <w:rPr>
          <w:rStyle w:val="HideTWBExt"/>
          <w:b w:val="0"/>
        </w:rPr>
        <w:t>&lt;RepeatBlock-By&gt;</w:t>
      </w:r>
      <w:r>
        <w:rPr>
          <w:rStyle w:val="HideTWBExt"/>
          <w:b w:val="0"/>
        </w:rPr>
        <w:t>&lt;Members&gt;</w:t>
      </w:r>
      <w:r>
        <w:t>Mélissa Camara</w:t>
      </w:r>
      <w:r>
        <w:rPr>
          <w:rStyle w:val="HideTWBExt"/>
          <w:b w:val="0"/>
        </w:rPr>
        <w:t>&lt;/Members&gt;</w:t>
      </w:r>
    </w:p>
    <w:p>
      <w:r>
        <w:rPr>
          <w:rStyle w:val="HideTWBExt"/>
          <w:b w:val="0"/>
        </w:rPr>
        <w:t>&lt;AuNomDe&gt;</w:t>
      </w:r>
      <w:r>
        <w:rPr>
          <w:rStyle w:val="HideTWBInt"/>
        </w:rPr>
        <w:t>{Verts/ALE}</w:t>
      </w:r>
      <w:r>
        <w:t>en nombre del Grupo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rPr>
                <w:b/>
                <w:i/>
              </w:rPr>
              <w:t>Muestra</w:t>
            </w:r>
            <w:r>
              <w:t xml:space="preserve"> su profunda preocupación ante las informaciones sobre pesca INDNR </w:t>
            </w:r>
            <w:r>
              <w:rPr>
                <w:b/>
                <w:i/>
              </w:rPr>
              <w:t>de terceros países en aguas del Mediterráneo, incluyendo las zonas económicas exclusivas de Estados miembros;</w:t>
            </w:r>
            <w:r>
              <w:t xml:space="preserve"> </w:t>
            </w:r>
            <w:r>
              <w:rPr>
                <w:b/>
                <w:i/>
              </w:rPr>
              <w:t>subraya la necesidad de crear</w:t>
            </w:r>
            <w:r>
              <w:t xml:space="preserve"> una Oficina Europea de Control de las Importaciones </w:t>
            </w:r>
            <w:r>
              <w:rPr>
                <w:b/>
                <w:i/>
              </w:rPr>
              <w:t>a fin de</w:t>
            </w:r>
            <w:r>
              <w:t xml:space="preserve"> evitar la entrada en el mercado </w:t>
            </w:r>
            <w:r>
              <w:rPr>
                <w:b/>
                <w:i/>
              </w:rPr>
              <w:t>interior</w:t>
            </w:r>
            <w:r>
              <w:t xml:space="preserve"> de productos </w:t>
            </w:r>
            <w:r>
              <w:rPr>
                <w:b/>
                <w:i/>
              </w:rPr>
              <w:t>provenientes de pesca INDNR</w:t>
            </w:r>
            <w:r>
              <w:t>;</w:t>
            </w:r>
          </w:p>
        </w:tc>
        <w:tc>
          <w:tcPr>
            <w:tcW w:w="4876" w:type="dxa"/>
            <w:tcBorders>
              <w:top w:val="nil"/>
              <w:left w:val="nil"/>
              <w:bottom w:val="nil"/>
              <w:right w:val="nil"/>
            </w:tcBorders>
          </w:tcPr>
          <w:p>
            <w:pPr>
              <w:pStyle w:val="Normal6a"/>
            </w:pPr>
            <w:r>
              <w:t>6.</w:t>
            </w:r>
            <w:r>
              <w:tab/>
            </w:r>
            <w:r>
              <w:rPr>
                <w:b/>
                <w:i/>
              </w:rPr>
              <w:t>Expresa</w:t>
            </w:r>
            <w:r>
              <w:t xml:space="preserve"> su profunda preocupación ante las informaciones sobre </w:t>
            </w:r>
            <w:r>
              <w:rPr>
                <w:b/>
                <w:i/>
              </w:rPr>
              <w:t>que la</w:t>
            </w:r>
            <w:r>
              <w:t xml:space="preserve"> pesca INDNR </w:t>
            </w:r>
            <w:r>
              <w:rPr>
                <w:b/>
                <w:i/>
              </w:rPr>
              <w:t>siga representando una amenaza importante para los ecosistemas marinos mediterráneos, la pesca sostenible y las comunidades costeras;</w:t>
            </w:r>
            <w:r>
              <w:t xml:space="preserve"> </w:t>
            </w:r>
            <w:r>
              <w:rPr>
                <w:b/>
                <w:i/>
              </w:rPr>
              <w:t>pide un enfoque de tolerancia cero con respecto a la pesca INDNR mediante mecanismos más sólidos de seguimiento, control y ejecución, una mayor transparencia y trazabilidad de los productos del mar y la creación de</w:t>
            </w:r>
            <w:r>
              <w:t xml:space="preserve"> una Oficina Europea de Control de las Importaciones </w:t>
            </w:r>
            <w:r>
              <w:rPr>
                <w:b/>
                <w:i/>
              </w:rPr>
              <w:t>para</w:t>
            </w:r>
            <w:r>
              <w:t xml:space="preserve"> evitar la entrada </w:t>
            </w:r>
            <w:r>
              <w:rPr>
                <w:b/>
                <w:i/>
              </w:rPr>
              <w:t>de los productos de origen ilegal</w:t>
            </w:r>
            <w:r>
              <w:t xml:space="preserve"> en el mercado de </w:t>
            </w:r>
            <w:r>
              <w:rPr>
                <w:b/>
                <w:i/>
              </w:rPr>
              <w:t>la Unión y garantizar que todos los</w:t>
            </w:r>
            <w:r>
              <w:t xml:space="preserve"> productos </w:t>
            </w:r>
            <w:r>
              <w:rPr>
                <w:b/>
                <w:i/>
              </w:rPr>
              <w:t>del mar comercializados en el mercado de la Unión cumplan los objetivos de conservación y sostenibilidad de la Unión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192</w:t>
      </w:r>
      <w:r>
        <w:rPr>
          <w:rStyle w:val="HideTWBExt"/>
        </w:rPr>
        <w:t>&lt;/NumAm&gt;</w:t>
      </w:r>
    </w:p>
    <w:p>
      <w:pPr>
        <w:pStyle w:val="NormalBold"/>
      </w:pPr>
      <w:r>
        <w:rPr>
          <w:rStyle w:val="HideTWBExt"/>
          <w:b w:val="0"/>
        </w:rPr>
        <w:t>&lt;RepeatBlock-By&gt;</w:t>
      </w:r>
      <w:r>
        <w:rPr>
          <w:rStyle w:val="HideTWBExt"/>
          <w:b w:val="0"/>
        </w:rPr>
        <w:t>&lt;Members&gt;</w:t>
      </w:r>
      <w:r>
        <w:t>Siegbert Frank Droese, Volker Schnurrbusch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Muestra su profunda preocupación ante las informaciones sobre pesca INDNR de terceros países en aguas del Mediterráneo, incluyendo las zonas económicas exclusivas de Estados miembros; subraya la necesidad de </w:t>
            </w:r>
            <w:r>
              <w:rPr>
                <w:b/>
                <w:i/>
              </w:rPr>
              <w:t>crear una Oficina</w:t>
            </w:r>
            <w:r>
              <w:t xml:space="preserve"> Europea de Control de </w:t>
            </w:r>
            <w:r>
              <w:rPr>
                <w:b/>
                <w:i/>
              </w:rPr>
              <w:t>las Importaciones</w:t>
            </w:r>
            <w:r>
              <w:t xml:space="preserve"> a fin de evitar la entrada en el mercado interior de productos provenientes de pesca INDNR;</w:t>
            </w:r>
          </w:p>
        </w:tc>
        <w:tc>
          <w:tcPr>
            <w:tcW w:w="4876" w:type="dxa"/>
            <w:tcBorders>
              <w:top w:val="nil"/>
              <w:left w:val="nil"/>
              <w:bottom w:val="nil"/>
              <w:right w:val="nil"/>
            </w:tcBorders>
          </w:tcPr>
          <w:p>
            <w:pPr>
              <w:pStyle w:val="Normal6a"/>
            </w:pPr>
            <w:r>
              <w:t>6.</w:t>
            </w:r>
            <w:r>
              <w:tab/>
            </w:r>
            <w:r>
              <w:t xml:space="preserve">Muestra su profunda preocupación ante las informaciones sobre pesca INDNR de terceros países en aguas del Mediterráneo, incluyendo las zonas económicas exclusivas de Estados miembros; subraya la necesidad de </w:t>
            </w:r>
            <w:r>
              <w:rPr>
                <w:b/>
                <w:i/>
              </w:rPr>
              <w:t>reforzar los controles de las importaciones efectuados por los Estados miembros y de reforzar la coordinación entre las autoridades nacionales de control y la Agencia</w:t>
            </w:r>
            <w:r>
              <w:t xml:space="preserve"> Europea de Control de </w:t>
            </w:r>
            <w:r>
              <w:rPr>
                <w:b/>
                <w:i/>
              </w:rPr>
              <w:t>la Pesca, sobre la base de las estructuras existentes en lugar de crear un nuevo organismo de la Unión,</w:t>
            </w:r>
            <w:r>
              <w:t xml:space="preserve"> a fin de evitar la entrada en el mercado interior de productos provenientes de pesca INDNR;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193</w:t>
      </w:r>
      <w:r>
        <w:rPr>
          <w:rStyle w:val="HideTWBExt"/>
        </w:rPr>
        <w:t>&lt;/NumAm&gt;</w:t>
      </w:r>
    </w:p>
    <w:p>
      <w:pPr>
        <w:pStyle w:val="NormalBold"/>
      </w:pPr>
      <w:r>
        <w:rPr>
          <w:rStyle w:val="HideTWBExt"/>
          <w:b w:val="0"/>
        </w:rPr>
        <w:t>&lt;RepeatBlock-By&gt;</w:t>
      </w:r>
      <w:r>
        <w:rPr>
          <w:rStyle w:val="HideTWBExt"/>
          <w:b w:val="0"/>
        </w:rPr>
        <w:t>&lt;Members&gt;</w:t>
      </w:r>
      <w:r>
        <w:t>Eric Sargiacomo, Nicolás González Casares, Giuseppe Lupo, Sakis Arnaoutoglou, Idoia Mendia, Claire Fita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Muestra su profunda preocupación ante las informaciones sobre pesca INDNR de terceros países en aguas del Mediterráneo, incluyendo las zonas económicas exclusivas de Estados miembros; subraya la necesidad de crear una Oficina Europea de Control de las Importaciones a fin de evitar la entrada en el mercado interior de productos provenientes de pesca INDNR;</w:t>
            </w:r>
          </w:p>
        </w:tc>
        <w:tc>
          <w:tcPr>
            <w:tcW w:w="4876" w:type="dxa"/>
            <w:tcBorders>
              <w:top w:val="nil"/>
              <w:left w:val="nil"/>
              <w:bottom w:val="nil"/>
              <w:right w:val="nil"/>
            </w:tcBorders>
          </w:tcPr>
          <w:p>
            <w:pPr>
              <w:pStyle w:val="Normal6a"/>
            </w:pPr>
            <w:r>
              <w:t>6.</w:t>
            </w:r>
            <w:r>
              <w:tab/>
            </w:r>
            <w:r>
              <w:t>Muestra su profunda preocupación ante las informaciones sobre pesca INDNR de terceros países en aguas del Mediterráneo, incluyendo las zonas económicas exclusivas de Estados miembros; subraya la necesidad de crear una Oficina Europea de Control de las Importaciones a fin de evitar la entrada en el mercado interior de productos provenientes de pesca INDNR</w:t>
            </w:r>
            <w:r>
              <w:rPr>
                <w:b/>
                <w:i/>
              </w:rPr>
              <w:t> y de reforzar la cooperación en materia de controles entre la AECP, los Estados miembros y las autoridades de terceros países</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194</w:t>
      </w:r>
      <w:r>
        <w:rPr>
          <w:rStyle w:val="HideTWBExt"/>
        </w:rPr>
        <w:t>&lt;/NumAm&gt;</w:t>
      </w:r>
    </w:p>
    <w:p>
      <w:pPr>
        <w:pStyle w:val="NormalBold"/>
      </w:pPr>
      <w:r>
        <w:rPr>
          <w:rStyle w:val="HideTWBExt"/>
          <w:b w:val="0"/>
        </w:rPr>
        <w:t>&lt;RepeatBlock-By&gt;</w:t>
      </w:r>
      <w:r>
        <w:rPr>
          <w:rStyle w:val="HideTWBExt"/>
          <w:b w:val="0"/>
        </w:rPr>
        <w:t>&lt;Members&gt;</w:t>
      </w:r>
      <w:r>
        <w:t>Fredis Beleris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Muestra su profunda preocupación ante las informaciones sobre pesca INDNR de terceros países en aguas del Mediterráneo, incluyendo las zonas económicas exclusivas de Estados miembros; subraya la necesidad de crear una Oficina Europea de Control de las Importaciones a fin de evitar la entrada en el mercado interior de productos provenientes de pesca INDNR;</w:t>
            </w:r>
          </w:p>
        </w:tc>
        <w:tc>
          <w:tcPr>
            <w:tcW w:w="4876" w:type="dxa"/>
            <w:tcBorders>
              <w:top w:val="nil"/>
              <w:left w:val="nil"/>
              <w:bottom w:val="nil"/>
              <w:right w:val="nil"/>
            </w:tcBorders>
          </w:tcPr>
          <w:p>
            <w:pPr>
              <w:pStyle w:val="Normal6a"/>
            </w:pPr>
            <w:r>
              <w:t>6.</w:t>
            </w:r>
            <w:r>
              <w:tab/>
            </w:r>
            <w:r>
              <w:t xml:space="preserve">Muestra su profunda preocupación ante las informaciones sobre pesca INDNR </w:t>
            </w:r>
            <w:r>
              <w:rPr>
                <w:b/>
                <w:i/>
              </w:rPr>
              <w:t>y las violaciones persistentes por parte</w:t>
            </w:r>
            <w:r>
              <w:t xml:space="preserve"> de terceros países en aguas del Mediterráneo, incluyendo las zonas económicas exclusivas de Estados miembros; subraya la necesidad de crear una Oficina Europea de Control de las Importaciones a fin de evitar la entrada en el mercado interior de productos provenientes de pesca INDNR;</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195</w:t>
      </w:r>
      <w:r>
        <w:rPr>
          <w:rStyle w:val="HideTWBExt"/>
        </w:rPr>
        <w:t>&lt;/NumAm&gt;</w:t>
      </w:r>
    </w:p>
    <w:p>
      <w:pPr>
        <w:pStyle w:val="NormalBold"/>
      </w:pPr>
      <w:r>
        <w:rPr>
          <w:rStyle w:val="HideTWBExt"/>
          <w:b w:val="0"/>
        </w:rPr>
        <w:t>&lt;RepeatBlock-By&gt;</w:t>
      </w:r>
      <w:r>
        <w:rPr>
          <w:rStyle w:val="HideTWBExt"/>
          <w:b w:val="0"/>
        </w:rPr>
        <w:t>&lt;Members&gt;</w:t>
      </w:r>
      <w:r>
        <w:t>Siegbert Frank Droese, Volker Schnurrbusch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6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 bis.</w:t>
            </w:r>
            <w:r>
              <w:tab/>
            </w:r>
            <w:r>
              <w:rPr>
                <w:b/>
                <w:i/>
              </w:rPr>
              <w:t>Destaca que los productos de la pesca y la acuicultura importados de terceros países deben cumplir normas medioambientales, sanitarias, sociales y de sostenibilidad equivalentes a las impuestas a los productores de la Unión;</w:t>
            </w:r>
            <w:r>
              <w:t xml:space="preserve"> </w:t>
            </w:r>
            <w:r>
              <w:rPr>
                <w:b/>
                <w:i/>
              </w:rPr>
              <w:t>pide a la Comisión que garantice una auténtica reciprocidad en el acceso al mercado y que refuerce los controles de las importaciones en consecuencia, de modo que los pescadores de la Unión no se vean en una situación de desventaja competitiva por las importaciones producidas con arreglo a normas menos estrictas;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196</w:t>
      </w:r>
      <w:r>
        <w:rPr>
          <w:rStyle w:val="HideTWBExt"/>
        </w:rPr>
        <w:t>&lt;/NumAm&gt;</w:t>
      </w:r>
    </w:p>
    <w:p>
      <w:pPr>
        <w:pStyle w:val="NormalBold"/>
      </w:pPr>
      <w:r>
        <w:rPr>
          <w:rStyle w:val="HideTWBExt"/>
          <w:b w:val="0"/>
        </w:rPr>
        <w:t>&lt;RepeatBlock-By&gt;</w:t>
      </w:r>
      <w:r>
        <w:rPr>
          <w:rStyle w:val="HideTWBExt"/>
          <w:b w:val="0"/>
        </w:rPr>
        <w:t>&lt;Members&gt;</w:t>
      </w:r>
      <w:r>
        <w:t>Nora Junco García, Kristoffer Storm, Stephen Nikola Bartulica, Sander Smit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6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 bis.</w:t>
            </w:r>
            <w:r>
              <w:tab/>
            </w:r>
            <w:r>
              <w:rPr>
                <w:b/>
                <w:i/>
              </w:rPr>
              <w:t>Pide asimismo que se establezca un régimen sancionador disuasorio aplicable a los importadores y operadores del mercado interior que introduzcan o comercialicen productos de la pesca INDNR, con independencia de las sanciones ya aplicables a los buques implicados;</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197</w:t>
      </w:r>
      <w:r>
        <w:rPr>
          <w:rStyle w:val="HideTWBExt"/>
        </w:rPr>
        <w:t>&lt;/NumAm&gt;</w:t>
      </w:r>
    </w:p>
    <w:p>
      <w:pPr>
        <w:pStyle w:val="NormalBold"/>
      </w:pPr>
      <w:r>
        <w:rPr>
          <w:rStyle w:val="HideTWBExt"/>
          <w:b w:val="0"/>
        </w:rPr>
        <w:t>&lt;RepeatBlock-By&gt;</w:t>
      </w:r>
      <w:r>
        <w:rPr>
          <w:rStyle w:val="HideTWBExt"/>
          <w:b w:val="0"/>
        </w:rPr>
        <w:t>&lt;Members&gt;</w:t>
      </w:r>
      <w:r>
        <w:t>Eric Sargiacomo, Nicolás González Casares, Giuseppe Lupo, Sakis Arnaoutoglou, Idoia Mendia, Claire Fita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Insta a la Comisión a que refuerce la cooperación regional integrando el plan plurianual del Mediterráneo occidental en el marco más amplio de la política de vecindad de la Unión; da la bienvenida a los objetivos del Pacto por el Mediterráneo orientados a reforzar la cooperación en materia de gobernanza pesquera, control, inspección, seguimiento y vigilancia frente a la pesca INDNR;</w:t>
            </w:r>
          </w:p>
        </w:tc>
        <w:tc>
          <w:tcPr>
            <w:tcW w:w="4876" w:type="dxa"/>
            <w:tcBorders>
              <w:top w:val="nil"/>
              <w:left w:val="nil"/>
              <w:bottom w:val="nil"/>
              <w:right w:val="nil"/>
            </w:tcBorders>
          </w:tcPr>
          <w:p>
            <w:pPr>
              <w:pStyle w:val="Normal6a"/>
            </w:pPr>
            <w:r>
              <w:t>7.</w:t>
            </w:r>
            <w:r>
              <w:tab/>
            </w:r>
            <w:r>
              <w:t xml:space="preserve">Insta a la Comisión a que refuerce la cooperación regional integrando el plan plurianual del Mediterráneo occidental en el marco más amplio de la política de vecindad de la Unión; da la bienvenida a los objetivos del Pacto por el Mediterráneo orientados a reforzar la cooperación en materia de gobernanza pesquera, control, inspección, seguimiento y vigilancia frente a la pesca INDNR; </w:t>
            </w:r>
            <w:r>
              <w:rPr>
                <w:b/>
                <w:i/>
              </w:rPr>
              <w:t>destaca asimismo la necesidad de mejorar la convergencia de las reglas de gestión y las normas de control entre los países que bordean el Mediterráneo con el fin de garantizar la igualdad de condiciones y preservar la eficacia de las medidas de conservación;</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198</w:t>
      </w:r>
      <w:r>
        <w:rPr>
          <w:rStyle w:val="HideTWBExt"/>
        </w:rPr>
        <w:t>&lt;/NumAm&gt;</w:t>
      </w:r>
    </w:p>
    <w:p>
      <w:pPr>
        <w:pStyle w:val="NormalBold"/>
      </w:pPr>
      <w:r>
        <w:rPr>
          <w:rStyle w:val="HideTWBExt"/>
          <w:b w:val="0"/>
        </w:rPr>
        <w:t>&lt;RepeatBlock-By&gt;</w:t>
      </w:r>
      <w:r>
        <w:rPr>
          <w:rStyle w:val="HideTWBExt"/>
          <w:b w:val="0"/>
        </w:rPr>
        <w:t>&lt;Members&gt;</w:t>
      </w:r>
      <w:r>
        <w:t>Carmen Crespo Díaz, Isabelle Le Callennec, Paulo do Nascimento Cabral, Susana Solís Pérez, Francisco José Millán Mon, Fredis Beleris, Marco Falcone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Insta a la Comisión a que refuerce la cooperación regional integrando el plan plurianual del Mediterráneo occidental en el marco más amplio de la política de vecindad de la Unión; da la bienvenida a los objetivos del Pacto por el Mediterráneo orientados a reforzar la cooperación en materia de gobernanza pesquera, control, inspección, seguimiento y vigilancia frente a la pesca INDNR;</w:t>
            </w:r>
          </w:p>
        </w:tc>
        <w:tc>
          <w:tcPr>
            <w:tcW w:w="4876" w:type="dxa"/>
            <w:tcBorders>
              <w:top w:val="nil"/>
              <w:left w:val="nil"/>
              <w:bottom w:val="nil"/>
              <w:right w:val="nil"/>
            </w:tcBorders>
          </w:tcPr>
          <w:p>
            <w:pPr>
              <w:pStyle w:val="Normal6a"/>
            </w:pPr>
            <w:r>
              <w:t>7.</w:t>
            </w:r>
            <w:r>
              <w:tab/>
            </w:r>
            <w:r>
              <w:t xml:space="preserve">Insta a la Comisión a que refuerce la cooperación regional integrando el plan plurianual del Mediterráneo occidental en el marco más amplio de la política de vecindad de la Unión; da la bienvenida a los objetivos del Pacto por el Mediterráneo orientados a reforzar la cooperación en materia de gobernanza pesquera, </w:t>
            </w:r>
            <w:r>
              <w:rPr>
                <w:b/>
                <w:i/>
              </w:rPr>
              <w:t>el cumplimiento de las normas internacionales y mayores capacidades de</w:t>
            </w:r>
            <w:r>
              <w:t xml:space="preserve"> control, inspección, seguimiento y vigilancia frente a la pesca INDNR; </w:t>
            </w:r>
            <w:r>
              <w:rPr>
                <w:b/>
                <w:i/>
              </w:rPr>
              <w:t>pide a la Comisión que garantice la aplicación efectiva de estos compromisos y que sitúe la pesca entre las prioridades de la cooperación euromediterránea;</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199</w:t>
      </w:r>
      <w:r>
        <w:rPr>
          <w:rStyle w:val="HideTWBExt"/>
        </w:rPr>
        <w:t>&lt;/NumAm&gt;</w:t>
      </w:r>
    </w:p>
    <w:p>
      <w:pPr>
        <w:pStyle w:val="NormalBold"/>
      </w:pPr>
      <w:r>
        <w:rPr>
          <w:rStyle w:val="HideTWBExt"/>
          <w:b w:val="0"/>
        </w:rPr>
        <w:t>&lt;RepeatBlock-By&gt;</w:t>
      </w:r>
      <w:r>
        <w:rPr>
          <w:rStyle w:val="HideTWBExt"/>
          <w:b w:val="0"/>
        </w:rPr>
        <w:t>&lt;Members&gt;</w:t>
      </w:r>
      <w:r>
        <w:t>Nicolás González Casares, Leire Pajín, Alicia Homs Ginel, Sandra Gómez López, Javi López, Laura Ballarín Cereza, Marcos Ros Sempere, Idoia Mendia, Lina Gálvez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Insta a la Comisión a que refuerce la cooperación regional integrando el plan plurianual del Mediterráneo occidental en el marco más amplio de la política de vecindad de la Unión; da la bienvenida a los objetivos del Pacto por el Mediterráneo orientados a reforzar la cooperación en materia de gobernanza pesquera, control, inspección, seguimiento y vigilancia frente a la pesca INDNR;</w:t>
            </w:r>
          </w:p>
        </w:tc>
        <w:tc>
          <w:tcPr>
            <w:tcW w:w="4876" w:type="dxa"/>
            <w:tcBorders>
              <w:top w:val="nil"/>
              <w:left w:val="nil"/>
              <w:bottom w:val="nil"/>
              <w:right w:val="nil"/>
            </w:tcBorders>
          </w:tcPr>
          <w:p>
            <w:pPr>
              <w:pStyle w:val="Normal6a"/>
            </w:pPr>
            <w:r>
              <w:t>7.</w:t>
            </w:r>
            <w:r>
              <w:tab/>
            </w:r>
            <w:r>
              <w:t xml:space="preserve">Insta a la Comisión a que refuerce la cooperación regional </w:t>
            </w:r>
            <w:r>
              <w:rPr>
                <w:b/>
                <w:i/>
              </w:rPr>
              <w:t>para avanzar en una mejor gobernanza y garantizar unas condiciones de competencia equitativas con terceros países,</w:t>
            </w:r>
            <w:r>
              <w:t xml:space="preserve"> integrando el plan plurianual del Mediterráneo occidental en el marco más amplio de la política de vecindad de la Unión; da la bienvenida a los objetivos del Pacto por el Mediterráneo orientados a reforzar la cooperación en materia de gobernanza pesquera, control, inspección, seguimiento y vigilancia frente a la pesca INDNR;</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200</w:t>
      </w:r>
      <w:r>
        <w:rPr>
          <w:rStyle w:val="HideTWBExt"/>
        </w:rPr>
        <w:t>&lt;/NumAm&gt;</w:t>
      </w:r>
    </w:p>
    <w:p>
      <w:pPr>
        <w:pStyle w:val="NormalBold"/>
      </w:pPr>
      <w:r>
        <w:rPr>
          <w:rStyle w:val="HideTWBExt"/>
          <w:b w:val="0"/>
        </w:rPr>
        <w:t>&lt;RepeatBlock-By&gt;</w:t>
      </w:r>
      <w:r>
        <w:rPr>
          <w:rStyle w:val="HideTWBExt"/>
          <w:b w:val="0"/>
        </w:rPr>
        <w:t>&lt;Members&gt;</w:t>
      </w:r>
      <w:r>
        <w:t>France Jamet, António Tânger Corrêa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 xml:space="preserve">Insta a la Comisión a que </w:t>
            </w:r>
            <w:r>
              <w:rPr>
                <w:b/>
                <w:i/>
              </w:rPr>
              <w:t>refuerce</w:t>
            </w:r>
            <w:r>
              <w:t xml:space="preserve"> la cooperación regional integrando el plan plurianual del Mediterráneo occidental en el marco más amplio de la política de vecindad de la Unión</w:t>
            </w:r>
            <w:r>
              <w:rPr>
                <w:b/>
                <w:i/>
              </w:rPr>
              <w:t>;</w:t>
            </w:r>
            <w:r>
              <w:t xml:space="preserve"> </w:t>
            </w:r>
            <w:r>
              <w:rPr>
                <w:b/>
                <w:i/>
              </w:rPr>
              <w:t>da la bienvenida a los objetivos del Pacto</w:t>
            </w:r>
            <w:r>
              <w:t xml:space="preserve"> por el Mediterráneo </w:t>
            </w:r>
            <w:r>
              <w:rPr>
                <w:b/>
                <w:i/>
              </w:rPr>
              <w:t>orientados a</w:t>
            </w:r>
            <w:r>
              <w:t xml:space="preserve"> reforzar la cooperación en materia de gobernanza pesquera, control, inspección, seguimiento y vigilancia frente a la pesca </w:t>
            </w:r>
            <w:r>
              <w:rPr>
                <w:b/>
                <w:i/>
              </w:rPr>
              <w:t>INDNR</w:t>
            </w:r>
            <w:r>
              <w:t>;</w:t>
            </w:r>
          </w:p>
        </w:tc>
        <w:tc>
          <w:tcPr>
            <w:tcW w:w="4876" w:type="dxa"/>
            <w:tcBorders>
              <w:top w:val="nil"/>
              <w:left w:val="nil"/>
              <w:bottom w:val="nil"/>
              <w:right w:val="nil"/>
            </w:tcBorders>
          </w:tcPr>
          <w:p>
            <w:pPr>
              <w:pStyle w:val="Normal6a"/>
            </w:pPr>
            <w:r>
              <w:t>7.</w:t>
            </w:r>
            <w:r>
              <w:tab/>
            </w:r>
            <w:r>
              <w:t xml:space="preserve">Insta a la Comisión </w:t>
            </w:r>
            <w:r>
              <w:rPr>
                <w:b/>
                <w:i/>
              </w:rPr>
              <w:t>y a los Estados Miembros</w:t>
            </w:r>
            <w:r>
              <w:t xml:space="preserve"> a que </w:t>
            </w:r>
            <w:r>
              <w:rPr>
                <w:b/>
                <w:i/>
              </w:rPr>
              <w:t>refuercen</w:t>
            </w:r>
            <w:r>
              <w:t xml:space="preserve"> la cooperación regional integrando el plan plurianual del Mediterráneo occidental en el marco más amplio de la política de vecindad de la Unión</w:t>
            </w:r>
            <w:r>
              <w:rPr>
                <w:b/>
                <w:i/>
              </w:rPr>
              <w:t>, en particular a través de la Unión</w:t>
            </w:r>
            <w:r>
              <w:t xml:space="preserve"> por el Mediterráneo</w:t>
            </w:r>
            <w:r>
              <w:rPr>
                <w:b/>
                <w:i/>
              </w:rPr>
              <w:t>,</w:t>
            </w:r>
            <w:r>
              <w:t xml:space="preserve"> </w:t>
            </w:r>
            <w:r>
              <w:rPr>
                <w:b/>
                <w:i/>
              </w:rPr>
              <w:t>para</w:t>
            </w:r>
            <w:r>
              <w:t xml:space="preserve"> reforzar la cooperación en materia de gobernanza pesquera, control, inspección, seguimiento y vigilancia frente a la pesca </w:t>
            </w:r>
            <w:r>
              <w:rPr>
                <w:b/>
                <w:i/>
              </w:rPr>
              <w:t>INDNRR, así como cualquier otra actividad perjudicial para los pescadores</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201</w:t>
      </w:r>
      <w:r>
        <w:rPr>
          <w:rStyle w:val="HideTWBExt"/>
        </w:rPr>
        <w:t>&lt;/NumAm&gt;</w:t>
      </w:r>
    </w:p>
    <w:p>
      <w:pPr>
        <w:pStyle w:val="NormalBold"/>
      </w:pPr>
      <w:r>
        <w:rPr>
          <w:rStyle w:val="HideTWBExt"/>
          <w:b w:val="0"/>
        </w:rPr>
        <w:t>&lt;RepeatBlock-By&gt;</w:t>
      </w:r>
      <w:r>
        <w:rPr>
          <w:rStyle w:val="HideTWBExt"/>
          <w:b w:val="0"/>
        </w:rPr>
        <w:t>&lt;Members&gt;</w:t>
      </w:r>
      <w:r>
        <w:t>Sebastian Everding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7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 bis.</w:t>
            </w:r>
            <w:r>
              <w:tab/>
            </w:r>
            <w:r>
              <w:rPr>
                <w:b/>
                <w:i/>
              </w:rPr>
              <w:t>Recuerda que las zonas restringidas de pesca adoptadas en el marco de la CGPM, cuando tienen un nivel suficiente de protección, minimizan las capturas accidentales, protegen las zonas de desove y cría de peces y los juveniles, y reducen los efectos en los hábitats sensibles, en particular el fondo marino, contribuyendo a la recuperación de las poblaciones de peces;</w:t>
            </w:r>
            <w:r>
              <w:t xml:space="preserve"> </w:t>
            </w:r>
            <w:r>
              <w:rPr>
                <w:b/>
                <w:i/>
              </w:rPr>
              <w:t>pide, por tanto, a la Comisión y a los Estados miembros que trabajen en el seno de la CGPM para aumentar la red de zonas de regulación de la pesca y mejorar su nivel de protección, cuando sea necesario;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202</w:t>
      </w:r>
      <w:r>
        <w:rPr>
          <w:rStyle w:val="HideTWBExt"/>
        </w:rPr>
        <w:t>&lt;/NumAm&gt;</w:t>
      </w:r>
    </w:p>
    <w:p>
      <w:pPr>
        <w:pStyle w:val="NormalBold"/>
      </w:pPr>
      <w:r>
        <w:rPr>
          <w:rStyle w:val="HideTWBExt"/>
          <w:b w:val="0"/>
        </w:rPr>
        <w:t>&lt;RepeatBlock-By&gt;</w:t>
      </w:r>
      <w:r>
        <w:rPr>
          <w:rStyle w:val="HideTWBExt"/>
          <w:b w:val="0"/>
        </w:rPr>
        <w:t>&lt;Members&gt;</w:t>
      </w:r>
      <w:r>
        <w:t>Carmen Crespo Díaz, Isabelle Le Callennec, Paulo do Nascimento Cabral, Susana Solís Pérez, Francisco José Millán Mon, Fredis Beleris, Marco Falcone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7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 bis.</w:t>
            </w:r>
            <w:r>
              <w:tab/>
            </w:r>
            <w:r>
              <w:rPr>
                <w:b/>
                <w:i/>
              </w:rPr>
              <w:t>Recuerda que las futuras medidas de gestión espacial y las zonas marinas protegidas deberán adoptarse caso por caso, sobre la base del mejor conocimiento científico disponible, evaluaciones específicas del impacto pesquero y consultas con las partes interesadas, garantizando un acceso justo a los caladeros y evitando restricciones desproporcionadas incompatibles con los objetivos de la PPC</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203</w:t>
      </w:r>
      <w:r>
        <w:rPr>
          <w:rStyle w:val="HideTWBExt"/>
        </w:rPr>
        <w:t>&lt;/NumAm&gt;</w:t>
      </w:r>
    </w:p>
    <w:p>
      <w:pPr>
        <w:pStyle w:val="NormalBold"/>
      </w:pPr>
      <w:r>
        <w:rPr>
          <w:rStyle w:val="HideTWBExt"/>
          <w:b w:val="0"/>
        </w:rPr>
        <w:t>&lt;RepeatBlock-By&gt;</w:t>
      </w:r>
      <w:r>
        <w:rPr>
          <w:rStyle w:val="HideTWBExt"/>
          <w:b w:val="0"/>
        </w:rPr>
        <w:t>&lt;Members&gt;</w:t>
      </w:r>
      <w:r>
        <w:t>Mélissa Camara</w:t>
      </w:r>
      <w:r>
        <w:rPr>
          <w:rStyle w:val="HideTWBExt"/>
          <w:b w:val="0"/>
        </w:rPr>
        <w:t>&lt;/Members&gt;</w:t>
      </w:r>
    </w:p>
    <w:p>
      <w:r>
        <w:rPr>
          <w:rStyle w:val="HideTWBExt"/>
          <w:b w:val="0"/>
        </w:rPr>
        <w:t>&lt;AuNomDe&gt;</w:t>
      </w:r>
      <w:r>
        <w:rPr>
          <w:rStyle w:val="HideTWBInt"/>
        </w:rPr>
        <w:t>{Verts/ALE}</w:t>
      </w:r>
      <w:r>
        <w:t>en nombre del Grupo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7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 bis.</w:t>
            </w:r>
            <w:r>
              <w:tab/>
            </w:r>
            <w:r>
              <w:rPr>
                <w:b/>
                <w:i/>
              </w:rPr>
              <w:t>Pide a los Estados miembros que garanticen la aplicación plena y efectiva del Reglamento de control de la pesca de la Unión, incluidas disposiciones que aborden la notificación incorrecta de las capturas y refuercen la exactitud y fiabilidad de la notificación de las capturas de las poblaciones en el marco del plan plurianual para el Mediterráneo occidental;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204</w:t>
      </w:r>
      <w:r>
        <w:rPr>
          <w:rStyle w:val="HideTWBExt"/>
        </w:rPr>
        <w:t>&lt;/NumAm&gt;</w:t>
      </w:r>
    </w:p>
    <w:p>
      <w:pPr>
        <w:pStyle w:val="NormalBold"/>
      </w:pPr>
      <w:r>
        <w:rPr>
          <w:rStyle w:val="HideTWBExt"/>
          <w:b w:val="0"/>
        </w:rPr>
        <w:t>&lt;RepeatBlock-By&gt;</w:t>
      </w:r>
      <w:r>
        <w:rPr>
          <w:rStyle w:val="HideTWBExt"/>
          <w:b w:val="0"/>
        </w:rPr>
        <w:t>&lt;Members&gt;</w:t>
      </w:r>
      <w:r>
        <w:t>Nicolás González Casares, Leire Pajín, Alicia Homs Ginel, Sandra Gómez López, Javi López, Laura Ballarín Cereza, Marcos Ros Sempere, Idoia Mendia, Lina Gálvez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7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 bis.</w:t>
            </w:r>
            <w:r>
              <w:tab/>
            </w:r>
            <w:r>
              <w:rPr>
                <w:b/>
                <w:i/>
              </w:rPr>
              <w:t>Pide a la Comisión que se fortalezca la cooperación a nivel local mediante el diálogo directo con las autoridades costeras y las cofradías de pescadores del Mediterráneo, que son actores clave en la gestión sostenible de los recursos y en la aplicación de las medidas de conservación sobre el terreno;</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205</w:t>
      </w:r>
      <w:r>
        <w:rPr>
          <w:rStyle w:val="HideTWBExt"/>
        </w:rPr>
        <w:t>&lt;/NumAm&gt;</w:t>
      </w:r>
    </w:p>
    <w:p>
      <w:pPr>
        <w:pStyle w:val="NormalBold"/>
      </w:pPr>
      <w:r>
        <w:rPr>
          <w:rStyle w:val="HideTWBExt"/>
          <w:b w:val="0"/>
        </w:rPr>
        <w:t>&lt;RepeatBlock-By&gt;</w:t>
      </w:r>
      <w:r>
        <w:rPr>
          <w:rStyle w:val="HideTWBExt"/>
          <w:b w:val="0"/>
        </w:rPr>
        <w:t>&lt;Members&gt;</w:t>
      </w:r>
      <w:r>
        <w:t>Carmen Crespo Díaz, Isabelle Le Callennec, Paulo do Nascimento Cabral, Susana Solís Pérez, Francisco José Millán Mon, Fredis Beleris, Marco Falcone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7 ter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 ter.</w:t>
            </w:r>
            <w:r>
              <w:tab/>
            </w:r>
            <w:r>
              <w:rPr>
                <w:b/>
                <w:i/>
              </w:rPr>
              <w:t>Pide a la Comisión que establezca un marco específico de apoyo financiero para la retirada, gestión y valorización de las especies exóticas invasoras que afectan a la actividad pesquera, fomentando su aprovechamiento mediante soluciones basadas en la economía circular;</w:t>
            </w:r>
            <w:r>
              <w:t xml:space="preserve"> </w:t>
            </w:r>
            <w:r>
              <w:rPr>
                <w:b/>
                <w:i/>
              </w:rPr>
              <w:t>reconoce, en particular, el papel de los pescadores como colaboradores activos en la limpieza y restauración del medio marino mediante la retirada de especies como el alga asiática (Rugulopteryx okamurae), y pide que se compensen adecuadamente los costes derivados de estas actuaciones.</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206</w:t>
      </w:r>
      <w:r>
        <w:rPr>
          <w:rStyle w:val="HideTWBExt"/>
        </w:rPr>
        <w:t>&lt;/NumAm&gt;</w:t>
      </w:r>
    </w:p>
    <w:p>
      <w:pPr>
        <w:pStyle w:val="NormalBold"/>
      </w:pPr>
      <w:r>
        <w:rPr>
          <w:rStyle w:val="HideTWBExt"/>
          <w:b w:val="0"/>
        </w:rPr>
        <w:t>&lt;RepeatBlock-By&gt;</w:t>
      </w:r>
      <w:r>
        <w:rPr>
          <w:rStyle w:val="HideTWBExt"/>
          <w:b w:val="0"/>
        </w:rPr>
        <w:t>&lt;Members&gt;</w:t>
      </w:r>
      <w:r>
        <w:t>Carmen Crespo Díaz, Isabelle Le Callennec, Paulo do Nascimento Cabral, Susana Solís Pérez, Francisco José Millán Mon, Fredis Beleris, Marco Falcone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7 quater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 quater.</w:t>
            </w:r>
            <w:r>
              <w:tab/>
            </w:r>
            <w:r>
              <w:rPr>
                <w:b/>
                <w:i/>
              </w:rPr>
              <w:t>Pide a la Comisión que adopte un enfoque verdaderamente holístico en la gestión del Mediterráneo occidental, integrando todas las presiones que afectan al ecosistema marino y no únicamente la actividad pesquera;</w:t>
            </w:r>
            <w:r>
              <w:t xml:space="preserve"> </w:t>
            </w:r>
            <w:r>
              <w:rPr>
                <w:b/>
                <w:i/>
              </w:rPr>
              <w:t>subraya, en particular, el impacto del cambio climático, el aumento de la contaminación marina (incluidos los residuos plásticos que son retirados del mar de forma habitual por los propios pescadores sin compensación alguna) y la proliferación de especies exóticas invasoras, factores que deben incorporarse plenamente en la evaluación y gestión del plan;</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207</w:t>
      </w:r>
      <w:r>
        <w:rPr>
          <w:rStyle w:val="HideTWBExt"/>
        </w:rPr>
        <w:t>&lt;/NumAm&gt;</w:t>
      </w:r>
    </w:p>
    <w:p>
      <w:pPr>
        <w:pStyle w:val="NormalBold"/>
      </w:pPr>
      <w:r>
        <w:rPr>
          <w:rStyle w:val="HideTWBExt"/>
          <w:b w:val="0"/>
        </w:rPr>
        <w:t>&lt;RepeatBlock-By&gt;</w:t>
      </w:r>
      <w:r>
        <w:rPr>
          <w:rStyle w:val="HideTWBExt"/>
          <w:b w:val="0"/>
        </w:rPr>
        <w:t>&lt;Members&gt;</w:t>
      </w:r>
      <w:r>
        <w:t>Mélissa Camara</w:t>
      </w:r>
      <w:r>
        <w:rPr>
          <w:rStyle w:val="HideTWBExt"/>
          <w:b w:val="0"/>
        </w:rPr>
        <w:t>&lt;/Members&gt;</w:t>
      </w:r>
    </w:p>
    <w:p>
      <w:r>
        <w:rPr>
          <w:rStyle w:val="HideTWBExt"/>
          <w:b w:val="0"/>
        </w:rPr>
        <w:t>&lt;AuNomDe&gt;</w:t>
      </w:r>
      <w:r>
        <w:rPr>
          <w:rStyle w:val="HideTWBInt"/>
        </w:rPr>
        <w:t>{Verts/ALE}</w:t>
      </w:r>
      <w:r>
        <w:t>en nombre del Grupo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8.</w:t>
            </w:r>
            <w:r>
              <w:tab/>
            </w:r>
            <w:r>
              <w:rPr>
                <w:b/>
                <w:i/>
              </w:rPr>
              <w:t>Pide a la Comisión y a los Estados miembros que asignen un presupuesto delimitado de al menos 7 290 millones EUR para apoyar la modernización y renovación de la flota (incluidos los artes selectivos, los motores de bajas emisiones, el seguimiento digital), las paralizaciones temporales y los programas de diversificación económica;</w:t>
            </w:r>
          </w:p>
        </w:tc>
        <w:tc>
          <w:tcPr>
            <w:tcW w:w="4876" w:type="dxa"/>
            <w:tcBorders>
              <w:top w:val="nil"/>
              <w:left w:val="nil"/>
              <w:bottom w:val="nil"/>
              <w:right w:val="nil"/>
            </w:tcBorders>
          </w:tcPr>
          <w:p>
            <w:pPr>
              <w:pStyle w:val="Normal6a"/>
            </w:pPr>
            <w:r>
              <w:rPr>
                <w:b/>
                <w:i/>
              </w:rPr>
              <w:t>suprimido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208</w:t>
      </w:r>
      <w:r>
        <w:rPr>
          <w:rStyle w:val="HideTWBExt"/>
        </w:rPr>
        <w:t>&lt;/NumAm&gt;</w:t>
      </w:r>
    </w:p>
    <w:p>
      <w:pPr>
        <w:pStyle w:val="NormalBold"/>
      </w:pPr>
      <w:r>
        <w:rPr>
          <w:rStyle w:val="HideTWBExt"/>
          <w:b w:val="0"/>
        </w:rPr>
        <w:t>&lt;RepeatBlock-By&gt;</w:t>
      </w:r>
      <w:r>
        <w:rPr>
          <w:rStyle w:val="HideTWBExt"/>
          <w:b w:val="0"/>
        </w:rPr>
        <w:t>&lt;Members&gt;</w:t>
      </w:r>
      <w:r>
        <w:t>Nora Junco García, Kristoffer Storm, Stephen Nikola Bartulica, Sander Smit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Pide a la Comisión y a los Estados miembros que </w:t>
            </w:r>
            <w:r>
              <w:rPr>
                <w:b/>
                <w:i/>
              </w:rPr>
              <w:t>asignen un presupuesto delimitado de al menos 7 290 millones EUR para</w:t>
            </w:r>
            <w:r>
              <w:t xml:space="preserve"> apoyar la modernización y renovación de la flota </w:t>
            </w:r>
            <w:r>
              <w:rPr>
                <w:b/>
                <w:i/>
              </w:rPr>
              <w:t>(incluidos los artes selectivos, los motores de bajas emisiones, el seguimiento digital)</w:t>
            </w:r>
            <w:r>
              <w:t>, las paralizaciones temporales y los programas de diversificación económica;</w:t>
            </w:r>
          </w:p>
        </w:tc>
        <w:tc>
          <w:tcPr>
            <w:tcW w:w="4876" w:type="dxa"/>
            <w:tcBorders>
              <w:top w:val="nil"/>
              <w:left w:val="nil"/>
              <w:bottom w:val="nil"/>
              <w:right w:val="nil"/>
            </w:tcBorders>
          </w:tcPr>
          <w:p>
            <w:pPr>
              <w:pStyle w:val="Normal6a"/>
            </w:pPr>
            <w:r>
              <w:t>8.</w:t>
            </w:r>
            <w:r>
              <w:tab/>
            </w:r>
            <w:r>
              <w:t xml:space="preserve">Pide a la Comisión y a los Estados miembros que </w:t>
            </w:r>
            <w:r>
              <w:rPr>
                <w:b/>
                <w:i/>
              </w:rPr>
              <w:t>garanticen, dentro del próximo Fondo Europeo Marítimo, de Pesca y de Acuicultura correspondiente al marco financiero plurianual 2028-2034, una dotación presupuestaria específica y delimitada para el conjunto de la cuenca mediterránea occidental, revirtiendo la tendencia a la baja anunciada por la Comisión respecto de la dotación del fondo pesquero para el actual periodo 2021-2027;</w:t>
            </w:r>
            <w:r>
              <w:t xml:space="preserve"> </w:t>
            </w:r>
            <w:r>
              <w:rPr>
                <w:b/>
                <w:i/>
              </w:rPr>
              <w:t>insiste en que dicha dotación debe constituir una línea presupuestaria específica y no quedar diluida en fondos de finalidad genérica, a fin de</w:t>
            </w:r>
            <w:r>
              <w:t xml:space="preserve"> apoyar la modernización y renovación de la flota, las paralizaciones temporales y los programas de diversificación económica;</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209</w:t>
      </w:r>
      <w:r>
        <w:rPr>
          <w:rStyle w:val="HideTWBExt"/>
        </w:rPr>
        <w:t>&lt;/NumAm&gt;</w:t>
      </w:r>
    </w:p>
    <w:p>
      <w:pPr>
        <w:pStyle w:val="NormalBold"/>
      </w:pPr>
      <w:r>
        <w:rPr>
          <w:rStyle w:val="HideTWBExt"/>
          <w:b w:val="0"/>
        </w:rPr>
        <w:t>&lt;RepeatBlock-By&gt;</w:t>
      </w:r>
      <w:r>
        <w:rPr>
          <w:rStyle w:val="HideTWBExt"/>
          <w:b w:val="0"/>
        </w:rPr>
        <w:t>&lt;Members&gt;</w:t>
      </w:r>
      <w:r>
        <w:t>Carmen Crespo Díaz, Isabelle Le Callennec, Paulo do Nascimento Cabral, Susana Solís Pérez, Francisco José Millán Mon, Fredis Beleris, Marco Falcone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Pide a la Comisión y a los Estados miembros que asignen un presupuesto delimitado de al menos 7 290 millones EUR para apoyar la modernización y renovación de la flota (incluidos los artes selectivos, los motores de bajas emisiones</w:t>
            </w:r>
            <w:r>
              <w:rPr>
                <w:b/>
                <w:i/>
              </w:rPr>
              <w:t>,</w:t>
            </w:r>
            <w:r>
              <w:t xml:space="preserve"> el seguimiento digital), las paralizaciones temporales y los programas de diversificación económica;</w:t>
            </w:r>
          </w:p>
        </w:tc>
        <w:tc>
          <w:tcPr>
            <w:tcW w:w="4876" w:type="dxa"/>
            <w:tcBorders>
              <w:top w:val="nil"/>
              <w:left w:val="nil"/>
              <w:bottom w:val="nil"/>
              <w:right w:val="nil"/>
            </w:tcBorders>
          </w:tcPr>
          <w:p>
            <w:pPr>
              <w:pStyle w:val="Normal6a"/>
            </w:pPr>
            <w:r>
              <w:t>8.</w:t>
            </w:r>
            <w:r>
              <w:tab/>
            </w:r>
            <w:r>
              <w:t xml:space="preserve">Pide a la Comisión y a los Estados miembros que asignen un presupuesto delimitado de al menos 7 290 millones EUR </w:t>
            </w:r>
            <w:r>
              <w:rPr>
                <w:b/>
                <w:i/>
              </w:rPr>
              <w:t>en el próximo Marco Fiananciero Plurianual</w:t>
            </w:r>
            <w:r>
              <w:t xml:space="preserve"> para apoyar la modernización y renovación de la flota (incluidos los artes selectivos, los motores de bajas emisiones </w:t>
            </w:r>
            <w:r>
              <w:rPr>
                <w:b/>
                <w:i/>
              </w:rPr>
              <w:t>y</w:t>
            </w:r>
            <w:r>
              <w:t xml:space="preserve"> el seguimiento digital), las paralizaciones temporales</w:t>
            </w:r>
            <w:r>
              <w:rPr>
                <w:b/>
                <w:i/>
              </w:rPr>
              <w:t>, el relevo generacional, la mejora de la seguridad y de las condiciones de trabajo a bordo,</w:t>
            </w:r>
            <w:r>
              <w:t xml:space="preserve"> y los programas de diversificación económica</w:t>
            </w:r>
            <w:r>
              <w:rPr>
                <w:b/>
                <w:i/>
              </w:rPr>
              <w:t>, garantizando asimismo que el fondo sucesor del FEMPA sirva para impulsar la renovación, modernización, la descarbonización y la competitividad de la flota pesquera europea</w:t>
            </w:r>
            <w:r>
              <w:t>;</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210</w:t>
      </w:r>
      <w:r>
        <w:rPr>
          <w:rStyle w:val="HideTWBExt"/>
        </w:rPr>
        <w:t>&lt;/NumAm&gt;</w:t>
      </w:r>
    </w:p>
    <w:p>
      <w:pPr>
        <w:pStyle w:val="NormalBold"/>
      </w:pPr>
      <w:r>
        <w:rPr>
          <w:rStyle w:val="HideTWBExt"/>
          <w:b w:val="0"/>
        </w:rPr>
        <w:t>&lt;RepeatBlock-By&gt;</w:t>
      </w:r>
      <w:r>
        <w:rPr>
          <w:rStyle w:val="HideTWBExt"/>
          <w:b w:val="0"/>
        </w:rPr>
        <w:t>&lt;Members&gt;</w:t>
      </w:r>
      <w:r>
        <w:t>Sebastian Everding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Pide a la Comisión y a los Estados miembros que </w:t>
            </w:r>
            <w:r>
              <w:rPr>
                <w:b/>
                <w:i/>
              </w:rPr>
              <w:t>asignen un presupuesto delimitado de al menos 7 290 millones EUR para apoyar la modernización y renovación de la flota (incluidos los artes selectivos, los motores de bajas emisiones,</w:t>
            </w:r>
            <w:r>
              <w:t xml:space="preserve"> el seguimiento </w:t>
            </w:r>
            <w:r>
              <w:rPr>
                <w:b/>
                <w:i/>
              </w:rPr>
              <w:t>digital</w:t>
            </w:r>
            <w:r>
              <w:t>), las paralizaciones temporales y los programas de diversificación económica;</w:t>
            </w:r>
          </w:p>
        </w:tc>
        <w:tc>
          <w:tcPr>
            <w:tcW w:w="4876" w:type="dxa"/>
            <w:tcBorders>
              <w:top w:val="nil"/>
              <w:left w:val="nil"/>
              <w:bottom w:val="nil"/>
              <w:right w:val="nil"/>
            </w:tcBorders>
          </w:tcPr>
          <w:p>
            <w:pPr>
              <w:pStyle w:val="Normal6a"/>
            </w:pPr>
            <w:r>
              <w:t>8.</w:t>
            </w:r>
            <w:r>
              <w:tab/>
            </w:r>
            <w:r>
              <w:t xml:space="preserve">Pide a la Comisión y a los Estados miembros que </w:t>
            </w:r>
            <w:r>
              <w:rPr>
                <w:b/>
                <w:i/>
              </w:rPr>
              <w:t>proporcionen una financiación específica adecuada para una transición socialmente justa en las pesquerías mediterráneas (incluido</w:t>
            </w:r>
            <w:r>
              <w:t xml:space="preserve"> el seguimiento </w:t>
            </w:r>
            <w:r>
              <w:rPr>
                <w:b/>
                <w:i/>
              </w:rPr>
              <w:t>electrónico independiente, la recuperación y prevención de artes de pesca perdidos, la eficiencia energética, las tecnologías de emisión cero, la paralización temporal y definitiva cuando sea necesario, el reciclaje profesional, la diversificación de los ingresos y la restauración de los ecosistemas marinos</w:t>
            </w:r>
            <w:r>
              <w:t>), las paralizaciones temporales y los programas de diversificación económica;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211</w:t>
      </w:r>
      <w:r>
        <w:rPr>
          <w:rStyle w:val="HideTWBExt"/>
        </w:rPr>
        <w:t>&lt;/NumAm&gt;</w:t>
      </w:r>
    </w:p>
    <w:p>
      <w:pPr>
        <w:pStyle w:val="NormalBold"/>
      </w:pPr>
      <w:r>
        <w:rPr>
          <w:rStyle w:val="HideTWBExt"/>
          <w:b w:val="0"/>
        </w:rPr>
        <w:t>&lt;RepeatBlock-By&gt;</w:t>
      </w:r>
      <w:r>
        <w:rPr>
          <w:rStyle w:val="HideTWBExt"/>
          <w:b w:val="0"/>
        </w:rPr>
        <w:t>&lt;Members&gt;</w:t>
      </w:r>
      <w:r>
        <w:t>Emma Wiesner,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Pide a la Comisión y a los Estados miembros que </w:t>
            </w:r>
            <w:r>
              <w:rPr>
                <w:b/>
                <w:i/>
              </w:rPr>
              <w:t>asignen un</w:t>
            </w:r>
            <w:r>
              <w:t xml:space="preserve"> presupuesto delimitado </w:t>
            </w:r>
            <w:r>
              <w:rPr>
                <w:b/>
                <w:i/>
              </w:rPr>
              <w:t>de al menos 7 290 millones EUR para apoyar</w:t>
            </w:r>
            <w:r>
              <w:t xml:space="preserve"> la modernización y renovación de la flota (incluidos los artes selectivos, los motores de bajas emisiones</w:t>
            </w:r>
            <w:r>
              <w:rPr>
                <w:b/>
                <w:i/>
              </w:rPr>
              <w:t>,</w:t>
            </w:r>
            <w:r>
              <w:t xml:space="preserve"> el seguimiento digital), las paralizaciones temporales y los programas de diversificación económica;</w:t>
            </w:r>
          </w:p>
        </w:tc>
        <w:tc>
          <w:tcPr>
            <w:tcW w:w="4876" w:type="dxa"/>
            <w:tcBorders>
              <w:top w:val="nil"/>
              <w:left w:val="nil"/>
              <w:bottom w:val="nil"/>
              <w:right w:val="nil"/>
            </w:tcBorders>
          </w:tcPr>
          <w:p>
            <w:pPr>
              <w:pStyle w:val="Normal6a"/>
            </w:pPr>
            <w:r>
              <w:t>8.</w:t>
            </w:r>
            <w:r>
              <w:tab/>
            </w:r>
            <w:r>
              <w:rPr>
                <w:b/>
                <w:i/>
              </w:rPr>
              <w:t>Recuerda su posición sobre el nuevo MFP y</w:t>
            </w:r>
            <w:r>
              <w:t xml:space="preserve"> pide a la Comisión y a los Estados miembros que </w:t>
            </w:r>
            <w:r>
              <w:rPr>
                <w:b/>
                <w:i/>
              </w:rPr>
              <w:t>acepten el</w:t>
            </w:r>
            <w:r>
              <w:t xml:space="preserve"> presupuesto delimitado </w:t>
            </w:r>
            <w:r>
              <w:rPr>
                <w:b/>
                <w:i/>
              </w:rPr>
              <w:t>propuesto en la posición del Parlamento para la pesca y la acuicultura;</w:t>
            </w:r>
            <w:r>
              <w:t xml:space="preserve"> </w:t>
            </w:r>
            <w:r>
              <w:rPr>
                <w:b/>
                <w:i/>
              </w:rPr>
              <w:t>recuerda la importancia de</w:t>
            </w:r>
            <w:r>
              <w:t xml:space="preserve"> la modernización y renovación de la flota (incluidos los artes selectivos, los motores de bajas emisiones </w:t>
            </w:r>
            <w:r>
              <w:rPr>
                <w:b/>
                <w:i/>
              </w:rPr>
              <w:t>y</w:t>
            </w:r>
            <w:r>
              <w:t xml:space="preserve"> el seguimiento digital), las paralizaciones temporales y los programas de diversificación económica;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212</w:t>
      </w:r>
      <w:r>
        <w:rPr>
          <w:rStyle w:val="HideTWBExt"/>
        </w:rPr>
        <w:t>&lt;/NumAm&gt;</w:t>
      </w:r>
    </w:p>
    <w:p>
      <w:pPr>
        <w:pStyle w:val="NormalBold"/>
      </w:pPr>
      <w:r>
        <w:rPr>
          <w:rStyle w:val="HideTWBExt"/>
          <w:b w:val="0"/>
        </w:rPr>
        <w:t>&lt;RepeatBlock-By&gt;</w:t>
      </w:r>
      <w:r>
        <w:rPr>
          <w:rStyle w:val="HideTWBExt"/>
          <w:b w:val="0"/>
        </w:rPr>
        <w:t>&lt;Members&gt;</w:t>
      </w:r>
      <w:r>
        <w:t>Isabelle Le Callennec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Pide a la Comisión y a los Estados miembros que asignen un presupuesto delimitado de al menos </w:t>
            </w:r>
            <w:r>
              <w:rPr>
                <w:b/>
                <w:i/>
              </w:rPr>
              <w:t>7 290</w:t>
            </w:r>
            <w:r>
              <w:t xml:space="preserve"> millones EUR para apoyar la modernización </w:t>
            </w:r>
            <w:r>
              <w:rPr>
                <w:b/>
                <w:i/>
              </w:rPr>
              <w:t>y</w:t>
            </w:r>
            <w:r>
              <w:t xml:space="preserve"> renovación de la flota (incluidos los artes selectivos, los motores de bajas emisiones, el seguimiento digital), las paralizaciones temporales y los programas de diversificación económica;</w:t>
            </w:r>
          </w:p>
        </w:tc>
        <w:tc>
          <w:tcPr>
            <w:tcW w:w="4876" w:type="dxa"/>
            <w:tcBorders>
              <w:top w:val="nil"/>
              <w:left w:val="nil"/>
              <w:bottom w:val="nil"/>
              <w:right w:val="nil"/>
            </w:tcBorders>
          </w:tcPr>
          <w:p>
            <w:pPr>
              <w:pStyle w:val="Normal6a"/>
            </w:pPr>
            <w:r>
              <w:t>8.</w:t>
            </w:r>
            <w:r>
              <w:tab/>
            </w:r>
            <w:r>
              <w:t xml:space="preserve">Pide a la Comisión y a los Estados miembros que asignen un presupuesto delimitado de al menos </w:t>
            </w:r>
            <w:r>
              <w:rPr>
                <w:b/>
                <w:i/>
              </w:rPr>
              <w:t>7 290</w:t>
            </w:r>
            <w:r>
              <w:t xml:space="preserve"> millones EUR </w:t>
            </w:r>
            <w:r>
              <w:rPr>
                <w:b/>
                <w:i/>
              </w:rPr>
              <w:t>y regímenes de apoyo público más seguros</w:t>
            </w:r>
            <w:r>
              <w:t xml:space="preserve"> para apoyar la modernización</w:t>
            </w:r>
            <w:r>
              <w:rPr>
                <w:b/>
                <w:i/>
              </w:rPr>
              <w:t>, la transición energética y la</w:t>
            </w:r>
            <w:r>
              <w:t xml:space="preserve"> renovación de la flota (incluidos los artes selectivos, los motores de bajas emisiones, el seguimiento digital), las paralizaciones temporales y los programas de diversificación económica;</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213</w:t>
      </w:r>
      <w:r>
        <w:rPr>
          <w:rStyle w:val="HideTWBExt"/>
        </w:rPr>
        <w:t>&lt;/NumAm&gt;</w:t>
      </w:r>
    </w:p>
    <w:p>
      <w:pPr>
        <w:pStyle w:val="NormalBold"/>
      </w:pPr>
      <w:r>
        <w:rPr>
          <w:rStyle w:val="HideTWBExt"/>
          <w:b w:val="0"/>
        </w:rPr>
        <w:t>&lt;RepeatBlock-By&gt;</w:t>
      </w:r>
      <w:r>
        <w:rPr>
          <w:rStyle w:val="HideTWBExt"/>
          <w:b w:val="0"/>
        </w:rPr>
        <w:t>&lt;Members&gt;</w:t>
      </w:r>
      <w:r>
        <w:t>Eric Sargiacomo, Nicolás González Casares, Giuseppe Lupo, Sakis Arnaoutoglou, Idoia Mendia, Claire Fita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Pide a la Comisión y a los Estados miembros que asignen un presupuesto delimitado de al menos 7 290 millones EUR para </w:t>
            </w:r>
            <w:r>
              <w:rPr>
                <w:b/>
                <w:i/>
              </w:rPr>
              <w:t>apoyar la modernización y renovación</w:t>
            </w:r>
            <w:r>
              <w:t xml:space="preserve"> de la flota </w:t>
            </w:r>
            <w:r>
              <w:rPr>
                <w:b/>
                <w:i/>
              </w:rPr>
              <w:t>(incluidos</w:t>
            </w:r>
            <w:r>
              <w:t xml:space="preserve"> los artes </w:t>
            </w:r>
            <w:r>
              <w:rPr>
                <w:b/>
                <w:i/>
              </w:rPr>
              <w:t>selectivos, los motores de bajas emisiones, el seguimiento digital), las paralizaciones temporales y los programas de diversificación económica</w:t>
            </w:r>
            <w:r>
              <w:t>;</w:t>
            </w:r>
          </w:p>
        </w:tc>
        <w:tc>
          <w:tcPr>
            <w:tcW w:w="4876" w:type="dxa"/>
            <w:tcBorders>
              <w:top w:val="nil"/>
              <w:left w:val="nil"/>
              <w:bottom w:val="nil"/>
              <w:right w:val="nil"/>
            </w:tcBorders>
          </w:tcPr>
          <w:p>
            <w:pPr>
              <w:pStyle w:val="Normal6a"/>
            </w:pPr>
            <w:r>
              <w:t>8.</w:t>
            </w:r>
            <w:r>
              <w:tab/>
            </w:r>
            <w:r>
              <w:t xml:space="preserve">Pide a la Comisión y a los Estados miembros que asignen un presupuesto delimitado de al menos 7 290 millones EUR para </w:t>
            </w:r>
            <w:r>
              <w:rPr>
                <w:b/>
                <w:i/>
              </w:rPr>
              <w:t>respaldar la transición ecológica y energética</w:t>
            </w:r>
            <w:r>
              <w:t xml:space="preserve"> de la flota</w:t>
            </w:r>
            <w:r>
              <w:rPr>
                <w:b/>
                <w:i/>
              </w:rPr>
              <w:t>, apoyar la innovación y la mejora de la selectividad de</w:t>
            </w:r>
            <w:r>
              <w:t xml:space="preserve"> los artes </w:t>
            </w:r>
            <w:r>
              <w:rPr>
                <w:b/>
                <w:i/>
              </w:rPr>
              <w:t>de pesca, la descarbonización, la seguridad a bordo, las condiciones de trabajo, la digitalización de las empresas pesqueras y el relevo generacional</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214</w:t>
      </w:r>
      <w:r>
        <w:rPr>
          <w:rStyle w:val="HideTWBExt"/>
        </w:rPr>
        <w:t>&lt;/NumAm&gt;</w:t>
      </w:r>
    </w:p>
    <w:p>
      <w:pPr>
        <w:pStyle w:val="NormalBold"/>
      </w:pPr>
      <w:r>
        <w:rPr>
          <w:rStyle w:val="HideTWBExt"/>
          <w:b w:val="0"/>
        </w:rPr>
        <w:t>&lt;RepeatBlock-By&gt;</w:t>
      </w:r>
      <w:r>
        <w:rPr>
          <w:rStyle w:val="HideTWBExt"/>
          <w:b w:val="0"/>
        </w:rPr>
        <w:t>&lt;Members&gt;</w:t>
      </w:r>
      <w:r>
        <w:t>Fredis Beleris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Pide a la Comisión y a los Estados miembros que asignen un presupuesto delimitado de al menos </w:t>
            </w:r>
            <w:r>
              <w:rPr>
                <w:b/>
                <w:i/>
              </w:rPr>
              <w:t>7 290</w:t>
            </w:r>
            <w:r>
              <w:t xml:space="preserve"> millones EUR para apoyar la modernización y renovación de la flota (incluidos los artes selectivos, los motores de bajas emisiones, el seguimiento digital), las paralizaciones temporales y los programas de diversificación económica;</w:t>
            </w:r>
          </w:p>
        </w:tc>
        <w:tc>
          <w:tcPr>
            <w:tcW w:w="4876" w:type="dxa"/>
            <w:tcBorders>
              <w:top w:val="nil"/>
              <w:left w:val="nil"/>
              <w:bottom w:val="nil"/>
              <w:right w:val="nil"/>
            </w:tcBorders>
          </w:tcPr>
          <w:p>
            <w:pPr>
              <w:pStyle w:val="Normal6a"/>
            </w:pPr>
            <w:r>
              <w:t>8.</w:t>
            </w:r>
            <w:r>
              <w:tab/>
            </w:r>
            <w:r>
              <w:t xml:space="preserve">Pide a la Comisión y a los Estados miembros que asignen un presupuesto delimitado de al menos </w:t>
            </w:r>
            <w:r>
              <w:rPr>
                <w:b/>
                <w:i/>
              </w:rPr>
              <w:t>7 290</w:t>
            </w:r>
            <w:r>
              <w:t xml:space="preserve"> millones EUR para apoyar la modernización y renovación de la flota (incluidos los artes selectivos, los motores de bajas emisiones, el seguimiento digital), </w:t>
            </w:r>
            <w:r>
              <w:rPr>
                <w:b/>
                <w:i/>
              </w:rPr>
              <w:t>el relevo generacional,</w:t>
            </w:r>
            <w:r>
              <w:t xml:space="preserve"> las paralizaciones temporales y los programas de diversificación económica;</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215</w:t>
      </w:r>
      <w:r>
        <w:rPr>
          <w:rStyle w:val="HideTWBExt"/>
        </w:rPr>
        <w:t>&lt;/NumAm&gt;</w:t>
      </w:r>
    </w:p>
    <w:p>
      <w:pPr>
        <w:pStyle w:val="NormalBold"/>
      </w:pPr>
      <w:r>
        <w:rPr>
          <w:rStyle w:val="HideTWBExt"/>
          <w:b w:val="0"/>
        </w:rPr>
        <w:t>&lt;RepeatBlock-By&gt;</w:t>
      </w:r>
      <w:r>
        <w:rPr>
          <w:rStyle w:val="HideTWBExt"/>
          <w:b w:val="0"/>
        </w:rPr>
        <w:t>&lt;Members&gt;</w:t>
      </w:r>
      <w:r>
        <w:t>Carmen Crespo Díaz, Isabelle Le Callennec, Paulo do Nascimento Cabral, Susana Solís Pérez, Francisco José Millán Mon, Fredis Beleris, Marco Falcone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8 – párrafo 1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Muestra su preocupación ante la posible desaparición de un instrumento específico para la pesca en el próximo Marco Financiero Plurianual (MFP), así como la reducción y dilución de los recursos financieros destinados al sector en otros fondos genéricos de los planes nacionales y regionales (NRP), lo que podría comprometer gravemente su futuro;</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216</w:t>
      </w:r>
      <w:r>
        <w:rPr>
          <w:rStyle w:val="HideTWBExt"/>
        </w:rPr>
        <w:t>&lt;/NumAm&gt;</w:t>
      </w:r>
    </w:p>
    <w:p>
      <w:pPr>
        <w:pStyle w:val="NormalBold"/>
      </w:pPr>
      <w:r>
        <w:rPr>
          <w:rStyle w:val="HideTWBExt"/>
          <w:b w:val="0"/>
        </w:rPr>
        <w:t>&lt;RepeatBlock-By&gt;</w:t>
      </w:r>
      <w:r>
        <w:rPr>
          <w:rStyle w:val="HideTWBExt"/>
          <w:b w:val="0"/>
        </w:rPr>
        <w:t>&lt;Members&gt;</w:t>
      </w:r>
      <w:r>
        <w:t>Carmen Crespo Díaz, Isabelle Le Callennec, Paulo do Nascimento Cabral, Susana Solís Pérez, Francisco José Millán Mon, Fredis Beleris, Marco Falcone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8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 bis.</w:t>
            </w:r>
            <w:r>
              <w:tab/>
            </w:r>
            <w:r>
              <w:rPr>
                <w:b/>
                <w:i/>
              </w:rPr>
              <w:t>Subraya la necesidad de que la Comisión revise y aumente el límite máximo de las ayudas "de minimis" aplicables al sector pesquero y que estas se establezcan, en su caso, por buque, teniendo en cuenta el incremento de los costes de la energía y de los combustibles, así como las presiones multifactoriales que afectan a la competitividad y rentabilidad de la flota europea;</w:t>
            </w:r>
            <w:r>
              <w:t xml:space="preserve"> </w:t>
            </w:r>
            <w:r>
              <w:rPr>
                <w:b/>
                <w:i/>
              </w:rPr>
              <w:t>considera que, en el marco del próximo Marco Financiero Plurianual, este instrumento debe constituir un elemento esencial del apoyo de la Unión para garantizar la resiliencia, la modernización y la viabilidad económica del sector pesquero.</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217</w:t>
      </w:r>
      <w:r>
        <w:rPr>
          <w:rStyle w:val="HideTWBExt"/>
        </w:rPr>
        <w:t>&lt;/NumAm&gt;</w:t>
      </w:r>
    </w:p>
    <w:p>
      <w:pPr>
        <w:pStyle w:val="NormalBold"/>
      </w:pPr>
      <w:r>
        <w:rPr>
          <w:rStyle w:val="HideTWBExt"/>
          <w:b w:val="0"/>
        </w:rPr>
        <w:t>&lt;RepeatBlock-By&gt;</w:t>
      </w:r>
      <w:r>
        <w:rPr>
          <w:rStyle w:val="HideTWBExt"/>
          <w:b w:val="0"/>
        </w:rPr>
        <w:t>&lt;Members&gt;</w:t>
      </w:r>
      <w:r>
        <w:t>Eric Sargiacomo, Nicolás González Casares, Giuseppe Lupo, Sakis Arnaoutoglou, Idoia Mendia, Claire Fita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8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 bis.</w:t>
            </w:r>
            <w:r>
              <w:tab/>
            </w:r>
            <w:r>
              <w:rPr>
                <w:b/>
                <w:i/>
              </w:rPr>
              <w:t>Subraya que la transición ecológica del sector pesquero debe ser socialmente justa y económicamente sostenible;</w:t>
            </w:r>
            <w:r>
              <w:t xml:space="preserve"> </w:t>
            </w:r>
            <w:r>
              <w:rPr>
                <w:b/>
                <w:i/>
              </w:rPr>
              <w:t>pide que las inversiones necesarias para reducir el consumo de energía, mejorar las condiciones de trabajo y modernizar los buques reciban un apoyo financiero adecuado, en particular para las pequeñas y medianas empresas pesqueras;</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218</w:t>
      </w:r>
      <w:r>
        <w:rPr>
          <w:rStyle w:val="HideTWBExt"/>
        </w:rPr>
        <w:t>&lt;/NumAm&gt;</w:t>
      </w:r>
    </w:p>
    <w:p>
      <w:pPr>
        <w:pStyle w:val="NormalBold"/>
      </w:pPr>
      <w:r>
        <w:rPr>
          <w:rStyle w:val="HideTWBExt"/>
          <w:b w:val="0"/>
        </w:rPr>
        <w:t>&lt;RepeatBlock-By&gt;</w:t>
      </w:r>
      <w:r>
        <w:rPr>
          <w:rStyle w:val="HideTWBExt"/>
          <w:b w:val="0"/>
        </w:rPr>
        <w:t>&lt;Members&gt;</w:t>
      </w:r>
      <w:r>
        <w:t>Mélissa Camara</w:t>
      </w:r>
      <w:r>
        <w:rPr>
          <w:rStyle w:val="HideTWBExt"/>
          <w:b w:val="0"/>
        </w:rPr>
        <w:t>&lt;/Members&gt;</w:t>
      </w:r>
    </w:p>
    <w:p>
      <w:r>
        <w:rPr>
          <w:rStyle w:val="HideTWBExt"/>
          <w:b w:val="0"/>
        </w:rPr>
        <w:t>&lt;AuNomDe&gt;</w:t>
      </w:r>
      <w:r>
        <w:rPr>
          <w:rStyle w:val="HideTWBInt"/>
        </w:rPr>
        <w:t>{Verts/ALE}</w:t>
      </w:r>
      <w:r>
        <w:t>en nombre del Grupo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8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 bis.</w:t>
            </w:r>
            <w:r>
              <w:tab/>
            </w:r>
            <w:r>
              <w:rPr>
                <w:b/>
                <w:i/>
              </w:rPr>
              <w:t>Pide a la Comisión y a los Estados miembros que apoyen a los pescadores mediante la transición hacia una pesca plenamente sostenible y sin emisiones, haciendo al mismo tiempo un uso pleno y eficaz de las herramientas disponibles en el marco del plan plurianual para el Mediterráneo occidental, ya que la rentabilidad, la competitividad y la resiliencia a largo plazo dependen de unas poblaciones de peces sanas;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219</w:t>
      </w:r>
      <w:r>
        <w:rPr>
          <w:rStyle w:val="HideTWBExt"/>
        </w:rPr>
        <w:t>&lt;/NumAm&gt;</w:t>
      </w:r>
    </w:p>
    <w:p>
      <w:pPr>
        <w:pStyle w:val="NormalBold"/>
      </w:pPr>
      <w:r>
        <w:rPr>
          <w:rStyle w:val="HideTWBExt"/>
          <w:b w:val="0"/>
        </w:rPr>
        <w:t>&lt;RepeatBlock-By&gt;</w:t>
      </w:r>
      <w:r>
        <w:rPr>
          <w:rStyle w:val="HideTWBExt"/>
          <w:b w:val="0"/>
        </w:rPr>
        <w:t>&lt;Members&gt;</w:t>
      </w:r>
      <w:r>
        <w:t>Nicolás González Casares, Leire Pajín, Alicia Homs Ginel, Sandra Gómez López, Javi López, Laura Ballarín Cereza, Marcos Ros Sempere, Idoia Mendia, Lina Gálvez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8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 bis.</w:t>
            </w:r>
            <w:r>
              <w:tab/>
            </w:r>
            <w:r>
              <w:rPr>
                <w:b/>
                <w:i/>
              </w:rPr>
              <w:t>Insta a la Comisión y a los Estados miembros a reforzar las medidas de compensación e incentivos al sector pesquero por la extracción de basura marítima y su contribución a la limpieza de fondos marinos, en el marco del apoyo a la protección y restauración de la biodiversidad y los ecosistemas marinos mediterráneos;</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220</w:t>
      </w:r>
      <w:r>
        <w:rPr>
          <w:rStyle w:val="HideTWBExt"/>
        </w:rPr>
        <w:t>&lt;/NumAm&gt;</w:t>
      </w:r>
    </w:p>
    <w:p>
      <w:pPr>
        <w:pStyle w:val="NormalBold"/>
      </w:pPr>
      <w:r>
        <w:rPr>
          <w:rStyle w:val="HideTWBExt"/>
          <w:b w:val="0"/>
        </w:rPr>
        <w:t>&lt;RepeatBlock-By&gt;</w:t>
      </w:r>
      <w:r>
        <w:rPr>
          <w:rStyle w:val="HideTWBExt"/>
          <w:b w:val="0"/>
        </w:rPr>
        <w:t>&lt;Members&gt;</w:t>
      </w:r>
      <w:r>
        <w:t>Eric Sargiacomo, Nicolás González Casares, Giuseppe Lupo, Sakis Arnaoutoglou, Idoia Mendia, Claire Fita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8 ter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 ter.</w:t>
            </w:r>
            <w:r>
              <w:tab/>
            </w:r>
            <w:r>
              <w:rPr>
                <w:b/>
                <w:i/>
              </w:rPr>
              <w:t>Pide a la Comisión y a los Estados miembros que apliquen medidas específicas para hacer más atractivas las profesiones pesqueras, en particular apoyando la formación profesional, la incorporación de jóvenes pescadores al sector, la igualdad de género en el sector y la mejora de las condiciones de salud y seguridad en el trabajo;</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221</w:t>
      </w:r>
      <w:r>
        <w:rPr>
          <w:rStyle w:val="HideTWBExt"/>
        </w:rPr>
        <w:t>&lt;/NumAm&gt;</w:t>
      </w:r>
    </w:p>
    <w:p>
      <w:pPr>
        <w:pStyle w:val="NormalBold"/>
      </w:pPr>
      <w:r>
        <w:rPr>
          <w:rStyle w:val="HideTWBExt"/>
          <w:b w:val="0"/>
        </w:rPr>
        <w:t>&lt;RepeatBlock-By&gt;</w:t>
      </w:r>
      <w:r>
        <w:rPr>
          <w:rStyle w:val="HideTWBExt"/>
          <w:b w:val="0"/>
        </w:rPr>
        <w:t>&lt;Members&gt;</w:t>
      </w:r>
      <w:r>
        <w:t>Emma Wiesner,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9.</w:t>
            </w:r>
            <w:r>
              <w:tab/>
            </w:r>
            <w:r>
              <w:rPr>
                <w:b/>
                <w:i/>
              </w:rPr>
              <w:t>Urge a la Comisión Europea a presentar un paquete legislativo de simplificación para garantizar la competitividad de la política pesquera común que incluya una revisión específica del Reglamento relativo al plan plurianual para las poblaciones demersales del Mediterráneo occidental, incorporando las modificaciones y adaptaciones señaladas en el presente informe;</w:t>
            </w:r>
          </w:p>
        </w:tc>
        <w:tc>
          <w:tcPr>
            <w:tcW w:w="4876" w:type="dxa"/>
            <w:tcBorders>
              <w:top w:val="nil"/>
              <w:left w:val="nil"/>
              <w:bottom w:val="nil"/>
              <w:right w:val="nil"/>
            </w:tcBorders>
          </w:tcPr>
          <w:p>
            <w:pPr>
              <w:pStyle w:val="Normal6a"/>
            </w:pPr>
            <w:r>
              <w:rPr>
                <w:b/>
                <w:i/>
              </w:rPr>
              <w:t>suprimido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222</w:t>
      </w:r>
      <w:r>
        <w:rPr>
          <w:rStyle w:val="HideTWBExt"/>
        </w:rPr>
        <w:t>&lt;/NumAm&gt;</w:t>
      </w:r>
    </w:p>
    <w:p>
      <w:pPr>
        <w:pStyle w:val="NormalBold"/>
      </w:pPr>
      <w:r>
        <w:rPr>
          <w:rStyle w:val="HideTWBExt"/>
          <w:b w:val="0"/>
        </w:rPr>
        <w:t>&lt;RepeatBlock-By&gt;</w:t>
      </w:r>
      <w:r>
        <w:rPr>
          <w:rStyle w:val="HideTWBExt"/>
          <w:b w:val="0"/>
        </w:rPr>
        <w:t>&lt;Members&gt;</w:t>
      </w:r>
      <w:r>
        <w:t>Sebastian Everding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9.</w:t>
            </w:r>
            <w:r>
              <w:tab/>
            </w:r>
            <w:r>
              <w:rPr>
                <w:b/>
                <w:i/>
              </w:rPr>
              <w:t>Urge a la Comisión Europea a presentar un paquete legislativo de simplificación para garantizar la competitividad de la política pesquera común que incluya una revisión específica del Reglamento relativo al plan plurianual para las poblaciones demersales del Mediterráneo occidental, incorporando las modificaciones y adaptaciones señaladas en el presente informe;</w:t>
            </w:r>
          </w:p>
        </w:tc>
        <w:tc>
          <w:tcPr>
            <w:tcW w:w="4876" w:type="dxa"/>
            <w:tcBorders>
              <w:top w:val="nil"/>
              <w:left w:val="nil"/>
              <w:bottom w:val="nil"/>
              <w:right w:val="nil"/>
            </w:tcBorders>
          </w:tcPr>
          <w:p>
            <w:pPr>
              <w:pStyle w:val="Normal6a"/>
            </w:pPr>
            <w:r>
              <w:rPr>
                <w:b/>
                <w:i/>
              </w:rPr>
              <w:t>suprimido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223</w:t>
      </w:r>
      <w:r>
        <w:rPr>
          <w:rStyle w:val="HideTWBExt"/>
        </w:rPr>
        <w:t>&lt;/NumAm&gt;</w:t>
      </w:r>
    </w:p>
    <w:p>
      <w:pPr>
        <w:pStyle w:val="NormalBold"/>
      </w:pPr>
      <w:r>
        <w:rPr>
          <w:rStyle w:val="HideTWBExt"/>
          <w:b w:val="0"/>
        </w:rPr>
        <w:t>&lt;RepeatBlock-By&gt;</w:t>
      </w:r>
      <w:r>
        <w:rPr>
          <w:rStyle w:val="HideTWBExt"/>
          <w:b w:val="0"/>
        </w:rPr>
        <w:t>&lt;Members&gt;</w:t>
      </w:r>
      <w:r>
        <w:t>Mélissa Camara</w:t>
      </w:r>
      <w:r>
        <w:rPr>
          <w:rStyle w:val="HideTWBExt"/>
          <w:b w:val="0"/>
        </w:rPr>
        <w:t>&lt;/Members&gt;</w:t>
      </w:r>
    </w:p>
    <w:p>
      <w:r>
        <w:rPr>
          <w:rStyle w:val="HideTWBExt"/>
          <w:b w:val="0"/>
        </w:rPr>
        <w:t>&lt;AuNomDe&gt;</w:t>
      </w:r>
      <w:r>
        <w:rPr>
          <w:rStyle w:val="HideTWBInt"/>
        </w:rPr>
        <w:t>{Verts/ALE}</w:t>
      </w:r>
      <w:r>
        <w:t>en nombre del Grupo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9.</w:t>
            </w:r>
            <w:r>
              <w:tab/>
            </w:r>
            <w:r>
              <w:rPr>
                <w:b/>
                <w:i/>
              </w:rPr>
              <w:t>Urge a la Comisión Europea a presentar un paquete legislativo de simplificación para garantizar la competitividad de la política pesquera común que incluya una revisión específica del Reglamento relativo al plan plurianual para las poblaciones demersales del Mediterráneo occidental, incorporando las modificaciones y adaptaciones señaladas en el presente informe;</w:t>
            </w:r>
          </w:p>
        </w:tc>
        <w:tc>
          <w:tcPr>
            <w:tcW w:w="4876" w:type="dxa"/>
            <w:tcBorders>
              <w:top w:val="nil"/>
              <w:left w:val="nil"/>
              <w:bottom w:val="nil"/>
              <w:right w:val="nil"/>
            </w:tcBorders>
          </w:tcPr>
          <w:p>
            <w:pPr>
              <w:pStyle w:val="Normal6a"/>
            </w:pPr>
            <w:r>
              <w:rPr>
                <w:b/>
                <w:i/>
              </w:rPr>
              <w:t>suprimido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224</w:t>
      </w:r>
      <w:r>
        <w:rPr>
          <w:rStyle w:val="HideTWBExt"/>
        </w:rPr>
        <w:t>&lt;/NumAm&gt;</w:t>
      </w:r>
    </w:p>
    <w:p>
      <w:pPr>
        <w:pStyle w:val="NormalBold"/>
      </w:pPr>
      <w:r>
        <w:rPr>
          <w:rStyle w:val="HideTWBExt"/>
          <w:b w:val="0"/>
        </w:rPr>
        <w:t>&lt;RepeatBlock-By&gt;</w:t>
      </w:r>
      <w:r>
        <w:rPr>
          <w:rStyle w:val="HideTWBExt"/>
          <w:b w:val="0"/>
        </w:rPr>
        <w:t>&lt;Members&gt;</w:t>
      </w:r>
      <w:r>
        <w:t>Carmen Crespo Díaz, Isabelle Le Callennec, Paulo do Nascimento Cabral, Susana Solís Pérez, Francisco José Millán Mon, Fredis Beleris, Marco Falcone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Urge a la Comisión Europea a presentar un paquete legislativo de simplificación para garantizar la competitividad de la política pesquera común que incluya una revisión específica del Reglamento relativo al plan plurianual para las poblaciones demersales del Mediterráneo occidental, incorporando las modificaciones y adaptaciones señaladas en el presente informe;</w:t>
            </w:r>
          </w:p>
        </w:tc>
        <w:tc>
          <w:tcPr>
            <w:tcW w:w="4876" w:type="dxa"/>
            <w:tcBorders>
              <w:top w:val="nil"/>
              <w:left w:val="nil"/>
              <w:bottom w:val="nil"/>
              <w:right w:val="nil"/>
            </w:tcBorders>
          </w:tcPr>
          <w:p>
            <w:pPr>
              <w:pStyle w:val="Normal6a"/>
            </w:pPr>
            <w:r>
              <w:t>9.</w:t>
            </w:r>
            <w:r>
              <w:tab/>
            </w:r>
            <w:r>
              <w:t xml:space="preserve">Urge a la Comisión Europea a presentar un paquete legislativo de simplificación para garantizar la competitividad de la política pesquera común que incluya una revisión específica del Reglamento relativo al plan plurianual para las poblaciones demersales del Mediterráneo occidental, incorporando las modificaciones y adaptaciones señaladas en el presente informe; </w:t>
            </w:r>
            <w:r>
              <w:rPr>
                <w:b/>
                <w:i/>
              </w:rPr>
              <w:t>señala que dicho paquete legislativo debería abordar asimismo otras cuestiones prioritarias para el sector, como la revisión de determinadas disposiciones de la obligación de desembarque, la exclusión del palangre de fondo del Reglamento de Aguas Profundas 2016/2336 y la corrección de elementos problemáticos del reglamento de control de la pesca, incluidos aspectos relacionados con la aplicación del margen de tolerancia y el sistema electrónico de trazabilidad e-Catch, con el fin de garantizar un marco regulatorio más proporcionado, operativo y adaptado a la realidad de las flotas europeas que garantice su competitividad a nivel global;</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225</w:t>
      </w:r>
      <w:r>
        <w:rPr>
          <w:rStyle w:val="HideTWBExt"/>
        </w:rPr>
        <w:t>&lt;/NumAm&gt;</w:t>
      </w:r>
    </w:p>
    <w:p>
      <w:pPr>
        <w:pStyle w:val="NormalBold"/>
      </w:pPr>
      <w:r>
        <w:rPr>
          <w:rStyle w:val="HideTWBExt"/>
          <w:b w:val="0"/>
        </w:rPr>
        <w:t>&lt;RepeatBlock-By&gt;</w:t>
      </w:r>
      <w:r>
        <w:rPr>
          <w:rStyle w:val="HideTWBExt"/>
          <w:b w:val="0"/>
        </w:rPr>
        <w:t>&lt;Members&gt;</w:t>
      </w:r>
      <w:r>
        <w:t>Eric Sargiacomo, Nicolás González Casares, Giuseppe Lupo, Sakis Arnaoutoglou, Idoia Mendia, Chloé Ridel, Claire Fita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Urge a la Comisión Europea a presentar un paquete legislativo de simplificación para garantizar la competitividad de la política pesquera común que incluya una revisión específica del Reglamento relativo al plan plurianual para las poblaciones demersales del Mediterráneo occidental, incorporando las modificaciones y adaptaciones señaladas en el presente informe;</w:t>
            </w:r>
          </w:p>
        </w:tc>
        <w:tc>
          <w:tcPr>
            <w:tcW w:w="4876" w:type="dxa"/>
            <w:tcBorders>
              <w:top w:val="nil"/>
              <w:left w:val="nil"/>
              <w:bottom w:val="nil"/>
              <w:right w:val="nil"/>
            </w:tcBorders>
          </w:tcPr>
          <w:p>
            <w:pPr>
              <w:pStyle w:val="Normal6a"/>
            </w:pPr>
            <w:r>
              <w:t>9.</w:t>
            </w:r>
            <w:r>
              <w:tab/>
            </w:r>
            <w:r>
              <w:t xml:space="preserve">Urge a la Comisión Europea a presentar un paquete legislativo de simplificación para garantizar la competitividad de la política pesquera común que incluya una revisión específica del Reglamento relativo al plan plurianual para las poblaciones demersales del Mediterráneo occidental, incorporando las modificaciones y adaptaciones señaladas en el presente informe; </w:t>
            </w:r>
            <w:r>
              <w:rPr>
                <w:b/>
                <w:i/>
              </w:rPr>
              <w:t>recuerda que las medidas de simplificación administrativa no deben dar lugar en ningún caso a un debilitamiento de los objetivos medioambientales de la política pesquera común ni a una reducción de los requisitos de transparencia, control o recopilación de datos científicos;</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226</w:t>
      </w:r>
      <w:r>
        <w:rPr>
          <w:rStyle w:val="HideTWBExt"/>
        </w:rPr>
        <w:t>&lt;/NumAm&gt;</w:t>
      </w:r>
    </w:p>
    <w:p>
      <w:pPr>
        <w:pStyle w:val="NormalBold"/>
      </w:pPr>
      <w:r>
        <w:rPr>
          <w:rStyle w:val="HideTWBExt"/>
          <w:b w:val="0"/>
        </w:rPr>
        <w:t>&lt;RepeatBlock-By&gt;</w:t>
      </w:r>
      <w:r>
        <w:rPr>
          <w:rStyle w:val="HideTWBExt"/>
          <w:b w:val="0"/>
        </w:rPr>
        <w:t>&lt;Members&gt;</w:t>
      </w:r>
      <w:r>
        <w:t>Isabelle Le Callennec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Urge a la Comisión Europea a presentar un paquete legislativo de simplificación para garantizar la competitividad de la política pesquera común que incluya una revisión específica del Reglamento relativo al plan plurianual para las poblaciones demersales </w:t>
            </w:r>
            <w:r>
              <w:rPr>
                <w:b/>
                <w:i/>
              </w:rPr>
              <w:t>del</w:t>
            </w:r>
            <w:r>
              <w:t xml:space="preserve"> Mediterráneo occidental, </w:t>
            </w:r>
            <w:r>
              <w:rPr>
                <w:b/>
                <w:i/>
              </w:rPr>
              <w:t>incorporando</w:t>
            </w:r>
            <w:r>
              <w:t xml:space="preserve"> las modificaciones y adaptaciones señaladas en el presente informe;</w:t>
            </w:r>
          </w:p>
        </w:tc>
        <w:tc>
          <w:tcPr>
            <w:tcW w:w="4876" w:type="dxa"/>
            <w:tcBorders>
              <w:top w:val="nil"/>
              <w:left w:val="nil"/>
              <w:bottom w:val="nil"/>
              <w:right w:val="nil"/>
            </w:tcBorders>
          </w:tcPr>
          <w:p>
            <w:pPr>
              <w:pStyle w:val="Normal6a"/>
            </w:pPr>
            <w:r>
              <w:t>9.</w:t>
            </w:r>
            <w:r>
              <w:tab/>
            </w:r>
            <w:r>
              <w:t>Urge a la Comisión Europea a presentar un paquete legislativo de simplificación para garantizar la competitividad de la política pesquera común que incluya una revisión específica del Reglamento relativo al plan plurianual para las poblaciones demersales</w:t>
            </w:r>
            <w:r>
              <w:rPr>
                <w:b/>
                <w:i/>
              </w:rPr>
              <w:t>, excluya cualquier avance hacia la gestión de los totales admisibles de capturas (TAC) en el</w:t>
            </w:r>
            <w:r>
              <w:t xml:space="preserve"> Mediterráneo occidental, </w:t>
            </w:r>
            <w:r>
              <w:rPr>
                <w:b/>
                <w:i/>
              </w:rPr>
              <w:t>incorpore</w:t>
            </w:r>
            <w:r>
              <w:t xml:space="preserve"> las modificaciones y adaptaciones señaladas en el presente informe</w:t>
            </w:r>
            <w:r>
              <w:rPr>
                <w:b/>
                <w:i/>
              </w:rPr>
              <w:t>, y refuerce la claridad normativa mediante la obligación de especificar los métodos de cálculo, los niveles de aplicación y las disposiciones sobre acumulación de los dispositivos previstos en los Reglamentos</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227</w:t>
      </w:r>
      <w:r>
        <w:rPr>
          <w:rStyle w:val="HideTWBExt"/>
        </w:rPr>
        <w:t>&lt;/NumAm&gt;</w:t>
      </w:r>
    </w:p>
    <w:p>
      <w:pPr>
        <w:pStyle w:val="NormalBold"/>
      </w:pPr>
      <w:r>
        <w:rPr>
          <w:rStyle w:val="HideTWBExt"/>
          <w:b w:val="0"/>
        </w:rPr>
        <w:t>&lt;RepeatBlock-By&gt;</w:t>
      </w:r>
      <w:r>
        <w:rPr>
          <w:rStyle w:val="HideTWBExt"/>
          <w:b w:val="0"/>
        </w:rPr>
        <w:t>&lt;Members&gt;</w:t>
      </w:r>
      <w:r>
        <w:t>France Jamet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Urge a la Comisión Europea a presentar </w:t>
            </w:r>
            <w:r>
              <w:rPr>
                <w:b/>
                <w:i/>
              </w:rPr>
              <w:t>un paquete legislativo de simplificación para garantizar la competitividad</w:t>
            </w:r>
            <w:r>
              <w:t xml:space="preserve"> de la política pesquera común que incluya una revisión específica del Reglamento relativo al plan plurianual para las poblaciones demersales del Mediterráneo occidental, incorporando las modificaciones y adaptaciones señaladas en el presente informe;</w:t>
            </w:r>
          </w:p>
        </w:tc>
        <w:tc>
          <w:tcPr>
            <w:tcW w:w="4876" w:type="dxa"/>
            <w:tcBorders>
              <w:top w:val="nil"/>
              <w:left w:val="nil"/>
              <w:bottom w:val="nil"/>
              <w:right w:val="nil"/>
            </w:tcBorders>
          </w:tcPr>
          <w:p>
            <w:pPr>
              <w:pStyle w:val="Normal6a"/>
            </w:pPr>
            <w:r>
              <w:t>9.</w:t>
            </w:r>
            <w:r>
              <w:tab/>
            </w:r>
            <w:r>
              <w:t xml:space="preserve">Urge a la Comisión Europea a presentar </w:t>
            </w:r>
            <w:r>
              <w:rPr>
                <w:b/>
                <w:i/>
              </w:rPr>
              <w:t>una reforma completa y ambiciosa</w:t>
            </w:r>
            <w:r>
              <w:t xml:space="preserve"> de la política pesquera común que incluya una revisión específica del Reglamento relativo al plan plurianual para las poblaciones demersales del Mediterráneo occidental, incorporando las modificaciones y adaptaciones señaladas en el presente informe;</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228</w:t>
      </w:r>
      <w:r>
        <w:rPr>
          <w:rStyle w:val="HideTWBExt"/>
        </w:rPr>
        <w:t>&lt;/NumAm&gt;</w:t>
      </w:r>
    </w:p>
    <w:p>
      <w:pPr>
        <w:pStyle w:val="NormalBold"/>
      </w:pPr>
      <w:r>
        <w:rPr>
          <w:rStyle w:val="HideTWBExt"/>
          <w:b w:val="0"/>
        </w:rPr>
        <w:t>&lt;RepeatBlock-By&gt;</w:t>
      </w:r>
      <w:r>
        <w:rPr>
          <w:rStyle w:val="HideTWBExt"/>
          <w:b w:val="0"/>
        </w:rPr>
        <w:t>&lt;Members&gt;</w:t>
      </w:r>
      <w:r>
        <w:t>Carmen Crespo Díaz, Isabelle Le Callennec, Paulo do Nascimento Cabral, Susana Solís Pérez, Francisco José Millán Mon, Fredis Beleris, Marco Falcone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9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 bis.</w:t>
            </w:r>
            <w:r>
              <w:tab/>
            </w:r>
            <w:r>
              <w:rPr>
                <w:b/>
                <w:i/>
              </w:rPr>
              <w:t>Pide a la Comisión que la futura Visión para la Pesca y la Acuicultura 2040 sitúe la competitividad del sector como prioridad mediante la creación de un Plan Europeo de Alimentos Azules que impulse la producción y el consumo de productos pesqueros y acuícolas europeos, así como la sensibilización sobre su valor nutricional, ambiental y socioeconómico de la cadena mar-industria;</w:t>
            </w:r>
            <w:r>
              <w:t xml:space="preserve"> </w:t>
            </w:r>
            <w:r>
              <w:rPr>
                <w:b/>
                <w:i/>
              </w:rPr>
              <w:t>insta, asimismo, a la Comisión y a los Estados miembros a poner en marcha medidas específicas para favorecer el relevo generacional, mejorando el acceso de los jóvenes pescadores a la financiación, la formación, la digitalización, la innovación y el emprendimiento en el sector pesquero;</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229</w:t>
      </w:r>
      <w:r>
        <w:rPr>
          <w:rStyle w:val="HideTWBExt"/>
        </w:rPr>
        <w:t>&lt;/NumAm&gt;</w:t>
      </w:r>
    </w:p>
    <w:p>
      <w:pPr>
        <w:pStyle w:val="NormalBold"/>
      </w:pPr>
      <w:r>
        <w:rPr>
          <w:rStyle w:val="HideTWBExt"/>
          <w:b w:val="0"/>
        </w:rPr>
        <w:t>&lt;RepeatBlock-By&gt;</w:t>
      </w:r>
      <w:r>
        <w:rPr>
          <w:rStyle w:val="HideTWBExt"/>
          <w:b w:val="0"/>
        </w:rPr>
        <w:t>&lt;Members&gt;</w:t>
      </w:r>
      <w:r>
        <w:t>Sebastian Everding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9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 bis.</w:t>
            </w:r>
            <w:r>
              <w:tab/>
            </w:r>
            <w:r>
              <w:rPr>
                <w:b/>
                <w:i/>
              </w:rPr>
              <w:t>Insta a la Comisión a que mejore la aplicación de la política pesquera común garantizando objetivos y normas medioambientales, climáticos, de bienestar animal, de transparencia y sociales;</w:t>
            </w:r>
            <w:r>
              <w:t xml:space="preserve"> </w:t>
            </w:r>
            <w:r>
              <w:rPr>
                <w:b/>
                <w:i/>
              </w:rPr>
              <w:t>recuerda, en particular, la necesidad de reforzar la aplicación de la obligación de desembarque para evitar los descartes ilegales;</w:t>
            </w:r>
            <w:r>
              <w:t xml:space="preserve"> </w:t>
            </w:r>
            <w:r>
              <w:rPr>
                <w:b/>
                <w:i/>
              </w:rPr>
              <w:t>destaca que la simplificación debe mejorar la aplicación, manteniendo o reforzando al mismo tiempo los enfoques de precaución y basados en los ecosistemas y los objetivos de restauración de las poblaciones de peces y los ecosistemas marinos;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230</w:t>
      </w:r>
      <w:r>
        <w:rPr>
          <w:rStyle w:val="HideTWBExt"/>
        </w:rPr>
        <w:t>&lt;/NumAm&gt;</w:t>
      </w:r>
    </w:p>
    <w:p>
      <w:pPr>
        <w:pStyle w:val="NormalBold"/>
      </w:pPr>
      <w:r>
        <w:rPr>
          <w:rStyle w:val="HideTWBExt"/>
          <w:b w:val="0"/>
        </w:rPr>
        <w:t>&lt;RepeatBlock-By&gt;</w:t>
      </w:r>
      <w:r>
        <w:rPr>
          <w:rStyle w:val="HideTWBExt"/>
          <w:b w:val="0"/>
        </w:rPr>
        <w:t>&lt;Members&gt;</w:t>
      </w:r>
      <w:r>
        <w:t>Isabelle Le Callennec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Solicita a la Comisión que, antes de introducir nuevas reducciones de las posibilidades de pesca, conceda tiempo suficiente para que las medidas ya adoptadas puedan producir resultados mensurables y ser objeto de una evaluación adecuada de sus repercusiones biológicas, económicas y sociales;</w:t>
            </w:r>
          </w:p>
        </w:tc>
        <w:tc>
          <w:tcPr>
            <w:tcW w:w="4876" w:type="dxa"/>
            <w:tcBorders>
              <w:top w:val="nil"/>
              <w:left w:val="nil"/>
              <w:bottom w:val="nil"/>
              <w:right w:val="nil"/>
            </w:tcBorders>
          </w:tcPr>
          <w:p>
            <w:pPr>
              <w:pStyle w:val="Normal6a"/>
            </w:pPr>
            <w:r>
              <w:t>10.</w:t>
            </w:r>
            <w:r>
              <w:tab/>
            </w:r>
            <w:r>
              <w:t xml:space="preserve">Solicita a la Comisión que, antes de introducir nuevas reducciones de las posibilidades de pesca </w:t>
            </w:r>
            <w:r>
              <w:rPr>
                <w:b/>
                <w:i/>
              </w:rPr>
              <w:t>(también a través de medidas de conservación)</w:t>
            </w:r>
            <w:r>
              <w:t>, conceda tiempo suficiente para que las medidas ya adoptadas puedan producir resultados mensurables y ser objeto de una evaluación adecuada de sus repercusiones biológicas, económicas y sociales</w:t>
            </w:r>
            <w:r>
              <w:rPr>
                <w:b/>
                <w:i/>
              </w:rPr>
              <w:t>, así como para un análisis científico de costes y beneficios y una evaluación de los efectos biológicos, económicos y sociales de las medidas ya en vigor, y que se mantengan medidas alternativas si parecen más pertinentes, a fin de garantizar que cualquier nueva decisión se base en resultados objetivamente demostrados</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231</w:t>
      </w:r>
      <w:r>
        <w:rPr>
          <w:rStyle w:val="HideTWBExt"/>
        </w:rPr>
        <w:t>&lt;/NumAm&gt;</w:t>
      </w:r>
    </w:p>
    <w:p>
      <w:pPr>
        <w:pStyle w:val="NormalBold"/>
      </w:pPr>
      <w:r>
        <w:rPr>
          <w:rStyle w:val="HideTWBExt"/>
          <w:b w:val="0"/>
        </w:rPr>
        <w:t>&lt;RepeatBlock-By&gt;</w:t>
      </w:r>
      <w:r>
        <w:rPr>
          <w:rStyle w:val="HideTWBExt"/>
          <w:b w:val="0"/>
        </w:rPr>
        <w:t>&lt;Members&gt;</w:t>
      </w:r>
      <w:r>
        <w:t>Nora Junco García, Kristoffer Storm, Piotr Müller, Stephen Nikola Bartulica, Sander Smit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 xml:space="preserve">Solicita a la Comisión que, antes de introducir nuevas reducciones de las posibilidades de pesca, conceda </w:t>
            </w:r>
            <w:r>
              <w:rPr>
                <w:b/>
                <w:i/>
              </w:rPr>
              <w:t>tiempo suficiente</w:t>
            </w:r>
            <w:r>
              <w:t xml:space="preserve"> para que las medidas ya adoptadas puedan producir resultados mensurables </w:t>
            </w:r>
            <w:r>
              <w:rPr>
                <w:b/>
                <w:i/>
              </w:rPr>
              <w:t>y ser</w:t>
            </w:r>
            <w:r>
              <w:t xml:space="preserve"> objeto de una evaluación </w:t>
            </w:r>
            <w:r>
              <w:rPr>
                <w:b/>
                <w:i/>
              </w:rPr>
              <w:t>adecuada</w:t>
            </w:r>
            <w:r>
              <w:t xml:space="preserve"> de sus repercusiones biológicas, económicas y sociales;</w:t>
            </w:r>
          </w:p>
        </w:tc>
        <w:tc>
          <w:tcPr>
            <w:tcW w:w="4876" w:type="dxa"/>
            <w:tcBorders>
              <w:top w:val="nil"/>
              <w:left w:val="nil"/>
              <w:bottom w:val="nil"/>
              <w:right w:val="nil"/>
            </w:tcBorders>
          </w:tcPr>
          <w:p>
            <w:pPr>
              <w:pStyle w:val="Normal6a"/>
            </w:pPr>
            <w:r>
              <w:t>10.</w:t>
            </w:r>
            <w:r>
              <w:tab/>
            </w:r>
            <w:r>
              <w:t xml:space="preserve">Solicita a la Comisión que, antes de introducir nuevas reducciones de las posibilidades de pesca </w:t>
            </w:r>
            <w:r>
              <w:rPr>
                <w:b/>
                <w:i/>
              </w:rPr>
              <w:t>o del esfuerzo pesquero</w:t>
            </w:r>
            <w:r>
              <w:t xml:space="preserve">, conceda </w:t>
            </w:r>
            <w:r>
              <w:rPr>
                <w:b/>
                <w:i/>
              </w:rPr>
              <w:t>un plazo mínimo de dos ciclos anuales de gestión</w:t>
            </w:r>
            <w:r>
              <w:t xml:space="preserve"> para que las medidas ya adoptadas puedan producir resultados mensurables</w:t>
            </w:r>
            <w:r>
              <w:rPr>
                <w:b/>
                <w:i/>
              </w:rPr>
              <w:t>, y que dichos resultados sean</w:t>
            </w:r>
            <w:r>
              <w:t xml:space="preserve"> objeto de una evaluación </w:t>
            </w:r>
            <w:r>
              <w:rPr>
                <w:b/>
                <w:i/>
              </w:rPr>
              <w:t>independiente</w:t>
            </w:r>
            <w:r>
              <w:t xml:space="preserve"> de sus repercusiones biológicas, económicas y sociales; </w:t>
            </w:r>
            <w:r>
              <w:rPr>
                <w:b/>
                <w:i/>
              </w:rPr>
              <w:t>considera que, en ausencia de dicha evaluación, deberá mantenerse el nivel de esfuerzo pesquero vigente sin nuevas reducciones;</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232</w:t>
      </w:r>
      <w:r>
        <w:rPr>
          <w:rStyle w:val="HideTWBExt"/>
        </w:rPr>
        <w:t>&lt;/NumAm&gt;</w:t>
      </w:r>
    </w:p>
    <w:p>
      <w:pPr>
        <w:pStyle w:val="NormalBold"/>
      </w:pPr>
      <w:r>
        <w:rPr>
          <w:rStyle w:val="HideTWBExt"/>
          <w:b w:val="0"/>
        </w:rPr>
        <w:t>&lt;RepeatBlock-By&gt;</w:t>
      </w:r>
      <w:r>
        <w:rPr>
          <w:rStyle w:val="HideTWBExt"/>
          <w:b w:val="0"/>
        </w:rPr>
        <w:t>&lt;Members&gt;</w:t>
      </w:r>
      <w:r>
        <w:t>Mélissa Camara</w:t>
      </w:r>
      <w:r>
        <w:rPr>
          <w:rStyle w:val="HideTWBExt"/>
          <w:b w:val="0"/>
        </w:rPr>
        <w:t>&lt;/Members&gt;</w:t>
      </w:r>
    </w:p>
    <w:p>
      <w:r>
        <w:rPr>
          <w:rStyle w:val="HideTWBExt"/>
          <w:b w:val="0"/>
        </w:rPr>
        <w:t>&lt;AuNomDe&gt;</w:t>
      </w:r>
      <w:r>
        <w:rPr>
          <w:rStyle w:val="HideTWBInt"/>
        </w:rPr>
        <w:t>{Verts/ALE}</w:t>
      </w:r>
      <w:r>
        <w:t>en nombre del Grupo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 xml:space="preserve">Solicita a la Comisión que, </w:t>
            </w:r>
            <w:r>
              <w:rPr>
                <w:b/>
                <w:i/>
              </w:rPr>
              <w:t>antes de introducir nuevas reducciones de las</w:t>
            </w:r>
            <w:r>
              <w:t xml:space="preserve"> posibilidades de pesca</w:t>
            </w:r>
            <w:r>
              <w:rPr>
                <w:b/>
                <w:i/>
              </w:rPr>
              <w:t>, conceda tiempo suficiente para que las medidas ya adoptadas puedan producir resultados mensurables y ser objeto de una evaluación adecuada de sus</w:t>
            </w:r>
            <w:r>
              <w:t xml:space="preserve"> repercusiones biológicas, económicas y sociales;</w:t>
            </w:r>
          </w:p>
        </w:tc>
        <w:tc>
          <w:tcPr>
            <w:tcW w:w="4876" w:type="dxa"/>
            <w:tcBorders>
              <w:top w:val="nil"/>
              <w:left w:val="nil"/>
              <w:bottom w:val="nil"/>
              <w:right w:val="nil"/>
            </w:tcBorders>
          </w:tcPr>
          <w:p>
            <w:pPr>
              <w:pStyle w:val="Normal6a"/>
            </w:pPr>
            <w:r>
              <w:t>10.</w:t>
            </w:r>
            <w:r>
              <w:tab/>
            </w:r>
            <w:r>
              <w:t xml:space="preserve">Solicita a la Comisión que, </w:t>
            </w:r>
            <w:r>
              <w:rPr>
                <w:b/>
                <w:i/>
              </w:rPr>
              <w:t>al proponer</w:t>
            </w:r>
            <w:r>
              <w:t xml:space="preserve"> posibilidades de pesca </w:t>
            </w:r>
            <w:r>
              <w:rPr>
                <w:b/>
                <w:i/>
              </w:rPr>
              <w:t>para las poblaciones en el marco del plan plurianual para el Mediterráneo occidental, evalúe las</w:t>
            </w:r>
            <w:r>
              <w:t xml:space="preserve"> repercusiones biológicas, económicas y sociales </w:t>
            </w:r>
            <w:r>
              <w:rPr>
                <w:b/>
                <w:i/>
              </w:rPr>
              <w:t>de las medidas ya adoptadas, cuando proceda, garantizando al mismo tiempo que, en caso de que las poblaciones sigan estando sobreexplotadas o por debajo de los niveles cautelares de biomasa, las posibilidades de pesca sigan ajustándose a los mejores dictámenes científicos disponibles y a los objetivos del plan y de la PPC</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233</w:t>
      </w:r>
      <w:r>
        <w:rPr>
          <w:rStyle w:val="HideTWBExt"/>
        </w:rPr>
        <w:t>&lt;/NumAm&gt;</w:t>
      </w:r>
    </w:p>
    <w:p>
      <w:pPr>
        <w:pStyle w:val="NormalBold"/>
      </w:pPr>
      <w:r>
        <w:rPr>
          <w:rStyle w:val="HideTWBExt"/>
          <w:b w:val="0"/>
        </w:rPr>
        <w:t>&lt;RepeatBlock-By&gt;</w:t>
      </w:r>
      <w:r>
        <w:rPr>
          <w:rStyle w:val="HideTWBExt"/>
          <w:b w:val="0"/>
        </w:rPr>
        <w:t>&lt;Members&gt;</w:t>
      </w:r>
      <w:r>
        <w:t>Sebastian Everding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Solicita a la Comisión que</w:t>
            </w:r>
            <w:r>
              <w:rPr>
                <w:b/>
                <w:i/>
              </w:rPr>
              <w:t>, antes de introducir nuevas reducciones de las posibilidades de pesca, conceda tiempo suficiente para que las medidas ya adoptadas puedan producir resultados mensurables y ser objeto de una evaluación adecuada de sus</w:t>
            </w:r>
            <w:r>
              <w:t xml:space="preserve"> repercusiones biológicas, económicas y sociales;</w:t>
            </w:r>
          </w:p>
        </w:tc>
        <w:tc>
          <w:tcPr>
            <w:tcW w:w="4876" w:type="dxa"/>
            <w:tcBorders>
              <w:top w:val="nil"/>
              <w:left w:val="nil"/>
              <w:bottom w:val="nil"/>
              <w:right w:val="nil"/>
            </w:tcBorders>
          </w:tcPr>
          <w:p>
            <w:pPr>
              <w:pStyle w:val="Normal6a"/>
            </w:pPr>
            <w:r>
              <w:t>10.</w:t>
            </w:r>
            <w:r>
              <w:tab/>
            </w:r>
            <w:r>
              <w:t xml:space="preserve">Solicita a la Comisión que </w:t>
            </w:r>
            <w:r>
              <w:rPr>
                <w:b/>
                <w:i/>
              </w:rPr>
              <w:t>evalúe periódicamente las</w:t>
            </w:r>
            <w:r>
              <w:t xml:space="preserve"> repercusiones biológicas, </w:t>
            </w:r>
            <w:r>
              <w:rPr>
                <w:b/>
                <w:i/>
              </w:rPr>
              <w:t>ecológicas, climáticas, de bienestar animal,</w:t>
            </w:r>
            <w:r>
              <w:t xml:space="preserve"> económicas y sociales </w:t>
            </w:r>
            <w:r>
              <w:rPr>
                <w:b/>
                <w:i/>
              </w:rPr>
              <w:t>de las medidas de gestión</w:t>
            </w:r>
            <w:r>
              <w:t xml:space="preserve">; </w:t>
            </w:r>
            <w:r>
              <w:rPr>
                <w:b/>
                <w:i/>
              </w:rPr>
              <w:t>subraya que la falta de certeza científica completa no debe invocarse para retrasar las medidas necesarias para evitar daños graves o irreversibles a los animales marinos, las poblaciones de peces agotadas, las especies protegidas, los hábitats o el funcionamiento más amplio de los ecosistemas;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234</w:t>
      </w:r>
      <w:r>
        <w:rPr>
          <w:rStyle w:val="HideTWBExt"/>
        </w:rPr>
        <w:t>&lt;/NumAm&gt;</w:t>
      </w:r>
    </w:p>
    <w:p>
      <w:pPr>
        <w:pStyle w:val="NormalBold"/>
      </w:pPr>
      <w:r>
        <w:rPr>
          <w:rStyle w:val="HideTWBExt"/>
          <w:b w:val="0"/>
        </w:rPr>
        <w:t>&lt;RepeatBlock-By&gt;</w:t>
      </w:r>
      <w:r>
        <w:rPr>
          <w:rStyle w:val="HideTWBExt"/>
          <w:b w:val="0"/>
        </w:rPr>
        <w:t>&lt;Members&gt;</w:t>
      </w:r>
      <w:r>
        <w:t>Carmen Crespo Díaz, Isabelle Le Callennec, Paulo do Nascimento Cabral, Susana Solís Pérez, Francisco José Millán Mon, Fredis Beleris, Marco Falcone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Solicita a la Comisión que, antes de introducir nuevas reducciones de las posibilidades de pesca, conceda tiempo suficiente para que las medidas ya adoptadas puedan producir resultados mensurables y ser objeto de una evaluación adecuada de sus repercusiones biológicas, económicas y sociales;</w:t>
            </w:r>
          </w:p>
        </w:tc>
        <w:tc>
          <w:tcPr>
            <w:tcW w:w="4876" w:type="dxa"/>
            <w:tcBorders>
              <w:top w:val="nil"/>
              <w:left w:val="nil"/>
              <w:bottom w:val="nil"/>
              <w:right w:val="nil"/>
            </w:tcBorders>
          </w:tcPr>
          <w:p>
            <w:pPr>
              <w:pStyle w:val="Normal6a"/>
            </w:pPr>
            <w:r>
              <w:t>10.</w:t>
            </w:r>
            <w:r>
              <w:tab/>
            </w:r>
            <w:r>
              <w:t xml:space="preserve">Solicita a la Comisión que, antes de introducir nuevas reducciones de las posibilidades de pesca, conceda tiempo suficiente para que las medidas ya adoptadas puedan producir resultados mensurables y ser objeto de una evaluación adecuada de sus repercusiones biológicas, económicas y sociales </w:t>
            </w:r>
            <w:r>
              <w:rPr>
                <w:b/>
                <w:i/>
              </w:rPr>
              <w:t>de cara a garantizar un marco regulatorio estable y predecible que permita a las empresas planificar inversiones</w:t>
            </w:r>
            <w:r>
              <w:t>;</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235</w:t>
      </w:r>
      <w:r>
        <w:rPr>
          <w:rStyle w:val="HideTWBExt"/>
        </w:rPr>
        <w:t>&lt;/NumAm&gt;</w:t>
      </w:r>
    </w:p>
    <w:p>
      <w:pPr>
        <w:pStyle w:val="NormalBold"/>
      </w:pPr>
      <w:r>
        <w:rPr>
          <w:rStyle w:val="HideTWBExt"/>
          <w:b w:val="0"/>
        </w:rPr>
        <w:t>&lt;RepeatBlock-By&gt;</w:t>
      </w:r>
      <w:r>
        <w:rPr>
          <w:rStyle w:val="HideTWBExt"/>
          <w:b w:val="0"/>
        </w:rPr>
        <w:t>&lt;Members&gt;</w:t>
      </w:r>
      <w:r>
        <w:t>Emma Wiesner,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 xml:space="preserve">Solicita a la Comisión que, antes de introducir nuevas </w:t>
            </w:r>
            <w:r>
              <w:rPr>
                <w:b/>
                <w:i/>
              </w:rPr>
              <w:t>reducciones de</w:t>
            </w:r>
            <w:r>
              <w:t xml:space="preserve"> las posibilidades de pesca, </w:t>
            </w:r>
            <w:r>
              <w:rPr>
                <w:b/>
                <w:i/>
              </w:rPr>
              <w:t>conceda tiempo suficiente para</w:t>
            </w:r>
            <w:r>
              <w:t xml:space="preserve"> que las medidas ya adoptadas </w:t>
            </w:r>
            <w:r>
              <w:rPr>
                <w:b/>
                <w:i/>
              </w:rPr>
              <w:t>puedan</w:t>
            </w:r>
            <w:r>
              <w:t xml:space="preserve"> producir resultados mensurables y ser objeto de una evaluación adecuada de sus repercusiones biológicas, económicas y sociales;</w:t>
            </w:r>
          </w:p>
        </w:tc>
        <w:tc>
          <w:tcPr>
            <w:tcW w:w="4876" w:type="dxa"/>
            <w:tcBorders>
              <w:top w:val="nil"/>
              <w:left w:val="nil"/>
              <w:bottom w:val="nil"/>
              <w:right w:val="nil"/>
            </w:tcBorders>
          </w:tcPr>
          <w:p>
            <w:pPr>
              <w:pStyle w:val="Normal6a"/>
            </w:pPr>
            <w:r>
              <w:t>10.</w:t>
            </w:r>
            <w:r>
              <w:tab/>
            </w:r>
            <w:r>
              <w:t xml:space="preserve">Solicita a la Comisión </w:t>
            </w:r>
            <w:r>
              <w:rPr>
                <w:b/>
                <w:i/>
              </w:rPr>
              <w:t>y a los Estados miembros</w:t>
            </w:r>
            <w:r>
              <w:t xml:space="preserve"> que, antes de introducir nuevas </w:t>
            </w:r>
            <w:r>
              <w:rPr>
                <w:b/>
                <w:i/>
              </w:rPr>
              <w:t>medidas en relación con</w:t>
            </w:r>
            <w:r>
              <w:t xml:space="preserve"> las posibilidades de pesca, </w:t>
            </w:r>
            <w:r>
              <w:rPr>
                <w:b/>
                <w:i/>
              </w:rPr>
              <w:t>considere</w:t>
            </w:r>
            <w:r>
              <w:t xml:space="preserve"> que las medidas ya adoptadas </w:t>
            </w:r>
            <w:r>
              <w:rPr>
                <w:b/>
                <w:i/>
              </w:rPr>
              <w:t>tengan tiempo suficiente para</w:t>
            </w:r>
            <w:r>
              <w:t xml:space="preserve"> producir resultados mensurables y ser objeto de una evaluación adecuada de sus repercusiones biológicas, económicas y sociales;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236</w:t>
      </w:r>
      <w:r>
        <w:rPr>
          <w:rStyle w:val="HideTWBExt"/>
        </w:rPr>
        <w:t>&lt;/NumAm&gt;</w:t>
      </w:r>
    </w:p>
    <w:p>
      <w:pPr>
        <w:pStyle w:val="NormalBold"/>
      </w:pPr>
      <w:r>
        <w:rPr>
          <w:rStyle w:val="HideTWBExt"/>
          <w:b w:val="0"/>
        </w:rPr>
        <w:t>&lt;RepeatBlock-By&gt;</w:t>
      </w:r>
      <w:r>
        <w:rPr>
          <w:rStyle w:val="HideTWBExt"/>
          <w:b w:val="0"/>
        </w:rPr>
        <w:t>&lt;Members&gt;</w:t>
      </w:r>
      <w:r>
        <w:t>Carmen Crespo Díaz, Isabelle Le Callennec, Paulo do Nascimento Cabral, Susana Solís Pérez, Francisco José Millán Mon, Fredis Beleris, Marco Falcone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10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 bis.</w:t>
            </w:r>
            <w:r>
              <w:tab/>
            </w:r>
            <w:r>
              <w:rPr>
                <w:b/>
                <w:i/>
              </w:rPr>
              <w:t>Recuerda que la sostenibilidad de la pesca debe evaluarse sobre la base de los tres pilares de la Política Pesquera Común (ambiental, económico y social), que tienen el mismo rango jurídico y deben aplicarse de forma equilibrada, evitando que uno de ellos prevalezca sistemáticamente sobre los demás;</w:t>
            </w:r>
            <w:r>
              <w:t xml:space="preserve"> </w:t>
            </w:r>
            <w:r>
              <w:rPr>
                <w:b/>
                <w:i/>
              </w:rPr>
              <w:t>recuerda que la política pesquera común constituye una competencia exclusiva de la Unión en virtud del artículo 3 del TFUE, siendo una de las políticas integradas clave de la Unión, y que su eficacia, coherencia y buen funcionamiento requieren un enfoque plenamente europeo, evitando cualquier riesgo de fragmentación o renacionalización de las decisiones de gestión;</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237</w:t>
      </w:r>
      <w:r>
        <w:rPr>
          <w:rStyle w:val="HideTWBExt"/>
        </w:rPr>
        <w:t>&lt;/NumAm&gt;</w:t>
      </w:r>
    </w:p>
    <w:p>
      <w:pPr>
        <w:pStyle w:val="NormalBold"/>
      </w:pPr>
      <w:r>
        <w:rPr>
          <w:rStyle w:val="HideTWBExt"/>
          <w:b w:val="0"/>
        </w:rPr>
        <w:t>&lt;RepeatBlock-By&gt;</w:t>
      </w:r>
      <w:r>
        <w:rPr>
          <w:rStyle w:val="HideTWBExt"/>
          <w:b w:val="0"/>
        </w:rPr>
        <w:t>&lt;Members&gt;</w:t>
      </w:r>
      <w:r>
        <w:t>Mélissa Camara</w:t>
      </w:r>
      <w:r>
        <w:rPr>
          <w:rStyle w:val="HideTWBExt"/>
          <w:b w:val="0"/>
        </w:rPr>
        <w:t>&lt;/Members&gt;</w:t>
      </w:r>
    </w:p>
    <w:p>
      <w:r>
        <w:rPr>
          <w:rStyle w:val="HideTWBExt"/>
          <w:b w:val="0"/>
        </w:rPr>
        <w:t>&lt;AuNomDe&gt;</w:t>
      </w:r>
      <w:r>
        <w:rPr>
          <w:rStyle w:val="HideTWBInt"/>
        </w:rPr>
        <w:t>{Verts/ALE}</w:t>
      </w:r>
      <w:r>
        <w:t>en nombre del Grupo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10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 bis.</w:t>
            </w:r>
            <w:r>
              <w:tab/>
            </w:r>
            <w:r>
              <w:rPr>
                <w:b/>
                <w:i/>
              </w:rPr>
              <w:t>Pide a la Comisión que garantice que cualquier futuro ajuste de la gestión de la pesca en el mar Mediterráneo se base en evaluaciones transparentes, con base científica y basadas en los ecosistemas, dando tiempo suficiente para que las medidas de conservación recientemente adoptadas demuestren su eficacia, al tiempo que se supervisa de cerca su impacto en las poblaciones de peces, los ecosistemas marinos y las comunidades dependientes de la pesca;</w:t>
            </w:r>
            <w:r>
              <w:t xml:space="preserve"> </w:t>
            </w:r>
            <w:r>
              <w:rPr>
                <w:b/>
                <w:i/>
              </w:rPr>
              <w:t>destaca la necesidad de combinar medidas de conservación eficaces con el apoyo a una transición justa hacia una pesca sostenible, de bajo impacto y sin emisiones;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238</w:t>
      </w:r>
      <w:r>
        <w:rPr>
          <w:rStyle w:val="HideTWBExt"/>
        </w:rPr>
        <w:t>&lt;/NumAm&gt;</w:t>
      </w:r>
    </w:p>
    <w:p>
      <w:pPr>
        <w:pStyle w:val="NormalBold"/>
      </w:pPr>
      <w:r>
        <w:rPr>
          <w:rStyle w:val="HideTWBExt"/>
          <w:b w:val="0"/>
        </w:rPr>
        <w:t>&lt;RepeatBlock-By&gt;</w:t>
      </w:r>
      <w:r>
        <w:rPr>
          <w:rStyle w:val="HideTWBExt"/>
          <w:b w:val="0"/>
        </w:rPr>
        <w:t>&lt;Members&gt;</w:t>
      </w:r>
      <w:r>
        <w:t>Eric Sargiacomo, Nicolás González Casares, Giuseppe Lupo, Sakis Arnaoutoglou, Idoia Mendia, Chloé Ridel, Claire Fita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10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 bis.</w:t>
            </w:r>
            <w:r>
              <w:tab/>
            </w:r>
            <w:r>
              <w:rPr>
                <w:b/>
                <w:i/>
              </w:rPr>
              <w:t>Pide a la Comisión que presente al Parlamento Europeo, a más tardar tres años después de la entrada en vigor del Reglamento revisado, un informe de evaluación sobre sus repercusiones biológicas, económicas, sociales y territoriales, en el que se analicen, en particular, los efectos en los ingresos de los pescadores, el empleo, el relevo generacional, la resiliencia de las comunidades costeras, el estado de las principales poblaciones de peces y los efectos acumulativos de otras políticas marítimas de la Unión en la actividad pesquera;</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239</w:t>
      </w:r>
      <w:r>
        <w:rPr>
          <w:rStyle w:val="HideTWBExt"/>
        </w:rPr>
        <w:t>&lt;/NumAm&gt;</w:t>
      </w:r>
    </w:p>
    <w:p>
      <w:pPr>
        <w:pStyle w:val="NormalBold"/>
      </w:pPr>
      <w:r>
        <w:rPr>
          <w:rStyle w:val="HideTWBExt"/>
          <w:b w:val="0"/>
        </w:rPr>
        <w:t>&lt;RepeatBlock-By&gt;</w:t>
      </w:r>
      <w:r>
        <w:rPr>
          <w:rStyle w:val="HideTWBExt"/>
          <w:b w:val="0"/>
        </w:rPr>
        <w:t>&lt;Members&gt;</w:t>
      </w:r>
      <w:r>
        <w:t>Sebastian Everding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10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 bis.</w:t>
            </w:r>
            <w:r>
              <w:tab/>
            </w:r>
            <w:r>
              <w:rPr>
                <w:b/>
                <w:i/>
              </w:rPr>
              <w:t>Pide a la Comisión y a los Estados miembros que prohíban la pesca de contacto de fondo móvil en zonas estrictamente protegidas y que la eliminen gradualmente en los ecosistemas marinos vulnerables, las praderas marinas, los hábitats coralígenos y de aguas profundas, las zonas de desove y cría y las zonas designadas para la restauración ecológica;</w:t>
            </w:r>
            <w:r>
              <w:t xml:space="preserve"> </w:t>
            </w:r>
            <w:r>
              <w:rPr>
                <w:b/>
                <w:i/>
              </w:rPr>
              <w:t>pide un apoyo específico a la transición justa para los trabajadores afectados y las comunidades costeras;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240</w:t>
      </w:r>
      <w:r>
        <w:rPr>
          <w:rStyle w:val="HideTWBExt"/>
        </w:rPr>
        <w:t>&lt;/NumAm&gt;</w:t>
      </w:r>
    </w:p>
    <w:p>
      <w:pPr>
        <w:pStyle w:val="NormalBold"/>
      </w:pPr>
      <w:r>
        <w:rPr>
          <w:rStyle w:val="HideTWBExt"/>
          <w:b w:val="0"/>
        </w:rPr>
        <w:t>&lt;RepeatBlock-By&gt;</w:t>
      </w:r>
      <w:r>
        <w:rPr>
          <w:rStyle w:val="HideTWBExt"/>
          <w:b w:val="0"/>
        </w:rPr>
        <w:t>&lt;Members&gt;</w:t>
      </w:r>
      <w:r>
        <w:t>Sebastian Everding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10 ter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 ter.</w:t>
            </w:r>
            <w:r>
              <w:tab/>
            </w:r>
            <w:r>
              <w:rPr>
                <w:b/>
                <w:i/>
              </w:rPr>
              <w:t>Pide medidas vinculantes, mensurables y con plazos definidos para prevenir y reducir las capturas accesorias y la mortalidad de especies no objetivo y protegidas, incluidos los tiburones, las rayas, los cetáceos, las tortugas marinas y las aves marinas;</w:t>
            </w:r>
            <w:r>
              <w:t xml:space="preserve"> </w:t>
            </w:r>
            <w:r>
              <w:rPr>
                <w:b/>
                <w:i/>
              </w:rPr>
              <w:t>pide el uso obligatorio de las medidas de mitigación más eficaces disponibles, un seguimiento independiente y el cierre temporal de las zonas de alto riesgo cuando sea necesario;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241</w:t>
      </w:r>
      <w:r>
        <w:rPr>
          <w:rStyle w:val="HideTWBExt"/>
        </w:rPr>
        <w:t>&lt;/NumAm&gt;</w:t>
      </w:r>
    </w:p>
    <w:p>
      <w:pPr>
        <w:pStyle w:val="NormalBold"/>
      </w:pPr>
      <w:r>
        <w:rPr>
          <w:rStyle w:val="HideTWBExt"/>
          <w:b w:val="0"/>
        </w:rPr>
        <w:t>&lt;RepeatBlock-By&gt;</w:t>
      </w:r>
      <w:r>
        <w:rPr>
          <w:rStyle w:val="HideTWBExt"/>
          <w:b w:val="0"/>
        </w:rPr>
        <w:t>&lt;Members&gt;</w:t>
      </w:r>
      <w:r>
        <w:t>Sebastian Everding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10 quater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 quater.</w:t>
            </w:r>
            <w:r>
              <w:tab/>
            </w:r>
            <w:r>
              <w:rPr>
                <w:b/>
                <w:i/>
              </w:rPr>
              <w:t>Recuerda que el artículo 13 del TFUE exige que, al formular y aplicar la política pesquera, la Unión tenga plenamente en cuenta las exigencias en materia de bienestar de los animales como seres sensibles;</w:t>
            </w:r>
            <w:r>
              <w:t xml:space="preserve"> </w:t>
            </w:r>
            <w:r>
              <w:rPr>
                <w:b/>
                <w:i/>
              </w:rPr>
              <w:t>pide a la Comisión que apoye la investigación y la introducción gradual de prácticas de captura, recuperación, manipulación, aturdimiento y sacrificio que minimicen la duración y gravedad del sufrimiento de los peces y crustáceos;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242</w:t>
      </w:r>
      <w:r>
        <w:rPr>
          <w:rStyle w:val="HideTWBExt"/>
        </w:rPr>
        <w:t>&lt;/NumAm&gt;</w:t>
      </w:r>
    </w:p>
    <w:p>
      <w:pPr>
        <w:pStyle w:val="NormalBold"/>
      </w:pPr>
      <w:r>
        <w:rPr>
          <w:rStyle w:val="HideTWBExt"/>
          <w:b w:val="0"/>
        </w:rPr>
        <w:t>&lt;RepeatBlock-By&gt;</w:t>
      </w:r>
      <w:r>
        <w:rPr>
          <w:rStyle w:val="HideTWBExt"/>
          <w:b w:val="0"/>
        </w:rPr>
        <w:t>&lt;Members&gt;</w:t>
      </w:r>
      <w:r>
        <w:t>Sebastian Everding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10 quinquies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 quinquies.</w:t>
            </w:r>
            <w:r>
              <w:tab/>
            </w:r>
            <w:r>
              <w:rPr>
                <w:b/>
                <w:i/>
              </w:rPr>
              <w:t>Pide a la Comisión que evalúe y reduzca la huella climática de la pesca mediterránea, incluido el uso de combustible, los daños a los ecosistemas de carbono azul, los refrigerantes y las emisiones de la cadena de suministro;</w:t>
            </w:r>
            <w:r>
              <w:t xml:space="preserve"> </w:t>
            </w:r>
            <w:r>
              <w:rPr>
                <w:b/>
                <w:i/>
              </w:rPr>
              <w:t>destaca que el apoyo público debe dar prioridad a la reducción absoluta de las emisiones y a la pesca de bajo impacto y no debe prolongar la dependencia de los combustibles fósiles;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243</w:t>
      </w:r>
      <w:r>
        <w:rPr>
          <w:rStyle w:val="HideTWBExt"/>
        </w:rPr>
        <w:t>&lt;/NumAm&gt;</w:t>
      </w:r>
    </w:p>
    <w:p>
      <w:pPr>
        <w:pStyle w:val="NormalBold"/>
      </w:pPr>
      <w:r>
        <w:rPr>
          <w:rStyle w:val="HideTWBExt"/>
          <w:b w:val="0"/>
        </w:rPr>
        <w:t>&lt;RepeatBlock-By&gt;</w:t>
      </w:r>
      <w:r>
        <w:rPr>
          <w:rStyle w:val="HideTWBExt"/>
          <w:b w:val="0"/>
        </w:rPr>
        <w:t>&lt;Members&gt;</w:t>
      </w:r>
      <w:r>
        <w:t>Sebastian Everding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10 sexies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 sexies.</w:t>
            </w:r>
            <w:r>
              <w:tab/>
            </w:r>
            <w:r>
              <w:rPr>
                <w:b/>
                <w:i/>
              </w:rPr>
              <w:t>Subraya que la transición ecológica debe ser socialmente justa;</w:t>
            </w:r>
            <w:r>
              <w:t xml:space="preserve"> </w:t>
            </w:r>
            <w:r>
              <w:rPr>
                <w:b/>
                <w:i/>
              </w:rPr>
              <w:t>pide un apoyo específico a la renta, protección social, reciclaje profesional, medidas de seguridad laboral y oportunidades de empleo alternativas para los pescadores y trabajadores afectados;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244</w:t>
      </w:r>
      <w:r>
        <w:rPr>
          <w:rStyle w:val="HideTWBExt"/>
        </w:rPr>
        <w:t>&lt;/NumAm&gt;</w:t>
      </w:r>
    </w:p>
    <w:p>
      <w:pPr>
        <w:pStyle w:val="NormalBold"/>
      </w:pPr>
      <w:r>
        <w:rPr>
          <w:rStyle w:val="HideTWBExt"/>
          <w:b w:val="0"/>
        </w:rPr>
        <w:t>&lt;RepeatBlock-By&gt;</w:t>
      </w:r>
      <w:r>
        <w:rPr>
          <w:rStyle w:val="HideTWBExt"/>
          <w:b w:val="0"/>
        </w:rPr>
        <w:t>&lt;Members&gt;</w:t>
      </w:r>
      <w:r>
        <w:t>Sebastian Everding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10 septies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 septies.</w:t>
            </w:r>
            <w:r>
              <w:tab/>
            </w:r>
            <w:r>
              <w:rPr>
                <w:b/>
                <w:i/>
              </w:rPr>
              <w:t>Pide que el apoyo financiero nacional y de la Unión esté condicionado al cumplimiento de las normas en materia de pesca, medio ambiente, trabajo y bienestar animal;</w:t>
            </w:r>
            <w:r>
              <w:t xml:space="preserve"> </w:t>
            </w:r>
            <w:r>
              <w:rPr>
                <w:b/>
                <w:i/>
              </w:rPr>
              <w:t>subraya que los operadores responsables de infracciones graves o reiteradas deben quedar excluidos del apoyo público durante un período eficaz y proporcionado;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245</w:t>
      </w:r>
      <w:r>
        <w:rPr>
          <w:rStyle w:val="HideTWBExt"/>
        </w:rPr>
        <w:t>&lt;/NumAm&gt;</w:t>
      </w:r>
    </w:p>
    <w:p>
      <w:pPr>
        <w:pStyle w:val="NormalBold"/>
      </w:pPr>
      <w:r>
        <w:rPr>
          <w:rStyle w:val="HideTWBExt"/>
          <w:b w:val="0"/>
        </w:rPr>
        <w:t>&lt;RepeatBlock-By&gt;</w:t>
      </w:r>
      <w:r>
        <w:rPr>
          <w:rStyle w:val="HideTWBExt"/>
          <w:b w:val="0"/>
        </w:rPr>
        <w:t>&lt;Members&gt;</w:t>
      </w:r>
      <w:r>
        <w:t>Sebastian Everding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10 octies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 octies.</w:t>
            </w:r>
            <w:r>
              <w:tab/>
            </w:r>
            <w:r>
              <w:rPr>
                <w:b/>
                <w:i/>
              </w:rPr>
              <w:t>Pide a los Estados miembros que aborden el persistente desequilibrio entre la capacidad pesquera y las posibilidades de pesca en el Mediterráneo occidental con carácter prioritario a través de medidas justas, voluntarias y permanentes de ajuste de la capacidad, acompañadas de un apoyo adecuado a los pescadores y las comunidades pesqueras afectados y de oportunidades de diversificación para garantizar una transición justa;</w:t>
            </w:r>
            <w:r>
              <w:t xml:space="preserve"> </w:t>
            </w:r>
            <w:r>
              <w:rPr>
                <w:b/>
                <w:i/>
              </w:rPr>
              <w:t>subraya que el exceso de capacidad no debe transferirse a otras regiones o pesquerías;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r>
        <w:rPr>
          <w:rStyle w:val="HideTWBExt"/>
        </w:rPr>
        <w:t>&lt;/RepeatBlock-Amend&gt;</w:t>
      </w:r>
    </w:p>
    <w:sectPr>
      <w:footerReference w:type="even" r:id="rId5"/>
      <w:footerReference w:type="default" r:id="rId6"/>
      <w:footerReference w:type="first" r:id="rId7"/>
      <w:pgSz w:w="11909" w:h="16834"/>
      <w:pgMar w:top="1134" w:right="1417" w:bottom="1417" w:left="1417" w:header="1134" w:footer="567"/>
      <w:cols w:space="720"/>
      <w:titlePg/>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791.020</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124</w:t>
    </w:r>
    <w:r>
      <w:fldChar w:fldCharType="end"/>
    </w:r>
    <w:r>
      <w:t>/</w:t>
    </w:r>
    <w:r>
      <w:fldChar w:fldCharType="begin"/>
    </w:r>
    <w:r>
      <w:instrText xml:space="preserve"> NUMPAGES </w:instrText>
    </w:r>
    <w:r>
      <w:fldChar w:fldCharType="separate"/>
    </w:r>
    <w:r>
      <w:t>124</w:t>
    </w:r>
    <w:r>
      <w:fldChar w:fldCharType="end"/>
    </w:r>
    <w:r>
      <w:tab/>
    </w:r>
    <w:r>
      <w:rPr>
        <w:rStyle w:val="HideTWBExt"/>
      </w:rPr>
      <w:t>&lt;PathFdR&gt;</w:t>
    </w:r>
    <w:r>
      <w:t>AM\1348234ES.docx</w:t>
    </w:r>
    <w:r>
      <w:rPr>
        <w:rStyle w:val="HideTWBExt"/>
      </w:rPr>
      <w:t>&lt;/PathFdR&gt;</w:t>
    </w:r>
  </w:p>
  <w:p>
    <w:pPr>
      <w:pStyle w:val="EPFooter2"/>
    </w:pPr>
    <w:r>
      <w:t>ES</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AM\1348234ES.docx</w:t>
    </w:r>
    <w:r>
      <w:rPr>
        <w:rStyle w:val="HideTWBExt"/>
      </w:rPr>
      <w:t>&lt;/PathFdR&gt;</w:t>
    </w:r>
    <w:r>
      <w:tab/>
    </w:r>
    <w:r>
      <w:fldChar w:fldCharType="begin"/>
    </w:r>
    <w:r>
      <w:instrText xml:space="preserve"> PAGE </w:instrText>
    </w:r>
    <w:r>
      <w:fldChar w:fldCharType="separate"/>
    </w:r>
    <w:r>
      <w:t>123</w:t>
    </w:r>
    <w:r>
      <w:fldChar w:fldCharType="end"/>
    </w:r>
    <w:r>
      <w:t>/</w:t>
    </w:r>
    <w:r>
      <w:fldChar w:fldCharType="begin"/>
    </w:r>
    <w:r>
      <w:instrText xml:space="preserve"> NUMPAGES </w:instrText>
    </w:r>
    <w:r>
      <w:fldChar w:fldCharType="separate"/>
    </w:r>
    <w:r>
      <w:t>124</w:t>
    </w:r>
    <w:r>
      <w:fldChar w:fldCharType="end"/>
    </w:r>
    <w:r>
      <w:tab/>
    </w:r>
    <w:r>
      <w:t>PE</w:t>
    </w:r>
    <w:r>
      <w:rPr>
        <w:rStyle w:val="HideTWBExt"/>
      </w:rPr>
      <w:t>&lt;NoPE&gt;</w:t>
    </w:r>
    <w:r>
      <w:t>791.020</w:t>
    </w:r>
    <w:r>
      <w:rPr>
        <w:rStyle w:val="HideTWBExt"/>
      </w:rPr>
      <w:t>&lt;/NoPE&gt;</w:t>
    </w:r>
    <w:r>
      <w:rPr>
        <w:rStyle w:val="HideTWBExt"/>
      </w:rPr>
      <w:t>&lt;Version&gt;</w:t>
    </w:r>
    <w:r>
      <w:t>v01-00</w:t>
    </w:r>
    <w:r>
      <w:rPr>
        <w:rStyle w:val="HideTWBExt"/>
      </w:rPr>
      <w:t>&lt;/Version&gt;</w:t>
    </w:r>
  </w:p>
  <w:p>
    <w:pPr>
      <w:pStyle w:val="EPFooter2"/>
    </w:pPr>
    <w:r>
      <w:tab/>
    </w:r>
    <w:r>
      <w:tab/>
    </w:r>
    <w:r>
      <w:t>ES</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AM\1348234ES.docx</w:t>
    </w:r>
    <w:r>
      <w:rPr>
        <w:rStyle w:val="HideTWBExt"/>
      </w:rPr>
      <w:t>&lt;/PathFdR&gt;</w:t>
    </w:r>
    <w:r>
      <w:tab/>
    </w:r>
    <w:r>
      <w:tab/>
    </w:r>
    <w:r>
      <w:t>PE</w:t>
    </w:r>
    <w:r>
      <w:rPr>
        <w:rStyle w:val="HideTWBExt"/>
      </w:rPr>
      <w:t>&lt;NoPE&gt;</w:t>
    </w:r>
    <w:r>
      <w:t>791.020</w:t>
    </w:r>
    <w:r>
      <w:rPr>
        <w:rStyle w:val="HideTWBExt"/>
      </w:rPr>
      <w:t>&lt;/NoPE&gt;</w:t>
    </w:r>
    <w:r>
      <w:rPr>
        <w:rStyle w:val="HideTWBExt"/>
      </w:rPr>
      <w:t>&lt;Version&gt;</w:t>
    </w:r>
    <w:r>
      <w:t>v01-00</w:t>
    </w:r>
    <w:r>
      <w:rPr>
        <w:rStyle w:val="HideTWBExt"/>
      </w:rPr>
      <w:t>&lt;/Version&gt;</w:t>
    </w:r>
  </w:p>
  <w:p>
    <w:pPr>
      <w:pStyle w:val="EPFooter2"/>
    </w:pPr>
    <w:r>
      <w:t>ES</w:t>
    </w:r>
    <w:r>
      <w:tab/>
    </w:r>
    <w:r>
      <w:rPr>
        <w:rStyle w:val="EPFooter2Motto"/>
      </w:rPr>
      <w:t>Unida en la diversidad</w:t>
    </w:r>
    <w:r>
      <w:tab/>
    </w:r>
    <w:r>
      <w:t>ES</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140430 HideTWBExt;}{\s16\qr \li0\ri0\sb240\sa240\nowidctlpar\wrapdefault\aspalpha\aspnum\faauto\adjustright\rin0\lin0\itap0 \rtlch\fcs1 \af0\afs20\alang1025 \ltrch\fcs0 &#13;_x000a_\fs24\lang2057\langfe2057\cgrid\langnp2057\langfenp2057 \sbasedon0 \snext16 \spriority0 \styrsid1140430 AmOrLang;}{\s17\ql \li0\ri0\sa120\nowidctlpar\wrapdefault\aspalpha\aspnum\faauto\adjustright\rin0\lin0\itap0 \rtlch\fcs1 \af0\afs20\alang1025 &#13;_x000a_\ltrch\fcs0 \fs24\lang2057\langfe2057\cgrid\langnp2057\langfenp2057 \sbasedon0 \snext17 \spriority0 \styrsid1140430 Normal6a;}{\s18\ql \li0\ri0\nowidctlpar\wrapdefault\aspalpha\aspnum\faauto\adjustright\rin0\lin0\itap0 \rtlch\fcs1 \af0\afs20\alang1025 &#13;_x000a_\ltrch\fcs0 \b\fs24\lang2057\langfe2057\cgrid\langnp2057\langfenp2057 \sbasedon0 \snext18 \spriority0 \styrsid1140430 NormalBold;}{\s19\qc \li0\ri0\sa240\nowidctlpar\wrapdefault\aspalpha\aspnum\faauto\adjustright\rin0\lin0\itap0 \rtlch\fcs1 &#13;_x000a_\af0\afs20\alang1025 \ltrch\fcs0 \i\fs24\lang2057\langfe2057\cgrid\langnp2057\langfenp2057 \sbasedon0 \snext19 \spriority0 \styrsid1140430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1140430 AmNumberTabs;}}{\*\rsidtbl \rsid24658\rsid358857\rsid735077\rsid787282\rsid1140430\rsid2892074\rsid3622648\rsid4666813\rsid5708216&#13;_x000a_\rsid6641733\rsid7553164\rsid8465581\rsid8681905\rsid8724649\rsid9636012\rsid9862312\rsid11215221\rsid11370291\rsid11434737\rsid11607138\rsid11824949\rsid12154954\rsid12213393\rsid14424199\rsid15204470\rsid15285974\rsid15535219\rsid15950462\rsid16324206&#13;_x000a_\rsid16662270}{\mmathPr\mmathFont34\mbrkBin0\mbrkBinSub0\msmallFrac0\mdispDef1\mlMargin0\mrMargin0\mdefJc1\mwrapIndent1440\mintLim0\mnaryLim1}{\info{\author FELIX Karina}{\operator FELIX Karina}{\creatim\yr2019\mo7\dy3\hr17\min21}&#13;_x000a_{\revtim\yr2019\mo7\dy3\hr17\min21}{\version1}{\edmins0}{\nofpages1}{\nofwords25}{\nofchars291}{\*\company European Parliament}{\nofcharsws29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14043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2213393 &#13;_x000a_\chftnsep &#13;_x000a_\par }}{\*\ftnsepc \ltrpar \pard\plain \ltrpar\ql \li0\ri0\widctlpar\wrapdefault\aspalpha\aspnum\faauto\adjustright\rin0\lin0\itap0 \rtlch\fcs1 \af0\afs20\alang1025 \ltrch\fcs0 \fs24\lang2057\langfe2057\cgrid\langnp2057\langfenp2057 {\rtlch\fcs1 \af0 &#13;_x000a_\ltrch\fcs0 \insrsid12213393 \chftnsepc &#13;_x000a_\par }}{\*\aftnsep \ltrpar \pard\plain \ltrpar\ql \li0\ri0\widctlpar\wrapdefault\aspalpha\aspnum\faauto\adjustright\rin0\lin0\itap0 \rtlch\fcs1 \af0\afs20\alang1025 \ltrch\fcs0 \fs24\lang2057\langfe2057\cgrid\langnp2057\langfenp2057 {\rtlch\fcs1 \af0 &#13;_x000a_\ltrch\fcs0 \insrsid12213393 \chftnsep &#13;_x000a_\par }}{\*\aftnsepc \ltrpar \pard\plain \ltrpar\ql \li0\ri0\widctlpar\wrapdefault\aspalpha\aspnum\faauto\adjustright\rin0\lin0\itap0 \rtlch\fcs1 \af0\afs20\alang1025 \ltrch\fcs0 \fs24\lang2057\langfe2057\cgrid\langnp2057\langfenp2057 {\rtlch\fcs1 \af0 &#13;_x000a_\ltrch\fcs0 \insrsid1221339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1140430 \rtlch\fcs1 \af0\afs20\alang1025 \ltrch\fcs0 \b\fs24\lang2057\langfe2057\cgrid\langnp2057\langfenp2057 {\rtlch\fcs1 \af0 \ltrch\fcs0 \cs15\b0\v\f1\fs20\cf9\lang1024\langfe1024\noproof\insrsid1140430\charrsid4417459 &#13;_x000a_{\*\bkmkstart restart}&lt;Amend&gt;}{\rtlch\fcs1 \af0 \ltrch\fcs0 \insrsid1140430\charrsid1799708 [ZAMENDMENT]}{\rtlch\fcs1 \af0 \ltrch\fcs0 \insrsid1140430 \tab \tab }{\rtlch\fcs1 \af0 \ltrch\fcs0 &#13;_x000a_\cs15\b0\v\f1\fs20\cf9\lang1024\langfe1024\noproof\insrsid1140430\charrsid4417459 &lt;NumAm&gt;}{\rtlch\fcs1 \af0 \ltrch\fcs0 \insrsid1140430\charrsid1799708 [ZNRAM]}{\rtlch\fcs1 \af0 \ltrch\fcs0 &#13;_x000a_\cs15\b0\v\f1\fs20\cf9\lang1024\langfe1024\noproof\insrsid1140430\charrsid4417459 &lt;/NumAm&gt;}{\rtlch\fcs1 \af0 \ltrch\fcs0 \insrsid1140430\charrsid4080556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14699840 &lt;RepeatBlock-By&gt;}{\rtlch\fcs1 \af0 \ltrch\fcs0 \lang1024\langfe1024\noproof\insrsid1140430\charrsid14699840 [RepeatMembers]}{\rtlch\fcs1 \af0 \ltrch\fcs0 &#13;_x000a_\cs15\b0\v\f1\fs20\cf9\lang1024\langfe1024\noproof\insrsid1140430\charrsid14699840 &lt;Members&gt;}{\rtlch\fcs1 \af0 \ltrch\fcs0 \insrsid1140430\charrsid14699840 [ZMEMBERS]}{\rtlch\fcs1 \af0 \ltrch\fcs0 &#13;_x000a_\cs15\b0\v\f1\fs20\cf9\lang1024\langfe1024\noproof\insrsid1140430\charrsid14699840 &lt;/Members&gt;}{\rtlch\fcs1 \af0 \ltrch\fcs0 \insrsid1140430\charrsid14699840 &#13;_x000a_\par }\pard\plain \ltrpar\ql \li0\ri0\widctlpar\wrapdefault\aspalpha\aspnum\faauto\adjustright\rin0\lin0\itap0\pararsid1140430 \rtlch\fcs1 \af0\afs20\alang1025 \ltrch\fcs0 \fs24\lang2057\langfe2057\cgrid\langnp2057\langfenp2057 {\rtlch\fcs1 \af0 \ltrch\fcs0 &#13;_x000a_\cs15\v\f1\fs20\cf9\lang1024\langfe1024\noproof\langnp1043\insrsid1140430\charrsid14424489 &lt;AuNomDe&gt;&lt;OptDel&gt;}{\rtlch\fcs1 \af0 \ltrch\fcs0 \lang1043\langfe2057\langnp1043\insrsid1140430\charrsid14424489 [ZONBEHALF]}{\rtlch\fcs1 \af0 \ltrch\fcs0 &#13;_x000a_\cs15\v\f1\fs20\cf9\lang1024\langfe1024\noproof\langnp1043\insrsid1140430\charrsid14424489 &lt;/OptDel&gt;&lt;/AuNomDe&gt;}{\rtlch\fcs1 \af0 \ltrch\fcs0 \lang1043\langfe2057\langnp1043\insrsid1140430\charrsid14424489 &#13;_x000a_\par }{\rtlch\fcs1 \af0 \ltrch\fcs0 \insrsid1140430\charrsid14699840 &lt;&lt;&lt;}{\rtlch\fcs1 \af0 \ltrch\fcs0 \cs15\v\f1\fs20\cf9\lang1024\langfe1024\noproof\insrsid1140430\charrsid14699840 &lt;/RepeatBlock-By&gt;}{\rtlch\fcs1 \af0 \ltrch\fcs0 &#13;_x000a_\insrsid1140430\charrsid14699840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4737239 &lt;DocAmend&gt;}{\rtlch\fcs1 \af0 \ltrch\fcs0 \insrsid1140430\charrsid1799708 [Z}{\rtlch\fcs1 \af0 \ltrch\fcs0 \insrsid1140430 AMDOC}{\rtlch\fcs1 \af0 \ltrch\fcs0 &#13;_x000a_\insrsid1140430\charrsid1799708 ]}{\rtlch\fcs1 \af0 \ltrch\fcs0 \cs15\b0\v\f1\fs20\cf9\lang1024\langfe1024\noproof\insrsid1140430\charrsid4737239 &lt;/DocAmend&gt;}{\rtlch\fcs1 \af0 \ltrch\fcs0 \insrsid1140430\charrsid1799708 &#13;_x000a_\par }{\rtlch\fcs1 \af0 \ltrch\fcs0 \cs15\b0\v\f1\fs20\cf9\lang1024\langfe1024\noproof\insrsid1140430\charrsid1799708 &lt;Article&gt;}{\rtlch\fcs1 \af0 \ltrch\fcs0 \insrsid1140430\charrsid1799708 [ZAMPART]}{\rtlch\fcs1 \af0 \ltrch\fcs0 &#13;_x000a_\cs15\b0\v\f1\fs20\cf9\lang1024\langfe1024\noproof\insrsid1140430\charrsid1799708 &lt;/Article&gt;}{\rtlch\fcs1 \af0 \ltrch\fcs0 \insrsid1140430\charrsid1799708 &#13;_x000a_\par \ltrrow}\trowd \irow0\irowband0\ltrrow\ts11\trqc\trgaph340\trleft-340\trftsWidth3\trwWidth9752\trftsWidthB3\trpaddl340\trpaddr340\trpaddfl3\trpaddft3\trpaddfb3\trpaddfr3\tblrsid7949889\tblind0\tblindtype3 \clvertalt\clbrdrt\brdrtbl \clbrdrl\brdrtbl &#13;_x000a_\clbrdrb\brdrtbl \clbrdrr\brdrtbl \cltxlrtb\clftsWidth3\clwWidth9752\clshdrawnil \cellx9412\pard\plain \ltrpar\ql \li0\ri0\keepn\widctlpar\intbl\wrapdefault\aspalpha\aspnum\faauto\adjustright\rin0\lin0\pararsid13053803 \rtlch\fcs1 \af0\afs20\alang1025 &#13;_x000a_\ltrch\fcs0 \fs24\lang2057\langfe2057\cgrid\langnp2057\langfenp2057 {\rtlch\fcs1 \af0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0\irowband0\ltrrow&#13;_x000a_\ts11\trqc\trgaph340\trleft-340\trftsWidth3\trwWidth9752\trftsWidthB3\trpaddl340\trpaddr340\trpaddfl3\trpaddft3\trpaddfb3\trpaddfr3\tblrsid7949889\tblind0\tblindtype3 \clvertalt\clbrdrt\brdrtbl \clbrdrl\brdrtbl \clbrdrb\brdrtbl \clbrdrr\brdrtbl &#13;_x000a_\cltxlrtb\clftsWidth3\clwWidth9752\clshdrawnil \cellx9412\row \ltrrow}\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19\qc \li0\ri0\sa240\keepn\nowidctlpar\intbl\wrapdefault\aspalpha\aspnum\faauto\adjustright\rin0\lin0\pararsid13053803 \rtlch\fcs1 \af0\afs20\alang1025 \ltrch\fcs0 \i\fs24\lang2057\langfe2057\cgrid\langnp2057\langfenp2057 {\rtlch\fcs1 \af0 \ltrch\fcs0 &#13;_x000a_\insrsid1140430\charrsid1799708 [ZLEFT]\cell [ZRIGHT]\cell }\pard\plain \ltrpar\ql \li0\ri0\widctlpar\intbl\wrapdefault\aspalpha\aspnum\faauto\adjustright\rin0\lin0 \rtlch\fcs1 \af0\afs20\alang1025 \ltrch\fcs0 &#13;_x000a_\fs24\lang2057\langfe2057\cgrid\langnp2057\langfenp2057 {\rtlch\fcs1 \af0 \ltrch\fcs0 \insrsid1140430\charrsid1799708 \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7\ql \li0\ri0\sa120\nowidctlpar\intbl\wrapdefault\aspalpha\aspnum\faauto\adjustright\rin0\lin0\pararsid7949889 \rtlch\fcs1 \af0\afs20\alang1025 \ltrch\fcs0 \fs24\lang2057\langfe2057\cgrid\langnp2057\langfenp2057 {\rtlch\fcs1 \af0 \ltrch\fcs0 &#13;_x000a_\insrsid1140430\charrsid1799708 [ZTEXTL]\cell [ZTEXTR]}{\rtlch\fcs1 \af0\afs24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2\irowband2\lastrow \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6\qr \li0\ri0\sb240\sa240\nowidctlpar\wrapdefault\aspalpha\aspnum\faauto\adjustright\rin0\lin0\itap0\pararsid1140430 \rtlch\fcs1 \af0\afs20\alang1025 \ltrch\fcs0 \fs24\lang2057\langfe2057\cgrid\langnp2057\langfenp2057 {\rtlch\fcs1 \af0 \ltrch\fcs0 &#13;_x000a_\insrsid1140430\charrsid1799708 Or. }{\rtlch\fcs1 \af0 \ltrch\fcs0 \cs15\v\f1\fs20\cf9\lang1024\langfe1024\noproof\insrsid1140430\charrsid1799708 &lt;Original&gt;}{\rtlch\fcs1 \af0 \ltrch\fcs0 \insrsid1140430\charrsid1799708 [ZORLANG]}{\rtlch\fcs1 \af0 &#13;_x000a_\ltrch\fcs0 \cs15\v\f1\fs20\cf9\lang1024\langfe1024\noproof\insrsid1140430\charrsid1799708 &lt;/Original&gt;}{\rtlch\fcs1 \af0 \ltrch\fcs0 \insrsid1140430\charrsid1799708 &#13;_x000a_\par }\pard\plain \ltrpar\ql \li0\ri0\widctlpar\wrapdefault\aspalpha\aspnum\faauto\adjustright\rin0\lin0\itap0\pararsid1140430 \rtlch\fcs1 \af0\afs20\alang1025 \ltrch\fcs0 \fs24\lang2057\langfe2057\cgrid\langnp2057\langfenp2057 {\rtlch\fcs1 \af0 \ltrch\fcs0 &#13;_x000a_\cs15\v\f1\fs20\cf9\lang1024\langfe1024\noproof\insrsid1140430\charrsid1799708 &lt;/Amend&gt;}{\rtlch\fcs1 \af0 \ltrch\fcs0 \insrsid24658\charrsid16324206 {\*\bkmkend restart}&#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6054&#13;_x000a_9504b3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E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Footer">
    <w:name w:val="EPFooter"/>
    <w:basedOn w:val="Normal"/>
    <w:pPr>
      <w:widowControl/>
      <w:tabs>
        <w:tab w:val="center" w:pos="4534"/>
        <w:tab w:val="right" w:pos="9070"/>
      </w:tabs>
      <w:spacing w:before="240" w:after="240"/>
    </w:pPr>
    <w:rPr>
      <w:sz w:val="22"/>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widowControl/>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themeColor="bg2" w:themeFill="bg2"/>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124</Pages>
  <Words>26360</Words>
  <Characters>149114</Characters>
  <Application>Microsoft Office Word</Application>
  <DocSecurity>0</DocSecurity>
  <Lines>1</Lines>
  <Paragraphs>2144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173631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1348234</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597587</vt:lpwstr>
  </property>
  <property fmtid="{D5CDD505-2E9C-101B-9397-08002B2CF9AE}" pid="7" name="dmxml.render.traceId">
    <vt:lpwstr>6a855fb2d728fa5a6cfe0f256c78136b</vt:lpwstr>
  </property>
  <property fmtid="{D5CDD505-2E9C-101B-9397-08002B2CF9AE}" pid="8" name="FooterPath">
    <vt:lpwstr>AM\1348234ES.docx</vt:lpwstr>
  </property>
  <property fmtid="{D5CDD505-2E9C-101B-9397-08002B2CF9AE}" pid="9" name="PE Number">
    <vt:lpwstr>791.020</vt:lpwstr>
  </property>
  <property fmtid="{D5CDD505-2E9C-101B-9397-08002B2CF9AE}" pid="10" name="UID">
    <vt:lpwstr>eu.europa.europarl-DIN1-2026-0000229678_02.00-es-01.00_text-xml</vt:lpwstr>
  </property>
</Properties>
</file>