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 Europejski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{PECH}</w:t>
      </w:r>
      <w:r>
        <w:t>Komisja Rybołówstwa</w:t>
      </w:r>
      <w:r>
        <w:rPr>
          <w:rStyle w:val="HideTWBExt"/>
        </w:rPr>
        <w:t>&lt;/Commission&gt;</w:t>
      </w:r>
    </w:p>
    <w:p>
      <w:pPr>
        <w:pStyle w:val="LineBottom"/>
      </w:pPr>
      <w:r>
        <w:t xml:space="preserve"> </w:t>
      </w:r>
    </w:p>
    <w:p>
      <w:pPr>
        <w:pStyle w:val="CoverReference"/>
      </w:pPr>
      <w:r>
        <w:rPr>
          <w:rStyle w:val="HideTWBExt"/>
        </w:rPr>
        <w:t>&lt;RefProc&gt;</w:t>
      </w:r>
      <w:r>
        <w:t>2026/2074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{20/07/2026}</w:t>
      </w:r>
      <w:r>
        <w:t>20.7.2026</w:t>
      </w:r>
      <w:r>
        <w:rPr>
          <w:rStyle w:val="HideTWBExt"/>
        </w:rPr>
        <w:t>&lt;/Date&gt;</w:t>
      </w:r>
    </w:p>
    <w:p>
      <w:pPr>
        <w:pStyle w:val="CoverDocType"/>
      </w:pPr>
      <w:r>
        <w:rPr>
          <w:rStyle w:val="HideTWBExt"/>
        </w:rPr>
        <w:t>&lt;TypeAM&gt;</w:t>
      </w:r>
      <w:r>
        <w:t>POPRAWKI</w:t>
      </w:r>
      <w:r>
        <w:rPr>
          <w:rStyle w:val="HideTWBExt"/>
        </w:rPr>
        <w:t>&lt;/TypeAM&gt;</w:t>
      </w:r>
    </w:p>
    <w:p>
      <w:pPr>
        <w:pStyle w:val="CoverDocType24a"/>
      </w:pPr>
      <w:r>
        <w:rPr>
          <w:rStyle w:val="HideTWBExt"/>
        </w:rPr>
        <w:t>&lt;RangeAM&gt;</w:t>
      </w:r>
      <w:r>
        <w:t>1</w:t>
      </w:r>
      <w:r>
        <w:t xml:space="preserve"> - </w:t>
      </w:r>
      <w:r>
        <w:t>245</w:t>
      </w:r>
      <w:r>
        <w:rPr>
          <w:rStyle w:val="HideTWBExt"/>
        </w:rPr>
        <w:t>&lt;/RangeAM&gt;</w:t>
      </w:r>
    </w:p>
    <w:p>
      <w:pPr>
        <w:pStyle w:val="CoverBold"/>
      </w:pPr>
      <w:r>
        <w:rPr>
          <w:rStyle w:val="HideTWBExt"/>
        </w:rPr>
        <w:t>&lt;TitreType&gt;</w:t>
      </w:r>
      <w:r>
        <w:t>Projekt sprawozdania</w:t>
      </w:r>
      <w:r>
        <w:rPr>
          <w:rStyle w:val="HideTWBExt"/>
        </w:rPr>
        <w:t>&lt;/TitreType&gt;</w:t>
      </w:r>
    </w:p>
    <w:p>
      <w:pPr>
        <w:pStyle w:val="CoverBold"/>
      </w:pPr>
      <w:r>
        <w:rPr>
          <w:rStyle w:val="HideTWBExt"/>
        </w:rPr>
        <w:t>&lt;Rapporteur&gt;</w:t>
      </w:r>
      <w:r>
        <w:t>Carmen Crespo Díaz</w:t>
      </w:r>
      <w:r>
        <w:rPr>
          <w:rStyle w:val="HideTWBExt"/>
        </w:rPr>
        <w:t>&lt;/Rapporteur&gt;</w:t>
      </w:r>
    </w:p>
    <w:p>
      <w:pPr>
        <w:pStyle w:val="CoverNormal24a"/>
      </w:pPr>
      <w:r>
        <w:rPr>
          <w:rStyle w:val="HideTWBExt"/>
        </w:rPr>
        <w:t>&lt;DocRefPE&gt;</w:t>
      </w:r>
      <w:r>
        <w:t>(PE789.948v01-00)</w:t>
      </w:r>
      <w:r>
        <w:rPr>
          <w:rStyle w:val="HideTWBExt"/>
        </w:rPr>
        <w:t>&lt;/DocRefPE&gt;</w:t>
      </w:r>
    </w:p>
    <w:p>
      <w:pPr>
        <w:pStyle w:val="CoverNormal"/>
      </w:pPr>
      <w:r>
        <w:rPr>
          <w:rStyle w:val="HideTWBExt"/>
        </w:rPr>
        <w:t>&lt;Titre&gt;</w:t>
      </w:r>
      <w:r>
        <w:t>Plan wieloletni połowów eksploatujących stada denne w zachodniej części Morza Śródziemnego</w:t>
      </w:r>
      <w:r>
        <w:rPr>
          <w:rStyle w:val="HideTWBExt"/>
        </w:rPr>
        <w:t>&lt;/Titre&gt;</w:t>
      </w:r>
    </w:p>
    <w:p>
      <w:pPr>
        <w:pStyle w:val="CoverNormal24a"/>
      </w:pPr>
      <w:r>
        <w:rPr>
          <w:rStyle w:val="HideTWBExt"/>
        </w:rPr>
        <w:t>&lt;DocRef&gt;</w:t>
      </w:r>
      <w:r>
        <w:t>(2026/2074(INI))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Poprawka</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2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art. 13 Traktatu o funkcjonowaniu Unii Europejskiej, zgodnie z którym przy formułowaniu i realizowaniu unijnej polityki rybołówstwa Unia i państwa członkowskie w pełni uwzględniają wymogi dotyczące dobrostanu zwierząt jako istot zdolnych do odczuwania;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7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Porozumienie międzyinstytucjonalne z dnia 13 kwietnia 2016 r. w sprawie lepszego stanowienia prawa, w szczególności jego zasady dotyczące konsultacji z zainteresowanymi stronami, oceny skutków, jakości ustawodawstwa i kontroli demokratycznej ze strony Parlamentu Europejskiego,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uwzględniając sprawozdanie w sprawie stanu rybołówstwa na Morzu Śródziemnym i Morzu Czarnym sporządzone przez Generalną Komisję Rybołówstwa Morza Śródziemnego (GFCM) Organizacji Narodów Zjednoczonych ds. Wyżywienia i Rolnictwa (FAO),</w:t>
            </w:r>
          </w:p>
        </w:tc>
        <w:tc>
          <w:tcPr>
            <w:tcW w:w="4876" w:type="dxa"/>
            <w:tcBorders>
              <w:top w:val="nil"/>
              <w:left w:val="nil"/>
              <w:bottom w:val="nil"/>
              <w:right w:val="nil"/>
            </w:tcBorders>
          </w:tcPr>
          <w:p>
            <w:pPr>
              <w:pStyle w:val="Normal6a"/>
            </w:pPr>
            <w:r>
              <w:rPr>
                <w:b/>
                <w:i/>
              </w:rPr>
              <w:t>–</w:t>
            </w:r>
            <w:r>
              <w:tab/>
            </w:r>
            <w:r>
              <w:t xml:space="preserve">uwzględniając sprawozdanie w sprawie stanu rybołówstwa na Morzu Śródziemnym i Morzu Czarnym </w:t>
            </w:r>
            <w:r>
              <w:rPr>
                <w:b/>
                <w:i/>
              </w:rPr>
              <w:t>z 2025 r.</w:t>
            </w:r>
            <w:r>
              <w:t xml:space="preserve"> sporządzone przez Generalną Komisję Rybołówstwa Morza Śródziemnego (GFCM) Organizacji Narodów Zjednoczonych ds. Wyżywienia i Rolnictwa (FAO),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10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rozporządzenie Parlamentu Europejskiego i Rady (UE) 2021/1119 w sprawie ustanowienia ram na potrzeby osiągnięcia neutralności klimatycznej (Europejskie prawo o klimacie),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10 b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rozporządzenie (UE) Parlamentu Europejskiego i Rady 2024/1991 w sprawie odbudowy zasobów przyrodniczych i zmiany rozporządzenia (UE) 2022/869,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11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sprawozdanie Komitetu Naukowo-Technicznego i Ekonomicznego ds. Rybołówstwa (STECF) – Dane społeczne w rybołówstwie UE:</w:t>
            </w:r>
            <w:r>
              <w:t xml:space="preserve"> </w:t>
            </w:r>
            <w:r>
              <w:rPr>
                <w:b/>
                <w:i/>
              </w:rPr>
              <w:t>metodologia, rozpowszechnianie, analiza i ocena (STECF 25-02 i 25-13),</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14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swoją rezolucję z 7 czerwca 2022 r. w sprawie wdrożenia art. 17 rozporządzenia w sprawie wspólnej polityki rybołówstwa,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15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komunikat Komisji z dnia 28 kwietnia 2026 r. zatytułowany „Prostszy, jaśniejszy i lepiej egzekwowany zbiór przepisów unijnych";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uwzględniając sprawozdanie Enrica Letty z kwietnia 2024 r. pt. „Znacznie więcej niż rynek”,</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uwzględniając sprawozdanie Maria Draghiego z dnia 9 września 2024 r. pt. „Przyszłość europejskiej konkurencyjności”,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uwzględniając sprawozdanie Maria Draghiego z dnia 9 września 2024 r. pt. „Przyszłość europejskiej konkurencyjności”,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21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dokument roboczy służb Komisji pt. „Pierwsze sprawozdanie z wdrażania planu wieloletniego połowów eksploatujących stada denne w zachodniej części Morza Śródziemnego” (SWD(2024)0195);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21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ocenę Komisji z 30 maja 2026 r. dotyczącą rozporządzenia (UE) nr 1380/2013 w sprawie wspólnej polityki rybołówstwa,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21 b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sprawozdanie FAO w sprawie stanu rybołówstwa na Morzu Śródziemnym i Morzu Czarnym w 2025 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Umocowanie 23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rezolucję Parlamentu Europejskiego z dnia 20 maja 2026 r. w sprawie wpływu wdrożenia dyrektywy 2014/89/UE (dyrektywa w sprawie planowania przestrzennego obszarów morskich) na rybołówstwo w wybranych obszarach połowowych i basenach morskich (2024/2126(INI))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mając na uwadze, że Morze Śródziemne jest jednym z najbardziej zróżnicowanych regionów morskich na świecie, </w:t>
            </w:r>
            <w:r>
              <w:rPr>
                <w:b/>
                <w:i/>
              </w:rPr>
              <w:t>wspierającym</w:t>
            </w:r>
            <w:r>
              <w:t xml:space="preserve"> społeczności i gospodarki nadbrzeżne zależne od rybołówstwa od tysiącleci, kolebką cywilizacji i </w:t>
            </w:r>
            <w:r>
              <w:rPr>
                <w:b/>
                <w:i/>
              </w:rPr>
              <w:t>podstawowym filarem</w:t>
            </w:r>
            <w:r>
              <w:t xml:space="preserve"> europejskiej tożsamości kulturowej, historycznej i gospodarczej;</w:t>
            </w:r>
          </w:p>
        </w:tc>
        <w:tc>
          <w:tcPr>
            <w:tcW w:w="4876" w:type="dxa"/>
            <w:tcBorders>
              <w:top w:val="nil"/>
              <w:left w:val="nil"/>
              <w:bottom w:val="nil"/>
              <w:right w:val="nil"/>
            </w:tcBorders>
          </w:tcPr>
          <w:p>
            <w:pPr>
              <w:pStyle w:val="Normal6a"/>
            </w:pPr>
            <w:r>
              <w:t>A.</w:t>
            </w:r>
            <w:r>
              <w:tab/>
            </w:r>
            <w:r>
              <w:t xml:space="preserve">mając na uwadze, że Morze Śródziemne jest jednym z najbardziej zróżnicowanych regionów morskich na świecie, </w:t>
            </w:r>
            <w:r>
              <w:rPr>
                <w:b/>
                <w:i/>
              </w:rPr>
              <w:t>obejmującym ekosystemy morskie, od których zależy wiele gatunków, wspiera</w:t>
            </w:r>
            <w:r>
              <w:t xml:space="preserve"> społeczności i gospodarki nadbrzeżne zależne od rybołówstwa od tysiącleci, </w:t>
            </w:r>
            <w:r>
              <w:rPr>
                <w:b/>
                <w:i/>
              </w:rPr>
              <w:t>jest</w:t>
            </w:r>
            <w:r>
              <w:t xml:space="preserve"> kolebką cywilizacji i </w:t>
            </w:r>
            <w:r>
              <w:rPr>
                <w:b/>
                <w:i/>
              </w:rPr>
              <w:t>jednym z podstawowych filarów</w:t>
            </w:r>
            <w:r>
              <w:t xml:space="preserve"> europejskiej tożsamości kulturowej, historycznej i gospodarczej;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A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mając na uwadze, że Morze Śródziemne jest również jednym z najbardziej wrażliwych ekosystemów morskich, zmagającym się z rosnącą presją spowodowaną zmianą klimatu, utratą różnorodności biologicznej, zanieczyszczeniem, nadmierną eksploatacją zasobów morskich i niezrównoważonym rozwojem obszarów przybrzeżnych, co sprawia, że odbudowa i ochrona jego integralności ekologicznej ma zasadnicze znaczenie dla długoterminowej odporności społeczności nadbrzeżnych i zrównoważonego rybołówstwa;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A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mając na uwadze, że ryby i skorupiaki to zwierzęta zdolne do odczuwania stanów negatywnych, oraz mając na uwadze, że zgodnie z art. 13 TFUE polityka rybołówstwa powinna w pełni uwzględniać wymagania dotyczące ich dobrostanu jako istot zdolnych do odczuwania oraz dążyć do zapobiegania cierpieniu i zmniejszania cierpienia podczas odłowu, wyciągania z wody, przemieszczania, przechowywania i uśmiercania;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A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mając na uwadze, że zwierzęta morskie mają samoistną wartość niezależną od ich gospodarczego wykorzystania;</w:t>
            </w:r>
            <w:r>
              <w:t xml:space="preserve"> </w:t>
            </w:r>
            <w:r>
              <w:rPr>
                <w:b/>
                <w:i/>
              </w:rPr>
              <w:t>mając na uwadze, że w zarządzaniu rybołówstwem nie należy traktować istot zdolnych do odczuwania wyłącznie jako zasobów podlegających eksploatacji, lecz należy dążyć do zmniejszenia liczby uśmiercanych zwierząt oraz do minimalizowania ich cierpienia na każdym etapie odłowu, wyciągania z wody, przemieszczania i uśmiercania;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mając na uwadze, że sektor rybołówstwa Morza Śródziemnego </w:t>
            </w:r>
            <w:r>
              <w:rPr>
                <w:b/>
                <w:i/>
              </w:rPr>
              <w:t>ma zasadnicze znaczenie dla zatrudnienia</w:t>
            </w:r>
            <w:r>
              <w:t xml:space="preserve">, spójności </w:t>
            </w:r>
            <w:r>
              <w:rPr>
                <w:b/>
                <w:i/>
              </w:rPr>
              <w:t>terytorialnej i</w:t>
            </w:r>
            <w:r>
              <w:t xml:space="preserve"> bezpieczeństwa żywnościowego </w:t>
            </w:r>
            <w:r>
              <w:rPr>
                <w:b/>
                <w:i/>
              </w:rPr>
              <w:t>w</w:t>
            </w:r>
            <w:r>
              <w:t xml:space="preserve"> UE;</w:t>
            </w:r>
          </w:p>
        </w:tc>
        <w:tc>
          <w:tcPr>
            <w:tcW w:w="4876" w:type="dxa"/>
            <w:tcBorders>
              <w:top w:val="nil"/>
              <w:left w:val="nil"/>
              <w:bottom w:val="nil"/>
              <w:right w:val="nil"/>
            </w:tcBorders>
          </w:tcPr>
          <w:p>
            <w:pPr>
              <w:pStyle w:val="Normal6a"/>
            </w:pPr>
            <w:r>
              <w:t>B.</w:t>
            </w:r>
            <w:r>
              <w:tab/>
            </w:r>
            <w:r>
              <w:t xml:space="preserve">mając na uwadze, że sektor rybołówstwa Morza Śródziemnego </w:t>
            </w:r>
            <w:r>
              <w:rPr>
                <w:b/>
                <w:i/>
              </w:rPr>
              <w:t>odgrywa zasadniczą rolę w rozwoju gospodarczym</w:t>
            </w:r>
            <w:r>
              <w:t xml:space="preserve">, spójności </w:t>
            </w:r>
            <w:r>
              <w:rPr>
                <w:b/>
                <w:i/>
              </w:rPr>
              <w:t>społecznej i tworzeniu miejsc pracy w regionach przybrzeżnych, przyczyniając się w decydujący sposób do stabilności i dobrobytu tych obszarów, a także do</w:t>
            </w:r>
            <w:r>
              <w:t xml:space="preserve"> bezpieczeństwa żywnościowego UE </w:t>
            </w:r>
            <w:r>
              <w:rPr>
                <w:b/>
                <w:i/>
              </w:rPr>
              <w:t>jako całości poprzez dostarczanie wysokiej jakości produktów o niewielkim wpływie na środowisko, a jednocześnie przyczyniając się do europejskiej autonomii strategicznej i odporności łańcuchów dostaw żywności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mając na uwadze, że sektor rybołówstwa Morza Śródziemnego ma zasadnicze znaczenie dla zatrudnienia, spójności terytorialnej i bezpieczeństwa żywnościowego w UE;</w:t>
            </w:r>
          </w:p>
        </w:tc>
        <w:tc>
          <w:tcPr>
            <w:tcW w:w="4876" w:type="dxa"/>
            <w:tcBorders>
              <w:top w:val="nil"/>
              <w:left w:val="nil"/>
              <w:bottom w:val="nil"/>
              <w:right w:val="nil"/>
            </w:tcBorders>
          </w:tcPr>
          <w:p>
            <w:pPr>
              <w:pStyle w:val="Normal6a"/>
            </w:pPr>
            <w:r>
              <w:t>B.</w:t>
            </w:r>
            <w:r>
              <w:tab/>
            </w:r>
            <w:r>
              <w:t xml:space="preserve">mając na uwadze, że sektor rybołówstwa Morza Śródziemnego ma zasadnicze znaczenie dla zatrudnienia, spójności terytorialnej i bezpieczeństwa żywnościowego w UE; </w:t>
            </w:r>
            <w:r>
              <w:rPr>
                <w:b/>
                <w:i/>
              </w:rPr>
              <w:t>że wspiera on również dodatkową tkankę gospodarczą, której rentowność zależy bezpośrednio od działalności wydobywczej i która stanowi niezastąpioną część europejskiego dziedzictwa w regionach przybrzeżnych Morza Śródziemnego;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mając na uwadze, że </w:t>
            </w:r>
            <w:r>
              <w:rPr>
                <w:b/>
                <w:i/>
              </w:rPr>
              <w:t>sektor rybołówstwa</w:t>
            </w:r>
            <w:r>
              <w:t xml:space="preserve"> Morza Śródziemnego </w:t>
            </w:r>
            <w:r>
              <w:rPr>
                <w:b/>
                <w:i/>
              </w:rPr>
              <w:t>ma zasadnicze znaczenie dla zatrudnienia, spójności terytorialnej i bezpieczeństwa żywnościowego w UE</w:t>
            </w:r>
            <w:r>
              <w:t>;</w:t>
            </w:r>
          </w:p>
        </w:tc>
        <w:tc>
          <w:tcPr>
            <w:tcW w:w="4876" w:type="dxa"/>
            <w:tcBorders>
              <w:top w:val="nil"/>
              <w:left w:val="nil"/>
              <w:bottom w:val="nil"/>
              <w:right w:val="nil"/>
            </w:tcBorders>
          </w:tcPr>
          <w:p>
            <w:pPr>
              <w:pStyle w:val="Normal6a"/>
            </w:pPr>
            <w:r>
              <w:t>B.</w:t>
            </w:r>
            <w:r>
              <w:tab/>
            </w:r>
            <w:r>
              <w:t xml:space="preserve">mając na uwadze, że </w:t>
            </w:r>
            <w:r>
              <w:rPr>
                <w:b/>
                <w:i/>
              </w:rPr>
              <w:t>plan wieloletni dotyczący zachodniej części</w:t>
            </w:r>
            <w:r>
              <w:t xml:space="preserve"> Morza Śródziemnego </w:t>
            </w:r>
            <w:r>
              <w:rPr>
                <w:b/>
                <w:i/>
              </w:rPr>
              <w:t>przyjęto w kontekście strukturalnej nierównowagi między zdolnością połowową a dostępnymi uprawnieniami do połowów w tym regionie – nierówności, która zagraża odbudowie populacji ryb</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mając na uwadze, że sektor rybołówstwa Morza Śródziemnego ma zasadnicze znaczenie dla zatrudnienia, spójności terytorialnej </w:t>
            </w:r>
            <w:r>
              <w:rPr>
                <w:b/>
                <w:i/>
              </w:rPr>
              <w:t>i</w:t>
            </w:r>
            <w:r>
              <w:t xml:space="preserve"> bezpieczeństwa żywnościowego w UE;</w:t>
            </w:r>
          </w:p>
        </w:tc>
        <w:tc>
          <w:tcPr>
            <w:tcW w:w="4876" w:type="dxa"/>
            <w:tcBorders>
              <w:top w:val="nil"/>
              <w:left w:val="nil"/>
              <w:bottom w:val="nil"/>
              <w:right w:val="nil"/>
            </w:tcBorders>
          </w:tcPr>
          <w:p>
            <w:pPr>
              <w:pStyle w:val="Normal6a"/>
            </w:pPr>
            <w:r>
              <w:t>B.</w:t>
            </w:r>
            <w:r>
              <w:tab/>
            </w:r>
            <w:r>
              <w:t xml:space="preserve">mając na uwadze, że sektor rybołówstwa Morza Śródziemnego ma zasadnicze znaczenie dla zatrudnienia, spójności terytorialnej </w:t>
            </w:r>
            <w:r>
              <w:rPr>
                <w:b/>
                <w:i/>
              </w:rPr>
              <w:t>oraz</w:t>
            </w:r>
            <w:r>
              <w:t xml:space="preserve"> bezpieczeństwa żywnościowego </w:t>
            </w:r>
            <w:r>
              <w:rPr>
                <w:b/>
                <w:i/>
              </w:rPr>
              <w:t>i suwerenności żywnościowej</w:t>
            </w:r>
            <w:r>
              <w:t xml:space="preserve"> w UE;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mając na uwadze, że Morze Śródziemne jest jednym z głównych basenów połowowych w Unii Europejskiej, gdzie działa około 30 000 statków, co stanowi około 58 % floty rybackiej UE;</w:t>
            </w:r>
            <w:r>
              <w:t xml:space="preserve"> </w:t>
            </w:r>
            <w:r>
              <w:rPr>
                <w:b/>
                <w:i/>
              </w:rPr>
              <w:t>mając na uwadze, że 81 % tej floty stanowią małe jednostki, z których większość to przedsiębiorstwa rodzinne, odgrywające zasadniczą rolę w zatrudnieniu, spójności terytorialnej i rozwoju społeczności nadbrzeżnych;</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mając na uwadze, że zakres geograficzny rozporządzenia (UE) 2019/1022 obejmuje „zachodnią część Morza Śródziemnego”, którą definiuje się jako wody w podobszarach geograficznych GFCM (GSA) 1 (północna część Morza Alborańskiego), 2 (wyspa Alboran), 5 (Baleary), 6 (północna Hiszpania), 7 (Zatoka Lwia), 8 (Korsyka), 9 (Morze Liguryjskie i północne Morze Tyrreńskie), 10 (południowe Morze Tyrreńskie) i 11 (Sardynia), zgodnie z definicją zawartą w załączniku I do rozporządzenia Parlamentu Europejskiego i Rady (UE) nr 1343/2011;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Emma Wiesner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mając na uwadze, że stan stad ryb w Morzu Śródziemnym poprawia się, jednak wiele z nich nadal znajduje się pod presją i konieczne są dalsze działania;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mając na uwadze, że unijna flota rybacka na Morzu Śródziemnym zmniejszyła się o 17 % od 2017 r.;</w:t>
            </w:r>
            <w:r>
              <w:t xml:space="preserve"> </w:t>
            </w:r>
            <w:r>
              <w:rPr>
                <w:b/>
                <w:i/>
              </w:rPr>
              <w:t>mając na uwadze, że sektor ten nadal odpowiada za 47 % zatrudnienia w rybołówstwie w UE – w 2023 r. liczba miejsc pracy wyniosła 57 616, choć oznacza to spadek o prawie 8 % z porównaniu z 2018 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mając na uwadze, że przed przyjęciem rozporządzenia (UE) 2019/1022 ponad 80 % poddanych ocenie stad w tym podregionie było znacznie przełowionych, a biomasa niektórych z nich oscylowała w pobliżu granicznej wartości odniesienia, co stwarzało wysokie ryzyko załamania się tych stad;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B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Bc.</w:t>
            </w:r>
            <w:r>
              <w:tab/>
            </w:r>
            <w:r>
              <w:rPr>
                <w:b/>
                <w:i/>
              </w:rPr>
              <w:t>mając na uwadze, że w 2026 r. utrzymuje się stan przełowienia 11 z 20 poddanych ocenie stad;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mając na uwadze, że w ciągu ostatnich siedmiu lat floty rybackie na Morzu Śródziemnym zostały poddane znacznym ograniczeniom nakładu połowowego oraz że w niektórych segmentach, takich jak hiszpańska flota trawlerów, takie ograniczenia przekroczyły 44 %;</w:t>
            </w:r>
          </w:p>
        </w:tc>
        <w:tc>
          <w:tcPr>
            <w:tcW w:w="4876" w:type="dxa"/>
            <w:tcBorders>
              <w:top w:val="nil"/>
              <w:left w:val="nil"/>
              <w:bottom w:val="nil"/>
              <w:right w:val="nil"/>
            </w:tcBorders>
          </w:tcPr>
          <w:p>
            <w:pPr>
              <w:pStyle w:val="Normal6a"/>
            </w:pPr>
            <w:r>
              <w:t>C.</w:t>
            </w:r>
            <w:r>
              <w:tab/>
            </w:r>
            <w:r>
              <w:t xml:space="preserve">mając na uwadze, że w ciągu ostatnich siedmiu lat floty rybackie na Morzu Śródziemnym zostały poddane znacznym ograniczeniom nakładu połowowego oraz że w niektórych segmentach, takich jak hiszpańska flota trawlerów, takie ograniczenia przekroczyły 44 %; </w:t>
            </w:r>
            <w:r>
              <w:rPr>
                <w:b/>
                <w:i/>
              </w:rPr>
              <w:t>że flota łodziowego rybołówstwa przybrzeżnego cierpi również z powodu pośrednich skutków zamykania obszarów, ograniczeń dotyczących narzędzi połowowych i konkurencji o te same zasoby, przy czym plan wieloletni nie zawiera zdezagregowanych wskaźników umożliwiających ocenę jego konkretnych skutków społeczno-gospodarczych;</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mając na uwadze, że w ciągu ostatnich siedmiu lat floty rybackie na Morzu Śródziemnym zostały poddane znacznym ograniczeniom nakładu połowowego oraz że w niektórych segmentach, takich jak hiszpańska flota trawlerów, takie ograniczenia przekroczyły 44 %;</w:t>
            </w:r>
          </w:p>
        </w:tc>
        <w:tc>
          <w:tcPr>
            <w:tcW w:w="4876" w:type="dxa"/>
            <w:tcBorders>
              <w:top w:val="nil"/>
              <w:left w:val="nil"/>
              <w:bottom w:val="nil"/>
              <w:right w:val="nil"/>
            </w:tcBorders>
          </w:tcPr>
          <w:p>
            <w:pPr>
              <w:pStyle w:val="Normal6a"/>
            </w:pPr>
            <w:r>
              <w:t>C.</w:t>
            </w:r>
            <w:r>
              <w:tab/>
            </w:r>
            <w:r>
              <w:t>mając na uwadze, że w ciągu ostatnich siedmiu lat floty rybackie na Morzu Śródziemnym zostały poddane znacznym ograniczeniom nakładu połowowego oraz że w niektórych segmentach, takich jak hiszpańska flota trawlerów, takie ograniczenia przekroczyły 44 %</w:t>
            </w:r>
            <w:r>
              <w:rPr>
                <w:b/>
                <w:i/>
              </w:rPr>
              <w:t>, przy czym w latach 2019–2025 flota francuska zmniejszyła się o 64 %, a zdolność połowowa segmentu trawlerów zmniejszyła się o 30 % w związku z planem wycofania floty ustanowionym w 2022 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C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mając na uwadze, że oprócz znacznego ograniczenia nakładu połowowego wprowadzonego rozporządzeniem (UE) 2019/1022 floty zachodniej części Morza Śródziemnego podlegają stałym i tymczasowym zamknięciom przestrzennym ustanowionym zarówno w samym planie wieloletnim, jak i w ramach innych środków ochronnych UE i państw członkowskich;</w:t>
            </w:r>
            <w:r>
              <w:t xml:space="preserve"> </w:t>
            </w:r>
            <w:r>
              <w:rPr>
                <w:b/>
                <w:i/>
              </w:rPr>
              <w:t>że skumulowany efekt tych ograniczeń znacznie ogranicza skuteczny dostęp do łowisk, ogranicza elastyczność operacyjną przedsiębiorstw rybackich i powinien być w pełni uwzględniany przy ocenie proporcjonalności i skuteczności ram zarządzania;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C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mając na uwadze, że nadmierna zdolność połowowa floty jest nadal znaczna w przypadku flot objętych planem wieloletnim dla zachodniej części Morza Śródziemnego;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C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mając na uwadze, że obecny system zarządzania opierał się głównie na liniowym ograniczaniu nakładu połowowego, co w wielu przypadkach spowodowało, że średnia roczna działalność statków spadła poniżej krytycznego progu rentowności, szacowanego na około 180 dni działalności na morzu rocznie, uznawanego za minimum niezbędne do zapewnienia pokrycia kosztów stałych i rentowności przedsiębiorstw rybackich;</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C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mając na uwadze, że w wieloletnim planie dotyczącym zachodniej części Morza Śródziemnego przewidziano dodatkowe 5 lat w porównaniu z WPRyb, aby osiągnąć cel MSY w sposób stopniowy i przyrostowy, w miarę możliwości do 2020 r., a najpóźniej do dnia 1 stycznia 2025 r., w odniesieniu do przedmiotowych stad;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mając na uwadze, że flota rybacka, zwłaszcza śródziemnomorska, poczyniła znaczne wysiłki na rzecz dostosowania i innowacji w kierunku bardziej zrównoważonych praktyk, </w:t>
            </w:r>
            <w:r>
              <w:rPr>
                <w:b/>
                <w:i/>
              </w:rPr>
              <w:t>zwłaszcza</w:t>
            </w:r>
            <w:r>
              <w:t xml:space="preserve"> w segmencie trawlerów;</w:t>
            </w:r>
          </w:p>
        </w:tc>
        <w:tc>
          <w:tcPr>
            <w:tcW w:w="4876" w:type="dxa"/>
            <w:tcBorders>
              <w:top w:val="nil"/>
              <w:left w:val="nil"/>
              <w:bottom w:val="nil"/>
              <w:right w:val="nil"/>
            </w:tcBorders>
          </w:tcPr>
          <w:p>
            <w:pPr>
              <w:pStyle w:val="Normal6a"/>
            </w:pPr>
            <w:r>
              <w:t>D.</w:t>
            </w:r>
            <w:r>
              <w:tab/>
            </w:r>
            <w:r>
              <w:t xml:space="preserve">mając na uwadze, że flota rybacka, zwłaszcza śródziemnomorska, poczyniła znaczne wysiłki na rzecz dostosowania i innowacji w kierunku bardziej zrównoważonych praktyk, </w:t>
            </w:r>
            <w:r>
              <w:rPr>
                <w:b/>
                <w:i/>
              </w:rPr>
              <w:t>nie tylko</w:t>
            </w:r>
            <w:r>
              <w:t xml:space="preserve"> w segmencie trawlerów</w:t>
            </w:r>
            <w:r>
              <w:rPr>
                <w:b/>
                <w:i/>
              </w:rPr>
              <w:t>, ale również w segmencie tradycyjnych narzędzi połowowych, takli i okrężnic, których specyfika operacyjna i potrzeby w zakresie zarządzania znacznie różnią się od specyfiki i potrzeb połowów włokami dennymi i wymagają zróżnicowanego traktowania w planie wieloletnim</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mając na uwadze, że flota rybacka, zwłaszcza śródziemnomorska, poczyniła znaczne wysiłki na rzecz dostosowania i innowacji w kierunku bardziej zrównoważonych praktyk, zwłaszcza w segmencie trawlerów;</w:t>
            </w:r>
          </w:p>
        </w:tc>
        <w:tc>
          <w:tcPr>
            <w:tcW w:w="4876" w:type="dxa"/>
            <w:tcBorders>
              <w:top w:val="nil"/>
              <w:left w:val="nil"/>
              <w:bottom w:val="nil"/>
              <w:right w:val="nil"/>
            </w:tcBorders>
          </w:tcPr>
          <w:p>
            <w:pPr>
              <w:pStyle w:val="Normal6a"/>
            </w:pPr>
            <w:r>
              <w:t>D.</w:t>
            </w:r>
            <w:r>
              <w:tab/>
            </w:r>
            <w:r>
              <w:t xml:space="preserve">mając na uwadze, że flota rybacka, zwłaszcza śródziemnomorska, poczyniła znaczne wysiłki na rzecz dostosowania i innowacji w kierunku bardziej zrównoważonych praktyk, zwłaszcza w segmencie trawlerów; </w:t>
            </w:r>
            <w:r>
              <w:rPr>
                <w:b/>
                <w:i/>
              </w:rPr>
              <w:t>mając na uwadze, że konieczne jest podjęcie dalszych wysiłków, aby w pełni dostosować działalność połowową do celów ekosystemowego zarządzania rybołówstwem, odbudowy różnorodności biologicznej oraz odporności na zmianę klimatu;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mając na uwadze, że flota rybacka, zwłaszcza śródziemnomorska, poczyniła znaczne wysiłki na rzecz dostosowania i innowacji w kierunku bardziej zrównoważonych praktyk, zwłaszcza w segmencie trawlerów;</w:t>
            </w:r>
          </w:p>
        </w:tc>
        <w:tc>
          <w:tcPr>
            <w:tcW w:w="4876" w:type="dxa"/>
            <w:tcBorders>
              <w:top w:val="nil"/>
              <w:left w:val="nil"/>
              <w:bottom w:val="nil"/>
              <w:right w:val="nil"/>
            </w:tcBorders>
          </w:tcPr>
          <w:p>
            <w:pPr>
              <w:pStyle w:val="Normal6a"/>
            </w:pPr>
            <w:r>
              <w:t>D.</w:t>
            </w:r>
            <w:r>
              <w:tab/>
            </w:r>
            <w:r>
              <w:t>mając na uwadze, że flota rybacka, zwłaszcza śródziemnomorska, poczyniła znaczne wysiłki na rzecz dostosowania i innowacji w kierunku bardziej zrównoważonych praktyk, zwłaszcza w segmencie trawlerów</w:t>
            </w:r>
            <w:r>
              <w:rPr>
                <w:b/>
                <w:i/>
              </w:rPr>
              <w:t>, wprowadzając ulepszenia w zakresie selektywności narzędzi, a jednocześnie podejmując znaczne poświęcenia ekonomiczne wynikające ze stopniowego ograniczania dni połowowych</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mając na uwadze, że flota rybacka, zwłaszcza śródziemnomorska, poczyniła znaczne wysiłki na rzecz dostosowania i innowacji w kierunku bardziej zrównoważonych praktyk, zwłaszcza w segmencie trawlerów;</w:t>
            </w:r>
          </w:p>
        </w:tc>
        <w:tc>
          <w:tcPr>
            <w:tcW w:w="4876" w:type="dxa"/>
            <w:tcBorders>
              <w:top w:val="nil"/>
              <w:left w:val="nil"/>
              <w:bottom w:val="nil"/>
              <w:right w:val="nil"/>
            </w:tcBorders>
          </w:tcPr>
          <w:p>
            <w:pPr>
              <w:pStyle w:val="Normal6a"/>
            </w:pPr>
            <w:r>
              <w:t>D.</w:t>
            </w:r>
            <w:r>
              <w:tab/>
            </w:r>
            <w:r>
              <w:t xml:space="preserve">mając na uwadze, że flota rybacka, zwłaszcza śródziemnomorska, poczyniła znaczne wysiłki na rzecz dostosowania i innowacji w kierunku bardziej </w:t>
            </w:r>
            <w:r>
              <w:rPr>
                <w:b/>
                <w:i/>
              </w:rPr>
              <w:t>selektywnych i</w:t>
            </w:r>
            <w:r>
              <w:t xml:space="preserve"> zrównoważonych praktyk, zwłaszcza w segmencie trawlerów;</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D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mając na uwadze znaczne wysiłki w zakresie dostosowania technicznego i inwestycji poczynione przez flotę trawlerów na rzecz bardziej zrównoważonego rybołówstwa poprzez włączenie środków mających na celu poprawę selektywności narzędzi i zmniejszenie wpływu działalności połowowej, takich jak stosowanie oczek kwadratowych o rozmiarze 40 mm lub oczek rombowych o rozmiarze 50 mm, siatki selekcyjne dla młodych osobników, panele sieci o większych oczkach i rozpornice dryfujące;</w:t>
            </w:r>
            <w:r>
              <w:t xml:space="preserve"> </w:t>
            </w:r>
            <w:r>
              <w:rPr>
                <w:b/>
                <w:i/>
              </w:rPr>
              <w:t>mając ponadto na uwadze, że w ostatnich latach około 60 % floty w Hiszpanii wprowadziło już te i inne usprawnienia techniczne;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D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mając na uwadze, że floty rybackie w regionie Morza Śródziemnego stoją w obliczu skumulowanej presji związanej z rosnącymi kosztami energii i paliwa, wymogami związanymi z procesem dekarbonizacji i rosnącą konkurencją o przestrzeń morską;</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mając na uwadze, że środki wyrównawcze stosowane wobec floty śródziemnomorskiej </w:t>
            </w:r>
            <w:r>
              <w:rPr>
                <w:b/>
                <w:i/>
              </w:rPr>
              <w:t>przyczyniły się do częściowego złagodzenia</w:t>
            </w:r>
            <w:r>
              <w:t xml:space="preserve"> społeczno-gospodarczych skutków </w:t>
            </w:r>
            <w:r>
              <w:rPr>
                <w:b/>
                <w:i/>
              </w:rPr>
              <w:t>ograniczenia</w:t>
            </w:r>
            <w:r>
              <w:t xml:space="preserve"> nakładu połowowego, </w:t>
            </w:r>
            <w:r>
              <w:rPr>
                <w:b/>
                <w:i/>
              </w:rPr>
              <w:t>chociaż są one</w:t>
            </w:r>
            <w:r>
              <w:t xml:space="preserve"> niewystarczające do zapewnienia długoterminowej rentowności sektora;</w:t>
            </w:r>
          </w:p>
        </w:tc>
        <w:tc>
          <w:tcPr>
            <w:tcW w:w="4876" w:type="dxa"/>
            <w:tcBorders>
              <w:top w:val="nil"/>
              <w:left w:val="nil"/>
              <w:bottom w:val="nil"/>
              <w:right w:val="nil"/>
            </w:tcBorders>
          </w:tcPr>
          <w:p>
            <w:pPr>
              <w:pStyle w:val="Normal6a"/>
            </w:pPr>
            <w:r>
              <w:t>E.</w:t>
            </w:r>
            <w:r>
              <w:tab/>
            </w:r>
            <w:r>
              <w:t xml:space="preserve">mając na uwadze, że środki wyrównawcze stosowane wobec floty śródziemnomorskiej </w:t>
            </w:r>
            <w:r>
              <w:rPr>
                <w:b/>
                <w:i/>
              </w:rPr>
              <w:t>nie zdołały zrównoważyć</w:t>
            </w:r>
            <w:r>
              <w:t xml:space="preserve"> społeczno-gospodarczych skutków </w:t>
            </w:r>
            <w:r>
              <w:rPr>
                <w:b/>
                <w:i/>
              </w:rPr>
              <w:t>kolejnych ograniczeń</w:t>
            </w:r>
            <w:r>
              <w:t xml:space="preserve"> nakładu połowowego, </w:t>
            </w:r>
            <w:r>
              <w:rPr>
                <w:b/>
                <w:i/>
              </w:rPr>
              <w:t>stawiając wiele przedsiębiorstw rybackich na skraju rentowności lub poniżej niej, i są wyraźnie</w:t>
            </w:r>
            <w:r>
              <w:t xml:space="preserve"> niewystarczające do zapewnienia </w:t>
            </w:r>
            <w:r>
              <w:rPr>
                <w:b/>
                <w:i/>
              </w:rPr>
              <w:t>średnio- i</w:t>
            </w:r>
            <w:r>
              <w:t xml:space="preserve"> długoterminowej rentowności sektora;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mając na uwadze, że środki wyrównawcze stosowane wobec floty śródziemnomorskiej przyczyniły się do częściowego złagodzenia społeczno-gospodarczych skutków ograniczenia nakładu połowowego, chociaż są one niewystarczające do zapewnienia długoterminowej rentowności sektora;</w:t>
            </w:r>
          </w:p>
        </w:tc>
        <w:tc>
          <w:tcPr>
            <w:tcW w:w="4876" w:type="dxa"/>
            <w:tcBorders>
              <w:top w:val="nil"/>
              <w:left w:val="nil"/>
              <w:bottom w:val="nil"/>
              <w:right w:val="nil"/>
            </w:tcBorders>
          </w:tcPr>
          <w:p>
            <w:pPr>
              <w:pStyle w:val="Normal6a"/>
            </w:pPr>
            <w:r>
              <w:t>E.</w:t>
            </w:r>
            <w:r>
              <w:tab/>
            </w:r>
            <w:r>
              <w:t xml:space="preserve">mając na uwadze, że środki wyrównawcze stosowane wobec floty śródziemnomorskiej </w:t>
            </w:r>
            <w:r>
              <w:rPr>
                <w:b/>
                <w:i/>
              </w:rPr>
              <w:t>i wdrażane przez nią</w:t>
            </w:r>
            <w:r>
              <w:t xml:space="preserve"> przyczyniły się do częściowego złagodzenia społeczno-gospodarczych skutków ograniczenia nakładu połowowego, chociaż są one niewystarczające do zapewnienia długoterminowej rentowności sektora;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E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mając na uwadze, że konieczne są długoterminowa przewidywalność oraz wszechstronny plan, aby zapewnić długofalową zrównoważoność zarówno stad ryb, jak i sektora rybołówstwa;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E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mając na uwadze, że niedawno przyjęte warianty środków kompensacyjnych pozwalają odpowiednim flotom na łącznie większy nakład połowowy niż nakład przewidziany zgodnie z pierwotnymi ograniczeniami;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E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mając na uwadze, że rentowność rybaków zajmujących się łodziowym rybołówstwem przybrzeżnym zależy od dostępnych im kwot;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mając na uwadze, że STECF </w:t>
            </w:r>
            <w:r>
              <w:rPr>
                <w:b/>
                <w:i/>
              </w:rPr>
              <w:t>i GFCM wskazały</w:t>
            </w:r>
            <w:r>
              <w:t xml:space="preserve"> na utrzymywanie się znacznych luk w danych </w:t>
            </w:r>
            <w:r>
              <w:rPr>
                <w:b/>
                <w:i/>
              </w:rPr>
              <w:t>naukowych</w:t>
            </w:r>
            <w:r>
              <w:t xml:space="preserve"> dotyczących stad dennych w Morzu Śródziemnym</w:t>
            </w:r>
            <w:r>
              <w:rPr>
                <w:b/>
                <w:i/>
              </w:rPr>
              <w:t>, co utrudnia ich właściwą ocenę</w:t>
            </w:r>
            <w:r>
              <w:t>;</w:t>
            </w:r>
          </w:p>
        </w:tc>
        <w:tc>
          <w:tcPr>
            <w:tcW w:w="4876" w:type="dxa"/>
            <w:tcBorders>
              <w:top w:val="nil"/>
              <w:left w:val="nil"/>
              <w:bottom w:val="nil"/>
              <w:right w:val="nil"/>
            </w:tcBorders>
          </w:tcPr>
          <w:p>
            <w:pPr>
              <w:pStyle w:val="Normal6a"/>
            </w:pPr>
            <w:r>
              <w:t>F.</w:t>
            </w:r>
            <w:r>
              <w:tab/>
            </w:r>
            <w:r>
              <w:t xml:space="preserve">mając na uwadze, że </w:t>
            </w:r>
            <w:r>
              <w:rPr>
                <w:b/>
                <w:i/>
              </w:rPr>
              <w:t>w sprawozdaniach Komitetu Naukowo-Technicznego i Ekonomicznego ds. Rybołówstwa (</w:t>
            </w:r>
            <w:r>
              <w:t>STECF</w:t>
            </w:r>
            <w:r>
              <w:rPr>
                <w:b/>
                <w:i/>
              </w:rPr>
              <w:t>) oraz Generalnej Komisji Rybołówstwa Morza Śródziemnego (GFCM) zwraca się uwagę</w:t>
            </w:r>
            <w:r>
              <w:t xml:space="preserve"> na utrzymywanie się znacznych luk w danych dotyczących stad dennych</w:t>
            </w:r>
            <w:r>
              <w:rPr>
                <w:b/>
                <w:i/>
              </w:rPr>
              <w:t>, przy czym ocena ilościowa stad</w:t>
            </w:r>
            <w:r>
              <w:t xml:space="preserve"> w Morzu Śródziemnym </w:t>
            </w:r>
            <w:r>
              <w:rPr>
                <w:b/>
                <w:i/>
              </w:rPr>
              <w:t>wynosi mniej niż 40 % ze względu na niewystarczające dane dotyczące rybołówstwa, a decyzje w sprawie zarządzania często podejmuje się na podstawie ocen naukowych opartych na danych sprzed maksymalnie dwóch lat, co ogranicza ich zdolność do odzwierciedlenia rzeczywistego stanu rybołówstwa</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Sander Smit,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mając na uwadze, że STECF i GFCM wskazały na utrzymywanie się znacznych luk w danych naukowych dotyczących stad dennych w Morzu Śródziemnym, co utrudnia ich właściwą ocenę;</w:t>
            </w:r>
          </w:p>
        </w:tc>
        <w:tc>
          <w:tcPr>
            <w:tcW w:w="4876" w:type="dxa"/>
            <w:tcBorders>
              <w:top w:val="nil"/>
              <w:left w:val="nil"/>
              <w:bottom w:val="nil"/>
              <w:right w:val="nil"/>
            </w:tcBorders>
          </w:tcPr>
          <w:p>
            <w:pPr>
              <w:pStyle w:val="Normal6a"/>
            </w:pPr>
            <w:r>
              <w:t>F.</w:t>
            </w:r>
            <w:r>
              <w:tab/>
            </w:r>
            <w:r>
              <w:t xml:space="preserve">mając na uwadze, że STECF i GFCM wskazały na utrzymywanie się znacznych luk w danych naukowych dotyczących stad dennych w Morzu Śródziemnym, co utrudnia ich właściwą ocenę; </w:t>
            </w:r>
            <w:r>
              <w:rPr>
                <w:b/>
                <w:i/>
              </w:rPr>
              <w:t>że zasadnicze znaczenie ma aktualizacja i rozszerzenie dostępnych badań naukowych, tak aby decyzje dotyczące zarządzania całymi połowami wielogatunkowymi nie opierały się w nieproporcjonalny sposób na ocenie jednego gatunku wskaźnikowego, którego stan może nie być reprezentatywny dla całego stada lub obecnych warunków eksploatacji każdego segmentu floty;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Eric Sargiacomo, Giuseppe Lupo, Sakis Arnaoutoglou,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mając na uwadze, że STECF i GFCM wskazały na utrzymywanie się znacznych luk w danych naukowych dotyczących stad dennych w Morzu Śródziemnym, co utrudnia ich właściwą ocenę;</w:t>
            </w:r>
          </w:p>
        </w:tc>
        <w:tc>
          <w:tcPr>
            <w:tcW w:w="4876" w:type="dxa"/>
            <w:tcBorders>
              <w:top w:val="nil"/>
              <w:left w:val="nil"/>
              <w:bottom w:val="nil"/>
              <w:right w:val="nil"/>
            </w:tcBorders>
          </w:tcPr>
          <w:p>
            <w:pPr>
              <w:pStyle w:val="Normal6a"/>
            </w:pPr>
            <w:r>
              <w:t>F.</w:t>
            </w:r>
            <w:r>
              <w:tab/>
            </w:r>
            <w:r>
              <w:t xml:space="preserve">mając na uwadze, że STECF i GFCM wskazały na utrzymywanie się znacznych luk w danych naukowych dotyczących stad dennych w Morzu Śródziemnym, co utrudnia ich właściwą ocenę; </w:t>
            </w:r>
            <w:r>
              <w:rPr>
                <w:b/>
                <w:i/>
              </w:rPr>
              <w:t>mając na uwadze, że zwiększone zasoby na gromadzenie danych pozostają warunkiem wstępnym zarządzania opartego na najlepszej dostępnej i najnowszej wiedzy naukowej;</w:t>
            </w:r>
            <w:r>
              <w:t xml:space="preserve"> </w:t>
            </w:r>
            <w:r>
              <w:rPr>
                <w:b/>
                <w:i/>
              </w:rPr>
              <w:t>podkreśla brak danych naukowych na temat głównych stad w planie dla floty korsykańskiej w podobszarze geograficznym 8 oraz dla floty sardyńskiej w podobszarze geograficznym 11.2;</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mając na uwadze, że STECF i GFCM wskazały na utrzymywanie się znacznych luk w danych naukowych dotyczących stad dennych w Morzu Śródziemnym, co utrudnia ich właściwą ocenę;</w:t>
            </w:r>
          </w:p>
        </w:tc>
        <w:tc>
          <w:tcPr>
            <w:tcW w:w="4876" w:type="dxa"/>
            <w:tcBorders>
              <w:top w:val="nil"/>
              <w:left w:val="nil"/>
              <w:bottom w:val="nil"/>
              <w:right w:val="nil"/>
            </w:tcBorders>
          </w:tcPr>
          <w:p>
            <w:pPr>
              <w:pStyle w:val="Normal6a"/>
            </w:pPr>
            <w:r>
              <w:t>F.</w:t>
            </w:r>
            <w:r>
              <w:tab/>
            </w:r>
            <w:r>
              <w:t>mając na uwadze, że STECF i GFCM wskazały na utrzymywanie się znacznych luk w danych naukowych dotyczących stad dennych w Morzu Śródziemnym, co utrudnia ich właściwą ocenę</w:t>
            </w:r>
            <w:r>
              <w:rPr>
                <w:b/>
                <w:i/>
              </w:rPr>
              <w:t>, oraz mając również na uwadze, że pełne wdrożenie podejścia ekosystemowego wymaga podjęcia dalszych wysiłków w celu uzupełnienia tych braków w danych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mając na uwadze, że ostatnie badania oceanograficzne wskazują na odbudowę biomasy niektórych stad dennych i ujawniają możliwe rozbieżności między badaniami naukowymi, ocenami opartymi na modelach i decyzjami dotyczącymi zarządzania, w związku z czym trzeba wzmocnić koordynację badań naukowych w dziedzinie rybołówstwa na poziomie europejskim, krajowym i regionalnym;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mając na uwadze, że zmiany w stadach ryb zależą również od czynników środowiskowych, takich jak zmiana klimatu, zanieczyszczenie, śmiertelność naturalna, jakość siedlisk, zmiany w rekrutacji i interakcje między gatunkami, które to czynniki należy w większym stopniu uwzględniać w ocenach naukowych;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F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mając na uwadze, że polityka Unii w dziedzinie środowiska ma na celu wysoki poziom ochrony, z uwzględnieniem różnorodności sytuacji w różnych regionach Unii, oraz opiera się na zasadzie ostrożności;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mając na uwadze, że powiązanie nakładu połowowego z najwrażliwszym stadem doprowadziło de facto do powstania „gatunków dławiących”, co ma nieproporcjonalny wpływ na połowy wielogatunkowe i rentowność sektora;</w:t>
            </w:r>
          </w:p>
        </w:tc>
        <w:tc>
          <w:tcPr>
            <w:tcW w:w="4876" w:type="dxa"/>
            <w:tcBorders>
              <w:top w:val="nil"/>
              <w:left w:val="nil"/>
              <w:bottom w:val="nil"/>
              <w:right w:val="nil"/>
            </w:tcBorders>
          </w:tcPr>
          <w:p>
            <w:pPr>
              <w:pStyle w:val="Normal6a"/>
            </w:pPr>
            <w:r>
              <w:t>G.</w:t>
            </w:r>
            <w:r>
              <w:tab/>
            </w:r>
            <w:r>
              <w:t xml:space="preserve">mając na uwadze, że powiązanie nakładu połowowego z najwrażliwszym stadem doprowadziło de facto do powstania „gatunków dławiących”, co ma nieproporcjonalny wpływ na połowy wielogatunkowe i rentowność sektora; </w:t>
            </w:r>
            <w:r>
              <w:rPr>
                <w:b/>
                <w:i/>
              </w:rPr>
              <w:t>że w ostatnich sprawozdaniach STECF odnotowano pozytywne postępy w odbudowie kilku stad, w tym samego morszczuka, ale nie doprowadziło to jeszcze do przeglądu podejścia metodologicznego umożliwiającego odpowiednie uwolnienie dni połowowych, co wskazuje na sztywność i nieadekwatność obecnego systemu w stosunku do rzeczywistej ewolucji zasobów;</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mając na uwadze, że </w:t>
            </w:r>
            <w:r>
              <w:rPr>
                <w:b/>
                <w:i/>
              </w:rPr>
              <w:t>powiązanie nakładu połowowego z najwrażliwszym stadem doprowadziło de facto do powstania</w:t>
            </w:r>
            <w:r>
              <w:t xml:space="preserve"> „gatunków dławiących”</w:t>
            </w:r>
            <w:r>
              <w:rPr>
                <w:b/>
                <w:i/>
              </w:rPr>
              <w:t>, co ma nieproporcjonalny wpływ na połowy wielogatunkowe i rentowność sektora</w:t>
            </w:r>
            <w:r>
              <w:t>;</w:t>
            </w:r>
          </w:p>
        </w:tc>
        <w:tc>
          <w:tcPr>
            <w:tcW w:w="4876" w:type="dxa"/>
            <w:tcBorders>
              <w:top w:val="nil"/>
              <w:left w:val="nil"/>
              <w:bottom w:val="nil"/>
              <w:right w:val="nil"/>
            </w:tcBorders>
          </w:tcPr>
          <w:p>
            <w:pPr>
              <w:pStyle w:val="Normal6a"/>
            </w:pPr>
            <w:r>
              <w:t>G.</w:t>
            </w:r>
            <w:r>
              <w:tab/>
            </w:r>
            <w:r>
              <w:t xml:space="preserve">mając na uwadze, że </w:t>
            </w:r>
            <w:r>
              <w:rPr>
                <w:b/>
                <w:i/>
              </w:rPr>
              <w:t>w połowach wielogatunkowych stada znajdujące się w złym stanie biologicznym mogą stać się stadami ograniczającymi i zwiększać ryzyko wystąpienia</w:t>
            </w:r>
            <w:r>
              <w:t xml:space="preserve"> „gatunków dławiących”</w:t>
            </w:r>
            <w:r>
              <w:rPr>
                <w:b/>
                <w:i/>
              </w:rPr>
              <w:t>;</w:t>
            </w:r>
            <w:r>
              <w:t xml:space="preserve"> </w:t>
            </w:r>
            <w:r>
              <w:rPr>
                <w:b/>
                <w:i/>
              </w:rPr>
              <w:t>mając na uwadze, że ryzyko to należy eliminować poprzez poprawę selektywności taktycznej i technicznej, środki unikania połowów, czasowo-przestrzenne zamknięcia obszarów, działania naprawcze oraz odpowiednie zachęty, przy jednoczesnym zapewnieniu, aby dobry stan silniejszych stad nie maskował dalszego nadmiernego eksploatowania stad słabszych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mając na uwadze, że powiązanie nakładu połowowego z najwrażliwszym stadem doprowadziło de facto do powstania „gatunków dławiących”, </w:t>
            </w:r>
            <w:r>
              <w:rPr>
                <w:b/>
                <w:i/>
              </w:rPr>
              <w:t>co ma nieproporcjonalny wpływ na połowy wielogatunkowe i rentowność sektora</w:t>
            </w:r>
            <w:r>
              <w:t>;</w:t>
            </w:r>
          </w:p>
        </w:tc>
        <w:tc>
          <w:tcPr>
            <w:tcW w:w="4876" w:type="dxa"/>
            <w:tcBorders>
              <w:top w:val="nil"/>
              <w:left w:val="nil"/>
              <w:bottom w:val="nil"/>
              <w:right w:val="nil"/>
            </w:tcBorders>
          </w:tcPr>
          <w:p>
            <w:pPr>
              <w:pStyle w:val="Normal6a"/>
            </w:pPr>
            <w:r>
              <w:t>G.</w:t>
            </w:r>
            <w:r>
              <w:tab/>
            </w:r>
            <w:r>
              <w:t xml:space="preserve">mając na uwadze, że powiązanie nakładu połowowego z najwrażliwszym stadem doprowadziło de facto do powstania „gatunków dławiących”, </w:t>
            </w:r>
            <w:r>
              <w:rPr>
                <w:b/>
                <w:i/>
              </w:rPr>
              <w:t>podejście to należy zmienić na zarządzanie połowami wielogatunkowymi w oparciu o ogólną ocenę stanu głównych eksploatowanych stad, taką jak wskaźnik ważony, przy jednoczesnym zapewnieniu osiągnięcia maksymalnego podtrzymywalnego połowu dla każdego z nich</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mając na uwadze, że </w:t>
            </w:r>
            <w:r>
              <w:rPr>
                <w:b/>
                <w:i/>
              </w:rPr>
              <w:t>powiązanie nakładu połowowego z najwrażliwszym stadem doprowadziło</w:t>
            </w:r>
            <w:r>
              <w:t xml:space="preserve"> de facto </w:t>
            </w:r>
            <w:r>
              <w:rPr>
                <w:b/>
                <w:i/>
              </w:rPr>
              <w:t>do powstania</w:t>
            </w:r>
            <w:r>
              <w:t xml:space="preserve"> „gatunków dławiących”, </w:t>
            </w:r>
            <w:r>
              <w:rPr>
                <w:b/>
                <w:i/>
              </w:rPr>
              <w:t>co ma nieproporcjonalny wpływ na</w:t>
            </w:r>
            <w:r>
              <w:t xml:space="preserve"> połowy wielogatunkowe i </w:t>
            </w:r>
            <w:r>
              <w:rPr>
                <w:b/>
                <w:i/>
              </w:rPr>
              <w:t>rentowność</w:t>
            </w:r>
            <w:r>
              <w:t xml:space="preserve"> sektora;</w:t>
            </w:r>
          </w:p>
        </w:tc>
        <w:tc>
          <w:tcPr>
            <w:tcW w:w="4876" w:type="dxa"/>
            <w:tcBorders>
              <w:top w:val="nil"/>
              <w:left w:val="nil"/>
              <w:bottom w:val="nil"/>
              <w:right w:val="nil"/>
            </w:tcBorders>
          </w:tcPr>
          <w:p>
            <w:pPr>
              <w:pStyle w:val="Normal6a"/>
            </w:pPr>
            <w:r>
              <w:t>G.</w:t>
            </w:r>
            <w:r>
              <w:tab/>
            </w:r>
            <w:r>
              <w:t xml:space="preserve">mając na uwadze, że </w:t>
            </w:r>
            <w:r>
              <w:rPr>
                <w:b/>
                <w:i/>
              </w:rPr>
              <w:t>sztywne podejście do zarządzania w planie wieloletnim WestMed, które łączy nakład połowowy z sytuacją najwrażliwszego stada, stworzyło</w:t>
            </w:r>
            <w:r>
              <w:t xml:space="preserve"> de facto </w:t>
            </w:r>
            <w:r>
              <w:rPr>
                <w:b/>
                <w:i/>
              </w:rPr>
              <w:t>problem</w:t>
            </w:r>
            <w:r>
              <w:t xml:space="preserve"> „gatunków dławiących”, </w:t>
            </w:r>
            <w:r>
              <w:rPr>
                <w:b/>
                <w:i/>
              </w:rPr>
              <w:t>nieproporcjonalnie ograniczając</w:t>
            </w:r>
            <w:r>
              <w:t xml:space="preserve"> połowy wielogatunkowe i </w:t>
            </w:r>
            <w:r>
              <w:rPr>
                <w:b/>
                <w:i/>
              </w:rPr>
              <w:t>osłabiając stabilność gospodarczą</w:t>
            </w:r>
            <w:r>
              <w:t xml:space="preserve"> sektora</w:t>
            </w:r>
            <w:r>
              <w:rPr>
                <w:b/>
                <w:i/>
              </w:rPr>
              <w:t>, bez zapewnienia odpowiednich korzyści w zakresie ochrony</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Emma Wiesner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mając na uwadze, że powiązanie nakładu połowowego z najwrażliwszym stadem </w:t>
            </w:r>
            <w:r>
              <w:rPr>
                <w:b/>
                <w:i/>
              </w:rPr>
              <w:t>doprowadziło de facto do powstania</w:t>
            </w:r>
            <w:r>
              <w:t xml:space="preserve"> „gatunków dławiących”, co </w:t>
            </w:r>
            <w:r>
              <w:rPr>
                <w:b/>
                <w:i/>
              </w:rPr>
              <w:t>ma nieproporcjonalny wpływ</w:t>
            </w:r>
            <w:r>
              <w:t xml:space="preserve"> na połowy wielogatunkowe </w:t>
            </w:r>
            <w:r>
              <w:rPr>
                <w:b/>
                <w:i/>
              </w:rPr>
              <w:t>i</w:t>
            </w:r>
            <w:r>
              <w:t xml:space="preserve"> rentowność </w:t>
            </w:r>
            <w:r>
              <w:rPr>
                <w:b/>
                <w:i/>
              </w:rPr>
              <w:t>sektora</w:t>
            </w:r>
            <w:r>
              <w:t>;</w:t>
            </w:r>
          </w:p>
        </w:tc>
        <w:tc>
          <w:tcPr>
            <w:tcW w:w="4876" w:type="dxa"/>
            <w:tcBorders>
              <w:top w:val="nil"/>
              <w:left w:val="nil"/>
              <w:bottom w:val="nil"/>
              <w:right w:val="nil"/>
            </w:tcBorders>
          </w:tcPr>
          <w:p>
            <w:pPr>
              <w:pStyle w:val="Normal6a"/>
            </w:pPr>
            <w:r>
              <w:t>G.</w:t>
            </w:r>
            <w:r>
              <w:tab/>
            </w:r>
            <w:r>
              <w:t xml:space="preserve">mając na uwadze, że powiązanie nakładu połowowego z najwrażliwszym stadem </w:t>
            </w:r>
            <w:r>
              <w:rPr>
                <w:b/>
                <w:i/>
              </w:rPr>
              <w:t>wywołuje skutki w postaci np.</w:t>
            </w:r>
            <w:r>
              <w:t xml:space="preserve"> „gatunków dławiących”, co </w:t>
            </w:r>
            <w:r>
              <w:rPr>
                <w:b/>
                <w:i/>
              </w:rPr>
              <w:t>wpływa</w:t>
            </w:r>
            <w:r>
              <w:t xml:space="preserve"> na połowy wielogatunkowe </w:t>
            </w:r>
            <w:r>
              <w:rPr>
                <w:b/>
                <w:i/>
              </w:rPr>
              <w:t>oraz ich</w:t>
            </w:r>
            <w:r>
              <w:t xml:space="preserve"> rentowność;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mając na uwadze, że powiązanie nakładu połowowego z najwrażliwszym stadem doprowadziło de facto do powstania „gatunków dławiących”, co ma nieproporcjonalny wpływ na połowy wielogatunkowe </w:t>
            </w:r>
            <w:r>
              <w:rPr>
                <w:b/>
                <w:i/>
              </w:rPr>
              <w:t>i</w:t>
            </w:r>
            <w:r>
              <w:t xml:space="preserve"> rentowność sektora;</w:t>
            </w:r>
          </w:p>
        </w:tc>
        <w:tc>
          <w:tcPr>
            <w:tcW w:w="4876" w:type="dxa"/>
            <w:tcBorders>
              <w:top w:val="nil"/>
              <w:left w:val="nil"/>
              <w:bottom w:val="nil"/>
              <w:right w:val="nil"/>
            </w:tcBorders>
          </w:tcPr>
          <w:p>
            <w:pPr>
              <w:pStyle w:val="Normal6a"/>
            </w:pPr>
            <w:r>
              <w:t>G.</w:t>
            </w:r>
            <w:r>
              <w:tab/>
            </w:r>
            <w:r>
              <w:t xml:space="preserve">mając na uwadze, że powiązanie nakładu połowowego z najwrażliwszym stadem doprowadziło de facto do powstania „gatunków dławiących”, co ma nieproporcjonalny wpływ na połowy wielogatunkowe </w:t>
            </w:r>
            <w:r>
              <w:rPr>
                <w:b/>
                <w:i/>
              </w:rPr>
              <w:t>oraz</w:t>
            </w:r>
            <w:r>
              <w:t xml:space="preserve"> rentowność sektora </w:t>
            </w:r>
            <w:r>
              <w:rPr>
                <w:b/>
                <w:i/>
              </w:rPr>
              <w:t>i zależnych od niego społeczności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G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mając na uwadze, że ewolucja ekosystemów morskich zależy od wielu czynników, m.in. zmiany klimatu, wzrostu temperatur, zanieczyszczenia, degradacji siedlisk, gatunków inwazyjnych i naturalnych drapieżników, w związku z czym polityka ochrony powinna uwzględniać wszystkie te presje w sposób zintegrowany;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mając na uwadze, że po pięciu latach wdrażania plan wieloletni dotyczący zachodniej części Morza Śródziemnego przyniósł nierówne wyniki: odnotowano pozytywne oznaki odbudowy niektórych stad, na przykład krewetki głębinowej różowej, podczas gdy w przypadku innych stad, w szczególności morszczuka europejskiego jako najwrażliwszego stada, odbudowa jest wolniejsza;</w:t>
            </w:r>
          </w:p>
        </w:tc>
        <w:tc>
          <w:tcPr>
            <w:tcW w:w="4876" w:type="dxa"/>
            <w:tcBorders>
              <w:top w:val="nil"/>
              <w:left w:val="nil"/>
              <w:bottom w:val="nil"/>
              <w:right w:val="nil"/>
            </w:tcBorders>
          </w:tcPr>
          <w:p>
            <w:pPr>
              <w:pStyle w:val="Normal6a"/>
            </w:pPr>
            <w:r>
              <w:t>H.</w:t>
            </w:r>
            <w:r>
              <w:tab/>
            </w:r>
            <w:r>
              <w:t>mając na uwadze, że po pięciu latach wdrażania plan wieloletni dotyczący zachodniej części Morza Śródziemnego przyniósł nierówne wyniki: odnotowano pozytywne oznaki odbudowy niektórych stad, na przykład krewetki głębinowej różowej, podczas gdy w przypadku innych stad, w szczególności morszczuka europejskiego jako najwrażliwszego stada, odbudowa jest wolniejsza</w:t>
            </w:r>
            <w:r>
              <w:rPr>
                <w:b/>
                <w:i/>
              </w:rPr>
              <w:t>, a kilka niedawno wdrożonych środków zarządzania nie przyniosło jeszcze wszystkich skutków biologicznych i społeczno-gospodarczych, oraz mając na uwadze, że w związku z tym przed rozważeniem dalszego ograniczenia uprawnień do połowów należy przeprowadzić pełną ocenę ich skuteczności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mając na uwadze, że po pięciu latach wdrażania plan wieloletni dotyczący zachodniej części Morza Śródziemnego przyniósł nierówne wyniki: odnotowano pozytywne oznaki odbudowy niektórych stad, na przykład krewetki głębinowej różowej, </w:t>
            </w:r>
            <w:r>
              <w:rPr>
                <w:b/>
                <w:i/>
              </w:rPr>
              <w:t>podczas gdy w przypadku innych stad, w szczególności</w:t>
            </w:r>
            <w:r>
              <w:t xml:space="preserve"> morszczuka </w:t>
            </w:r>
            <w:r>
              <w:rPr>
                <w:b/>
                <w:i/>
              </w:rPr>
              <w:t>europejskiego jako najwrażliwszego stada, odbudowa jest wolniejsza</w:t>
            </w:r>
            <w:r>
              <w:t>;</w:t>
            </w:r>
          </w:p>
        </w:tc>
        <w:tc>
          <w:tcPr>
            <w:tcW w:w="4876" w:type="dxa"/>
            <w:tcBorders>
              <w:top w:val="nil"/>
              <w:left w:val="nil"/>
              <w:bottom w:val="nil"/>
              <w:right w:val="nil"/>
            </w:tcBorders>
          </w:tcPr>
          <w:p>
            <w:pPr>
              <w:pStyle w:val="Normal6a"/>
            </w:pPr>
            <w:r>
              <w:t>H.</w:t>
            </w:r>
            <w:r>
              <w:tab/>
            </w:r>
            <w:r>
              <w:t xml:space="preserve">mając na uwadze, że po pięciu latach wdrażania plan wieloletni dotyczący zachodniej części Morza Śródziemnego przyniósł nierówne wyniki: odnotowano pozytywne oznaki odbudowy niektórych stad, na przykład krewetki głębinowej różowej, </w:t>
            </w:r>
            <w:r>
              <w:rPr>
                <w:b/>
                <w:i/>
              </w:rPr>
              <w:t>barweny i bladoczerwonej krewetki głębinowej;</w:t>
            </w:r>
            <w:r>
              <w:t xml:space="preserve"> </w:t>
            </w:r>
            <w:r>
              <w:rPr>
                <w:b/>
                <w:i/>
              </w:rPr>
              <w:t>że w najnowszych sprawozdaniach naukowych odnotowano również pozytywne postępy w odniesieniu do samego</w:t>
            </w:r>
            <w:r>
              <w:t xml:space="preserve"> morszczuka</w:t>
            </w:r>
            <w:r>
              <w:rPr>
                <w:b/>
                <w:i/>
              </w:rPr>
              <w:t>, co stawia pod znakiem zapytania znaczenie dalszego uzależniania całego nakładu połowowego połowów wielogatunkowych od wskaźników dotyczących jednego gatunku i zwiększa potrzebę niezwłocznego przeglądu metodyki przydzielania dni połowowych</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H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mając na uwadze, że postępy te osiągnięto przy wysokich kosztach gospodarczych i społecznych dla floty śródziemnomorskiej i społeczności nadbrzeżnych;</w:t>
            </w:r>
            <w:r>
              <w:t xml:space="preserve"> </w:t>
            </w:r>
            <w:r>
              <w:rPr>
                <w:b/>
                <w:i/>
              </w:rPr>
              <w:t>że przyszłe decyzje dotyczące zarządzania powinny konsolidować te zmiany, unikając dalszego nieproporcjonalnego ograniczania nakładu połowowego;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H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mając na uwadze, że ostatnie badania</w:t>
            </w:r>
            <w:r>
              <w:rPr>
                <w:b/>
                <w:i/>
                <w:vertAlign w:val="superscript"/>
              </w:rPr>
              <w:t>1a</w:t>
            </w:r>
            <w:r>
              <w:t xml:space="preserve"> </w:t>
            </w:r>
            <w:r>
              <w:rPr>
                <w:b/>
                <w:i/>
              </w:rPr>
              <w:t>wskazują na pozytywne wyniki dotyczące tendencji w zakresie biomasy w zachodniej części Morza Śródziemnego i ograniczenia przełowienia;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Komisja Europejska, Wspólne Centrum Badawcze, Komitet Naukowo-Techniczny i Ekonomiczny ds. Rybołówstwa (STECF), Monitoring the Performance of the Common Fisheries Policy [Monitorowanie skuteczności wspólnej polityki rybołówstwa] (STECF-Adhoc-25-01), 2025.</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H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Hb.</w:t>
            </w:r>
            <w:r>
              <w:tab/>
            </w:r>
            <w:r>
              <w:rPr>
                <w:b/>
                <w:i/>
              </w:rPr>
              <w:t>mając na uwadze, że zgodnie z najnowszymi sprawozdaniami FAO</w:t>
            </w:r>
            <w:r>
              <w:rPr>
                <w:b/>
                <w:i/>
                <w:vertAlign w:val="superscript"/>
              </w:rPr>
              <w:t>1a</w:t>
            </w:r>
            <w:r>
              <w:t xml:space="preserve"> </w:t>
            </w:r>
            <w:r>
              <w:rPr>
                <w:b/>
                <w:i/>
              </w:rPr>
              <w:t>odsetek przełowionych stad na Morzu Śródziemnym spadł do najniższego poziomu odnotowanego w szeregu czasowym;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FAO,</w:t>
            </w:r>
            <w:r>
              <w:t xml:space="preserve"> </w:t>
            </w:r>
            <w:r>
              <w:rPr>
                <w:b/>
                <w:i/>
              </w:rPr>
              <w:t>2025,</w:t>
            </w:r>
            <w:r>
              <w:t xml:space="preserve"> </w:t>
            </w:r>
            <w:r>
              <w:rPr>
                <w:b/>
                <w:i/>
              </w:rPr>
              <w:t>The State of Mediterranean and Black Sea Fisheries 2025 [Stan rybołówstwa na Morzu Śródziemnym i Morzu Czarnym w 2025 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w:t>
            </w:r>
            <w:r>
              <w:tab/>
            </w:r>
            <w:r>
              <w:rPr>
                <w:b/>
                <w:i/>
              </w:rPr>
              <w:t>mając na uwadze, że w planie wieloletnim dotyczącym zachodniej części Morza Śródziemnego brakuje mechanizmów elastyczności i stabilizacji z roku na rok określonych w innych planach wieloletnich UE, co powoduje niepewność prawa i nieprzewidywalność gospodarczą;</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w:t>
            </w:r>
            <w:r>
              <w:tab/>
            </w:r>
            <w:r>
              <w:rPr>
                <w:b/>
                <w:i/>
              </w:rPr>
              <w:t>mając na uwadze, że w planie wieloletnim dotyczącym zachodniej części Morza Śródziemnego brakuje mechanizmów elastyczności i stabilizacji z roku na rok określonych w innych planach wieloletnich UE, co powoduje niepewność prawa i nieprzewidywalność gospodarczą;</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mając na uwadze, że w planie wieloletnim dotyczącym zachodniej części Morza Śródziemnego brakuje mechanizmów elastyczności i stabilizacji z roku na rok </w:t>
            </w:r>
            <w:r>
              <w:rPr>
                <w:b/>
                <w:i/>
              </w:rPr>
              <w:t>określonych w innych planach wieloletnich UE, co powoduje niepewność prawa i nieprzewidywalność gospodarczą</w:t>
            </w:r>
            <w:r>
              <w:t>;</w:t>
            </w:r>
          </w:p>
        </w:tc>
        <w:tc>
          <w:tcPr>
            <w:tcW w:w="4876" w:type="dxa"/>
            <w:tcBorders>
              <w:top w:val="nil"/>
              <w:left w:val="nil"/>
              <w:bottom w:val="nil"/>
              <w:right w:val="nil"/>
            </w:tcBorders>
          </w:tcPr>
          <w:p>
            <w:pPr>
              <w:pStyle w:val="Normal6a"/>
            </w:pPr>
            <w:r>
              <w:t>I.</w:t>
            </w:r>
            <w:r>
              <w:tab/>
            </w:r>
            <w:r>
              <w:t>mając na uwadze, że w planie wieloletnim dotyczącym zachodniej części Morza Śródziemnego brakuje mechanizmów elastyczności i stabilizacji z roku na rok </w:t>
            </w:r>
            <w:r>
              <w:rPr>
                <w:b/>
                <w:i/>
              </w:rPr>
              <w:t>zapewniających większą przewidywalność długoterminową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mając na uwadze, że w planie wieloletnim dotyczącym zachodniej części Morza Śródziemnego brakuje mechanizmów elastyczności i stabilizacji z roku na rok określonych w innych planach wieloletnich UE, co powoduje niepewność prawa i nieprzewidywalność gospodarczą;</w:t>
            </w:r>
          </w:p>
        </w:tc>
        <w:tc>
          <w:tcPr>
            <w:tcW w:w="4876" w:type="dxa"/>
            <w:tcBorders>
              <w:top w:val="nil"/>
              <w:left w:val="nil"/>
              <w:bottom w:val="nil"/>
              <w:right w:val="nil"/>
            </w:tcBorders>
          </w:tcPr>
          <w:p>
            <w:pPr>
              <w:pStyle w:val="Normal6a"/>
            </w:pPr>
            <w:r>
              <w:t>I.</w:t>
            </w:r>
            <w:r>
              <w:tab/>
            </w:r>
            <w:r>
              <w:t xml:space="preserve">mając na uwadze, że w planie wieloletnim dotyczącym zachodniej części Morza Śródziemnego brakuje mechanizmów elastyczności i stabilizacji z roku na rok określonych w innych planach wieloletnich UE, co powoduje </w:t>
            </w:r>
            <w:r>
              <w:rPr>
                <w:b/>
                <w:i/>
              </w:rPr>
              <w:t>nierówne traktowanie,</w:t>
            </w:r>
            <w:r>
              <w:t xml:space="preserve"> niepewność prawa i nieprzewidywalność gospodarczą;</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I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mając na uwadze, że według STECF poziom przełowienia krewetek głębokowodnych jest nadal wysoki, a stan tych stad nie zmienił się w stopniu wystarczającym do osiągnięcia celu, jakim jest maksymalny podtrzymywalny połów;</w:t>
            </w:r>
            <w:r>
              <w:t xml:space="preserve"> </w:t>
            </w:r>
            <w:r>
              <w:rPr>
                <w:b/>
                <w:i/>
              </w:rPr>
              <w:t>mając na uwadze, że w związku z tym STECF zaleca połączenie dalszego ograniczania nakładu połowowego w odniesieniu do połowów włokiem z limitami połowowymi jako komplementarnych środków istotnych dla stad krewetek głębokowodnych;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I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mając na uwadze, że większa przewidywalność inwestycji i działalności przynosi korzyści operatorom;</w:t>
            </w:r>
            <w:r>
              <w:t xml:space="preserve"> </w:t>
            </w:r>
            <w:r>
              <w:rPr>
                <w:b/>
                <w:i/>
              </w:rPr>
              <w:t>mając na uwadze, że taką przewidywalność należy poprawić poprzez terminowe planowanie, jasną komunikację i lepsze wykorzystanie narzędzi dostępnych w ramach planu wieloletniego dla zachodniej części Morza Śródziemnego, przy jednoczesnym zapewnieniu, aby zarządzanie roczne pozostało zgodne z najlepszymi dostępnymi opiniami naukowymi;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mając na uwadze, że mieszany charakter połowów w Morzu Śródziemnym, gdzie jednocześnie poławia się wiele gatunków, wymaga adaptacyjnych środków zarządzania uwzględniających selektywność floty, innowacje w zakresie narzędzi połowowych i odporność społeczno-gospodarczą;</w:t>
            </w:r>
          </w:p>
        </w:tc>
        <w:tc>
          <w:tcPr>
            <w:tcW w:w="4876" w:type="dxa"/>
            <w:tcBorders>
              <w:top w:val="nil"/>
              <w:left w:val="nil"/>
              <w:bottom w:val="nil"/>
              <w:right w:val="nil"/>
            </w:tcBorders>
          </w:tcPr>
          <w:p>
            <w:pPr>
              <w:pStyle w:val="Normal6a"/>
            </w:pPr>
            <w:r>
              <w:t>J.</w:t>
            </w:r>
            <w:r>
              <w:tab/>
            </w:r>
            <w:r>
              <w:t xml:space="preserve">mając na uwadze, że mieszany charakter połowów w Morzu Śródziemnym, gdzie jednocześnie poławia się wiele gatunków, wymaga adaptacyjnych środków zarządzania uwzględniających selektywność floty, innowacje w zakresie narzędzi połowowych i odporność społeczno-gospodarczą </w:t>
            </w:r>
            <w:r>
              <w:rPr>
                <w:b/>
                <w:i/>
              </w:rPr>
              <w:t>oraz które muszą umożliwiać dostosowanie zasad zarządzania do specyfiki różnych segmentów floty, gdy niektóre segmenty administracyjne nie odpowiadają już realiom operacyjnym rybołówstwa na Morzu Śródziemnym</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mając na uwadze, że mieszany charakter połowów w Morzu Śródziemnym, gdzie jednocześnie poławia się </w:t>
            </w:r>
            <w:r>
              <w:rPr>
                <w:b/>
                <w:i/>
              </w:rPr>
              <w:t>wiele</w:t>
            </w:r>
            <w:r>
              <w:t xml:space="preserve"> gatunków, wymaga adaptacyjnych środków zarządzania </w:t>
            </w:r>
            <w:r>
              <w:rPr>
                <w:b/>
                <w:i/>
              </w:rPr>
              <w:t>uwzględniających selektywność</w:t>
            </w:r>
            <w:r>
              <w:t xml:space="preserve"> floty, </w:t>
            </w:r>
            <w:r>
              <w:rPr>
                <w:b/>
                <w:i/>
              </w:rPr>
              <w:t>innowacje</w:t>
            </w:r>
            <w:r>
              <w:t xml:space="preserve"> w zakresie narzędzi połowowych </w:t>
            </w:r>
            <w:r>
              <w:rPr>
                <w:b/>
                <w:i/>
              </w:rPr>
              <w:t>i odporność społeczno-gospodarczą</w:t>
            </w:r>
            <w:r>
              <w:t>;</w:t>
            </w:r>
          </w:p>
        </w:tc>
        <w:tc>
          <w:tcPr>
            <w:tcW w:w="4876" w:type="dxa"/>
            <w:tcBorders>
              <w:top w:val="nil"/>
              <w:left w:val="nil"/>
              <w:bottom w:val="nil"/>
              <w:right w:val="nil"/>
            </w:tcBorders>
          </w:tcPr>
          <w:p>
            <w:pPr>
              <w:pStyle w:val="Normal6a"/>
            </w:pPr>
            <w:r>
              <w:t>J.</w:t>
            </w:r>
            <w:r>
              <w:tab/>
            </w:r>
            <w:r>
              <w:t xml:space="preserve">mając na uwadze, że mieszany charakter połowów w Morzu Śródziemnym, gdzie </w:t>
            </w:r>
            <w:r>
              <w:rPr>
                <w:b/>
                <w:i/>
              </w:rPr>
              <w:t>często</w:t>
            </w:r>
            <w:r>
              <w:t xml:space="preserve"> jednocześnie poławia się </w:t>
            </w:r>
            <w:r>
              <w:rPr>
                <w:b/>
                <w:i/>
              </w:rPr>
              <w:t>wielu</w:t>
            </w:r>
            <w:r>
              <w:t xml:space="preserve"> gatunków, wymaga adaptacyjnych </w:t>
            </w:r>
            <w:r>
              <w:rPr>
                <w:b/>
                <w:i/>
              </w:rPr>
              <w:t>i opartych na ekosystemie</w:t>
            </w:r>
            <w:r>
              <w:t xml:space="preserve"> środków zarządzania</w:t>
            </w:r>
            <w:r>
              <w:rPr>
                <w:b/>
                <w:i/>
              </w:rPr>
              <w:t>, a środki te należy przyjmować na podstawie najlepszych dostępnych opinii naukowych, z uwzględnieniem selektywności</w:t>
            </w:r>
            <w:r>
              <w:t xml:space="preserve"> floty, </w:t>
            </w:r>
            <w:r>
              <w:rPr>
                <w:b/>
                <w:i/>
              </w:rPr>
              <w:t>innowacji</w:t>
            </w:r>
            <w:r>
              <w:t xml:space="preserve"> w zakresie narzędzi połowowych </w:t>
            </w:r>
            <w:r>
              <w:rPr>
                <w:b/>
                <w:i/>
              </w:rPr>
              <w:t>o niskim wpływie na środowisko, ochrony wrażliwych ekosystemów morskich i gatunków stanowiących przyłów, a także konieczności zapewnienia sprawiedliwej transformacji i długoterminowej odporności społeczności nadmorskich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mając na uwadze, że mieszany charakter połowów w Morzu Śródziemnym, gdzie jednocześnie poławia się wiele gatunków, wymaga adaptacyjnych środków zarządzania uwzględniających selektywność floty, innowacje w zakresie narzędzi połowowych i odporność społeczno-gospodarczą;</w:t>
            </w:r>
          </w:p>
        </w:tc>
        <w:tc>
          <w:tcPr>
            <w:tcW w:w="4876" w:type="dxa"/>
            <w:tcBorders>
              <w:top w:val="nil"/>
              <w:left w:val="nil"/>
              <w:bottom w:val="nil"/>
              <w:right w:val="nil"/>
            </w:tcBorders>
          </w:tcPr>
          <w:p>
            <w:pPr>
              <w:pStyle w:val="Normal6a"/>
            </w:pPr>
            <w:r>
              <w:t>J.</w:t>
            </w:r>
            <w:r>
              <w:tab/>
            </w:r>
            <w:r>
              <w:t>mając na uwadze, że mieszany charakter połowów w Morzu Śródziemnym, gdzie jednocześnie poławia się wiele gatunków, wymaga adaptacyjnych środków zarządzania uwzględniających selektywność floty, innowacje w zakresie narzędzi połowowych i odporność społeczno-gospodarczą</w:t>
            </w:r>
            <w:r>
              <w:rPr>
                <w:b/>
                <w:i/>
              </w:rPr>
              <w:t>, a także interakcje między gatunkami, skutki zmiany klimatu i inne presje wywierane na ekosystemy morskie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mając na uwadze, że mieszany charakter połowów w Morzu Śródziemnym, gdzie jednocześnie poławia się wiele gatunków, wymaga adaptacyjnych środków zarządzania uwzględniających selektywność floty, innowacje w zakresie narzędzi połowowych i odporność społeczno-gospodarczą;</w:t>
            </w:r>
          </w:p>
        </w:tc>
        <w:tc>
          <w:tcPr>
            <w:tcW w:w="4876" w:type="dxa"/>
            <w:tcBorders>
              <w:top w:val="nil"/>
              <w:left w:val="nil"/>
              <w:bottom w:val="nil"/>
              <w:right w:val="nil"/>
            </w:tcBorders>
          </w:tcPr>
          <w:p>
            <w:pPr>
              <w:pStyle w:val="Normal6a"/>
            </w:pPr>
            <w:r>
              <w:t>J.</w:t>
            </w:r>
            <w:r>
              <w:tab/>
            </w:r>
            <w:r>
              <w:t xml:space="preserve">mając na uwadze, że mieszany charakter połowów w Morzu Śródziemnym, gdzie jednocześnie poławia się wiele gatunków, wymaga adaptacyjnych środków zarządzania </w:t>
            </w:r>
            <w:r>
              <w:rPr>
                <w:b/>
                <w:i/>
              </w:rPr>
              <w:t>chroniących gatunki narażone i</w:t>
            </w:r>
            <w:r>
              <w:t xml:space="preserve"> uwzględniających selektywność floty, innowacje w zakresie narzędzi połowowych i odporność społeczno-gospodarczą;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mając na uwadze, że art. 9 ust. 5 rozporządzenia (UE) nr 1380/2013 stanowi, że zarządzanie połowami wielogatunkowymi ma należycie uwzględniać praktyczne trudności w jednoczesnym osiągnięciu maksymalnego podtrzymywalnego połowu w odniesieniu do wszystkich stad;</w:t>
            </w:r>
            <w:r>
              <w:t xml:space="preserve"> </w:t>
            </w:r>
            <w:r>
              <w:rPr>
                <w:b/>
                <w:i/>
              </w:rPr>
              <w:t>że środki zarządzania powinny zatem unikać przedwczesnego zamykania łowisk lub ograniczania działalności połowowej do poziomów niezgodnych z ich rentownością gospodarczą i społeczną oraz zapewniać wystarczające uprawnienia do połowów w celu utrzymania działalności floty, ustanawiając jako ogólny punkt odniesienia minimalną średnią wynoszącą 180 dni połowowych na statek rocznie;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mając na uwadze, że różne zawody związane z rybołówstwem na Morzu Śródziemnym mają bardzo różne poziomy oddziaływania, selektywności, mobilności i zależności od stad dennych;</w:t>
            </w:r>
            <w:r>
              <w:t xml:space="preserve"> </w:t>
            </w:r>
            <w:r>
              <w:rPr>
                <w:b/>
                <w:i/>
              </w:rPr>
              <w:t>mając na uwadze, że uniwersalne podejście do zarządzania nie zawsze umożliwia uwzględnienie wszystkich specyficznych cech;</w:t>
            </w:r>
            <w:r>
              <w:t xml:space="preserve"> </w:t>
            </w:r>
            <w:r>
              <w:rPr>
                <w:b/>
                <w:i/>
              </w:rPr>
              <w:t>mając na uwadze, że w związku z tym konieczne jest zapewnienie, że środki zarządzania są proporcjonalne do specyfiki każdego zawodu;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mając na uwadze, że zarządzanie rybołówstwem musi uwzględniać skumulowaną presję wynikającą z połowów, zmiany klimatu, zanieczyszczenia środowiska, hałasu podwodnego, degradacji siedlisk, gatunków inwazyjnych oraz innej działalności człowieka;</w:t>
            </w:r>
            <w:r>
              <w:t xml:space="preserve"> </w:t>
            </w:r>
            <w:r>
              <w:rPr>
                <w:b/>
                <w:i/>
              </w:rPr>
              <w:t>mając na uwadze, że środki zarządzania rybołówstwem powinny opierać się na pojemności środowiska i ekologicznych limitach ekosystemów morskich;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mając na uwadze, że planowanie przestrzenne obszarów morskich musi zapewniać zrównoważone współistnienie rybołówstwa zawodowego, chronionych obszarów morskich, obszarów ściśle chronionych, odbudowy ekosystemów morskich i rozwoju energii z morskich źródeł odnawialnych;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mając na uwadze, że w swoim sprawozdaniu z wdrażania z 2024 r. Komisja uznała, że wieloletni plan okazał się korzystnymi ramami służącymi wdrażaniu wspólnej polityki rybołówstwa w zachodniej części Morza Śródziemnego oraz osiągnięciu poziomu Fmsy najpóźniej do dnia 1 stycznia 2025 r.;</w:t>
            </w:r>
            <w:r>
              <w:t xml:space="preserve"> </w:t>
            </w:r>
            <w:r>
              <w:rPr>
                <w:b/>
                <w:i/>
              </w:rPr>
              <w:t>mając na uwadze, że zgodnie z tym samym sprawozdaniem w ciągu pięcioletniego okresu przejściowego plan wieloletni przyczynił się do lepszej kontroli łowisk, na przykład przez prowadzenie corocznych wykazów upoważnionych statków oraz przyjęcie środków ochronnych, takich jak skuteczne obszary zamknięte;</w:t>
            </w:r>
            <w:r>
              <w:t xml:space="preserve"> </w:t>
            </w:r>
            <w:r>
              <w:rPr>
                <w:b/>
                <w:i/>
              </w:rPr>
              <w:t>mając na uwadze, że w sprawozdaniu wskazano, iż plan wieloletni przewidywał szereg środków elastyczności mających pomóc temu sektorowi w przejściu na bardziej zrównoważone praktyki, takich jak przenoszenie nakładu połowowego czy alternatywne skuteczne zamknięcia przestrzenne;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J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mając na uwadze, że środki ochronne powinny podlegać regularnej ocenie ich skutków biologicznych, gospodarczych, społecznych i terytorialnych, aby zapewnić ich skuteczność i akceptowalność dla społeczności rybackich;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mając na uwadze, że nielegalne, nieraportowane i nieuregulowane połowy (połowy NNN) oraz działalność flot państw trzecich na Morzu Śródziemnym pozostają niewystarczająco kontrolowane, co ma negatywny wpływ na stada ryb i konkurencyjność floty europejskiej;</w:t>
            </w:r>
          </w:p>
        </w:tc>
        <w:tc>
          <w:tcPr>
            <w:tcW w:w="4876" w:type="dxa"/>
            <w:tcBorders>
              <w:top w:val="nil"/>
              <w:left w:val="nil"/>
              <w:bottom w:val="nil"/>
              <w:right w:val="nil"/>
            </w:tcBorders>
          </w:tcPr>
          <w:p>
            <w:pPr>
              <w:pStyle w:val="Normal6a"/>
            </w:pPr>
            <w:r>
              <w:t>K.</w:t>
            </w:r>
            <w:r>
              <w:tab/>
            </w:r>
            <w:r>
              <w:t xml:space="preserve">mając na uwadze, że nielegalne, nieraportowane i nieuregulowane połowy (połowy NNN) oraz działalność flot państw trzecich na Morzu Śródziemnym pozostają niewystarczająco kontrolowane, co ma negatywny wpływ na stada ryb i konkurencyjność floty europejskiej; </w:t>
            </w:r>
            <w:r>
              <w:rPr>
                <w:b/>
                <w:i/>
              </w:rPr>
              <w:t>że hiszpański sektor rybołówstwa wielokrotnie potępiał obecność statków z Maroka i Algierii prowadzących połowy na Morzu Alborańskim z użyciem pławnic, narzędzia zakazanego w UE, których połowy następnie trafiają na rynek europejski w warunkach wyraźnej nieuczciwej konkurencji;</w:t>
            </w:r>
            <w:r>
              <w:t xml:space="preserve"> </w:t>
            </w:r>
            <w:r>
              <w:rPr>
                <w:b/>
                <w:i/>
              </w:rPr>
              <w:t>że sytuacja ta wymaga pilnego zacieśnienia współpracy z krajami nadbrzeżnymi, kontroli granicznych i identyfikowalności przywozu produktów rybołówstwa;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mając na uwadze, że nielegalne, nieraportowane i nieuregulowane połowy (połowy NNN) oraz działalność flot państw trzecich na Morzu Śródziemnym pozostają niewystarczająco kontrolowane, co ma negatywny wpływ na stada ryb </w:t>
            </w:r>
            <w:r>
              <w:rPr>
                <w:b/>
                <w:i/>
              </w:rPr>
              <w:t>i</w:t>
            </w:r>
            <w:r>
              <w:t xml:space="preserve"> konkurencyjność floty europejskiej;</w:t>
            </w:r>
          </w:p>
        </w:tc>
        <w:tc>
          <w:tcPr>
            <w:tcW w:w="4876" w:type="dxa"/>
            <w:tcBorders>
              <w:top w:val="nil"/>
              <w:left w:val="nil"/>
              <w:bottom w:val="nil"/>
              <w:right w:val="nil"/>
            </w:tcBorders>
          </w:tcPr>
          <w:p>
            <w:pPr>
              <w:pStyle w:val="Normal6a"/>
            </w:pPr>
            <w:r>
              <w:t>K.</w:t>
            </w:r>
            <w:r>
              <w:tab/>
            </w:r>
            <w:r>
              <w:t>mając na uwadze, że nielegalne, nieraportowane i nieuregulowane połowy (połowy NNN) oraz działalność flot państw trzecich na Morzu Śródziemnym pozostają niewystarczająco kontrolowane, co ma negatywny wpływ na stada ryb</w:t>
            </w:r>
            <w:r>
              <w:rPr>
                <w:b/>
                <w:i/>
              </w:rPr>
              <w:t>,</w:t>
            </w:r>
            <w:r>
              <w:t xml:space="preserve"> konkurencyjność floty europejskiej </w:t>
            </w:r>
            <w:r>
              <w:rPr>
                <w:b/>
                <w:i/>
              </w:rPr>
              <w:t>i zależnych od niej sektorów oraz dobrobyt społeczności nadbrzeżnych</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mając na uwadze, że nielegalne, nieraportowane i nieuregulowane połowy (połowy NNN) oraz działalność flot państw trzecich na Morzu Śródziemnym pozostają niewystarczająco kontrolowane, co ma negatywny wpływ na stada ryb i konkurencyjność floty europejskiej;</w:t>
            </w:r>
          </w:p>
        </w:tc>
        <w:tc>
          <w:tcPr>
            <w:tcW w:w="4876" w:type="dxa"/>
            <w:tcBorders>
              <w:top w:val="nil"/>
              <w:left w:val="nil"/>
              <w:bottom w:val="nil"/>
              <w:right w:val="nil"/>
            </w:tcBorders>
          </w:tcPr>
          <w:p>
            <w:pPr>
              <w:pStyle w:val="Normal6a"/>
            </w:pPr>
            <w:r>
              <w:t>K.</w:t>
            </w:r>
            <w:r>
              <w:tab/>
            </w:r>
            <w:r>
              <w:t xml:space="preserve">mając na uwadze, że nielegalne, nieraportowane i nieuregulowane połowy (połowy NNN) oraz działalność flot państw trzecich na Morzu Śródziemnym pozostają </w:t>
            </w:r>
            <w:r>
              <w:rPr>
                <w:b/>
                <w:i/>
              </w:rPr>
              <w:t>w niektórych przypadkach</w:t>
            </w:r>
            <w:r>
              <w:t xml:space="preserve"> niewystarczająco kontrolowane, co ma negatywny wpływ na stada ryb i konkurencyjność floty europejskiej </w:t>
            </w:r>
            <w:r>
              <w:rPr>
                <w:b/>
                <w:i/>
              </w:rPr>
              <w:t>poza obszarem stosowania rozporządzenia (UE) 2019/1022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mając na uwadze, że nielegalne, nieraportowane i nieuregulowane połowy (połowy NNN) oraz działalność flot państw trzecich na Morzu Śródziemnym pozostają </w:t>
            </w:r>
            <w:r>
              <w:rPr>
                <w:b/>
                <w:i/>
              </w:rPr>
              <w:t>niewystarczająco kontrolowane, co ma negatywny wpływ na stada ryb i konkurencyjność</w:t>
            </w:r>
            <w:r>
              <w:t xml:space="preserve"> floty europejskiej;</w:t>
            </w:r>
          </w:p>
        </w:tc>
        <w:tc>
          <w:tcPr>
            <w:tcW w:w="4876" w:type="dxa"/>
            <w:tcBorders>
              <w:top w:val="nil"/>
              <w:left w:val="nil"/>
              <w:bottom w:val="nil"/>
              <w:right w:val="nil"/>
            </w:tcBorders>
          </w:tcPr>
          <w:p>
            <w:pPr>
              <w:pStyle w:val="Normal6a"/>
            </w:pPr>
            <w:r>
              <w:t>K.</w:t>
            </w:r>
            <w:r>
              <w:tab/>
            </w:r>
            <w:r>
              <w:t>mając na uwadze, że nielegalne, nieraportowane i nieuregulowane połowy (połowy NNN) oraz działalność flot państw trzecich na Morzu Śródziemnym pozostają </w:t>
            </w:r>
            <w:r>
              <w:rPr>
                <w:b/>
                <w:i/>
              </w:rPr>
              <w:t>słabo monitorowane, co przyczynia się do pogorszenia stanu stad bez odpowiedniej kontroli, a także do nieuczciwej konkurencji ze szkodą dla</w:t>
            </w:r>
            <w:r>
              <w:t xml:space="preserve"> floty europejskiej;</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mając na uwadze, że w swoim sprawozdaniu z wdrażania z 2024 r. Komisja stwierdziła, iż zróżnicowane tendencje w odniesieniu do stad dennych oraz rentowności odnośnych sektorów rybołówstwa wynikają również z opóźnień we wdrażaniu przepisów i ograniczonego zaangażowania państw członkowskich, co przejawia się m.in. wzrostem połowów osobników młodocianych, strukturalnymi nadmiernymi zdolnościami połowowymi, częstszym stosowaniem połowów dwu-włokowych oraz niedociągnięciami w zakresie kontroli i egzekwowania prawa w niektórych państwach członkowskich;</w:t>
            </w:r>
            <w:r>
              <w:t xml:space="preserve"> </w:t>
            </w:r>
            <w:r>
              <w:rPr>
                <w:b/>
                <w:i/>
              </w:rPr>
              <w:t>mając na uwadze, że zdaniem Komisji brak równowagi między uprawnieniami do połowów a zdolnością połowową floty osłabił pozytywne skutki planu i opóźnił odbudowę stad;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mając na uwadze, że rybacy prowadzą prace środowiskowe, wyławiając z morza, wraz ze swoimi połowami, odpady, które utknęły w ich sieciach, dzięki czemu przyczyniają się do oczyszczania dna morskiego, o czym świadczą inicjatywy takie jak „Upcycling the Oceans”;</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K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mając na uwadze, że rozprzestrzenianie się gatunków inwazyjnych pogłębia trudności w zarządzaniu rybołówstwem na Morzu Śródziemnym;</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Nora Junco García, Kristoffer Storm,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mając na uwadze, że należy zwiększyć atrakcyjność sektora rybołówstwa, aby zapewnić odnowę pokoleń, poprawić jego konkurencyjność i zapewnić jego rentowność;</w:t>
            </w:r>
          </w:p>
        </w:tc>
        <w:tc>
          <w:tcPr>
            <w:tcW w:w="4876" w:type="dxa"/>
            <w:tcBorders>
              <w:top w:val="nil"/>
              <w:left w:val="nil"/>
              <w:bottom w:val="nil"/>
              <w:right w:val="nil"/>
            </w:tcBorders>
          </w:tcPr>
          <w:p>
            <w:pPr>
              <w:pStyle w:val="Normal6a"/>
            </w:pPr>
            <w:r>
              <w:t>L.</w:t>
            </w:r>
            <w:r>
              <w:tab/>
            </w:r>
            <w:r>
              <w:t xml:space="preserve">mając na uwadze, że należy zwiększyć atrakcyjność sektora rybołówstwa, aby zapewnić odnowę pokoleń, poprawić jego konkurencyjność i zapewnić jego rentowność; </w:t>
            </w:r>
            <w:r>
              <w:rPr>
                <w:b/>
                <w:i/>
              </w:rPr>
              <w:t>że w pierwszym sprawozdaniu społecznym STECF odnotowano tendencję spadkową w zatrudnieniu w unijnym rybołówstwie i wskazano na niepewność dochodów, duże obciążenie administracyjne i biurokratyczne, fizyczne trudności w pracy oraz brak szkoleń i mechanizmów sukcesji przedsiębiorstw jako czynniki utrudniające włączenie nowych pokoleń;</w:t>
            </w:r>
            <w:r>
              <w:t xml:space="preserve"> </w:t>
            </w:r>
            <w:r>
              <w:rPr>
                <w:b/>
                <w:i/>
              </w:rPr>
              <w:t>że bez konkretnej polityki szkoleniowej, uproszczenia przepisów i wsparcia dla sukcesji przedsiębiorstw odnowa pokoleń w regionie Morza Śródziemnego będzie poważnie zagrożona;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mając na uwadze, że należy zwiększyć atrakcyjność sektora rybołówstwa, aby zapewnić odnowę pokoleń, poprawić jego konkurencyjność i zapewnić jego rentowność;</w:t>
            </w:r>
          </w:p>
        </w:tc>
        <w:tc>
          <w:tcPr>
            <w:tcW w:w="4876" w:type="dxa"/>
            <w:tcBorders>
              <w:top w:val="nil"/>
              <w:left w:val="nil"/>
              <w:bottom w:val="nil"/>
              <w:right w:val="nil"/>
            </w:tcBorders>
          </w:tcPr>
          <w:p>
            <w:pPr>
              <w:pStyle w:val="Normal6a"/>
            </w:pPr>
            <w:r>
              <w:t>L.</w:t>
            </w:r>
            <w:r>
              <w:tab/>
            </w:r>
            <w:r>
              <w:t>mając na uwadze, że należy zwiększyć atrakcyjność sektora rybołówstwa</w:t>
            </w:r>
            <w:r>
              <w:rPr>
                <w:b/>
                <w:i/>
              </w:rPr>
              <w:t>, w szczególności wśród ludzi młodych</w:t>
            </w:r>
            <w:r>
              <w:t xml:space="preserve">, aby zapewnić odnowę pokoleń, poprawić jego konkurencyjność i zapewnić jego </w:t>
            </w:r>
            <w:r>
              <w:rPr>
                <w:b/>
                <w:i/>
              </w:rPr>
              <w:t>długoterminową</w:t>
            </w:r>
            <w:r>
              <w:t xml:space="preserve"> rentowność; </w:t>
            </w:r>
            <w:r>
              <w:rPr>
                <w:b/>
                <w:i/>
              </w:rPr>
              <w:t>że ważne jest również, aby propagować dywersyfikację działalności połowowej w celu zwiększenia rentowności sektora i pełnego wykorzystania potencjału gospodarczego Morza Śródziemnego;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 xml:space="preserve">mając na uwadze, że należy zwiększyć atrakcyjność sektora rybołówstwa, aby zapewnić odnowę pokoleń, poprawić </w:t>
            </w:r>
            <w:r>
              <w:rPr>
                <w:b/>
                <w:i/>
              </w:rPr>
              <w:t>jego</w:t>
            </w:r>
            <w:r>
              <w:t xml:space="preserve"> konkurencyjność i zapewnić jego rentowność;</w:t>
            </w:r>
          </w:p>
        </w:tc>
        <w:tc>
          <w:tcPr>
            <w:tcW w:w="4876" w:type="dxa"/>
            <w:tcBorders>
              <w:top w:val="nil"/>
              <w:left w:val="nil"/>
              <w:bottom w:val="nil"/>
              <w:right w:val="nil"/>
            </w:tcBorders>
          </w:tcPr>
          <w:p>
            <w:pPr>
              <w:pStyle w:val="Normal6a"/>
            </w:pPr>
            <w:r>
              <w:t>L.</w:t>
            </w:r>
            <w:r>
              <w:tab/>
            </w:r>
            <w:r>
              <w:t xml:space="preserve">mając na uwadze, że należy zwiększyć atrakcyjność sektora rybołówstwa, </w:t>
            </w:r>
            <w:r>
              <w:rPr>
                <w:b/>
                <w:i/>
              </w:rPr>
              <w:t>w szczególności poprzez odbudowę stad ryb,</w:t>
            </w:r>
            <w:r>
              <w:t xml:space="preserve"> aby zapewnić odnowę pokoleń, poprawić konkurencyjność </w:t>
            </w:r>
            <w:r>
              <w:rPr>
                <w:b/>
                <w:i/>
              </w:rPr>
              <w:t>sektora</w:t>
            </w:r>
            <w:r>
              <w:t xml:space="preserve"> i zapewnić jego rentowność;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mając na uwadze, że należy zwiększyć atrakcyjność sektora rybołówstwa, aby zapewnić odnowę pokoleń, poprawić jego konkurencyjność i zapewnić jego rentowność;</w:t>
            </w:r>
          </w:p>
        </w:tc>
        <w:tc>
          <w:tcPr>
            <w:tcW w:w="4876" w:type="dxa"/>
            <w:tcBorders>
              <w:top w:val="nil"/>
              <w:left w:val="nil"/>
              <w:bottom w:val="nil"/>
              <w:right w:val="nil"/>
            </w:tcBorders>
          </w:tcPr>
          <w:p>
            <w:pPr>
              <w:pStyle w:val="Normal6a"/>
            </w:pPr>
            <w:r>
              <w:t>L.</w:t>
            </w:r>
            <w:r>
              <w:tab/>
            </w:r>
            <w:r>
              <w:t xml:space="preserve">mając na uwadze, że należy zwiększyć atrakcyjność sektora rybołówstwa, aby zapewnić odnowę pokoleń, poprawić jego konkurencyjność i zapewnić jego rentowność </w:t>
            </w:r>
            <w:r>
              <w:rPr>
                <w:b/>
                <w:i/>
              </w:rPr>
              <w:t>i rentowność powiązanych sektorów</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L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mając na uwadze, że obecna metodyka w ramach wspólnej polityki rybołówstwa (WPRyb) nie uwzględnia w wystarczającym stopniu skutków społeczno-gospodarczych i koncentruje się głównie na kryteriach biologicznych, co może prowadzić do nieproporcjonalnego wpływu na rybaków, przemysł przetwórczy i źródła utrzymania społeczności nadbrzeżnych;</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mając na uwadze, że Europejski Fundusz Morski, Rybacki i Akwakultury ma zasadnicze znaczenie dla poprawy zrównoważonego charakteru i konkurencyjności sektora rybołówstwa i akwakultury, wspierania rybackich lokalnych grup działania i wzmacniania rozwoju społeczności nadbrzeżnych, w związku z czym należy go utrzymać jako specjalny fundusz </w:t>
            </w:r>
            <w:r>
              <w:rPr>
                <w:b/>
                <w:i/>
              </w:rPr>
              <w:t>z odpowiednim finansowaniem</w:t>
            </w:r>
            <w:r>
              <w:t>;</w:t>
            </w:r>
          </w:p>
        </w:tc>
        <w:tc>
          <w:tcPr>
            <w:tcW w:w="4876" w:type="dxa"/>
            <w:tcBorders>
              <w:top w:val="nil"/>
              <w:left w:val="nil"/>
              <w:bottom w:val="nil"/>
              <w:right w:val="nil"/>
            </w:tcBorders>
          </w:tcPr>
          <w:p>
            <w:pPr>
              <w:pStyle w:val="Normal6a"/>
            </w:pPr>
            <w:r>
              <w:t>M.</w:t>
            </w:r>
            <w:r>
              <w:tab/>
            </w:r>
            <w:r>
              <w:t xml:space="preserve">mając na uwadze, że Europejski Fundusz Morski, Rybacki i Akwakultury </w:t>
            </w:r>
            <w:r>
              <w:rPr>
                <w:b/>
                <w:i/>
              </w:rPr>
              <w:t>(EFMRA)</w:t>
            </w:r>
            <w:r>
              <w:t xml:space="preserve"> ma zasadnicze znaczenie dla poprawy zrównoważonego charakteru i konkurencyjności sektora rybołówstwa i akwakultury, wspierania rybackich lokalnych grup działania i wzmacniania rozwoju społeczności nadbrzeżnych, w związku z czym należy go utrzymać jako specjalny</w:t>
            </w:r>
            <w:r>
              <w:rPr>
                <w:b/>
                <w:i/>
              </w:rPr>
              <w:t>, autonomiczny i odpowiednio finansowany</w:t>
            </w:r>
            <w:r>
              <w:t xml:space="preserve"> fundusz </w:t>
            </w:r>
            <w:r>
              <w:rPr>
                <w:b/>
                <w:i/>
              </w:rPr>
              <w:t>w kolejnych wieloletnich ramach finansowych na lata 2028–2034</w:t>
            </w:r>
            <w:r>
              <w:t xml:space="preserve">; </w:t>
            </w:r>
            <w:r>
              <w:rPr>
                <w:b/>
                <w:i/>
              </w:rPr>
              <w:t>że każde zmniejszenie przydziału środków budżetowych bezpośrednio zagroziłoby zdolności floty śródziemnomorskiej do modernizacji, poprawie selektywności narzędzi połowowych i środkom kompensacji społeczno-gospodarczej wymaganym w samym planie wieloletnim;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mając na uwadze, że Europejski Fundusz Morski, Rybacki i Akwakultury ma zasadnicze znaczenie dla </w:t>
            </w:r>
            <w:r>
              <w:rPr>
                <w:b/>
                <w:i/>
              </w:rPr>
              <w:t>poprawy</w:t>
            </w:r>
            <w:r>
              <w:t xml:space="preserve"> zrównoważonego charakteru i konkurencyjności sektora rybołówstwa i akwakultury, wspierania rybackich lokalnych grup działania i wzmacniania rozwoju społeczności nadbrzeżnych</w:t>
            </w:r>
            <w:r>
              <w:rPr>
                <w:b/>
                <w:i/>
              </w:rPr>
              <w:t>, w związku z czym</w:t>
            </w:r>
            <w:r>
              <w:t xml:space="preserve"> należy go utrzymać jako specjalny fundusz z odpowiednim finansowaniem;</w:t>
            </w:r>
          </w:p>
        </w:tc>
        <w:tc>
          <w:tcPr>
            <w:tcW w:w="4876" w:type="dxa"/>
            <w:tcBorders>
              <w:top w:val="nil"/>
              <w:left w:val="nil"/>
              <w:bottom w:val="nil"/>
              <w:right w:val="nil"/>
            </w:tcBorders>
          </w:tcPr>
          <w:p>
            <w:pPr>
              <w:pStyle w:val="Normal6a"/>
            </w:pPr>
            <w:r>
              <w:t>M.</w:t>
            </w:r>
            <w:r>
              <w:tab/>
            </w:r>
            <w:r>
              <w:t xml:space="preserve">mając na uwadze, że Europejski Fundusz Morski, Rybacki i Akwakultury ma zasadnicze znaczenie dla </w:t>
            </w:r>
            <w:r>
              <w:rPr>
                <w:b/>
                <w:i/>
              </w:rPr>
              <w:t>zagwarantowania</w:t>
            </w:r>
            <w:r>
              <w:t xml:space="preserve"> zrównoważonego charakteru i konkurencyjności sektora rybołówstwa i akwakultury, wspierania rybackich lokalnych grup działania i wzmacniania rozwoju społeczności nadbrzeżnych</w:t>
            </w:r>
            <w:r>
              <w:rPr>
                <w:b/>
                <w:i/>
              </w:rPr>
              <w:t>;</w:t>
            </w:r>
            <w:r>
              <w:t xml:space="preserve"> </w:t>
            </w:r>
            <w:r>
              <w:rPr>
                <w:b/>
                <w:i/>
              </w:rPr>
              <w:t>że</w:t>
            </w:r>
            <w:r>
              <w:t xml:space="preserve"> należy go utrzymać jako </w:t>
            </w:r>
            <w:r>
              <w:rPr>
                <w:b/>
                <w:i/>
              </w:rPr>
              <w:t>odrębny</w:t>
            </w:r>
            <w:r>
              <w:t xml:space="preserve"> specjalny fundusz z </w:t>
            </w:r>
            <w:r>
              <w:rPr>
                <w:b/>
                <w:i/>
              </w:rPr>
              <w:t>wystarczającym i</w:t>
            </w:r>
            <w:r>
              <w:t xml:space="preserve"> odpowiednim finansowaniem</w:t>
            </w:r>
            <w:r>
              <w:rPr>
                <w:b/>
                <w:i/>
              </w:rPr>
              <w:t>, współmiernym do wyzwań stojących przed sektorem, w szczególności modernizacji, odnowy i dekarbonizacji floty</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mając na uwadze, że Europejski Fundusz Morski, Rybacki i Akwakultury </w:t>
            </w:r>
            <w:r>
              <w:rPr>
                <w:b/>
                <w:i/>
              </w:rPr>
              <w:t>ma zasadnicze znaczenie dla poprawy zrównoważonego charakteru i konkurencyjności sektora rybołówstwa i akwakultury, wspierania</w:t>
            </w:r>
            <w:r>
              <w:t xml:space="preserve"> rybackich lokalnych grup działania </w:t>
            </w:r>
            <w:r>
              <w:rPr>
                <w:b/>
                <w:i/>
              </w:rPr>
              <w:t>i wzmacniania rozwoju społeczności nadbrzeżnych, w związku z czym należy go utrzymać jako specjalny fundusz z odpowiednim finansowaniem</w:t>
            </w:r>
            <w:r>
              <w:t>;</w:t>
            </w:r>
          </w:p>
        </w:tc>
        <w:tc>
          <w:tcPr>
            <w:tcW w:w="4876" w:type="dxa"/>
            <w:tcBorders>
              <w:top w:val="nil"/>
              <w:left w:val="nil"/>
              <w:bottom w:val="nil"/>
              <w:right w:val="nil"/>
            </w:tcBorders>
          </w:tcPr>
          <w:p>
            <w:pPr>
              <w:pStyle w:val="Normal6a"/>
            </w:pPr>
            <w:r>
              <w:t>M.</w:t>
            </w:r>
            <w:r>
              <w:tab/>
            </w:r>
            <w:r>
              <w:t xml:space="preserve">mając na uwadze, że Europejski Fundusz Morski, Rybacki i Akwakultury </w:t>
            </w:r>
            <w:r>
              <w:rPr>
                <w:b/>
                <w:i/>
              </w:rPr>
              <w:t>(EFMRA) zapewnia kluczowe wsparcie na rzecz modernizacji floty, przyjęcia bardziej selektywnych narzędzi połowowych,</w:t>
            </w:r>
            <w:r>
              <w:t xml:space="preserve"> rybackich lokalnych grup działania </w:t>
            </w:r>
            <w:r>
              <w:rPr>
                <w:b/>
                <w:i/>
              </w:rPr>
              <w:t>(RLGD) i rekompensaty dla floty za tymczasowe zaprzestanie działalności, oraz że konieczne jest jego niezależne utrzymanie przy wystarczających zasobach, aby zagwarantować zrównoważony rozwój i rentowność społeczno-gospodarczą sektora</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Emma Wiesner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mając na uwadze, że </w:t>
            </w:r>
            <w:r>
              <w:rPr>
                <w:b/>
                <w:i/>
              </w:rPr>
              <w:t>Europejski Fundusz Morski, Rybacki</w:t>
            </w:r>
            <w:r>
              <w:t xml:space="preserve"> i Akwakultury ma zasadnicze znaczenie dla poprawy zrównoważonego charakteru i konkurencyjności sektora rybołówstwa i akwakultury, wspierania rybackich lokalnych grup działania i wzmacniania rozwoju społeczności nadbrzeżnych, w związku z czym należy go utrzymać jako specjalny fundusz z odpowiednim finansowaniem;</w:t>
            </w:r>
          </w:p>
        </w:tc>
        <w:tc>
          <w:tcPr>
            <w:tcW w:w="4876" w:type="dxa"/>
            <w:tcBorders>
              <w:top w:val="nil"/>
              <w:left w:val="nil"/>
              <w:bottom w:val="nil"/>
              <w:right w:val="nil"/>
            </w:tcBorders>
          </w:tcPr>
          <w:p>
            <w:pPr>
              <w:pStyle w:val="Normal6a"/>
            </w:pPr>
            <w:r>
              <w:t>M.</w:t>
            </w:r>
            <w:r>
              <w:tab/>
            </w:r>
            <w:r>
              <w:t xml:space="preserve">mając na uwadze, że </w:t>
            </w:r>
            <w:r>
              <w:rPr>
                <w:b/>
                <w:i/>
              </w:rPr>
              <w:t>wydzielone europejskie finansowanie, takie jak w ramach obecnego Europejskiego Funduszu Morskiego, Rybackiego</w:t>
            </w:r>
            <w:r>
              <w:t xml:space="preserve"> i Akwakultury</w:t>
            </w:r>
            <w:r>
              <w:rPr>
                <w:b/>
                <w:i/>
              </w:rPr>
              <w:t>,</w:t>
            </w:r>
            <w:r>
              <w:t xml:space="preserve"> ma zasadnicze znaczenie dla poprawy zrównoważonego charakteru i konkurencyjności sektora rybołówstwa i akwakultury, wspierania rybackich lokalnych grup działania i wzmacniania rozwoju społeczności nadbrzeżnych, w związku z czym należy go utrzymać jako specjalny fundusz z odpowiednim finansowaniem;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mając na uwadze rosnące zaniepokojenie możliwym zniknięciem specjalnego instrumentu na rzecz rybołówstwa w kolejnych wieloletnich ramach finansowych (WRF), a także zmniejszeniem i rozmyciem środków finansowych dla tego sektora na inne fundusze ogólne w planach krajowych i regionalnych, co może poważnie zagrozić jego przyszłości;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mając na uwadze, że utrzymująca się nierównowaga między zdolnością połowową a uprawnieniami do połowów może osłabić odbudowę stad i efektywność gospodarczą;</w:t>
            </w:r>
            <w:r>
              <w:t xml:space="preserve"> </w:t>
            </w:r>
            <w:r>
              <w:rPr>
                <w:b/>
                <w:i/>
              </w:rPr>
              <w:t>mając na uwadze, że długoterminowa konkurencyjność wymaga odbudowy bazy zasobów oraz – w razie potrzeby – sprawiedliwego i trwałego dostosowania zdolności połowowych, czemu towarzyszyć muszą działania na rzecz dywersyfikacji, przekwalifikowania zawodowego oraz wspierania społeczności nadmorskich;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mając na uwadze, że samo rybołówstwo nie jest w stanie zapewnić wszystkich działań niezbędnych do odbudowy ekosystemów Morza Śródziemnego;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Mb.</w:t>
            </w:r>
            <w:r>
              <w:tab/>
            </w:r>
            <w:r>
              <w:rPr>
                <w:b/>
                <w:i/>
              </w:rPr>
              <w:t>mając na uwadze, że zarządzanie morskimi zasobami biologicznymi i ich ochrona należą do niewielu wyłącznych kompetencji przyznanych Unii Europejskiej;</w:t>
            </w:r>
            <w:r>
              <w:t xml:space="preserve"> </w:t>
            </w:r>
            <w:r>
              <w:rPr>
                <w:b/>
                <w:i/>
              </w:rPr>
              <w:t>że odpowiedzialność ta wymaga od instytucji europejskich, a w szczególności od Komisji, utrzymywania stałego dialogu z sektorem i skutecznego reagowania na obawy zgłaszane przez obywateli i społeczności zależne od działalności połowowej;</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Mb.</w:t>
            </w:r>
            <w:r>
              <w:tab/>
            </w:r>
            <w:r>
              <w:rPr>
                <w:b/>
                <w:i/>
              </w:rPr>
              <w:t>mając na uwadze, że stada morszczuka europejskiego w zachodniej części Morza Śródziemnego są nadal znacznie przełowione, a dowody potwierdzające, że na rynek trafia niewymiarowy morszczuk, wskazują na istnienie luk w egzekwowaniu przepisów, co z kolei niweczy wysiłki na rzecz odbudowy tych stad;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Mb.</w:t>
            </w:r>
            <w:r>
              <w:tab/>
            </w:r>
            <w:r>
              <w:rPr>
                <w:b/>
                <w:i/>
              </w:rPr>
              <w:t>mając na uwadze, że istnieje wiele przyczyn degradacji ekosystemów Morza Śródziemnego, w szczególności zanieczyszczenia przemysłowe z państw położonych na południowym wybrzeżu;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Motyw M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Mc.</w:t>
            </w:r>
            <w:r>
              <w:tab/>
            </w:r>
            <w:r>
              <w:rPr>
                <w:b/>
                <w:i/>
              </w:rPr>
              <w:t>mając na uwadze, że fale upałów morskich w zachodniej części Morza Śródziemnego nasilają się ze względu na skutki zmiany klimatu i zagrażają morskiej różnorodności biologicznej;</w:t>
            </w:r>
            <w:r>
              <w:t xml:space="preserve"> </w:t>
            </w:r>
            <w:r>
              <w:rPr>
                <w:b/>
                <w:i/>
              </w:rPr>
              <w:t>mając na uwadze, że zdrowe i odporne populacje ryb oraz ekosystemy stanowią warunek konieczny, aby skutecznie przeciwdziałać skutkom zmiany klimatu;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Śródtytuł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Reforma</w:t>
            </w:r>
            <w:r>
              <w:t xml:space="preserve"> planu wieloletniego dotyczącego zachodniej części Morza Śródziemnego</w:t>
            </w:r>
          </w:p>
        </w:tc>
        <w:tc>
          <w:tcPr>
            <w:tcW w:w="4876" w:type="dxa"/>
            <w:tcBorders>
              <w:top w:val="nil"/>
              <w:left w:val="nil"/>
              <w:bottom w:val="nil"/>
              <w:right w:val="nil"/>
            </w:tcBorders>
          </w:tcPr>
          <w:p>
            <w:pPr>
              <w:pStyle w:val="Normal6a"/>
            </w:pPr>
            <w:r>
              <w:rPr>
                <w:b/>
                <w:i/>
              </w:rPr>
              <w:t>Ocena</w:t>
            </w:r>
            <w:r>
              <w:t xml:space="preserve"> planu wieloletniego dotyczącego zachodniej części Morza Śródziemnego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podkreśla wysiłki podejmowane przez sektor w celu dostosowania się do wymogów planu wieloletniego, które doprowadziły do znacznego zmniejszenia śmiertelności połowowej, znacznej odbudowy ocenianych stad, zwiększenia poziomów biomasy i znacznego przejścia na maksymalny podtrzymywalny połów;</w:t>
            </w:r>
            <w:r>
              <w:t xml:space="preserve"> </w:t>
            </w:r>
            <w:r>
              <w:rPr>
                <w:b/>
                <w:i/>
              </w:rPr>
              <w:t>podkreśla, że środki te wiązały się z wysokimi kosztami społecznymi, gdyż w latach 2020–2024 zmniejszył się o ponad 40 % nakład połowowy włokami oraz zmniejszyły się zarówno zatrudnienie, jak i średnie wynagrodzenia, zwłaszcza w przypadku floty łodziowego rybołówstwa przybrzeżnego (</w:t>
            </w:r>
            <w:r>
              <w:rPr>
                <w:b/>
                <w:i/>
                <w:vertAlign w:val="superscript"/>
              </w:rPr>
              <w:t>1a</w:t>
            </w:r>
            <w:r>
              <w:rPr>
                <w:b/>
                <w:i/>
              </w:rPr>
              <w:t>);</w:t>
            </w:r>
            <w:r>
              <w:t xml:space="preserve"> </w:t>
            </w:r>
            <w:r>
              <w:rPr>
                <w:b/>
                <w:i/>
              </w:rPr>
              <w:t>ubolewa nad brakiem elastyczności wykazanym przez Komisję we wdrażaniu planu wieloletniego i wzywa do zmiany podejścia, aby zapewnić rentowność sektora i zainteresowanych społeczności nadbrzeżnych;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Pierwsze sprawozdanie z wdrażania planu wieloletniego połowów eksploatujących stada denne w zachodniej części Morza Śródziemnego.</w:t>
            </w:r>
            <w:r>
              <w:t xml:space="preserve"> </w:t>
            </w:r>
            <w:r>
              <w:rPr>
                <w:b/>
                <w:i/>
              </w:rPr>
              <w:t>COM(2024)0322 final</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wzywa Komisję do </w:t>
            </w:r>
            <w:r>
              <w:rPr>
                <w:b/>
                <w:i/>
              </w:rPr>
              <w:t>przedstawienia do 1 grudnia 2026 r. wniosku ustawodawczego dotyczącego kompleksowej reformy rozporządzenia (UE) 2019/1022</w:t>
            </w:r>
            <w:r>
              <w:t xml:space="preserve"> poprzez </w:t>
            </w:r>
            <w:r>
              <w:rPr>
                <w:b/>
                <w:i/>
              </w:rPr>
              <w:t>zmianę następujących aspektów</w:t>
            </w:r>
            <w:r>
              <w:t>:</w:t>
            </w:r>
          </w:p>
        </w:tc>
        <w:tc>
          <w:tcPr>
            <w:tcW w:w="4876" w:type="dxa"/>
            <w:tcBorders>
              <w:top w:val="nil"/>
              <w:left w:val="nil"/>
              <w:bottom w:val="nil"/>
              <w:right w:val="nil"/>
            </w:tcBorders>
          </w:tcPr>
          <w:p>
            <w:pPr>
              <w:pStyle w:val="Normal6a"/>
            </w:pPr>
            <w:r>
              <w:t>1.</w:t>
            </w:r>
            <w:r>
              <w:tab/>
            </w:r>
            <w:r>
              <w:t xml:space="preserve">wzywa Komisję do </w:t>
            </w:r>
            <w:r>
              <w:rPr>
                <w:b/>
                <w:i/>
              </w:rPr>
              <w:t>dalszej realizacji celów w odniesieniu do zachodniej części Morza Śródziemnego, aby skutecznie odbudować populacje ryb, po przeprowadzeniu wszechstronnej oceny naukowej, oceny skutków środowiskowych, klimatycznych, społeczno-gospodarczych oraz w zakresie dobrostanu zwierząt, w której uznaje się samoistną wartość zwierząt morskich i która przyczynia się do stopniowego ograniczania możliwego do uniknięcia zabijania i cierpienia zwierząt w wyniku działalności połowowej,</w:t>
            </w:r>
            <w:r>
              <w:t xml:space="preserve"> poprzez: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wzywa Komisję do przedstawienia do 1 grudnia 2026 r. wniosku ustawodawczego dotyczącego </w:t>
            </w:r>
            <w:r>
              <w:rPr>
                <w:b/>
                <w:i/>
              </w:rPr>
              <w:t>kompleksowej</w:t>
            </w:r>
            <w:r>
              <w:t xml:space="preserve"> reformy rozporządzenia (UE) 2019/1022 poprzez zmianę następujących aspektów:</w:t>
            </w:r>
          </w:p>
        </w:tc>
        <w:tc>
          <w:tcPr>
            <w:tcW w:w="4876" w:type="dxa"/>
            <w:tcBorders>
              <w:top w:val="nil"/>
              <w:left w:val="nil"/>
              <w:bottom w:val="nil"/>
              <w:right w:val="nil"/>
            </w:tcBorders>
          </w:tcPr>
          <w:p>
            <w:pPr>
              <w:pStyle w:val="Normal6a"/>
            </w:pPr>
            <w:r>
              <w:t>1.</w:t>
            </w:r>
            <w:r>
              <w:tab/>
            </w:r>
            <w:r>
              <w:t>wzywa Komisję do przedstawienia do 1 grudnia 2026 r.</w:t>
            </w:r>
            <w:r>
              <w:rPr>
                <w:b/>
                <w:i/>
              </w:rPr>
              <w:t>, z uwzględnieniem wkładu zainteresowanych stron w konsultacje publiczne w sprawie wieloletnich planów zarządzania,</w:t>
            </w:r>
            <w:r>
              <w:t xml:space="preserve"> wniosku ustawodawczego dotyczącego reformy rozporządzenia (UE) 2019/1022 poprzez zmianę następujących aspektów:</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wzywa Komisję do przedstawienia do 1 grudnia 2026 r. </w:t>
            </w:r>
            <w:r>
              <w:rPr>
                <w:b/>
                <w:i/>
              </w:rPr>
              <w:t>wniosku ustawodawczego dotyczącego kompleksowej reformy rozporządzenia</w:t>
            </w:r>
            <w:r>
              <w:t xml:space="preserve"> (UE) 2019/1022 </w:t>
            </w:r>
            <w:r>
              <w:rPr>
                <w:b/>
                <w:i/>
              </w:rPr>
              <w:t>poprzez zmianę następujących aspektów</w:t>
            </w:r>
            <w:r>
              <w:t>:</w:t>
            </w:r>
          </w:p>
        </w:tc>
        <w:tc>
          <w:tcPr>
            <w:tcW w:w="4876" w:type="dxa"/>
            <w:tcBorders>
              <w:top w:val="nil"/>
              <w:left w:val="nil"/>
              <w:bottom w:val="nil"/>
              <w:right w:val="nil"/>
            </w:tcBorders>
          </w:tcPr>
          <w:p>
            <w:pPr>
              <w:pStyle w:val="Normal6a"/>
            </w:pPr>
            <w:r>
              <w:t>1.</w:t>
            </w:r>
            <w:r>
              <w:tab/>
            </w:r>
            <w:r>
              <w:t xml:space="preserve">wzywa Komisję do przedstawienia do 1 grudnia 2026 r. </w:t>
            </w:r>
            <w:r>
              <w:rPr>
                <w:b/>
                <w:i/>
              </w:rPr>
              <w:t>wniosków ustawodawczych i nieustawodawczych mających na celu sprostanie wyzwaniom określonym w rozporządzeniu</w:t>
            </w:r>
            <w:r>
              <w:t xml:space="preserve"> (UE) 2019/1022</w:t>
            </w:r>
            <w:r>
              <w:rPr>
                <w:b/>
                <w:i/>
              </w:rPr>
              <w:t>, obejmujących w szczególności następujące elementy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wzywa Komisję do przedstawienia </w:t>
            </w:r>
            <w:r>
              <w:rPr>
                <w:b/>
                <w:i/>
              </w:rPr>
              <w:t>do 1 grudnia 2026 r. wniosku ustawodawczego dotyczącego kompleksowej reformy</w:t>
            </w:r>
            <w:r>
              <w:t xml:space="preserve"> rozporządzenia (UE) 2019/1022 </w:t>
            </w:r>
            <w:r>
              <w:rPr>
                <w:b/>
                <w:i/>
              </w:rPr>
              <w:t>poprzez zmianę następujących aspektów</w:t>
            </w:r>
            <w:r>
              <w:t>:</w:t>
            </w:r>
          </w:p>
        </w:tc>
        <w:tc>
          <w:tcPr>
            <w:tcW w:w="4876" w:type="dxa"/>
            <w:tcBorders>
              <w:top w:val="nil"/>
              <w:left w:val="nil"/>
              <w:bottom w:val="nil"/>
              <w:right w:val="nil"/>
            </w:tcBorders>
          </w:tcPr>
          <w:p>
            <w:pPr>
              <w:pStyle w:val="Normal6a"/>
            </w:pPr>
            <w:r>
              <w:t>1.</w:t>
            </w:r>
            <w:r>
              <w:tab/>
            </w:r>
            <w:r>
              <w:t xml:space="preserve">wzywa Komisję do przedstawienia </w:t>
            </w:r>
            <w:r>
              <w:rPr>
                <w:b/>
                <w:i/>
              </w:rPr>
              <w:t>oceny</w:t>
            </w:r>
            <w:r>
              <w:t xml:space="preserve"> rozporządzenia (UE) 2019/1022</w:t>
            </w:r>
            <w:r>
              <w:rPr>
                <w:b/>
                <w:i/>
              </w:rPr>
              <w:t>, z uwzględnieniem następującej kwestii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wzywa Komisję do przedstawienia do 1 grudnia 2026 r. wniosku ustawodawczego dotyczącego kompleksowej reformy rozporządzenia (UE) 2019/1022 poprzez zmianę następujących aspektów:</w:t>
            </w:r>
          </w:p>
        </w:tc>
        <w:tc>
          <w:tcPr>
            <w:tcW w:w="4876" w:type="dxa"/>
            <w:tcBorders>
              <w:top w:val="nil"/>
              <w:left w:val="nil"/>
              <w:bottom w:val="nil"/>
              <w:right w:val="nil"/>
            </w:tcBorders>
          </w:tcPr>
          <w:p>
            <w:pPr>
              <w:pStyle w:val="Normal6a"/>
            </w:pPr>
            <w:r>
              <w:t>1.</w:t>
            </w:r>
            <w:r>
              <w:tab/>
            </w:r>
            <w:r>
              <w:t xml:space="preserve">wzywa Komisję do przedstawienia do 1 grudnia 2026 r. wniosku ustawodawczego dotyczącego kompleksowej reformy rozporządzenia (UE) 2019/1022 poprzez zmianę </w:t>
            </w:r>
            <w:r>
              <w:rPr>
                <w:b/>
                <w:i/>
              </w:rPr>
              <w:t>co najmniej </w:t>
            </w:r>
            <w:r>
              <w:t>następujących aspektów:</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zastąpienie obowiązujących przepisów dotyczących zmniejszenia nakładu połowowego określonych w art. 4 ust. 3 ukierunkowanym podejściem do zarządzania połowami wielogatunkowymi, stosowanym w innych planach wieloletnich, i zrezygnowanie z ograniczania dni połowowych ze względu na „gatunki dławiące”;</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zastąpienie obowiązujących przepisów dotyczących zmniejszenia nakładu połowowego określonych w art. 4 ust. 3 ukierunkowanym podejściem do zarządzania połowami wielogatunkowymi, stosowanym w innych planach wieloletnich, i zrezygnowanie z ograniczania dni połowowych </w:t>
            </w:r>
            <w:r>
              <w:rPr>
                <w:b/>
                <w:i/>
              </w:rPr>
              <w:t>ze względu na „</w:t>
            </w:r>
            <w:r>
              <w:t>gatunki dławiące</w:t>
            </w:r>
            <w:r>
              <w:rPr>
                <w:b/>
                <w:i/>
              </w:rPr>
              <w:t>”</w:t>
            </w:r>
            <w:r>
              <w:t>;</w:t>
            </w:r>
          </w:p>
        </w:tc>
        <w:tc>
          <w:tcPr>
            <w:tcW w:w="4876" w:type="dxa"/>
            <w:tcBorders>
              <w:top w:val="nil"/>
              <w:left w:val="nil"/>
              <w:bottom w:val="nil"/>
              <w:right w:val="nil"/>
            </w:tcBorders>
          </w:tcPr>
          <w:p>
            <w:pPr>
              <w:pStyle w:val="Normal6a"/>
            </w:pPr>
            <w:r>
              <w:t>A)</w:t>
            </w:r>
            <w:r>
              <w:tab/>
            </w:r>
            <w:r>
              <w:rPr>
                <w:b/>
                <w:i/>
              </w:rPr>
              <w:t>skreślenie definicji „najwrażliwszego stada” w art. 2 i</w:t>
            </w:r>
            <w:r>
              <w:t xml:space="preserve"> zastąpienie obowiązujących przepisów dotyczących zmniejszenia nakładu połowowego określonych w art. 4 ust. 3 ukierunkowanym podejściem do zarządzania połowami wielogatunkowymi, stosowanym w innych </w:t>
            </w:r>
            <w:r>
              <w:rPr>
                <w:b/>
                <w:i/>
              </w:rPr>
              <w:t>unijnych</w:t>
            </w:r>
            <w:r>
              <w:t xml:space="preserve"> planach wieloletnich, i zrezygnowanie z ograniczania dni połowowych </w:t>
            </w:r>
            <w:r>
              <w:rPr>
                <w:b/>
                <w:i/>
              </w:rPr>
              <w:t>w oparciu o tzw.</w:t>
            </w:r>
            <w:r>
              <w:t xml:space="preserve"> gatunki dławiące </w:t>
            </w:r>
            <w:r>
              <w:rPr>
                <w:b/>
                <w:i/>
              </w:rPr>
              <w:t>oraz zastąpienie go systemem zarządzania wielogatunkowego, który uwzględnia wszystkie stada poławiane jednocześnie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zastąpienie</w:t>
            </w:r>
            <w:r>
              <w:t xml:space="preserve"> obowiązujących przepisów dotyczących zmniejszenia nakładu połowowego określonych w art. 4 ust. 3 </w:t>
            </w:r>
            <w:r>
              <w:rPr>
                <w:b/>
                <w:i/>
              </w:rPr>
              <w:t>ukierunkowanym podejściem</w:t>
            </w:r>
            <w:r>
              <w:t xml:space="preserve"> do zarządzania połowami wielogatunkowymi, </w:t>
            </w:r>
            <w:r>
              <w:rPr>
                <w:b/>
                <w:i/>
              </w:rPr>
              <w:t>stosowanym</w:t>
            </w:r>
            <w:r>
              <w:t xml:space="preserve"> w innych planach wieloletnich, i zrezygnowanie z ograniczania dni połowowych ze względu na „gatunki dławiące”;</w:t>
            </w:r>
          </w:p>
        </w:tc>
        <w:tc>
          <w:tcPr>
            <w:tcW w:w="4876" w:type="dxa"/>
            <w:tcBorders>
              <w:top w:val="nil"/>
              <w:left w:val="nil"/>
              <w:bottom w:val="nil"/>
              <w:right w:val="nil"/>
            </w:tcBorders>
          </w:tcPr>
          <w:p>
            <w:pPr>
              <w:pStyle w:val="Normal6a"/>
            </w:pPr>
            <w:r>
              <w:t>A)</w:t>
            </w:r>
            <w:r>
              <w:tab/>
            </w:r>
            <w:r>
              <w:rPr>
                <w:b/>
                <w:i/>
              </w:rPr>
              <w:t>zmiana</w:t>
            </w:r>
            <w:r>
              <w:t xml:space="preserve"> obowiązujących przepisów dotyczących zmniejszenia nakładu połowowego określonych w art. 4 ust. 3 </w:t>
            </w:r>
            <w:r>
              <w:rPr>
                <w:b/>
                <w:i/>
              </w:rPr>
              <w:t>w celu wprowadzenia ukierunkowanego podejścia</w:t>
            </w:r>
            <w:r>
              <w:t xml:space="preserve"> do zarządzania połowami wielogatunkowymi, </w:t>
            </w:r>
            <w:r>
              <w:rPr>
                <w:b/>
                <w:i/>
              </w:rPr>
              <w:t>stosowanego</w:t>
            </w:r>
            <w:r>
              <w:t xml:space="preserve"> w innych planach wieloletnich</w:t>
            </w:r>
            <w:r>
              <w:rPr>
                <w:b/>
                <w:i/>
              </w:rPr>
              <w:t>, które uwzględnia trudności w jednoczesnej eksploatacji wszystkich stad przy maksymalnym podtrzymywalnym połowie, w szczególności gdy może to prowadzić do przedwczesnego zamknięcia łowiska</w:t>
            </w:r>
            <w:r>
              <w:t>, i zrezygnowanie z ograniczania dni połowowych ze względu na „gatunki dławiące”;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zastąpienie obowiązujących przepisów dotyczących zmniejszenia nakładu połowowego określonych w art. 4 ust. 3 ukierunkowanym podejściem do zarządzania połowami wielogatunkowymi, stosowanym w innych planach wieloletnich, i zrezygnowanie z ograniczania dni połowowych ze względu na „gatunki dławiące”;</w:t>
            </w:r>
          </w:p>
        </w:tc>
        <w:tc>
          <w:tcPr>
            <w:tcW w:w="4876" w:type="dxa"/>
            <w:tcBorders>
              <w:top w:val="nil"/>
              <w:left w:val="nil"/>
              <w:bottom w:val="nil"/>
              <w:right w:val="nil"/>
            </w:tcBorders>
          </w:tcPr>
          <w:p>
            <w:pPr>
              <w:pStyle w:val="Normal6a"/>
            </w:pPr>
            <w:r>
              <w:t>A)</w:t>
            </w:r>
            <w:r>
              <w:tab/>
            </w:r>
            <w:r>
              <w:t>zastąpienie obowiązujących przepisów dotyczących zmniejszenia nakładu połowowego określonych w art. 4 ust. 3 ukierunkowanym podejściem do zarządzania połowami wielogatunkowymi, stosowanym w innych planach wieloletnich, i zrezygnowanie z ograniczania dni połowowych ze względu na „gatunki dławiące”</w:t>
            </w:r>
            <w:r>
              <w:rPr>
                <w:b/>
                <w:i/>
              </w:rPr>
              <w:t>, ponieważ stan gatunku wynika nie tylko z nakładu połowowego, ale również z czynników zewnętrznych, takich jak m.in. wzrost temperatury spowodowany zmianą klimatu i zanieczyszczeniem</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zastąpienie obowiązujących przepisów dotyczących zmniejszenia nakładu połowowego określonych w art. 4 ust. 3 </w:t>
            </w:r>
            <w:r>
              <w:rPr>
                <w:b/>
                <w:i/>
              </w:rPr>
              <w:t>ukierunkowanym</w:t>
            </w:r>
            <w:r>
              <w:t xml:space="preserve"> podejściem do zarządzania połowami wielogatunkowymi</w:t>
            </w:r>
            <w:r>
              <w:rPr>
                <w:b/>
                <w:i/>
              </w:rPr>
              <w:t>, stosowanym w innych planach wieloletnich</w:t>
            </w:r>
            <w:r>
              <w:t>, i zrezygnowanie z ograniczania dni połowowych ze względu na „gatunki dławiące”;</w:t>
            </w:r>
          </w:p>
        </w:tc>
        <w:tc>
          <w:tcPr>
            <w:tcW w:w="4876" w:type="dxa"/>
            <w:tcBorders>
              <w:top w:val="nil"/>
              <w:left w:val="nil"/>
              <w:bottom w:val="nil"/>
              <w:right w:val="nil"/>
            </w:tcBorders>
          </w:tcPr>
          <w:p>
            <w:pPr>
              <w:pStyle w:val="Normal6a"/>
            </w:pPr>
            <w:r>
              <w:t>A)</w:t>
            </w:r>
            <w:r>
              <w:tab/>
            </w:r>
            <w:r>
              <w:t xml:space="preserve">zastąpienie obowiązujących przepisów dotyczących zmniejszenia nakładu połowowego określonych w art. 4 ust. 3 podejściem do zarządzania połowami wielogatunkowymi </w:t>
            </w:r>
            <w:r>
              <w:rPr>
                <w:b/>
                <w:i/>
              </w:rPr>
              <w:t>opartym na najlepszych dostępnych opiniach naukowych, z uwzględnieniem stanu biologicznego wszystkich głównych eksploatowanych stad, w tym wskaźnika ważonego, przy jednoczesnym utrzymaniu celu, jakim jest osiągnięcie maksymalnego podtrzymywalnego połowu dla każdego stada</w:t>
            </w:r>
            <w:r>
              <w:t>, i zrezygnowanie z ograniczania dni połowowych ze względu na „gatunki dławiące”;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zastąpienie obowiązujących przepisów dotyczących zmniejszenia nakładu połowowego określonych w art. 4 ust. 3 ukierunkowanym podejściem do zarządzania połowami wielogatunkowymi, stosowanym w innych planach wieloletnich, i zrezygnowanie z ograniczania dni połowowych ze względu na „gatunki dławiące”;</w:t>
            </w:r>
          </w:p>
        </w:tc>
        <w:tc>
          <w:tcPr>
            <w:tcW w:w="4876" w:type="dxa"/>
            <w:tcBorders>
              <w:top w:val="nil"/>
              <w:left w:val="nil"/>
              <w:bottom w:val="nil"/>
              <w:right w:val="nil"/>
            </w:tcBorders>
          </w:tcPr>
          <w:p>
            <w:pPr>
              <w:pStyle w:val="Normal6a"/>
            </w:pPr>
            <w:r>
              <w:t>A)</w:t>
            </w:r>
            <w:r>
              <w:tab/>
            </w:r>
            <w:r>
              <w:t xml:space="preserve">zastąpienie obowiązujących przepisów dotyczących zmniejszenia nakładu połowowego określonych w art. 4 ust. 3 ukierunkowanym podejściem do zarządzania połowami wielogatunkowymi, stosowanym w innych planach wieloletnich, </w:t>
            </w:r>
            <w:r>
              <w:rPr>
                <w:b/>
                <w:i/>
              </w:rPr>
              <w:t>obliczenie zmiany nakładu połowowego od roku N-1, aby lepiej odzwierciedlić rzeczywistość działalności,</w:t>
            </w:r>
            <w:r>
              <w:t xml:space="preserve"> i zrezygnowanie z ograniczania dni połowowych ze względu na „gatunki dławiące”</w:t>
            </w:r>
            <w:r>
              <w:rPr>
                <w:b/>
                <w:i/>
              </w:rPr>
              <w:t> na rzecz złożonego ważonego wskaźnika wrażliwości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zastąpienie obowiązujących</w:t>
            </w:r>
            <w:r>
              <w:t xml:space="preserve"> przepisów dotyczących </w:t>
            </w:r>
            <w:r>
              <w:rPr>
                <w:b/>
                <w:i/>
              </w:rPr>
              <w:t>zmniejszenia</w:t>
            </w:r>
            <w:r>
              <w:t xml:space="preserve"> nakładu połowowego określonych w art. 4 ust. 3 </w:t>
            </w:r>
            <w:r>
              <w:rPr>
                <w:b/>
                <w:i/>
              </w:rPr>
              <w:t>ukierunkowanym podejściem</w:t>
            </w:r>
            <w:r>
              <w:t xml:space="preserve"> do zarządzania połowami wielogatunkowymi, </w:t>
            </w:r>
            <w:r>
              <w:rPr>
                <w:b/>
                <w:i/>
              </w:rPr>
              <w:t>stosowanym w innych planach wieloletnich, i zrezygnowanie z ograniczania</w:t>
            </w:r>
            <w:r>
              <w:t xml:space="preserve"> dni połowowych ze względu na „gatunki dławiące”;</w:t>
            </w:r>
          </w:p>
        </w:tc>
        <w:tc>
          <w:tcPr>
            <w:tcW w:w="4876" w:type="dxa"/>
            <w:tcBorders>
              <w:top w:val="nil"/>
              <w:left w:val="nil"/>
              <w:bottom w:val="nil"/>
              <w:right w:val="nil"/>
            </w:tcBorders>
          </w:tcPr>
          <w:p>
            <w:pPr>
              <w:pStyle w:val="Normal6a"/>
            </w:pPr>
            <w:r>
              <w:t>A)</w:t>
            </w:r>
            <w:r>
              <w:tab/>
            </w:r>
            <w:r>
              <w:rPr>
                <w:b/>
                <w:i/>
              </w:rPr>
              <w:t>dostosowanie</w:t>
            </w:r>
            <w:r>
              <w:t xml:space="preserve"> przepisów dotyczących </w:t>
            </w:r>
            <w:r>
              <w:rPr>
                <w:b/>
                <w:i/>
              </w:rPr>
              <w:t>zmniejszania</w:t>
            </w:r>
            <w:r>
              <w:t xml:space="preserve"> nakładu połowowego określonych w art. 4 ust. 3</w:t>
            </w:r>
            <w:r>
              <w:rPr>
                <w:b/>
                <w:i/>
              </w:rPr>
              <w:t>, polegające na włączeniu szczególnego podejścia</w:t>
            </w:r>
            <w:r>
              <w:t xml:space="preserve"> do zarządzania połowami wielogatunkowymi, </w:t>
            </w:r>
            <w:r>
              <w:rPr>
                <w:b/>
                <w:i/>
              </w:rPr>
              <w:t>zwłaszcza z uwzględnieniem większej elastyczności w odniesieniu do ograniczeń</w:t>
            </w:r>
            <w:r>
              <w:t xml:space="preserve"> dni połowowych ze względu na „gatunki dławiące”</w:t>
            </w:r>
            <w:r>
              <w:rPr>
                <w:b/>
                <w:i/>
              </w:rPr>
              <w:t>, przy jednoczesnym dalszym zapewnianiu właściwej ochrony stad, w tym potrzeby poprawy sytuacji, w szczególności w odniesieniu do stad o najwyższej wartości handlowej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zastąpienie obowiązujących przepisów dotyczących zmniejszenia nakładu połowowego określonych w art. 4 ust. 3 ukierunkowanym podejściem</w:t>
            </w:r>
            <w:r>
              <w:t xml:space="preserve"> do zarządzania połowami wielogatunkowymi, </w:t>
            </w:r>
            <w:r>
              <w:rPr>
                <w:b/>
                <w:i/>
              </w:rPr>
              <w:t>stosowanym</w:t>
            </w:r>
            <w:r>
              <w:t xml:space="preserve"> w innych planach wieloletnich</w:t>
            </w:r>
            <w:r>
              <w:rPr>
                <w:b/>
                <w:i/>
              </w:rPr>
              <w:t>, i zrezygnowanie z ograniczania dni połowowych ze względu na „gatunki dławiące”</w:t>
            </w:r>
            <w:r>
              <w:t>;</w:t>
            </w:r>
          </w:p>
        </w:tc>
        <w:tc>
          <w:tcPr>
            <w:tcW w:w="4876" w:type="dxa"/>
            <w:tcBorders>
              <w:top w:val="nil"/>
              <w:left w:val="nil"/>
              <w:bottom w:val="nil"/>
              <w:right w:val="nil"/>
            </w:tcBorders>
          </w:tcPr>
          <w:p>
            <w:pPr>
              <w:pStyle w:val="Normal6a"/>
            </w:pPr>
            <w:r>
              <w:t>A)</w:t>
            </w:r>
            <w:r>
              <w:tab/>
            </w:r>
            <w:r>
              <w:rPr>
                <w:b/>
                <w:i/>
              </w:rPr>
              <w:t>uwzględnienie podejścia</w:t>
            </w:r>
            <w:r>
              <w:t xml:space="preserve"> do zarządzania połowami wielogatunkowymi, </w:t>
            </w:r>
            <w:r>
              <w:rPr>
                <w:b/>
                <w:i/>
              </w:rPr>
              <w:t>stosowanego</w:t>
            </w:r>
            <w:r>
              <w:t xml:space="preserve"> w innych planach wieloletnich;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Eric Sargiacomo, Giuseppe Lupo, Sakis Arnaoutoglou,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zapewnienie, aby decyzje dotyczące nakładu połowowego uwzględniały, o ile pozwalają na to dane naukowe, rzeczywisty skład połowów, selektywność stosowanych narzędzi połowowych oraz postępy poczynione przez floty w ograniczaniu przyłowów;</w:t>
            </w:r>
            <w:r>
              <w:t xml:space="preserve"> </w:t>
            </w:r>
            <w:r>
              <w:rPr>
                <w:b/>
                <w:i/>
              </w:rPr>
              <w:t>wzywa do uwzględnienia szczególnej sytuacji społeczno-gospodarczej floty korsykańskiej i floty sardyńskiej poprzez ukierunkowane na konkretny obszar podejście odpowiednio do podobszarów geograficznych 8 i 11.2.</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A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w związku z tym wzywa do skreślenia definicji „najwrażliwszego stada” w art. 2, aby uniknąć zbyt sztywnego podejścia do zarządzania i zapewnić bardziej zrównoważone stosowanie, dostosowane do realiów połowów wielogatunkowych na Morzu Śródziemnym;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wprowadzenie mechanizmów elastyczności adaptacyjnej, takich jak przenoszenie z roku na rok co najmniej 10 % uprawnień do połowów, oraz ustanowienie dwuletnich cykli zarządzania nakładem połowowym, aby zapewnić rybakom i sektorom przetwórstwa długoterminową przewidywalność;</w:t>
            </w:r>
          </w:p>
        </w:tc>
        <w:tc>
          <w:tcPr>
            <w:tcW w:w="4876" w:type="dxa"/>
            <w:tcBorders>
              <w:top w:val="nil"/>
              <w:left w:val="nil"/>
              <w:bottom w:val="nil"/>
              <w:right w:val="nil"/>
            </w:tcBorders>
          </w:tcPr>
          <w:p>
            <w:pPr>
              <w:pStyle w:val="Normal6a"/>
            </w:pPr>
            <w:r>
              <w:t>B)</w:t>
            </w:r>
            <w:r>
              <w:tab/>
            </w:r>
            <w:r>
              <w:t xml:space="preserve">wprowadzenie mechanizmów elastyczności adaptacyjnej, takich jak przenoszenie z roku na rok co najmniej 10 % uprawnień do połowów, </w:t>
            </w:r>
            <w:r>
              <w:rPr>
                <w:b/>
                <w:i/>
              </w:rPr>
              <w:t>ustanowienie mechanizmu przenoszenia faktycznie niewykorzystanego nakładu połowowego z roku N na rok N+1</w:t>
            </w:r>
            <w:r>
              <w:t xml:space="preserve"> oraz ustanowienie dwuletnich cykli zarządzania nakładem połowowym, </w:t>
            </w:r>
            <w:r>
              <w:rPr>
                <w:b/>
                <w:i/>
              </w:rPr>
              <w:t>z klauzulą wczesnego przeglądu tylko wtedy, gdy jest to uzasadnione poważną oceną naukową lub wyjątkowym wydarzeniem, tak</w:t>
            </w:r>
            <w:r>
              <w:t xml:space="preserve"> aby zapewnić rybakom i sektorom przetwórstwa długoterminową przewidywalność;</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Eric Sargiacomo, Giuseppe Lupo, Sakis Arnaoutoglou,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wprowadzenie mechanizmów elastyczności adaptacyjnej</w:t>
            </w:r>
            <w:r>
              <w:rPr>
                <w:b/>
                <w:i/>
              </w:rPr>
              <w:t>, takich jak przenoszenie z roku na rok co najmniej 10 % uprawnień do połowów, oraz ustanowienie dwuletnich cykli</w:t>
            </w:r>
            <w:r>
              <w:t xml:space="preserve"> zarządzania nakładem połowowym, </w:t>
            </w:r>
            <w:r>
              <w:rPr>
                <w:b/>
                <w:i/>
              </w:rPr>
              <w:t>aby zapewnić rybakom i sektorom przetwórstwa długoterminową przewidywalność</w:t>
            </w:r>
            <w:r>
              <w:t>;</w:t>
            </w:r>
          </w:p>
        </w:tc>
        <w:tc>
          <w:tcPr>
            <w:tcW w:w="4876" w:type="dxa"/>
            <w:tcBorders>
              <w:top w:val="nil"/>
              <w:left w:val="nil"/>
              <w:bottom w:val="nil"/>
              <w:right w:val="nil"/>
            </w:tcBorders>
          </w:tcPr>
          <w:p>
            <w:pPr>
              <w:pStyle w:val="Normal6a"/>
            </w:pPr>
            <w:r>
              <w:t>B)</w:t>
            </w:r>
            <w:r>
              <w:tab/>
            </w:r>
            <w:r>
              <w:t xml:space="preserve">wprowadzenie mechanizmów elastyczności adaptacyjnej </w:t>
            </w:r>
            <w:r>
              <w:rPr>
                <w:b/>
                <w:i/>
              </w:rPr>
              <w:t>umożliwiających wieloletnie pięcioletnie programowanie</w:t>
            </w:r>
            <w:r>
              <w:t xml:space="preserve"> zarządzania nakładem połowowym, </w:t>
            </w:r>
            <w:r>
              <w:rPr>
                <w:b/>
                <w:i/>
              </w:rPr>
              <w:t>zapewniających operatorom wystarczającą widoczność, przy jednoczesnym zachowaniu zdolności dostosowania się do najnowszych opinii naukowych;</w:t>
            </w:r>
            <w:r>
              <w:t xml:space="preserve"> </w:t>
            </w:r>
            <w:r>
              <w:rPr>
                <w:b/>
                <w:i/>
              </w:rPr>
              <w:t>ustanowienie, że każde znaczące ograniczenie nakładu połowowego podlega uprzedniej ocenie jego skutków biologicznych, gospodarczych i społecznych oraz konsultacjom z właściwymi zainteresowanymi stronami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wprowadzenie mechanizmów elastyczności adaptacyjnej</w:t>
            </w:r>
            <w:r>
              <w:rPr>
                <w:b/>
                <w:i/>
              </w:rPr>
              <w:t>, takich jak przenoszenie z roku na rok co najmniej 10 % uprawnień do połowów, oraz ustanowienie dwuletnich cykli zarządzania nakładem połowowym</w:t>
            </w:r>
            <w:r>
              <w:t>, aby zapewnić rybakom i sektorom przetwórstwa długoterminową przewidywalność;</w:t>
            </w:r>
          </w:p>
        </w:tc>
        <w:tc>
          <w:tcPr>
            <w:tcW w:w="4876" w:type="dxa"/>
            <w:tcBorders>
              <w:top w:val="nil"/>
              <w:left w:val="nil"/>
              <w:bottom w:val="nil"/>
              <w:right w:val="nil"/>
            </w:tcBorders>
          </w:tcPr>
          <w:p>
            <w:pPr>
              <w:pStyle w:val="Normal6a"/>
            </w:pPr>
            <w:r>
              <w:t>B)</w:t>
            </w:r>
            <w:r>
              <w:tab/>
            </w:r>
            <w:r>
              <w:t>wprowadzenie mechanizmów elastyczności adaptacyjnej, aby zapewnić rybakom i sektorom przetwórstwa długoterminową przewidywalność</w:t>
            </w:r>
            <w:r>
              <w:rPr>
                <w:b/>
                <w:i/>
              </w:rPr>
              <w:t>, łącznie z wnioskami dotyczącymi ewentualnej elastyczności z roku na rok – dostosowanych do szczególnej sytuacji w basenie Morza Śródziemnego oraz do stosowanego w nim podejścia do zarządzania rybołówstwem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wprowadzenie</w:t>
            </w:r>
            <w:r>
              <w:t xml:space="preserve"> mechanizmów elastyczności </w:t>
            </w:r>
            <w:r>
              <w:rPr>
                <w:b/>
                <w:i/>
              </w:rPr>
              <w:t>adaptacyjnej</w:t>
            </w:r>
            <w:r>
              <w:t xml:space="preserve">, takich jak przenoszenie z roku na rok </w:t>
            </w:r>
            <w:r>
              <w:rPr>
                <w:b/>
                <w:i/>
              </w:rPr>
              <w:t>co najmniej 10 %</w:t>
            </w:r>
            <w:r>
              <w:t xml:space="preserve"> uprawnień do połowów, oraz </w:t>
            </w:r>
            <w:r>
              <w:rPr>
                <w:b/>
                <w:i/>
              </w:rPr>
              <w:t>ustanowienie</w:t>
            </w:r>
            <w:r>
              <w:t xml:space="preserve"> dwuletnich cykli zarządzania nakładem połowowym, aby zapewnić rybakom i sektorom przetwórstwa długoterminową przewidywalność;</w:t>
            </w:r>
          </w:p>
        </w:tc>
        <w:tc>
          <w:tcPr>
            <w:tcW w:w="4876" w:type="dxa"/>
            <w:tcBorders>
              <w:top w:val="nil"/>
              <w:left w:val="nil"/>
              <w:bottom w:val="nil"/>
              <w:right w:val="nil"/>
            </w:tcBorders>
          </w:tcPr>
          <w:p>
            <w:pPr>
              <w:pStyle w:val="Normal6a"/>
            </w:pPr>
            <w:r>
              <w:t>B)</w:t>
            </w:r>
            <w:r>
              <w:tab/>
            </w:r>
            <w:r>
              <w:rPr>
                <w:b/>
                <w:i/>
              </w:rPr>
              <w:t>stosowanie dostępnych</w:t>
            </w:r>
            <w:r>
              <w:t xml:space="preserve"> mechanizmów elastyczności , takich jak przenoszenie z roku na rok uprawnień do połowów, oraz </w:t>
            </w:r>
            <w:r>
              <w:rPr>
                <w:b/>
                <w:i/>
              </w:rPr>
              <w:t>rozważenie ustanowienia</w:t>
            </w:r>
            <w:r>
              <w:t xml:space="preserve"> dwuletnich cykli zarządzania nakładem połowowym </w:t>
            </w:r>
            <w:r>
              <w:rPr>
                <w:b/>
                <w:i/>
              </w:rPr>
              <w:t>w oparciu o najlepsze dostępne opinie naukowe</w:t>
            </w:r>
            <w:r>
              <w:t>, aby zapewnić rybakom i sektorom przetwórstwa długoterminową przewidywalność;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wprowadzenie mechanizmów elastyczności adaptacyjnej, takich jak przenoszenie z roku na rok co najmniej 10 % uprawnień do połowów, oraz ustanowienie dwuletnich cykli zarządzania nakładem połowowym, aby zapewnić rybakom i sektorom przetwórstwa długoterminową przewidywalność;</w:t>
            </w:r>
          </w:p>
        </w:tc>
        <w:tc>
          <w:tcPr>
            <w:tcW w:w="4876" w:type="dxa"/>
            <w:tcBorders>
              <w:top w:val="nil"/>
              <w:left w:val="nil"/>
              <w:bottom w:val="nil"/>
              <w:right w:val="nil"/>
            </w:tcBorders>
          </w:tcPr>
          <w:p>
            <w:pPr>
              <w:pStyle w:val="Normal6a"/>
            </w:pPr>
            <w:r>
              <w:t>B)</w:t>
            </w:r>
            <w:r>
              <w:tab/>
            </w:r>
            <w:r>
              <w:t xml:space="preserve">wprowadzenie mechanizmów elastyczności adaptacyjnej, takich jak przenoszenie z roku na rok co najmniej 10 % uprawnień do połowów </w:t>
            </w:r>
            <w:r>
              <w:rPr>
                <w:b/>
                <w:i/>
              </w:rPr>
              <w:t>w kolejnych latach</w:t>
            </w:r>
            <w:r>
              <w:t>, oraz ustanowienie dwuletnich cykli zarządzania nakładem połowowym, aby zapewnić rybakom i sektorom przetwórstwa długoterminową przewidywalność;</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wprowadzenie mechanizmów</w:t>
            </w:r>
            <w:r>
              <w:t xml:space="preserve"> elastyczności </w:t>
            </w:r>
            <w:r>
              <w:rPr>
                <w:b/>
                <w:i/>
              </w:rPr>
              <w:t>adaptacyjnej, takich jak przenoszenie z roku na rok co najmniej 10 % uprawnień do połowów, oraz ustanowienie dwuletnich cykli zarządzania nakładem połowowym, aby zapewnić rybakom i sektorom przetwórstwa długoterminową przewidywalność</w:t>
            </w:r>
            <w:r>
              <w:t>;</w:t>
            </w:r>
          </w:p>
        </w:tc>
        <w:tc>
          <w:tcPr>
            <w:tcW w:w="4876" w:type="dxa"/>
            <w:tcBorders>
              <w:top w:val="nil"/>
              <w:left w:val="nil"/>
              <w:bottom w:val="nil"/>
              <w:right w:val="nil"/>
            </w:tcBorders>
          </w:tcPr>
          <w:p>
            <w:pPr>
              <w:pStyle w:val="Normal6a"/>
            </w:pPr>
            <w:r>
              <w:t>B)</w:t>
            </w:r>
            <w:r>
              <w:tab/>
            </w:r>
            <w:r>
              <w:rPr>
                <w:b/>
                <w:i/>
              </w:rPr>
              <w:t>poprawa długoterminowej przewidywalności dla rybaków oraz sektorów przetwórstwa dzięki wieloletnim parametrom zarządzania, pod warunkiem że wszelkie mechanizmy</w:t>
            </w:r>
            <w:r>
              <w:t xml:space="preserve"> elastyczności </w:t>
            </w:r>
            <w:r>
              <w:rPr>
                <w:b/>
                <w:i/>
              </w:rPr>
              <w:t>pozostaną spójne z celami ochrony i nie opóźnią odbudowy stad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wprowadzenie stabilizatorów ograniczających redukcje i wzrost liczby dni do 20 %, pod warunkiem przekroczenia minimalnego progu rentowności, z wyraźnym uwzględnieniem skutków społeczno-gospodarczych w procesie decyzyjnym (art. 3);</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wprowadzenie stabilizatorów ograniczających redukcje i wzrost liczby dni do 20 %, pod warunkiem przekroczenia minimalnego progu rentowności, z wyraźnym uwzględnieniem skutków społeczno-gospodarczych w procesie decyzyjnym (art. 3);</w:t>
            </w:r>
          </w:p>
        </w:tc>
        <w:tc>
          <w:tcPr>
            <w:tcW w:w="4876" w:type="dxa"/>
            <w:tcBorders>
              <w:top w:val="nil"/>
              <w:left w:val="nil"/>
              <w:bottom w:val="nil"/>
              <w:right w:val="nil"/>
            </w:tcBorders>
          </w:tcPr>
          <w:p>
            <w:pPr>
              <w:pStyle w:val="Normal6a"/>
            </w:pPr>
            <w:r>
              <w:t>C)</w:t>
            </w:r>
            <w:r>
              <w:tab/>
            </w:r>
            <w:r>
              <w:t>wprowadzenie stabilizatorów ograniczających redukcje i wzrost liczby dni do 20 %, pod warunkiem przekroczenia minimalnego progu rentowności, z wyraźnym uwzględnieniem skutków społeczno-gospodarczych w procesie decyzyjnym (art. 3)</w:t>
            </w:r>
            <w:r>
              <w:rPr>
                <w:b/>
                <w:i/>
              </w:rPr>
              <w:t>, czynników niezwiązanych z rybołówstwem (zanieczyszczenie, zmiana klimatu i inne zastosowania morskie) do prawdziwego podejścia „ekosystemowego”, a także zapewnienie stabilności mechanizmów kompensacyjnych w całym cyklu zarządzania i umożliwienie ich dostosowania w ciągu roku, gdy pozwolą na to warunki biologiczne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wprowadzenie stabilizatorów ograniczających redukcje i wzrost </w:t>
            </w:r>
            <w:r>
              <w:rPr>
                <w:b/>
                <w:i/>
              </w:rPr>
              <w:t>liczby</w:t>
            </w:r>
            <w:r>
              <w:t xml:space="preserve"> dni do 20 %, pod warunkiem przekroczenia minimalnego progu rentowności, z wyraźnym uwzględnieniem skutków społeczno-gospodarczych w procesie decyzyjnym (art. 3);</w:t>
            </w:r>
          </w:p>
        </w:tc>
        <w:tc>
          <w:tcPr>
            <w:tcW w:w="4876" w:type="dxa"/>
            <w:tcBorders>
              <w:top w:val="nil"/>
              <w:left w:val="nil"/>
              <w:bottom w:val="nil"/>
              <w:right w:val="nil"/>
            </w:tcBorders>
          </w:tcPr>
          <w:p>
            <w:pPr>
              <w:pStyle w:val="Normal6a"/>
            </w:pPr>
            <w:r>
              <w:t>C)</w:t>
            </w:r>
            <w:r>
              <w:tab/>
            </w:r>
            <w:r>
              <w:t xml:space="preserve">wprowadzenie stabilizatorów ograniczających </w:t>
            </w:r>
            <w:r>
              <w:rPr>
                <w:b/>
                <w:i/>
              </w:rPr>
              <w:t>roczne</w:t>
            </w:r>
            <w:r>
              <w:t xml:space="preserve"> redukcje i wzrost dni </w:t>
            </w:r>
            <w:r>
              <w:rPr>
                <w:b/>
                <w:i/>
              </w:rPr>
              <w:t>połowowych</w:t>
            </w:r>
            <w:r>
              <w:t xml:space="preserve"> do 20 %, pod warunkiem przekroczenia minimalnego progu rentowności</w:t>
            </w:r>
            <w:r>
              <w:rPr>
                <w:b/>
                <w:i/>
              </w:rPr>
              <w:t>, określonego zgodnie ze wskaźnikiem rentowności stosowanym przez STECF w rocznym sprawozdaniu gospodarczym dotyczącym unijnej floty rybackiej</w:t>
            </w:r>
            <w:r>
              <w:t>, z wyraźnym uwzględnieniem skutków społeczno-gospodarczych w procesie decyzyjnym</w:t>
            </w:r>
            <w:r>
              <w:rPr>
                <w:b/>
                <w:i/>
              </w:rPr>
              <w:t>, mierzonych pod względem zatrudnienia, dochodów rybaków i rentowności przedsiębiorstw</w:t>
            </w:r>
            <w:r>
              <w:t xml:space="preserve"> (art. 3);</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wprowadzenie stabilizatorów ograniczających redukcje i wzrost liczby dni do 20 %, pod warunkiem przekroczenia minimalnego progu rentowności, z wyraźnym uwzględnieniem skutków społeczno-gospodarczych w procesie decyzyjnym (art. 3);</w:t>
            </w:r>
          </w:p>
        </w:tc>
        <w:tc>
          <w:tcPr>
            <w:tcW w:w="4876" w:type="dxa"/>
            <w:tcBorders>
              <w:top w:val="nil"/>
              <w:left w:val="nil"/>
              <w:bottom w:val="nil"/>
              <w:right w:val="nil"/>
            </w:tcBorders>
          </w:tcPr>
          <w:p>
            <w:pPr>
              <w:pStyle w:val="Normal6a"/>
            </w:pPr>
            <w:r>
              <w:t>C)</w:t>
            </w:r>
            <w:r>
              <w:tab/>
            </w:r>
            <w:r>
              <w:t>wprowadzenie stabilizatorów ograniczających redukcje i wzrost liczby dni do 20 %, pod warunkiem przekroczenia minimalnego progu rentowności, z wyraźnym uwzględnieniem skutków społeczno-gospodarczych w procesie decyzyjnym (art. 3)</w:t>
            </w:r>
            <w:r>
              <w:rPr>
                <w:b/>
                <w:i/>
              </w:rPr>
              <w:t>, w tym zatrudnienia, rentowności przedsiębiorstw, dostaw produktów rybołówstwa i bezpieczeństwa żywnościowego w Unii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wprowadzenie stabilizatorów ograniczających redukcje i wzrost </w:t>
            </w:r>
            <w:r>
              <w:rPr>
                <w:b/>
                <w:i/>
              </w:rPr>
              <w:t>liczby dni do 20 %, pod warunkiem przekroczenia minimalnego progu rentowności, z wyraźnym uwzględnieniem skutków społeczno-gospodarczych w procesie decyzyjnym (art. 3)</w:t>
            </w:r>
            <w:r>
              <w:t>;</w:t>
            </w:r>
          </w:p>
        </w:tc>
        <w:tc>
          <w:tcPr>
            <w:tcW w:w="4876" w:type="dxa"/>
            <w:tcBorders>
              <w:top w:val="nil"/>
              <w:left w:val="nil"/>
              <w:bottom w:val="nil"/>
              <w:right w:val="nil"/>
            </w:tcBorders>
          </w:tcPr>
          <w:p>
            <w:pPr>
              <w:pStyle w:val="Normal6a"/>
            </w:pPr>
            <w:r>
              <w:t>C)</w:t>
            </w:r>
            <w:r>
              <w:tab/>
            </w:r>
            <w:r>
              <w:t xml:space="preserve">wprowadzenie stabilizatorów ograniczających redukcje i wzrost </w:t>
            </w:r>
            <w:r>
              <w:rPr>
                <w:b/>
                <w:i/>
              </w:rPr>
              <w:t>uprawnień do połowów, zapewniających większą stabilność i długoterminową przewidywalność sektora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wprowadzenie stabilizatorów ograniczających redukcje i wzrost liczby dni do 20 %, pod warunkiem przekroczenia minimalnego progu rentowności, z wyraźnym uwzględnieniem skutków społeczno-gospodarczych w procesie decyzyjnym (art. 3);</w:t>
            </w:r>
          </w:p>
        </w:tc>
        <w:tc>
          <w:tcPr>
            <w:tcW w:w="4876" w:type="dxa"/>
            <w:tcBorders>
              <w:top w:val="nil"/>
              <w:left w:val="nil"/>
              <w:bottom w:val="nil"/>
              <w:right w:val="nil"/>
            </w:tcBorders>
          </w:tcPr>
          <w:p>
            <w:pPr>
              <w:pStyle w:val="Normal6a"/>
            </w:pPr>
            <w:r>
              <w:t>C)</w:t>
            </w:r>
            <w:r>
              <w:tab/>
            </w:r>
            <w:r>
              <w:t xml:space="preserve">wprowadzenie </w:t>
            </w:r>
            <w:r>
              <w:rPr>
                <w:b/>
                <w:i/>
              </w:rPr>
              <w:t>automatycznych</w:t>
            </w:r>
            <w:r>
              <w:t xml:space="preserve"> stabilizatorów ograniczających redukcje i wzrost liczby dni </w:t>
            </w:r>
            <w:r>
              <w:rPr>
                <w:b/>
                <w:i/>
              </w:rPr>
              <w:t>połowowych</w:t>
            </w:r>
            <w:r>
              <w:t xml:space="preserve"> do 20 %, pod warunkiem przekroczenia minimalnego progu rentowności, z wyraźnym uwzględnieniem skutków społeczno-gospodarczych w procesie decyzyjnym (art. 3);</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wprowadzenie stabilizatorów ograniczających redukcje i wzrost liczby dni do 20 %, pod warunkiem przekroczenia minimalnego progu rentowności, z wyraźnym uwzględnieniem skutków społeczno-gospodarczych w procesie decyzyjnym (art. 3)</w:t>
            </w:r>
            <w:r>
              <w:t>;</w:t>
            </w:r>
          </w:p>
        </w:tc>
        <w:tc>
          <w:tcPr>
            <w:tcW w:w="4876" w:type="dxa"/>
            <w:tcBorders>
              <w:top w:val="nil"/>
              <w:left w:val="nil"/>
              <w:bottom w:val="nil"/>
              <w:right w:val="nil"/>
            </w:tcBorders>
          </w:tcPr>
          <w:p>
            <w:pPr>
              <w:pStyle w:val="Normal6a"/>
            </w:pPr>
            <w:r>
              <w:t>C)</w:t>
            </w:r>
            <w:r>
              <w:tab/>
            </w:r>
            <w:r>
              <w:rPr>
                <w:b/>
                <w:i/>
              </w:rPr>
              <w:t>uwzględnienie ustaleń zawartych w sprawozdaniu Komisji z wdrażania z 2024 r., w szczególności strukturalnej nadmiernej zdolności połowowej, połowów ryb młodocianych oraz niedociągnięć w kontroli i egzekwowaniu przepisów</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Eric Sargiacomo, Giuseppe Lupo, Sakis Arnaoutoglou,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wprowadzenie </w:t>
            </w:r>
            <w:r>
              <w:rPr>
                <w:b/>
                <w:i/>
              </w:rPr>
              <w:t>stabilizatorów ograniczających redukcje i wzrost liczby dni do 20 %, pod warunkiem przekroczenia minimalnego progu</w:t>
            </w:r>
            <w:r>
              <w:t xml:space="preserve"> rentowności</w:t>
            </w:r>
            <w:r>
              <w:rPr>
                <w:b/>
                <w:i/>
              </w:rPr>
              <w:t>, z wyraźnym uwzględnieniem skutków społeczno-gospodarczych w procesie decyzyjnym (art</w:t>
            </w:r>
            <w:r>
              <w:t>.</w:t>
            </w:r>
            <w:r>
              <w:rPr>
                <w:b/>
                <w:i/>
              </w:rPr>
              <w:t xml:space="preserve"> 3);</w:t>
            </w:r>
          </w:p>
        </w:tc>
        <w:tc>
          <w:tcPr>
            <w:tcW w:w="4876" w:type="dxa"/>
            <w:tcBorders>
              <w:top w:val="nil"/>
              <w:left w:val="nil"/>
              <w:bottom w:val="nil"/>
              <w:right w:val="nil"/>
            </w:tcBorders>
          </w:tcPr>
          <w:p>
            <w:pPr>
              <w:pStyle w:val="Normal6a"/>
            </w:pPr>
            <w:r>
              <w:t>C)</w:t>
            </w:r>
            <w:r>
              <w:tab/>
            </w:r>
            <w:r>
              <w:t>wprowadzenie </w:t>
            </w:r>
            <w:r>
              <w:rPr>
                <w:b/>
                <w:i/>
              </w:rPr>
              <w:t>mechanizmów mających na celu ograniczenie nadmiernych rocznych wahań nakładu połowowego, jeżeli mogłyby one zagrozić</w:t>
            </w:r>
            <w:r>
              <w:t xml:space="preserve"> rentowności </w:t>
            </w:r>
            <w:r>
              <w:rPr>
                <w:b/>
                <w:i/>
              </w:rPr>
              <w:t>przedsiębiorstw, przy pełnym poszanowaniu celów ochrony</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wzmocnienie środków technicznych na rzecz ochrony młodych osobników, w tym zamknięcie naukowo określonych obszarów dojrzewania narybku, wzmocnienie kontroli minimalnych rozmiarów odniesienia do celów ochrony i ograniczenie odrzutów, aby zapewnić rekrutację stad w przyszłości bez konieczności uciekania się do uogólnionych ograniczeń nakładu połowowego;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włączenie do rozporządzenia stałego mechanizmu kompensacyjnego za techniczne środki selektywności, zapewniającego pewność prawa, stabilność regulacyjną i wystarczającą widoczność inwestycji dokonywanych przez przedsiębiorstwa rybackie.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poprawę selektywności, kontroli i monitorowania narzędzi połowowych oraz wprowadzenie i skuteczne wdrożenie zamknięć przestrzennych i czasowych, w szczególności na obszarach tarła i dojrzewania narybku;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uwzględnienie półdniowych połowów przy obliczaniu nakładu połowowego;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Nora Junco García,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b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przegląd metody przydziału nakładu połowowego, aby zapewnić bardziej zrównoważony podział między poszczególne segmenty floty poławiające te same stada denne, oceniając stosowność rozszerzenia zharmonizowanych ram zarządzania na poziomie Unii na segmenty rybołówstwa łodziowego i rybołówstwa z wykorzystaniem tradycyjnych narzędzi połowowych, w przypadku gdy ich wkład w śmiertelność połowową tych stad jest znaczny, a także aktualizacja kryteriów wewnętrznego przydziału dni między segmenty długości floty trawlerów, obecnie oparte na wcześniejszej działalności w latach 2019–2020, aby odzwierciedlić obecną rzeczywistość operacyjną floty;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b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ustanowienie, że istotne zmiany środków technicznych lub mechanizmów kompensacyjnych są poprzedzone wystarczającym okresem oceny naukowej w celu zmierzenia ich skutków biologicznych, gospodarczych i społecznych przed każdą późniejszą zmianą.</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akapit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zniesienie grup nakładu połowowego podzielonych według długości statku i połączenie ich w jedną grupę według podobszaru geograficznego (GSA);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 litera C c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Cc)</w:t>
            </w:r>
            <w:r>
              <w:tab/>
            </w:r>
            <w:r>
              <w:rPr>
                <w:b/>
                <w:i/>
              </w:rPr>
              <w:t>wzywa Komisję do przeprowadzenia przeglądu warunków stosowania planu w odniesieniu do statków używających narzędzi do połowów pelagicznych, jeżeli nie wywierają one znacznej presji na stada denne;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podkreśla samoistną wartość oceanów i wszystkich zależnych od nich gatunków;</w:t>
            </w:r>
            <w:r>
              <w:t xml:space="preserve"> </w:t>
            </w:r>
            <w:r>
              <w:rPr>
                <w:b/>
                <w:i/>
              </w:rPr>
              <w:t>zwraca uwagę, że chociaż Morze Śródziemne stanowi mniej niż 1 % światowych oceanów, jest ono jednym z największych źródeł morskiej i przybrzeżnej różnorodności biologicznej na naszej planecie, na które oddziałuje wiele czynników stresogennych, takich jak przełowienie, zanieczyszczenie, niszczenie siedlisk i zakwaszenie i które ociepla się w tempie o około 20 % wyższym niż średnia światowa ze względu na zmianę klimatu;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zdefiniowanie następującego pojęcia: „połowy wielogatunkowe”;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wprowadzenie zasady proporcjonalności między państwami członkowskimi w oparciu o ich rzeczywiste przyczynienie się do śmiertelność połowowej;</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utrwalenie mechanizmu kompensacyjnego, a także jego dywersyfikacja i ustanowienie minimalnego okresu obowiązywania wynoszącego trzy lata dla środków uprawniających do dodatkowych dni połowowych;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wyjaśnienie traktowania statków prowadzących połowy włokami pelagicznymi;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przeprowadzanie regularnej oceny naukowej, technicznej i społeczno-gospodarczej środków technicznych stosowanych w zachodniej części Morza Śródziemnego w celu dostosowania lub zniesienia tych środków, w przypadku których nie wykazano skuteczności biologicznej lub w przypadku których skutki społeczno-gospodarcze wydają się nieproporcjonalne;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z zadowoleniem przyjmuje zaproszenie do zgłaszania uwag na potrzeby oceny skutków planu wieloletniego, opublikowane przez Komisję 26 maja 2026 r., a także jej zobowiązanie do oceny społeczno-gospodarczych skutków </w:t>
            </w:r>
            <w:r>
              <w:rPr>
                <w:b/>
                <w:i/>
              </w:rPr>
              <w:t>wdrożonych</w:t>
            </w:r>
            <w:r>
              <w:t xml:space="preserve"> środków;</w:t>
            </w:r>
          </w:p>
        </w:tc>
        <w:tc>
          <w:tcPr>
            <w:tcW w:w="4876" w:type="dxa"/>
            <w:tcBorders>
              <w:top w:val="nil"/>
              <w:left w:val="nil"/>
              <w:bottom w:val="nil"/>
              <w:right w:val="nil"/>
            </w:tcBorders>
          </w:tcPr>
          <w:p>
            <w:pPr>
              <w:pStyle w:val="Normal6a"/>
            </w:pPr>
            <w:r>
              <w:t>2.</w:t>
            </w:r>
            <w:r>
              <w:tab/>
            </w:r>
            <w:r>
              <w:t>z zadowoleniem przyjmuje zaproszenie do zgłaszania uwag na potrzeby oceny skutków planu wieloletniego, opublikowane przez Komisję 26 maja 2026 r., a także jej zobowiązanie do oceny społeczno-gospodarczych skutków </w:t>
            </w:r>
            <w:r>
              <w:rPr>
                <w:b/>
                <w:i/>
              </w:rPr>
              <w:t>środków wdrażanych od 2019 r., ze szczególnym uwzględnieniem zmian w zatrudnieniu i flocie, odporności gospodarczej i społecznej społeczności nadbrzeżnych oraz skuteczności</w:t>
            </w:r>
            <w:r>
              <w:t xml:space="preserve"> środków </w:t>
            </w:r>
            <w:r>
              <w:rPr>
                <w:b/>
                <w:i/>
              </w:rPr>
              <w:t>wyrównawczych</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z zadowoleniem przyjmuje zaproszenie do zgłaszania uwag na potrzeby oceny skutków planu wieloletniego, opublikowane przez Komisję 26 maja 2026 r., a także jej zobowiązanie do oceny społeczno-gospodarczych skutków wdrożonych środków;</w:t>
            </w:r>
          </w:p>
        </w:tc>
        <w:tc>
          <w:tcPr>
            <w:tcW w:w="4876" w:type="dxa"/>
            <w:tcBorders>
              <w:top w:val="nil"/>
              <w:left w:val="nil"/>
              <w:bottom w:val="nil"/>
              <w:right w:val="nil"/>
            </w:tcBorders>
          </w:tcPr>
          <w:p>
            <w:pPr>
              <w:pStyle w:val="Normal6a"/>
            </w:pPr>
            <w:r>
              <w:t>2.</w:t>
            </w:r>
            <w:r>
              <w:tab/>
            </w:r>
            <w:r>
              <w:t xml:space="preserve">z zadowoleniem przyjmuje zaproszenie do zgłaszania uwag na potrzeby oceny skutków planu wieloletniego, opublikowane przez Komisję 26 maja 2026 r., a także jej zobowiązanie do oceny społeczno-gospodarczych skutków wdrożonych środków; </w:t>
            </w:r>
            <w:r>
              <w:rPr>
                <w:b/>
                <w:i/>
              </w:rPr>
              <w:t>podkreśla, że ocena ta powinna opierać się na ocenie skutków z 2018 r., sprawozdaniu z wdrażania z 2024 r., odpowiedniej opinii STECF oraz zaktualizowanych danych środowiskowych i społeczno-gospodarczych;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z zadowoleniem przyjmuje</w:t>
            </w:r>
            <w:r>
              <w:t xml:space="preserve"> zaproszenie do zgłaszania uwag na potrzeby oceny skutków planu wieloletniego, opublikowane przez Komisję 26 maja 2026 r., a także jej zobowiązanie do oceny społeczno-gospodarczych skutków wdrożonych środków;</w:t>
            </w:r>
          </w:p>
        </w:tc>
        <w:tc>
          <w:tcPr>
            <w:tcW w:w="4876" w:type="dxa"/>
            <w:tcBorders>
              <w:top w:val="nil"/>
              <w:left w:val="nil"/>
              <w:bottom w:val="nil"/>
              <w:right w:val="nil"/>
            </w:tcBorders>
          </w:tcPr>
          <w:p>
            <w:pPr>
              <w:pStyle w:val="Normal6a"/>
            </w:pPr>
            <w:r>
              <w:t>2.</w:t>
            </w:r>
            <w:r>
              <w:tab/>
            </w:r>
            <w:r>
              <w:rPr>
                <w:b/>
                <w:i/>
              </w:rPr>
              <w:t>odnotowuje</w:t>
            </w:r>
            <w:r>
              <w:t xml:space="preserve"> zaproszenie do zgłaszania uwag na potrzeby oceny skutków planu wieloletniego, opublikowane przez Komisję 26 maja 2026 r., a także jej zobowiązanie do oceny społeczno-gospodarczych skutków wdrożonych środków; </w:t>
            </w:r>
            <w:r>
              <w:rPr>
                <w:b/>
                <w:i/>
              </w:rPr>
              <w:t>ubolewa, że takiej oceny dokonuje się dopiero po ponad pięciu latach łącznych ograniczeń nakładu połowowego nałożonych na flotę;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podkreśla, że etap przejściowy przewidziany w art. 7 rozporządzenia (UE) 2019/1022, oparty na stopniowym zmniejszaniu nakładu połowowego w latach 2020–2024, dobiegł końca;</w:t>
            </w:r>
            <w:r>
              <w:t xml:space="preserve"> </w:t>
            </w:r>
            <w:r>
              <w:rPr>
                <w:b/>
                <w:i/>
              </w:rPr>
              <w:t>uważa w związku z tym, że zarządzanie planem WestMed powinno wejść w nową fazę ukierunkowaną na konsolidację osiągniętych wyników, rezygnację z systematycznego ograniczania dni połowowych i umożliwienie stopniowego zwiększania uprawnień do połowów w celu przywrócenia rentowności ekonomicznej i społecznej floty śródziemnomorskiej, jeżeli potwierdzają to dane naukowe i jeżeli zapewniona jest trwałość stad;</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wzywa Komisję i państwa członkowskie do poprawy dostępności i jakości danych dotyczących kryteriów wielkości i wieku odpowiednich stad przed podjęciem decyzji w sprawie zarządzania połowami na obszarze objętym planem wieloletnim dla zachodniej części Morza Śródziemnego;</w:t>
            </w:r>
            <w:r>
              <w:t xml:space="preserve"> </w:t>
            </w:r>
            <w:r>
              <w:rPr>
                <w:b/>
                <w:i/>
              </w:rPr>
              <w:t>podkreśla, że lepsze gromadzenie danych na temat tych parametrów powinno przyczynić się do uwzględnienia wskaźnika 3 kryterium 3 (D3C3) dyrektywy ramowej w sprawie strategii morskiej zgodnie z wymogami art. 3 ust. 4 planu;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wzywa Komisję i państwa członkowskie do dopilnowania, aby zarządzanie stadami ryb w ramach planu wieloletniego dla zachodniej części Morza Śródziemnego obejmowało cele dotyczące przywrócenia naturalnego składu wielkościowego i naturalnej struktury wiekowej populacji zgodnie z art. 2 ust. 5 lit. j) rozporządzenia w sprawie WPRyb, który odnosi się do art. 1 ust. 1 dyrektywy ramowej w sprawie strategii morskiej, ponieważ prawidłowa struktura populacji ma zasadnicze znaczenie dla zdolności reprodukcyjnej, odporności stad i stabilności ekosystemów;</w:t>
            </w:r>
            <w:r>
              <w:t xml:space="preserve"> </w:t>
            </w:r>
            <w:r>
              <w:rPr>
                <w:b/>
                <w:i/>
              </w:rPr>
              <w:t>zachęca do opracowania wskaźników monitorowania i bardziej selektywnych metod połowowych opracowanych we współpracy z sektorem, które mogą ograniczyć systematyczne odławianie większych i starszych ryb oraz lepiej chronić potencjał stałego uzupełniania stada;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Carmen Crespo Díaz, Paulo do Nascimento Cabral, Susana Solís Pérez, Francisco José Millán Mon, Fredis Beleris, Marco Falcone, 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odnotowuje znaczne wysiłki w zakresie dostosowania technicznego i inwestycji poczynione przez flotę trawlerów na rzecz bardziej zrównoważonego rybołówstwa poprzez włączenie środków mających na celu poprawę selektywności narzędzi i zmniejszenie wpływu działalności połowowej, takich jak stosowanie oczek kwadratowych o rozmiarze 40 mm lub oczek rombowych o rozmiarze 50 mm, siatki selekcyjne dla młodych osobników, panele sieci o większych oczkach i rozpornice dryfujące;</w:t>
            </w:r>
            <w:r>
              <w:t xml:space="preserve"> </w:t>
            </w:r>
            <w:r>
              <w:rPr>
                <w:b/>
                <w:i/>
              </w:rPr>
              <w:t>mając ponadto na uwadze, że w ostatnich latach około 60 % floty w Hiszpanii wprowadziło już te i inne usprawnienia techniczne;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wzywa Komisję do przeprowadzenia, przed przyjęciem dalszych ograniczeń, obowiązkowych konsultacji ze wszystkimi właściwymi zainteresowanymi stronami, w szczególności z Komitetem Doradczym ds. Morza Śródziemnego, regionalnymi organami naukowymi, organizacjami rybaków i przemysłem przetwórczym;</w:t>
            </w:r>
          </w:p>
        </w:tc>
        <w:tc>
          <w:tcPr>
            <w:tcW w:w="4876" w:type="dxa"/>
            <w:tcBorders>
              <w:top w:val="nil"/>
              <w:left w:val="nil"/>
              <w:bottom w:val="nil"/>
              <w:right w:val="nil"/>
            </w:tcBorders>
          </w:tcPr>
          <w:p>
            <w:pPr>
              <w:pStyle w:val="Normal6a"/>
            </w:pPr>
            <w:r>
              <w:t>3.</w:t>
            </w:r>
            <w:r>
              <w:tab/>
            </w:r>
            <w:r>
              <w:t xml:space="preserve">wzywa Komisję do przeprowadzenia, przed przyjęciem dalszych ograniczeń </w:t>
            </w:r>
            <w:r>
              <w:rPr>
                <w:b/>
                <w:i/>
              </w:rPr>
              <w:t>lub zmianą istniejących środków technicznych</w:t>
            </w:r>
            <w:r>
              <w:t>, obowiązkowych konsultacji ze wszystkimi właściwymi zainteresowanymi stronami, w szczególności z Komitetem Doradczym ds. Morza Śródziemnego, regionalnymi organami naukowymi, organizacjami rybaków</w:t>
            </w:r>
            <w:r>
              <w:rPr>
                <w:b/>
                <w:i/>
              </w:rPr>
              <w:t>, organizacjami reprezentującymi tradycyjne łodziowe rybołówstwo przybrzeżne, takimi jak Cofradias, Prud’homies i włoskie spółdzielnie, związkami zawodowymi reprezentującymi pracowników sektora, organizacjami ekologicznymi</w:t>
            </w:r>
            <w:r>
              <w:t xml:space="preserve"> i przemysłem przetwórczym;</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wzywa Komisję </w:t>
            </w:r>
            <w:r>
              <w:rPr>
                <w:b/>
                <w:i/>
              </w:rPr>
              <w:t>do przeprowadzenia, przed przyjęciem dalszych ograniczeń, obowiązkowych konsultacji</w:t>
            </w:r>
            <w:r>
              <w:t xml:space="preserve"> ze wszystkimi właściwymi zainteresowanymi stronami, w szczególności z Komitetem Doradczym ds. Morza Śródziemnego, regionalnymi organami naukowymi, organizacjami rybaków i przemysłem przetwórczym;</w:t>
            </w:r>
          </w:p>
        </w:tc>
        <w:tc>
          <w:tcPr>
            <w:tcW w:w="4876" w:type="dxa"/>
            <w:tcBorders>
              <w:top w:val="nil"/>
              <w:left w:val="nil"/>
              <w:bottom w:val="nil"/>
              <w:right w:val="nil"/>
            </w:tcBorders>
          </w:tcPr>
          <w:p>
            <w:pPr>
              <w:pStyle w:val="Normal6a"/>
            </w:pPr>
            <w:r>
              <w:t>3.</w:t>
            </w:r>
            <w:r>
              <w:tab/>
            </w:r>
            <w:r>
              <w:t>wzywa Komisję</w:t>
            </w:r>
            <w:r>
              <w:rPr>
                <w:b/>
                <w:i/>
              </w:rPr>
              <w:t>, aby podczas przygotowywania środków zarządzania mających wpływ na uprawnienia do połowów zapewniła terminowe i konstruktywne konsultacje</w:t>
            </w:r>
            <w:r>
              <w:t xml:space="preserve"> ze wszystkimi właściwymi zainteresowanymi stronami, w szczególności z Komitetem Doradczym ds. Morza Śródziemnego, regionalnymi organami naukowymi, organizacjami </w:t>
            </w:r>
            <w:r>
              <w:rPr>
                <w:b/>
                <w:i/>
              </w:rPr>
              <w:t>pozarządowymi zajmującymi się ochroną środowiska, z organizacjami</w:t>
            </w:r>
            <w:r>
              <w:t xml:space="preserve"> rybaków i przemysłem przetwórczym; </w:t>
            </w:r>
            <w:r>
              <w:rPr>
                <w:b/>
                <w:i/>
              </w:rPr>
              <w:t>podkreśla, że takie konsultacje powinny poprawić przejrzystość, proporcjonalność i praktyczne wdrażanie, przy jednoczesnym zachowaniu spójności z najlepszymi dostępnymi opiniami naukowymi;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wzywa Komisję do przeprowadzenia, przed przyjęciem dalszych ograniczeń, obowiązkowych konsultacji ze wszystkimi właściwymi zainteresowanymi stronami, w szczególności z Komitetem Doradczym ds. Morza Śródziemnego, regionalnymi organami naukowymi, organizacjami rybaków i przemysłem przetwórczym;</w:t>
            </w:r>
          </w:p>
        </w:tc>
        <w:tc>
          <w:tcPr>
            <w:tcW w:w="4876" w:type="dxa"/>
            <w:tcBorders>
              <w:top w:val="nil"/>
              <w:left w:val="nil"/>
              <w:bottom w:val="nil"/>
              <w:right w:val="nil"/>
            </w:tcBorders>
          </w:tcPr>
          <w:p>
            <w:pPr>
              <w:pStyle w:val="Normal6a"/>
            </w:pPr>
            <w:r>
              <w:t>3.</w:t>
            </w:r>
            <w:r>
              <w:tab/>
            </w:r>
            <w:r>
              <w:t xml:space="preserve">wzywa Komisję do przeprowadzenia </w:t>
            </w:r>
            <w:r>
              <w:rPr>
                <w:b/>
                <w:i/>
              </w:rPr>
              <w:t>z co najmniej ośmiotygodniowym wyprzedzeniem</w:t>
            </w:r>
            <w:r>
              <w:t xml:space="preserve">, przed przyjęciem dalszych ograniczeń, obowiązkowych konsultacji ze wszystkimi właściwymi zainteresowanymi stronami, w szczególności z Komitetem Doradczym ds. Morza Śródziemnego, regionalnymi organami naukowymi, organizacjami rybaków i przemysłem przetwórczym; </w:t>
            </w:r>
            <w:r>
              <w:rPr>
                <w:b/>
                <w:i/>
              </w:rPr>
              <w:t>ponadto wzywa Komisję, aby przedstawiła pisemne uzasadnienie każdej decyzji, która znacznie odbiega od stanowisk wyrażonych przez te zainteresowane strony w procesie konsultacji;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wzywa Komisję do przeprowadzenia, przed przyjęciem dalszych ograniczeń, obowiązkowych konsultacji ze wszystkimi właściwymi zainteresowanymi stronami, w szczególności z Komitetem Doradczym ds. Morza Śródziemnego, regionalnymi organami naukowymi, organizacjami rybaków i przemysłem przetwórczym;</w:t>
            </w:r>
          </w:p>
        </w:tc>
        <w:tc>
          <w:tcPr>
            <w:tcW w:w="4876" w:type="dxa"/>
            <w:tcBorders>
              <w:top w:val="nil"/>
              <w:left w:val="nil"/>
              <w:bottom w:val="nil"/>
              <w:right w:val="nil"/>
            </w:tcBorders>
          </w:tcPr>
          <w:p>
            <w:pPr>
              <w:pStyle w:val="Normal6a"/>
            </w:pPr>
            <w:r>
              <w:t>3.</w:t>
            </w:r>
            <w:r>
              <w:tab/>
            </w:r>
            <w:r>
              <w:t>wzywa Komisję do przeprowadzenia, przed przyjęciem dalszych ograniczeń, obowiązkowych konsultacji ze wszystkimi właściwymi zainteresowanymi stronami, w szczególności z Komitetem Doradczym ds. Morza Śródziemnego, regionalnymi organami naukowymi, organizacjami rybaków</w:t>
            </w:r>
            <w:r>
              <w:rPr>
                <w:b/>
                <w:i/>
              </w:rPr>
              <w:t>, partnerami społecznymi</w:t>
            </w:r>
            <w:r>
              <w:t xml:space="preserve"> i przemysłem przetwórczym</w:t>
            </w:r>
            <w:r>
              <w:rPr>
                <w:b/>
                <w:i/>
              </w:rPr>
              <w:t>, ze zwróceniem szczególnej uwagi na sektor rybołówstwa tradycyjnego, przed przyjęciem dalszych ograniczeń</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wzywa Komisję do </w:t>
            </w:r>
            <w:r>
              <w:rPr>
                <w:b/>
                <w:i/>
              </w:rPr>
              <w:t>przeprowadzenia, przed przyjęciem dalszych ograniczeń, obowiązkowych</w:t>
            </w:r>
            <w:r>
              <w:t xml:space="preserve"> konsultacji ze wszystkimi </w:t>
            </w:r>
            <w:r>
              <w:rPr>
                <w:b/>
                <w:i/>
              </w:rPr>
              <w:t>właściwymi</w:t>
            </w:r>
            <w:r>
              <w:t xml:space="preserve"> zainteresowanymi stronami, w szczególności z Komitetem Doradczym ds. Morza Śródziemnego, regionalnymi organami naukowymi, organizacjami rybaków </w:t>
            </w:r>
            <w:r>
              <w:rPr>
                <w:b/>
                <w:i/>
              </w:rPr>
              <w:t>i</w:t>
            </w:r>
            <w:r>
              <w:t xml:space="preserve"> przemysłem przetwórczym;</w:t>
            </w:r>
          </w:p>
        </w:tc>
        <w:tc>
          <w:tcPr>
            <w:tcW w:w="4876" w:type="dxa"/>
            <w:tcBorders>
              <w:top w:val="nil"/>
              <w:left w:val="nil"/>
              <w:bottom w:val="nil"/>
              <w:right w:val="nil"/>
            </w:tcBorders>
          </w:tcPr>
          <w:p>
            <w:pPr>
              <w:pStyle w:val="Normal6a"/>
            </w:pPr>
            <w:r>
              <w:t>3.</w:t>
            </w:r>
            <w:r>
              <w:tab/>
            </w:r>
            <w:r>
              <w:t xml:space="preserve">wzywa Komisję do </w:t>
            </w:r>
            <w:r>
              <w:rPr>
                <w:b/>
                <w:i/>
              </w:rPr>
              <w:t>umożliwienia pluralistycznych</w:t>
            </w:r>
            <w:r>
              <w:t xml:space="preserve"> konsultacji ze wszystkimi </w:t>
            </w:r>
            <w:r>
              <w:rPr>
                <w:b/>
                <w:i/>
              </w:rPr>
              <w:t>odpowiednimi</w:t>
            </w:r>
            <w:r>
              <w:t xml:space="preserve"> zainteresowanymi stronami, w szczególności z Komitetem Doradczym ds. Morza Śródziemnego </w:t>
            </w:r>
            <w:r>
              <w:rPr>
                <w:b/>
                <w:i/>
              </w:rPr>
              <w:t>w zakresie jego struktury i funkcjonowania, jak przewidziano w rozporządzeniu delegowanym Komisji (UE) 2017/1575</w:t>
            </w:r>
            <w:r>
              <w:t>, regionalnymi organami naukowymi, organizacjami rybaków</w:t>
            </w:r>
            <w:r>
              <w:rPr>
                <w:b/>
                <w:i/>
              </w:rPr>
              <w:t>, organizacjami pozarządowymi zajmującymi się ochroną środowiska i z</w:t>
            </w:r>
            <w:r>
              <w:t xml:space="preserve"> przemysłem przetwórczym;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wzywa Komisję </w:t>
            </w:r>
            <w:r>
              <w:rPr>
                <w:b/>
                <w:i/>
              </w:rPr>
              <w:t>do przeprowadzenia,</w:t>
            </w:r>
            <w:r>
              <w:t xml:space="preserve"> przed </w:t>
            </w:r>
            <w:r>
              <w:rPr>
                <w:b/>
                <w:i/>
              </w:rPr>
              <w:t>przyjęciem dalszych ograniczeń, obowiązkowych konsultacji</w:t>
            </w:r>
            <w:r>
              <w:t xml:space="preserve"> ze wszystkimi właściwymi zainteresowanymi stronami, w szczególności z Komitetem Doradczym ds. Morza Śródziemnego, regionalnymi organami naukowymi, organizacjami rybaków i przemysłem przetwórczym;</w:t>
            </w:r>
          </w:p>
        </w:tc>
        <w:tc>
          <w:tcPr>
            <w:tcW w:w="4876" w:type="dxa"/>
            <w:tcBorders>
              <w:top w:val="nil"/>
              <w:left w:val="nil"/>
              <w:bottom w:val="nil"/>
              <w:right w:val="nil"/>
            </w:tcBorders>
          </w:tcPr>
          <w:p>
            <w:pPr>
              <w:pStyle w:val="Normal6a"/>
            </w:pPr>
            <w:r>
              <w:t>3.</w:t>
            </w:r>
            <w:r>
              <w:tab/>
            </w:r>
            <w:r>
              <w:t>wzywa Komisję</w:t>
            </w:r>
            <w:r>
              <w:rPr>
                <w:b/>
                <w:i/>
              </w:rPr>
              <w:t>, aby</w:t>
            </w:r>
            <w:r>
              <w:t xml:space="preserve"> przed </w:t>
            </w:r>
            <w:r>
              <w:rPr>
                <w:b/>
                <w:i/>
              </w:rPr>
              <w:t>przedstawieniem wniosków w sprawie zarządzania rybołówstwem zapewniła odpowiednie konsultacje</w:t>
            </w:r>
            <w:r>
              <w:t xml:space="preserve"> ze wszystkimi właściwymi zainteresowanymi stronami, w szczególności z Komitetem Doradczym ds. Morza Śródziemnego, regionalnymi organami naukowymi, organizacjami rybaków i przemysłem przetwórczym;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przypomina o zobowiązaniach i celach UE w zakresie zasięgu i skuteczności morskich obszarów chronionych;</w:t>
            </w:r>
            <w:r>
              <w:t xml:space="preserve"> </w:t>
            </w:r>
            <w:r>
              <w:rPr>
                <w:b/>
                <w:i/>
              </w:rPr>
              <w:t>zachęca do właściwego wdrożenia skutecznych środków zarządzania na obecnych chronionych obszarach morskich na obszarze objętym planem wieloletnim dla zachodniej części Morza Śródziemnego, a także do wyznaczenia dodatkowych chronionych obszarów morskich zgodnie ze zobowiązaniami UE;</w:t>
            </w:r>
            <w:r>
              <w:t xml:space="preserve"> </w:t>
            </w:r>
            <w:r>
              <w:rPr>
                <w:b/>
                <w:i/>
              </w:rPr>
              <w:t>podkreśla, że przy wyznaczaniu tych obszarów należy opierać się na ocenach naukowych wskazujących na obecność kluczowych siedlisk lub tarlisk;</w:t>
            </w:r>
            <w:r>
              <w:t xml:space="preserve"> </w:t>
            </w:r>
            <w:r>
              <w:rPr>
                <w:b/>
                <w:i/>
              </w:rPr>
              <w:t>zwraca uwagę na potrzebę skutecznych środków zarządzania w połączeniu z projektami pilotażowymi dotyczącymi selektywnych narzędzi połowowych o niewielkim wpływie na środowisko, inspirowanymi udanymi inicjatywami realizowanymi w innych basenach morskich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wzywa Komisję i państwa członkowskie do systematycznego angażowania organizacji producentów, instytutów naukowych, komitetów doradczych i przedstawicieli społeczności nadbrzeżnych w ocenę wpływu wieloletniego planu dla zachodniej części Morza Śródziemnego.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Carmen Crespo Díaz, Paulo do Nascimento Cabral, Susana Solís Pérez, Francisco José Millán Mon, Fredis Beleris, Marco Falcone, 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jedynego gatunku podlegającego jednocześnie dwóm środkom przymusu, czyli systemowi kwot i ograniczeniom dni połowowych, w celu wyeliminowania </w:t>
            </w:r>
            <w:r>
              <w:rPr>
                <w:b/>
                <w:i/>
              </w:rPr>
              <w:t>podwójnego obciążenia regulacyjnego</w:t>
            </w:r>
            <w:r>
              <w:t>, które ma szczególnie poważne skutki dla rentowności i efektywności operacyjnej tych połowów w zachodniej części Morza Śródziemnego;</w:t>
            </w:r>
          </w:p>
        </w:tc>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jedynego gatunku podlegającego jednocześnie dwóm środkom przymusu, czyli systemowi kwot i ograniczeniom dni połowowych, w celu wyeliminowania </w:t>
            </w:r>
            <w:r>
              <w:rPr>
                <w:b/>
                <w:i/>
              </w:rPr>
              <w:t>tego TAC, który stanowi podwójne obciążenie regulacyjne</w:t>
            </w:r>
            <w:r>
              <w:t xml:space="preserve">, które ma szczególnie poważne skutki dla rentowności i efektywności operacyjnej tych połowów w zachodniej części Morza Śródziemnego; </w:t>
            </w:r>
            <w:r>
              <w:rPr>
                <w:b/>
                <w:i/>
              </w:rPr>
              <w:t>uważa w związku z tym, że zarządzanie tymi połowami powinno opierać się wyłącznie na systemie nakładu połowowego przewidzianym w planie WestMed, znoszącym obecny system TAC;</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wzywa Komisję do </w:t>
            </w:r>
            <w:r>
              <w:rPr>
                <w:b/>
                <w:i/>
              </w:rPr>
              <w:t>przyjrzenia się w trybie pilnym szczególnej sytuacji</w:t>
            </w:r>
            <w:r>
              <w:t xml:space="preserve"> połowów bladoczerwonej krewetki głębinowej, </w:t>
            </w:r>
            <w:r>
              <w:rPr>
                <w:b/>
                <w:i/>
              </w:rPr>
              <w:t>jedynego gatunku podlegającego jednocześnie dwóm środkom przymusu, czyli systemowi kwot i ograniczeniom dni połowowych</w:t>
            </w:r>
            <w:r>
              <w:t xml:space="preserve">, w celu </w:t>
            </w:r>
            <w:r>
              <w:rPr>
                <w:b/>
                <w:i/>
              </w:rPr>
              <w:t>wyeliminowania podwójnego obciążenia regulacyjnego, które ma szczególnie poważne skutki dla rentowności i efektywności operacyjnej tych połowów w zachodniej części Morza Śródziemnego</w:t>
            </w:r>
            <w:r>
              <w:t>;</w:t>
            </w:r>
          </w:p>
        </w:tc>
        <w:tc>
          <w:tcPr>
            <w:tcW w:w="4876" w:type="dxa"/>
            <w:tcBorders>
              <w:top w:val="nil"/>
              <w:left w:val="nil"/>
              <w:bottom w:val="nil"/>
              <w:right w:val="nil"/>
            </w:tcBorders>
          </w:tcPr>
          <w:p>
            <w:pPr>
              <w:pStyle w:val="Normal6a"/>
            </w:pPr>
            <w:r>
              <w:t>4.</w:t>
            </w:r>
            <w:r>
              <w:tab/>
            </w:r>
            <w:r>
              <w:t xml:space="preserve">wzywa Komisję do </w:t>
            </w:r>
            <w:r>
              <w:rPr>
                <w:b/>
                <w:i/>
              </w:rPr>
              <w:t>oceny środków zarządzania mających zastosowanie do</w:t>
            </w:r>
            <w:r>
              <w:t xml:space="preserve"> połowów bladoczerwonej krewetki głębinowej, </w:t>
            </w:r>
            <w:r>
              <w:rPr>
                <w:b/>
                <w:i/>
              </w:rPr>
              <w:t>zgodnie z najlepszymi dostępnymi opiniami naukowymi</w:t>
            </w:r>
            <w:r>
              <w:t xml:space="preserve">, w celu </w:t>
            </w:r>
            <w:r>
              <w:rPr>
                <w:b/>
                <w:i/>
              </w:rPr>
              <w:t>zmniejszenia śmiertelności połowowej i umożliwienia odbudowy stad;</w:t>
            </w:r>
            <w:r>
              <w:t xml:space="preserve"> </w:t>
            </w:r>
            <w:r>
              <w:rPr>
                <w:b/>
                <w:i/>
              </w:rPr>
              <w:t>apeluje, aby taka ocena obejmowała wzajemne zależności między limitami nakładu połowowego, limitami połowowymi, środkami technicznymi oraz ich skutkami środowiskowymi i społeczno-gospodarczymi</w:t>
            </w:r>
            <w:r>
              <w:t xml:space="preserve">; </w:t>
            </w:r>
            <w:r>
              <w:rPr>
                <w:b/>
                <w:i/>
              </w:rPr>
              <w:t>podkreśla, że wszelkie dostosowania muszą utrzymać środki niezbędne do zmniejszenia śmiertelności połowowej i wspierania odbudowy zasobów;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jedynego gatunku podlegającego jednocześnie dwóm środkom </w:t>
            </w:r>
            <w:r>
              <w:rPr>
                <w:b/>
                <w:i/>
              </w:rPr>
              <w:t>przymusu</w:t>
            </w:r>
            <w:r>
              <w:t xml:space="preserve">, czyli systemowi kwot i ograniczeniom dni połowowych, w celu </w:t>
            </w:r>
            <w:r>
              <w:rPr>
                <w:b/>
                <w:i/>
              </w:rPr>
              <w:t>wyeliminowania podwójnego obciążenia regulacyjnego, które ma szczególnie poważne skutki dla rentowności i efektywności operacyjnej</w:t>
            </w:r>
            <w:r>
              <w:t xml:space="preserve"> tych połowów w zachodniej części Morza Śródziemnego;</w:t>
            </w:r>
          </w:p>
        </w:tc>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jedynego gatunku podlegającego jednocześnie dwóm środkom </w:t>
            </w:r>
            <w:r>
              <w:rPr>
                <w:b/>
                <w:i/>
              </w:rPr>
              <w:t>zarządzania</w:t>
            </w:r>
            <w:r>
              <w:t xml:space="preserve">, czyli systemowi kwot i ograniczeniom dni połowowych, w celu </w:t>
            </w:r>
            <w:r>
              <w:rPr>
                <w:b/>
                <w:i/>
              </w:rPr>
              <w:t>ustanowienia systemu zapewniającego większą przewidywalność oraz stabilność gospodarczą i operacyjną</w:t>
            </w:r>
            <w:r>
              <w:t> tych połowów w zachodniej części Morza Śródziemnego;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wzywa Komisję do przyjrzenia się w trybie pilnym szczególnej sytuacji połowów bladoczerwonej krewetki głębinowej</w:t>
            </w:r>
            <w:r>
              <w:rPr>
                <w:b/>
                <w:i/>
              </w:rPr>
              <w:t>, jedynego gatunku podlegającego jednocześnie dwóm środkom przymusu, czyli systemowi kwot i ograniczeniom dni połowowych,</w:t>
            </w:r>
            <w:r>
              <w:t xml:space="preserve"> w celu </w:t>
            </w:r>
            <w:r>
              <w:rPr>
                <w:b/>
                <w:i/>
              </w:rPr>
              <w:t>wyeliminowania podwójnego obciążenia regulacyjnego, które ma szczególnie poważne skutki dla rentowności i efektywności operacyjnej tych połowów w zachodniej części Morza Śródziemnego</w:t>
            </w:r>
            <w:r>
              <w:t>;</w:t>
            </w:r>
          </w:p>
        </w:tc>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w celu </w:t>
            </w:r>
            <w:r>
              <w:rPr>
                <w:b/>
                <w:i/>
              </w:rPr>
              <w:t>poprawy zarządzania w oparciu o najlepsze dostępne opinie naukowe i z uwzględnieniem wzajemnych zależności między obecnie obowiązującymi środkami zarządzania bez podważania celów i założeń planu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jedynego gatunku podlegającego jednocześnie dwóm środkom przymusu, czyli systemowi kwot i ograniczeniom dni połowowych, w celu wyeliminowania podwójnego </w:t>
            </w:r>
            <w:r>
              <w:rPr>
                <w:b/>
                <w:i/>
              </w:rPr>
              <w:t>obciążenia regulacyjnego</w:t>
            </w:r>
            <w:r>
              <w:t>, które ma szczególnie poważne skutki dla rentowności i efektywności operacyjnej tych połowów w zachodniej części Morza Śródziemnego;</w:t>
            </w:r>
          </w:p>
        </w:tc>
        <w:tc>
          <w:tcPr>
            <w:tcW w:w="4876" w:type="dxa"/>
            <w:tcBorders>
              <w:top w:val="nil"/>
              <w:left w:val="nil"/>
              <w:bottom w:val="nil"/>
              <w:right w:val="nil"/>
            </w:tcBorders>
          </w:tcPr>
          <w:p>
            <w:pPr>
              <w:pStyle w:val="Normal6a"/>
            </w:pPr>
            <w:r>
              <w:t>4.</w:t>
            </w:r>
            <w:r>
              <w:tab/>
            </w:r>
            <w:r>
              <w:t xml:space="preserve">wzywa Komisję do przyjrzenia się w trybie pilnym szczególnej sytuacji połowów bladoczerwonej krewetki głębinowej, jedynego gatunku podlegającego jednocześnie dwóm środkom przymusu, czyli systemowi kwot i ograniczeniom dni połowowych, w celu wyeliminowania podwójnego </w:t>
            </w:r>
            <w:r>
              <w:rPr>
                <w:b/>
                <w:i/>
              </w:rPr>
              <w:t>ograniczenia</w:t>
            </w:r>
            <w:r>
              <w:t>, które ma szczególnie poważne skutki dla rentowności i efektywności operacyjnej tych połowów w zachodniej części Morza Śródziemnego;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zachęca Komisję i Radę do zadbania o to, aby ustalanie całkowitego dopuszczalnego połowu i nakładu połowowego było przejrzyste i oparte na najlepszych dostępnych opiniach naukowych i wiedzy, zgodnie z celami planu wieloletniego dla zachodniej części Morza Śródziemnego i rozporządzenia w sprawie WPRyb oraz zgodnie z opiniami ekosystemowymi dotyczącymi wielu gatunków, przy jednoczesnym uwzględnieniu wzajemnych zależności między połowami a długoterminową stabilnością społeczno-gospodarczą społeczności nadbrzeżnych;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apeluje, aby środki ochronne były ukierunkowane, proporcjonalne i dostosowane do warunków lokalnych, przy czym należy priorytetowo traktować konkretne środki ochronne, a nie ogólne ograniczenie nakładu połowowego, a jednocześnie zaostrzyć zobowiązania państw członkowskich w zakresie koordynacji między planem WestMed, ograniczeniami przestrzennymi i planowaniem obszarów morskich poprzez ocenę skumulowanych skutków regulacji;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ponawia swój apel do Komisji, aby skorzystała z doświadczeń związanych z udanym przykładem tuńczyka błękitnopłetwego i rozważyła wprowadzenie długoterminowych całkowitych dopuszczalnych połowów (TAC) dla niektórych gatunków;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apeluje o skuteczne środki łagodzenia zmiany klimatu i przystosowania się do niej, aby odpowiednio wcześnie przeciwdziałać zagrożeniom związanym z klimatem oraz uniknąć zwiększającego się ryzyka i kosztów opóźnionych działań w regionie;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4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wzywa do uznania rybołówstwa za działalność prowadzoną w ważnym interesie publicznym i za priorytetowe wykorzystanie w planowaniu przestrzennym obszarów morskich;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wzywa Komisję i państwa członkowskie do wzmocnienia koordynacji badań naukowych w dziedzinie rybołówstwa z wykorzystaniem najbardziej aktualnych danych na szczeblu europejskim, krajowym i regionalnym oraz do poprawy interoperacyjności i wymiany między bazami danych UE, GFCM i krajowych instytutów technicznych;</w:t>
            </w:r>
          </w:p>
        </w:tc>
        <w:tc>
          <w:tcPr>
            <w:tcW w:w="4876" w:type="dxa"/>
            <w:tcBorders>
              <w:top w:val="nil"/>
              <w:left w:val="nil"/>
              <w:bottom w:val="nil"/>
              <w:right w:val="nil"/>
            </w:tcBorders>
          </w:tcPr>
          <w:p>
            <w:pPr>
              <w:pStyle w:val="Normal6a"/>
            </w:pPr>
            <w:r>
              <w:t>5.</w:t>
            </w:r>
            <w:r>
              <w:tab/>
            </w:r>
            <w:r>
              <w:t xml:space="preserve">wzywa Komisję i państwa członkowskie do wzmocnienia koordynacji badań naukowych w dziedzinie rybołówstwa z wykorzystaniem najbardziej aktualnych danych na szczeblu europejskim, krajowym i regionalnym oraz do poprawy interoperacyjności i wymiany między bazami danych UE, GFCM i krajowych instytutów technicznych </w:t>
            </w:r>
            <w:r>
              <w:rPr>
                <w:b/>
                <w:i/>
              </w:rPr>
              <w:t>poprzez zwiększenie zasobów przeznaczonych na poprawę zbiorów danych, monitorowanie niewystarczająco udokumentowanych stad, szczególną ocenę rzeczywistej skuteczności już wprowadzonych środków, wdrożenie konkretnych środków dostosowanych do różnorodności sytuacji lokalnej i regionalnej, uwzględnienie czynników zewnętrznych w stosunku do rybołówstwa wpływających na stan zasobów oraz ustanowienie regularnych przeglądów planu w oparciu o przejrzyste wskaźniki w celu dostosowania środków, a także włączenie empirycznej i lokalnej wiedzy ekologicznej do procesów gromadzenia danych, oceny i zarządzania rybołówstwem</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wzywa Komisję i państwa członkowskie do wzmocnienia koordynacji badań naukowych w dziedzinie rybołówstwa z wykorzystaniem najbardziej aktualnych danych na szczeblu europejskim, krajowym i regionalnym oraz do poprawy interoperacyjności i wymiany między bazami danych UE, GFCM i krajowych instytutów technicznych;</w:t>
            </w:r>
          </w:p>
        </w:tc>
        <w:tc>
          <w:tcPr>
            <w:tcW w:w="4876" w:type="dxa"/>
            <w:tcBorders>
              <w:top w:val="nil"/>
              <w:left w:val="nil"/>
              <w:bottom w:val="nil"/>
              <w:right w:val="nil"/>
            </w:tcBorders>
          </w:tcPr>
          <w:p>
            <w:pPr>
              <w:pStyle w:val="Normal6a"/>
            </w:pPr>
            <w:r>
              <w:t>5.</w:t>
            </w:r>
            <w:r>
              <w:tab/>
            </w:r>
            <w:r>
              <w:t xml:space="preserve">wzywa Komisję i państwa członkowskie do wzmocnienia koordynacji badań naukowych w dziedzinie rybołówstwa z wykorzystaniem najbardziej aktualnych danych na szczeblu europejskim, krajowym i regionalnym oraz do poprawy interoperacyjności i wymiany między bazami danych UE, GFCM i krajowych instytutów technicznych; </w:t>
            </w:r>
            <w:r>
              <w:rPr>
                <w:b/>
                <w:i/>
              </w:rPr>
              <w:t>wzywa w szczególności Komisję do dopilnowania, aby roczne decyzje w sprawie uprawnień do połowów i nakładu połowowego opierały się na najlepszej dostępnej wiedzy naukowej, publikowanej w przejrzysty i przystępny sposób przed przyjęciem takich decyzji;</w:t>
            </w:r>
            <w:r>
              <w:t xml:space="preserve"> </w:t>
            </w:r>
            <w:r>
              <w:rPr>
                <w:b/>
                <w:i/>
              </w:rPr>
              <w:t>wzywa również Komisję i państwa członkowskie, aby uwzględniły szczegółową ocenę wpływu zmiany klimatu na rozmieszczenie, liczebność i wydajność śródziemnomorskich zasobów rybnych;</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wzywa Komisję i państwa członkowskie do wzmocnienia koordynacji badań naukowych w dziedzinie rybołówstwa z wykorzystaniem najbardziej aktualnych danych na szczeblu europejskim, krajowym i regionalnym oraz do poprawy interoperacyjności i wymiany między bazami danych UE, GFCM i krajowych instytutów technicznych;</w:t>
            </w:r>
          </w:p>
        </w:tc>
        <w:tc>
          <w:tcPr>
            <w:tcW w:w="4876" w:type="dxa"/>
            <w:tcBorders>
              <w:top w:val="nil"/>
              <w:left w:val="nil"/>
              <w:bottom w:val="nil"/>
              <w:right w:val="nil"/>
            </w:tcBorders>
          </w:tcPr>
          <w:p>
            <w:pPr>
              <w:pStyle w:val="Normal6a"/>
            </w:pPr>
            <w:r>
              <w:t>5.</w:t>
            </w:r>
            <w:r>
              <w:tab/>
            </w:r>
            <w:r>
              <w:t xml:space="preserve">wzywa Komisję i państwa członkowskie do wzmocnienia koordynacji badań naukowych w dziedzinie rybołówstwa z wykorzystaniem najbardziej aktualnych danych na szczeblu europejskim, krajowym i regionalnym oraz do poprawy interoperacyjności i wymiany między bazami danych UE, GFCM i krajowych instytutów technicznych; </w:t>
            </w:r>
            <w:r>
              <w:rPr>
                <w:b/>
                <w:i/>
              </w:rPr>
              <w:t>podkreśla, że ta współpraca naukowa powinna również umożliwić opracowanie podejścia ekosystemowego, uwzględniającego skutki zmiany klimatu, zmiany oceanograficzne, interakcje między gatunkami, dostępność podstawowych siedlisk i inne oddziaływania antropogeniczne na zasoby rybne, takie jak rybołówstwo rekreacyjne;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Nora Junco García, Kristoffer Storm,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wzywa Komisję i państwa członkowskie do wzmocnienia koordynacji badań naukowych w dziedzinie rybołówstwa z wykorzystaniem najbardziej aktualnych danych na szczeblu europejskim, krajowym i regionalnym </w:t>
            </w:r>
            <w:r>
              <w:rPr>
                <w:b/>
                <w:i/>
              </w:rPr>
              <w:t>oraz</w:t>
            </w:r>
            <w:r>
              <w:t xml:space="preserve"> do poprawy interoperacyjności i wymiany między bazami danych UE, GFCM i krajowych instytutów technicznych;</w:t>
            </w:r>
          </w:p>
        </w:tc>
        <w:tc>
          <w:tcPr>
            <w:tcW w:w="4876" w:type="dxa"/>
            <w:tcBorders>
              <w:top w:val="nil"/>
              <w:left w:val="nil"/>
              <w:bottom w:val="nil"/>
              <w:right w:val="nil"/>
            </w:tcBorders>
          </w:tcPr>
          <w:p>
            <w:pPr>
              <w:pStyle w:val="Normal6a"/>
            </w:pPr>
            <w:r>
              <w:t>5.</w:t>
            </w:r>
            <w:r>
              <w:tab/>
            </w:r>
            <w:r>
              <w:t>wzywa Komisję i państwa członkowskie do wzmocnienia koordynacji badań naukowych w dziedzinie rybołówstwa</w:t>
            </w:r>
            <w:r>
              <w:rPr>
                <w:b/>
                <w:i/>
              </w:rPr>
              <w:t>, w szczególności poprzez niezależne kampanie naukowe, takie jak kampania MEDITS koordynowana przez instytuty takie jak Hiszpański Instytut Oceanografii,</w:t>
            </w:r>
            <w:r>
              <w:t xml:space="preserve"> z wykorzystaniem najbardziej aktualnych danych na szczeblu europejskim, krajowym i regionalnym</w:t>
            </w:r>
            <w:r>
              <w:rPr>
                <w:b/>
                <w:i/>
              </w:rPr>
              <w:t>;</w:t>
            </w:r>
            <w:r>
              <w:t xml:space="preserve"> </w:t>
            </w:r>
            <w:r>
              <w:rPr>
                <w:b/>
                <w:i/>
              </w:rPr>
              <w:t>wzywa</w:t>
            </w:r>
            <w:r>
              <w:t xml:space="preserve"> do poprawy interoperacyjności i wymiany między bazami danych UE, GFCM i krajowych instytutów technicznych </w:t>
            </w:r>
            <w:r>
              <w:rPr>
                <w:b/>
                <w:i/>
              </w:rPr>
              <w:t>oraz do corocznego publikowania skonsolidowanego i publicznie dostępnego sprawozdania na temat stanu stad i połowów w zachodniej części Morza Śródziemnego</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podkreśla, że należy wzmocnić gromadzenie danych naukowych dotyczących stad ryb w Morzu Śródziemnym, biorąc pod uwagę, że w najnowszej ocenie jedynie 13 z 20 rozpatrywanych stad można było poddać ocenie analitycznej ze względu na niewystarczające dane;</w:t>
            </w:r>
            <w:r>
              <w:t xml:space="preserve"> </w:t>
            </w:r>
            <w:r>
              <w:rPr>
                <w:b/>
                <w:i/>
              </w:rPr>
              <w:t>w związku z tym wzywa Komisję i państwa członkowskie do zwiększenia zasobów na badania naukowe, monitorowanie stad i gromadzenie danych, aby poprawić naukowe podstawy podejmowania decyzji;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wzywa Komisję, aby we współpracy ze STECF, Generalną Komisją Rybołówstwa Morza Śródziemnego (GFCM) i krajowymi instytutami naukowymi opracowała specjalny program naukowy poświęcony wpływowi zmiany klimatu na połowy w zachodniej części Morza Śródziemnego, w tym rekrutację, rozmieszczenie gatunków, śmiertelność naturalną i zmiany w siedliskach morskich;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wzywa Komisję do opracowania, we współpracy z niezależnymi naukowcami, ekspertami ds. dobrostanu zwierząt i zainteresowanymi stronami z sektora rybołówstwa, specyficznych dla danego gatunku wskaźników dobrostanu ryb i skorupiaków podczas ich odłowu, wyciągania z wody, przemieszczania, przechowywania i uśmiercania;</w:t>
            </w:r>
            <w:r>
              <w:t xml:space="preserve"> </w:t>
            </w:r>
            <w:r>
              <w:rPr>
                <w:b/>
                <w:i/>
              </w:rPr>
              <w:t>wzywa do włączenia tych wskaźników do zarządzania połowami, środków technicznych i unijnych kryteriów finansowania;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wzywa Komisję i państwa członkowskie do poprawy wdrażania zarządzania połowami wielogatunkowymi w ramach istniejącego planu wieloletniego dla zachodniej części Morza Śródziemnego, w tym poprzez lepsze wykorzystanie środków selektywności, przestrzennych i czasowych zamknięć obszarów połowowych, środków unikania, środków zaradczych i mechanizmu kompensacyjnego, przy jednoczesnym utrzymaniu zabezpieczeń dla uszczuplonych stad;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podkreśla potrzebę właściwego gromadzenia danych jako podstawy każdej odpowiedniej oceny naukowej;</w:t>
            </w:r>
            <w:r>
              <w:t xml:space="preserve"> </w:t>
            </w:r>
            <w:r>
              <w:rPr>
                <w:b/>
                <w:i/>
              </w:rPr>
              <w:t>przypomina, że odpowiednie doradztwo naukowe ma zasadnicze znaczenie dla umożliwienia właściwego wdrożenia podejścia ekosystemowego do zarządzania rybołówstwem;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wzywa Komisję, aby przy określaniu środków zarządzania w planie WestMed w pełni uwzględniła oceny naukowe opracowane przez Naukowy Komitet Doradczy GFCM, traktując je na równi z ocenami wydanymi przez STECF;</w:t>
            </w:r>
            <w:r>
              <w:t xml:space="preserve"> </w:t>
            </w:r>
            <w:r>
              <w:rPr>
                <w:b/>
                <w:i/>
              </w:rPr>
              <w:t>wzywa ponadto do przeglądu punktów odniesienia i modeli oceny mających zastosowanie do morszczuka w celu zapewnienia, aby decyzje dotyczące zarządzania odpowiednio odzwierciedlały zaobserwowaną rzeczywistość biologiczną i najbardziej aktualne dane naukowe;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wzywa Komisję do opracowania zharmonizowanych wskaźników umożliwiających ocenę skumulowanego wpływu środków zarządzania rybołówstwem, chronionych obszarów morskich, obszarów ściśle chronionych, rybołówstwa rekreacyjnego, projektów dotyczących energii z morskich źródeł odnawialnych i innych sposobów wykorzystania przestrzeni morskiej na działalność profesjonalnych flot rybackich;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wzywa do stopniowego wycofywania praktyk połowowych i narzędzi połowowych, które powodują szczególnie poważne lub długotrwałe cierpienie, wysoką śmiertelność zwierząt niedocelowych lub znaczne niszczenie siedlisk, oraz do ukierunkowanego wsparcia, aby umożliwić poszkodowanym rybakom i pracownikom przejście na mniej szkodliwe praktyki;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wzywa Komisję i państwa członkowskie do ustanowienia spójnej pod względem ekologicznym sieci morskich obszarów chronionych, w tym stref ścisłej ochrony i stref zakazu połowów obejmujących tarliska, obszary dojrzewania narybku, schronienia klimatyczne, wrażliwe ekosystemy morskie i obszary o szczególnym znaczeniu dla gatunków chronionych, oraz do skutecznego zarządzania tą siecią;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5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5d.</w:t>
            </w:r>
            <w:r>
              <w:tab/>
            </w:r>
            <w:r>
              <w:rPr>
                <w:b/>
                <w:i/>
              </w:rPr>
              <w:t>wzywa do uwzględnienia w ocenie planu wieloletniego wskaźników dotyczących stanu siedlisk, integralności dna morskiego, struktury troficznej, różnorodności genetycznej, struktury wiekowej i wielkościowej populacji, śmiertelności przyłowów, liczebności gatunków chronionych oraz odporności ekosystemów morskich na zmianę klimatu;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jest głęboko zaniepokojony doniesieniami o połowach NNN prowadzonych przez państwa trzecie na wodach Morza Śródziemnego, w tym w wyłącznych strefach ekonomicznych państw członkowskich; podkreśla potrzebę ustanowienia Europejskiego Urzędu Kontroli Importu w celu zapobiegania wprowadzaniu na rynek wewnętrzny produktów pochodzących z połowów NNN;</w:t>
            </w:r>
          </w:p>
        </w:tc>
        <w:tc>
          <w:tcPr>
            <w:tcW w:w="4876" w:type="dxa"/>
            <w:tcBorders>
              <w:top w:val="nil"/>
              <w:left w:val="nil"/>
              <w:bottom w:val="nil"/>
              <w:right w:val="nil"/>
            </w:tcBorders>
          </w:tcPr>
          <w:p>
            <w:pPr>
              <w:pStyle w:val="Normal6a"/>
            </w:pPr>
            <w:r>
              <w:t>6.</w:t>
            </w:r>
            <w:r>
              <w:tab/>
            </w:r>
            <w:r>
              <w:t xml:space="preserve">jest głęboko zaniepokojony doniesieniami o połowach NNN prowadzonych przez państwa trzecie na wodach Morza Śródziemnego, w tym w wyłącznych strefach ekonomicznych państw członkowskich; </w:t>
            </w:r>
            <w:r>
              <w:rPr>
                <w:b/>
                <w:i/>
              </w:rPr>
              <w:t>wzywa Komisję i Europejską Agencję Kontroli Rybołówstwa (EFCA) do ściślejszego monitorowania działalności floty spoza UE w basenie Morza Śródziemnego oraz do rozważenia środków rynkowych przeciwko państwom dopuszczającym takie praktyki;</w:t>
            </w:r>
            <w:r>
              <w:t xml:space="preserve"> podkreśla potrzebę ustanowienia Europejskiego Urzędu Kontroli Importu w celu zapobiegania wprowadzaniu na rynek wewnętrzny produktów pochodzących z połowów NNN; </w:t>
            </w:r>
            <w:r>
              <w:rPr>
                <w:b/>
                <w:i/>
              </w:rPr>
              <w:t>jest szczególnie zaniepokojony stosowaniem pławnic przez niektóre statki pływające pod banderą państw trzecich na Morzu Alborańskim, co stanowi zakazaną praktykę stanowiącą poważne zagrożenie dla różnorodności biologicznej mórz i uczciwej konkurencji w regionie Morza Śródziemnego;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Nora Junco García, Kristoffer Storm,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jest głęboko zaniepokojony doniesieniami o połowach NNN prowadzonych przez państwa trzecie na wodach Morza Śródziemnego, </w:t>
            </w:r>
            <w:r>
              <w:rPr>
                <w:b/>
                <w:i/>
              </w:rPr>
              <w:t>w tym w</w:t>
            </w:r>
            <w:r>
              <w:t xml:space="preserve"> wyłącznych </w:t>
            </w:r>
            <w:r>
              <w:rPr>
                <w:b/>
                <w:i/>
              </w:rPr>
              <w:t>strefach</w:t>
            </w:r>
            <w:r>
              <w:t xml:space="preserve"> ekonomicznych </w:t>
            </w:r>
            <w:r>
              <w:rPr>
                <w:b/>
                <w:i/>
              </w:rPr>
              <w:t>państw członkowskich</w:t>
            </w:r>
            <w:r>
              <w:t xml:space="preserve">; podkreśla potrzebę </w:t>
            </w:r>
            <w:r>
              <w:rPr>
                <w:b/>
                <w:i/>
              </w:rPr>
              <w:t>ustanowienia Europejskiego Urzędu</w:t>
            </w:r>
            <w:r>
              <w:t xml:space="preserve"> Kontroli Importu w celu zapobiegania wprowadzaniu na rynek wewnętrzny produktów pochodzących z połowów NNN;</w:t>
            </w:r>
          </w:p>
        </w:tc>
        <w:tc>
          <w:tcPr>
            <w:tcW w:w="4876" w:type="dxa"/>
            <w:tcBorders>
              <w:top w:val="nil"/>
              <w:left w:val="nil"/>
              <w:bottom w:val="nil"/>
              <w:right w:val="nil"/>
            </w:tcBorders>
          </w:tcPr>
          <w:p>
            <w:pPr>
              <w:pStyle w:val="Normal6a"/>
            </w:pPr>
            <w:r>
              <w:t>6.</w:t>
            </w:r>
            <w:r>
              <w:tab/>
            </w:r>
            <w:r>
              <w:t xml:space="preserve">jest głęboko zaniepokojony </w:t>
            </w:r>
            <w:r>
              <w:rPr>
                <w:b/>
                <w:i/>
              </w:rPr>
              <w:t>powtarzającymi się</w:t>
            </w:r>
            <w:r>
              <w:t xml:space="preserve"> doniesieniami o połowach NNN prowadzonych przez państwa trzecie na wodach Morza Śródziemnego </w:t>
            </w:r>
            <w:r>
              <w:rPr>
                <w:b/>
                <w:i/>
              </w:rPr>
              <w:t>przez statki z Maroka i Algierii na Morzu Alborańskim</w:t>
            </w:r>
            <w:r>
              <w:t xml:space="preserve">, </w:t>
            </w:r>
            <w:r>
              <w:rPr>
                <w:b/>
                <w:i/>
              </w:rPr>
              <w:t>których połowy są następnie wprowadzane na rynek UE w warunkach nieuczciwej konkurencji z flotą europejską;</w:t>
            </w:r>
            <w:r>
              <w:t xml:space="preserve"> </w:t>
            </w:r>
            <w:r>
              <w:rPr>
                <w:b/>
                <w:i/>
              </w:rPr>
              <w:t>przypomina, że podobne zjawiska nielegalnych połowów i jednostronnych roszczeń państw trzecich dotyczących</w:t>
            </w:r>
            <w:r>
              <w:t xml:space="preserve"> wyłącznych </w:t>
            </w:r>
            <w:r>
              <w:rPr>
                <w:b/>
                <w:i/>
              </w:rPr>
              <w:t>stref</w:t>
            </w:r>
            <w:r>
              <w:t xml:space="preserve"> ekonomicznych </w:t>
            </w:r>
            <w:r>
              <w:rPr>
                <w:b/>
                <w:i/>
              </w:rPr>
              <w:t>mają również wpływ na inne wody UE, takie jak wody archipelagu Wysp Kanaryjskich</w:t>
            </w:r>
            <w:r>
              <w:t xml:space="preserve">; podkreśla potrzebę </w:t>
            </w:r>
            <w:r>
              <w:rPr>
                <w:b/>
                <w:i/>
              </w:rPr>
              <w:t>wzmocnienia uprawnień i zasobów Europejskiej Agencji Kontroli Rybołówstwa (EFCA) w odniesieniu do</w:t>
            </w:r>
            <w:r>
              <w:t xml:space="preserve"> kontroli importu w celu zapobiegania wprowadzaniu na rynek wewnętrzny produktów pochodzących z połowów NNN</w:t>
            </w:r>
            <w:r>
              <w:rPr>
                <w:b/>
                <w:i/>
              </w:rPr>
              <w:t>, niezależnie od basenu morskiego, z którego pochodzą</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jest głęboko zaniepokojony </w:t>
            </w:r>
            <w:r>
              <w:rPr>
                <w:b/>
                <w:i/>
              </w:rPr>
              <w:t>doniesieniami o połowach NNN prowadzonych przez państwa trzecie na wodach</w:t>
            </w:r>
            <w:r>
              <w:t xml:space="preserve"> Morza Śródziemnego, </w:t>
            </w:r>
            <w:r>
              <w:rPr>
                <w:b/>
                <w:i/>
              </w:rPr>
              <w:t>w tym w wyłącznych strefach ekonomicznych państw członkowskich;</w:t>
            </w:r>
            <w:r>
              <w:t xml:space="preserve"> </w:t>
            </w:r>
            <w:r>
              <w:rPr>
                <w:b/>
                <w:i/>
              </w:rPr>
              <w:t>podkreśla potrzebę ustanowienia</w:t>
            </w:r>
            <w:r>
              <w:t xml:space="preserve"> Europejskiego Urzędu Kontroli </w:t>
            </w:r>
            <w:r>
              <w:rPr>
                <w:b/>
                <w:i/>
              </w:rPr>
              <w:t>Importu</w:t>
            </w:r>
            <w:r>
              <w:t xml:space="preserve"> w celu zapobiegania wprowadzaniu na rynek </w:t>
            </w:r>
            <w:r>
              <w:rPr>
                <w:b/>
                <w:i/>
              </w:rPr>
              <w:t>wewnętrzny</w:t>
            </w:r>
            <w:r>
              <w:t xml:space="preserve"> produktów pochodzących z </w:t>
            </w:r>
            <w:r>
              <w:rPr>
                <w:b/>
                <w:i/>
              </w:rPr>
              <w:t>połowów NNN</w:t>
            </w:r>
            <w:r>
              <w:t>;</w:t>
            </w:r>
          </w:p>
        </w:tc>
        <w:tc>
          <w:tcPr>
            <w:tcW w:w="4876" w:type="dxa"/>
            <w:tcBorders>
              <w:top w:val="nil"/>
              <w:left w:val="nil"/>
              <w:bottom w:val="nil"/>
              <w:right w:val="nil"/>
            </w:tcBorders>
          </w:tcPr>
          <w:p>
            <w:pPr>
              <w:pStyle w:val="Normal6a"/>
            </w:pPr>
            <w:r>
              <w:t>6.</w:t>
            </w:r>
            <w:r>
              <w:tab/>
            </w:r>
            <w:r>
              <w:t xml:space="preserve">jest głęboko zaniepokojony </w:t>
            </w:r>
            <w:r>
              <w:rPr>
                <w:b/>
                <w:i/>
              </w:rPr>
              <w:t>faktem, że połowy NNN nadal stanowią poważne zagrożenie dla ekosystemów morskich</w:t>
            </w:r>
            <w:r>
              <w:t xml:space="preserve"> Morza Śródziemnego, </w:t>
            </w:r>
            <w:r>
              <w:rPr>
                <w:b/>
                <w:i/>
              </w:rPr>
              <w:t>zrównoważonego rybołówstwa i społeczności nadbrzeżnych;</w:t>
            </w:r>
            <w:r>
              <w:t xml:space="preserve"> </w:t>
            </w:r>
            <w:r>
              <w:rPr>
                <w:b/>
                <w:i/>
              </w:rPr>
              <w:t>wzywa do przyjęcia podejścia zerowej tolerancji dla połowów NNN poprzez wzmocnienie mechanizmów monitorowania, kontroli i egzekwowania, zwiększenie przejrzystości i identyfikowalności produktów żywnościowych pochodzenia morskiego oraz utworzenie</w:t>
            </w:r>
            <w:r>
              <w:t xml:space="preserve"> Europejskiego Urzędu Kontroli </w:t>
            </w:r>
            <w:r>
              <w:rPr>
                <w:b/>
                <w:i/>
              </w:rPr>
              <w:t>Przywozu</w:t>
            </w:r>
            <w:r>
              <w:t xml:space="preserve"> w celu zapobiegania wprowadzaniu na rynek </w:t>
            </w:r>
            <w:r>
              <w:rPr>
                <w:b/>
                <w:i/>
              </w:rPr>
              <w:t>Unii</w:t>
            </w:r>
            <w:r>
              <w:t xml:space="preserve"> produktów pochodzących z </w:t>
            </w:r>
            <w:r>
              <w:rPr>
                <w:b/>
                <w:i/>
              </w:rPr>
              <w:t>nielegalnego źródła oraz w celu zapewnienia zgodności wszystkich produktów żywnościowych pochodzenia morskiego wprowadzanych na rynek UE z celami UE w zakresie ochrony i zrównoważonego rozwoju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jest głęboko zaniepokojony doniesieniami o połowach NNN prowadzonych przez państwa trzecie na wodach Morza Śródziemnego, w tym w wyłącznych strefach ekonomicznych państw członkowskich; podkreśla potrzebę </w:t>
            </w:r>
            <w:r>
              <w:rPr>
                <w:b/>
                <w:i/>
              </w:rPr>
              <w:t>ustanowienia Europejskiego Urzędu</w:t>
            </w:r>
            <w:r>
              <w:t xml:space="preserve"> Kontroli </w:t>
            </w:r>
            <w:r>
              <w:rPr>
                <w:b/>
                <w:i/>
              </w:rPr>
              <w:t>Importu</w:t>
            </w:r>
            <w:r>
              <w:t xml:space="preserve"> w celu zapobiegania wprowadzaniu na rynek wewnętrzny produktów pochodzących z połowów NNN;</w:t>
            </w:r>
          </w:p>
        </w:tc>
        <w:tc>
          <w:tcPr>
            <w:tcW w:w="4876" w:type="dxa"/>
            <w:tcBorders>
              <w:top w:val="nil"/>
              <w:left w:val="nil"/>
              <w:bottom w:val="nil"/>
              <w:right w:val="nil"/>
            </w:tcBorders>
          </w:tcPr>
          <w:p>
            <w:pPr>
              <w:pStyle w:val="Normal6a"/>
            </w:pPr>
            <w:r>
              <w:t>6.</w:t>
            </w:r>
            <w:r>
              <w:tab/>
            </w:r>
            <w:r>
              <w:t xml:space="preserve">jest głęboko zaniepokojony doniesieniami o połowach NNN prowadzonych przez państwa trzecie na wodach Morza Śródziemnego, w tym w wyłącznych strefach ekonomicznych państw członkowskich; podkreśla potrzebę </w:t>
            </w:r>
            <w:r>
              <w:rPr>
                <w:b/>
                <w:i/>
              </w:rPr>
              <w:t>wzmocnienia</w:t>
            </w:r>
            <w:r>
              <w:t xml:space="preserve"> kontroli </w:t>
            </w:r>
            <w:r>
              <w:rPr>
                <w:b/>
                <w:i/>
              </w:rPr>
              <w:t>przywozu przeprowadzanych przez państwa członkowskie oraz wzmocnienia koordynacji między krajowymi organami kontroli a Europejską Agencją Kontroli Rybołówstwa, w oparciu o istniejące struktury, a nie poprzez tworzenie nowego organu Unii,</w:t>
            </w:r>
            <w:r>
              <w:t xml:space="preserve"> w celu zapobiegania wprowadzaniu na rynek wewnętrzny produktów pochodzących z połowów NNN;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jest głęboko zaniepokojony doniesieniami o połowach NNN prowadzonych przez państwa trzecie na wodach Morza Śródziemnego, w tym w wyłącznych strefach ekonomicznych państw członkowskich; podkreśla potrzebę ustanowienia Europejskiego Urzędu Kontroli Importu w celu zapobiegania wprowadzaniu na rynek wewnętrzny produktów pochodzących z połowów NNN;</w:t>
            </w:r>
          </w:p>
        </w:tc>
        <w:tc>
          <w:tcPr>
            <w:tcW w:w="4876" w:type="dxa"/>
            <w:tcBorders>
              <w:top w:val="nil"/>
              <w:left w:val="nil"/>
              <w:bottom w:val="nil"/>
              <w:right w:val="nil"/>
            </w:tcBorders>
          </w:tcPr>
          <w:p>
            <w:pPr>
              <w:pStyle w:val="Normal6a"/>
            </w:pPr>
            <w:r>
              <w:t>6.</w:t>
            </w:r>
            <w:r>
              <w:tab/>
            </w:r>
            <w:r>
              <w:t xml:space="preserve">jest głęboko zaniepokojony doniesieniami o połowach NNN prowadzonych przez państwa trzecie na wodach Morza Śródziemnego, w tym w wyłącznych strefach ekonomicznych państw członkowskich; podkreśla potrzebę ustanowienia Europejskiego Urzędu Kontroli Importu w celu zapobiegania wprowadzaniu na rynek wewnętrzny produktów pochodzących z połowów NNN </w:t>
            </w:r>
            <w:r>
              <w:rPr>
                <w:b/>
                <w:i/>
              </w:rPr>
              <w:t>oraz zacieśnienia współpracy w zakresie kontroli między EFCA, państwami członkowskimi i organami państw trzecich</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jest głęboko zaniepokojony doniesieniami o połowach NNN </w:t>
            </w:r>
            <w:r>
              <w:rPr>
                <w:b/>
                <w:i/>
              </w:rPr>
              <w:t>prowadzonych przez</w:t>
            </w:r>
            <w:r>
              <w:t xml:space="preserve"> państwa trzecie na wodach Morza Śródziemnego, w tym w wyłącznych strefach ekonomicznych państw członkowskich; podkreśla potrzebę ustanowienia Europejskiego Urzędu Kontroli Importu w celu zapobiegania wprowadzaniu na rynek wewnętrzny produktów pochodzących z połowów NNN;</w:t>
            </w:r>
          </w:p>
        </w:tc>
        <w:tc>
          <w:tcPr>
            <w:tcW w:w="4876" w:type="dxa"/>
            <w:tcBorders>
              <w:top w:val="nil"/>
              <w:left w:val="nil"/>
              <w:bottom w:val="nil"/>
              <w:right w:val="nil"/>
            </w:tcBorders>
          </w:tcPr>
          <w:p>
            <w:pPr>
              <w:pStyle w:val="Normal6a"/>
            </w:pPr>
            <w:r>
              <w:t>6.</w:t>
            </w:r>
            <w:r>
              <w:tab/>
            </w:r>
            <w:r>
              <w:t xml:space="preserve">jest głęboko zaniepokojony doniesieniami o połowach NNN </w:t>
            </w:r>
            <w:r>
              <w:rPr>
                <w:b/>
                <w:i/>
              </w:rPr>
              <w:t>i ciągłych naruszeniach, jakich dopuszczają się</w:t>
            </w:r>
            <w:r>
              <w:t xml:space="preserve"> państwa trzecie na wodach Morza Śródziemnego, w tym w wyłącznych strefach ekonomicznych państw członkowskich; podkreśla potrzebę ustanowienia Europejskiego Urzędu Kontroli Importu w celu zapobiegania wprowadzaniu na rynek wewnętrzny produktów pochodzących z połowów NNN;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podkreśla, że produkty rybołówstwa i akwakultury przywożone z państw trzecich powinny spełniać normy środowiskowe, zdrowotne, społeczne i normy zrównoważonego rozwoju równoważne z normami nałożonymi na producentów unijnych;</w:t>
            </w:r>
            <w:r>
              <w:t xml:space="preserve"> </w:t>
            </w:r>
            <w:r>
              <w:rPr>
                <w:b/>
                <w:i/>
              </w:rPr>
              <w:t>wzywa Komisję, aby zapewniła rzeczywistą wzajemność w dostępie do rynku i odpowiednio wzmocniła kontrole przywozu, tak aby unijni rybacy nie byli stawiani w niekorzystnej sytuacji konkurencyjnej z powodu przywozu produktów powstających w warunkach mniej rygorystycznych wymogów;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Nora Junco García, Kristoffer Storm,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wzywa również, aby ustanowić odstraszający system sankcji mający zastosowanie do importerów i podmiotów gospodarczych na rynku wewnętrznym, którzy wprowadzają do obrotu produkty pochodzące z połowów NNN lub nimi handlują, niezależnie od sankcji mających już zastosowanie do zaangażowanych statków;</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wzywa Komisję do zacieśnienia współpracy regionalnej poprzez włączenie planu wieloletniego dotyczącego zachodniej części Morza Śródziemnego do szerszych ram polityki sąsiedztwa UE; z zadowoleniem przyjmuje cele Paktu na rzecz regionu śródziemnomorskiego polegające na zacieśnieniu współpracy w zakresie zarządzania rybołówstwem, kontroli, inspekcji, monitorowania i nadzoru w obliczu połowów NNN;</w:t>
            </w:r>
          </w:p>
        </w:tc>
        <w:tc>
          <w:tcPr>
            <w:tcW w:w="4876" w:type="dxa"/>
            <w:tcBorders>
              <w:top w:val="nil"/>
              <w:left w:val="nil"/>
              <w:bottom w:val="nil"/>
              <w:right w:val="nil"/>
            </w:tcBorders>
          </w:tcPr>
          <w:p>
            <w:pPr>
              <w:pStyle w:val="Normal6a"/>
            </w:pPr>
            <w:r>
              <w:t>7.</w:t>
            </w:r>
            <w:r>
              <w:tab/>
            </w:r>
            <w:r>
              <w:t xml:space="preserve">wzywa Komisję do zacieśnienia współpracy regionalnej poprzez włączenie planu wieloletniego dotyczącego zachodniej części Morza Śródziemnego do szerszych ram polityki sąsiedztwa UE; z zadowoleniem przyjmuje cele Paktu na rzecz regionu śródziemnomorskiego polegające na zacieśnieniu współpracy w zakresie zarządzania rybołówstwem, kontroli, inspekcji, monitorowania i nadzoru w obliczu połowów NNN; </w:t>
            </w:r>
            <w:r>
              <w:rPr>
                <w:b/>
                <w:i/>
              </w:rPr>
              <w:t>podkreśla również potrzebę zwiększenia konwergencji zasad zarządzania i standardów kontroli wśród krajów leżących nad Morzem Śródziemnym w celu zapewnienia równych warunków działania i zachowania skuteczności środków ochronnych;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wzywa Komisję do zacieśnienia współpracy regionalnej poprzez włączenie planu wieloletniego dotyczącego zachodniej części Morza Śródziemnego do szerszych ram polityki sąsiedztwa UE; z zadowoleniem przyjmuje cele Paktu na rzecz regionu śródziemnomorskiego polegające na zacieśnieniu współpracy w zakresie zarządzania rybołówstwem, kontroli, inspekcji, monitorowania i nadzoru w obliczu połowów NNN;</w:t>
            </w:r>
          </w:p>
        </w:tc>
        <w:tc>
          <w:tcPr>
            <w:tcW w:w="4876" w:type="dxa"/>
            <w:tcBorders>
              <w:top w:val="nil"/>
              <w:left w:val="nil"/>
              <w:bottom w:val="nil"/>
              <w:right w:val="nil"/>
            </w:tcBorders>
          </w:tcPr>
          <w:p>
            <w:pPr>
              <w:pStyle w:val="Normal6a"/>
            </w:pPr>
            <w:r>
              <w:t>7.</w:t>
            </w:r>
            <w:r>
              <w:tab/>
            </w:r>
            <w:r>
              <w:t xml:space="preserve">wzywa Komisję do zacieśnienia współpracy regionalnej poprzez włączenie planu wieloletniego dotyczącego zachodniej części Morza Śródziemnego do szerszych ram polityki sąsiedztwa UE; z zadowoleniem przyjmuje cele Paktu na rzecz regionu śródziemnomorskiego polegające na zacieśnieniu współpracy w zakresie zarządzania rybołówstwem, </w:t>
            </w:r>
            <w:r>
              <w:rPr>
                <w:b/>
                <w:i/>
              </w:rPr>
              <w:t>zgodności z normami międzynarodowymi oraz zwiększenia zdolności w zakresie</w:t>
            </w:r>
            <w:r>
              <w:t xml:space="preserve"> kontroli, inspekcji, monitorowania i nadzoru w obliczu połowów NNN; </w:t>
            </w:r>
            <w:r>
              <w:rPr>
                <w:b/>
                <w:i/>
              </w:rPr>
              <w:t>wzywa Komisję, aby zapewniła skuteczną realizację tych zobowiązań oraz uczyniła rybołówstwo jednym z priorytetów współpracy eurośródziemnomorskiej;</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wzywa Komisję do zacieśnienia współpracy regionalnej poprzez włączenie planu wieloletniego dotyczącego zachodniej części Morza Śródziemnego do szerszych ram polityki sąsiedztwa UE; z zadowoleniem przyjmuje cele Paktu na rzecz regionu śródziemnomorskiego polegające na zacieśnieniu współpracy w zakresie zarządzania rybołówstwem, kontroli, inspekcji, monitorowania i nadzoru w obliczu połowów NNN;</w:t>
            </w:r>
          </w:p>
        </w:tc>
        <w:tc>
          <w:tcPr>
            <w:tcW w:w="4876" w:type="dxa"/>
            <w:tcBorders>
              <w:top w:val="nil"/>
              <w:left w:val="nil"/>
              <w:bottom w:val="nil"/>
              <w:right w:val="nil"/>
            </w:tcBorders>
          </w:tcPr>
          <w:p>
            <w:pPr>
              <w:pStyle w:val="Normal6a"/>
            </w:pPr>
            <w:r>
              <w:t>7.</w:t>
            </w:r>
            <w:r>
              <w:tab/>
            </w:r>
            <w:r>
              <w:t xml:space="preserve">wzywa Komisję do zacieśnienia współpracy regionalnej </w:t>
            </w:r>
            <w:r>
              <w:rPr>
                <w:b/>
                <w:i/>
              </w:rPr>
              <w:t>w celu poprawy zarządzania i zapewnienia równych warunków działania z państwami trzecimi</w:t>
            </w:r>
            <w:r>
              <w:t xml:space="preserve"> poprzez włączenie planu wieloletniego dotyczącego zachodniej części Morza Śródziemnego do szerszych ram polityki sąsiedztwa UE; z zadowoleniem przyjmuje cele Paktu na rzecz regionu śródziemnomorskiego polegające na zacieśnieniu współpracy w zakresie zarządzania rybołówstwem, kontroli, inspekcji, monitorowania i nadzoru w obliczu połowów NNN;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wzywa Komisję do zacieśnienia współpracy regionalnej poprzez włączenie planu wieloletniego dotyczącego zachodniej części Morza Śródziemnego do szerszych ram polityki sąsiedztwa UE</w:t>
            </w:r>
            <w:r>
              <w:rPr>
                <w:b/>
                <w:i/>
              </w:rPr>
              <w:t>;</w:t>
            </w:r>
            <w:r>
              <w:t xml:space="preserve"> </w:t>
            </w:r>
            <w:r>
              <w:rPr>
                <w:b/>
                <w:i/>
              </w:rPr>
              <w:t>z zadowoleniem przyjmuje cele Paktu na rzecz regionu śródziemnomorskiego polegające</w:t>
            </w:r>
            <w:r>
              <w:t xml:space="preserve"> na zacieśnieniu współpracy w zakresie zarządzania rybołówstwem, kontroli, inspekcji, monitorowania i nadzoru w </w:t>
            </w:r>
            <w:r>
              <w:rPr>
                <w:b/>
                <w:i/>
              </w:rPr>
              <w:t>obliczu</w:t>
            </w:r>
            <w:r>
              <w:t xml:space="preserve"> połowów NNN;</w:t>
            </w:r>
          </w:p>
        </w:tc>
        <w:tc>
          <w:tcPr>
            <w:tcW w:w="4876" w:type="dxa"/>
            <w:tcBorders>
              <w:top w:val="nil"/>
              <w:left w:val="nil"/>
              <w:bottom w:val="nil"/>
              <w:right w:val="nil"/>
            </w:tcBorders>
          </w:tcPr>
          <w:p>
            <w:pPr>
              <w:pStyle w:val="Normal6a"/>
            </w:pPr>
            <w:r>
              <w:t>7.</w:t>
            </w:r>
            <w:r>
              <w:tab/>
            </w:r>
            <w:r>
              <w:t xml:space="preserve">wzywa Komisję </w:t>
            </w:r>
            <w:r>
              <w:rPr>
                <w:b/>
                <w:i/>
              </w:rPr>
              <w:t>i państwa członkowskie</w:t>
            </w:r>
            <w:r>
              <w:t xml:space="preserve"> do zacieśnienia współpracy regionalnej poprzez włączenie planu wieloletniego dotyczącego zachodniej części Morza Śródziemnego do szerszych ram polityki sąsiedztwa UE</w:t>
            </w:r>
            <w:r>
              <w:rPr>
                <w:b/>
                <w:i/>
              </w:rPr>
              <w:t>, w szczególności za pośrednictwem Unii dla Śródziemnomorza;</w:t>
            </w:r>
            <w:r>
              <w:t xml:space="preserve"> </w:t>
            </w:r>
            <w:r>
              <w:rPr>
                <w:b/>
                <w:i/>
              </w:rPr>
              <w:t>polegającej</w:t>
            </w:r>
            <w:r>
              <w:t xml:space="preserve"> na zacieśnieniu współpracy w zakresie zarządzania rybołówstwem, kontroli, inspekcji, monitorowania i nadzoru w </w:t>
            </w:r>
            <w:r>
              <w:rPr>
                <w:b/>
                <w:i/>
              </w:rPr>
              <w:t>celu zwalczania</w:t>
            </w:r>
            <w:r>
              <w:t xml:space="preserve"> połowów NNN </w:t>
            </w:r>
            <w:r>
              <w:rPr>
                <w:b/>
                <w:i/>
              </w:rPr>
              <w:t>i wszelkiej innej działalności szkodliwej dla rybaków</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przypomina, że obszary ograniczonych połowów przyjęte w ramach GFCM, jeżeli mają wystarczający poziom ochrony, minimalizują przypadkowe połowy, chronią tarliska i obszary dojrzewania narybku oraz młode osobniki, a także zmniejszają wpływ na wrażliwe siedliska, w szczególności dno morskie, przyczyniając się do odbudowy populacji ryb;</w:t>
            </w:r>
            <w:r>
              <w:t xml:space="preserve"> </w:t>
            </w:r>
            <w:r>
              <w:rPr>
                <w:b/>
                <w:i/>
              </w:rPr>
              <w:t>w związku z tym wzywa Komisję i państwa członkowskie do współpracy w ramach GFCM w celu rozszerzenia sieci obszarów ograniczonych połowów i podniesienia ich poziomu ochrony w razie potrzeby;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przypomina, że przyszłe środki zarządzania przestrzennego i morskie obszary chronione należy przyjmować indywidualnie dla każdego przypadku, w oparciu o najlepszą dostępną wiedzę naukową, ukierunkowane oceny skutków dla rybołówstwa i konsultacje z zainteresowanymi stronami, zapewniając sprawiedliwy dostęp do łowisk i unikając nieproporcjonalnych ograniczeń niezgodnych z celami WPRyb;</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wzywa państwa członkowskie do zapewnienia pełnego i skutecznego wdrożenia rozporządzenia UE w sprawie kontroli rybołówstwa, w tym przepisów dotyczących błędów w raportach połowowych oraz zwiększających dokładność i wiarygodność raportowania połowów w odniesieniu do stad objętych planem wieloletnim dla zachodniej części Morza Śródziemnego;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wzywa Komisję do zacieśnienia współpracy na szczeblu lokalnym poprzez bezpośredni dialog z organami nadbrzeżnymi i stowarzyszeniami rybaków w regionie Morza Śródziemnego, które odgrywają kluczową rolę w zrównoważonym zarządzaniu zasobami i wdrażaniu środków ochrony w terenie;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wzywa Komisję do ustanowienia specjalnych ram wsparcia finansowego na rzecz usuwania inwazyjnych gatunków obcych mających wpływ na działalność połowową, zarządzania nimi i ich waloryzacji poprzez zachęcanie do ich wykorzystywania za pomocą rozwiązań opartych na gospodarce o obiegu zamkniętym;</w:t>
            </w:r>
            <w:r>
              <w:t xml:space="preserve"> </w:t>
            </w:r>
            <w:r>
              <w:rPr>
                <w:b/>
                <w:i/>
              </w:rPr>
              <w:t>uznaje w szczególności rolę rybaków jako aktywnych partnerów w oczyszczaniu i odbudowie środowiska morskiego poprzez usuwanie gatunków takich jak azjatycka brunatnica (Rugulopteryx okamurae) i apeluje, aby odpowiednio zrekompensować koszty wynikające z tych działań;</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7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7c.</w:t>
            </w:r>
            <w:r>
              <w:tab/>
            </w:r>
            <w:r>
              <w:rPr>
                <w:b/>
                <w:i/>
              </w:rPr>
              <w:t>wzywa Komisję, aby przyjęła prawdziwie całościowe podejście do zarządzania zachodnią częścią Morza Śródziemnego, obejmujące wszystkie czynniki, które wpływają na ekosystem morski, a nie tylko działalność połowową;</w:t>
            </w:r>
            <w:r>
              <w:t xml:space="preserve"> </w:t>
            </w:r>
            <w:r>
              <w:rPr>
                <w:b/>
                <w:i/>
              </w:rPr>
              <w:t>podkreśla w szczególności wpływ zmiany klimatu, wzrost zanieczyszczenia morza (w tym odpadów z tworzyw sztucznych regularnie usuwanych z morza przez samych rybaków bez żadnej rekompensaty) oraz rozprzestrzenianie się inwazyjnych gatunków obcych, z których wszystkie należy w pełni uwzględnić w ocenie planu i zarządzaniu nim;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wzywa Komisję i państwa członkowskie do przeznaczenia wyodrębnionego budżetu w wysokości co najmniej 7,29 mld EUR na wsparcie modernizacji i odnowy floty (w tym selektywnych narzędzi połowowych, silników niskoemisyjnych i monitorowania cyfrowego), tymczasowego zaprzestania działalności połowowej, a także programów dywersyfikacji gospodarczej;</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Nora Junco García, Kristoffer Storm,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wzywa Komisję i państwa członkowskie do </w:t>
            </w:r>
            <w:r>
              <w:rPr>
                <w:b/>
                <w:i/>
              </w:rPr>
              <w:t>przeznaczenia</w:t>
            </w:r>
            <w:r>
              <w:t xml:space="preserve"> wyodrębnionego </w:t>
            </w:r>
            <w:r>
              <w:rPr>
                <w:b/>
                <w:i/>
              </w:rPr>
              <w:t>budżetu w wysokości co najmniej 7,29 mld EUR na wsparcie modernizacji i odnowy</w:t>
            </w:r>
            <w:r>
              <w:t xml:space="preserve"> floty </w:t>
            </w:r>
            <w:r>
              <w:rPr>
                <w:b/>
                <w:i/>
              </w:rPr>
              <w:t>(w tym selektywnych narzędzi połowowych, silników niskoemisyjnych i monitorowania cyfrowego), tymczasowego zaprzestania</w:t>
            </w:r>
            <w:r>
              <w:t xml:space="preserve"> działalności połowowej, a także </w:t>
            </w:r>
            <w:r>
              <w:rPr>
                <w:b/>
                <w:i/>
              </w:rPr>
              <w:t>programów</w:t>
            </w:r>
            <w:r>
              <w:t xml:space="preserve"> dywersyfikacji gospodarczej;</w:t>
            </w:r>
          </w:p>
        </w:tc>
        <w:tc>
          <w:tcPr>
            <w:tcW w:w="4876" w:type="dxa"/>
            <w:tcBorders>
              <w:top w:val="nil"/>
              <w:left w:val="nil"/>
              <w:bottom w:val="nil"/>
              <w:right w:val="nil"/>
            </w:tcBorders>
          </w:tcPr>
          <w:p>
            <w:pPr>
              <w:pStyle w:val="Normal6a"/>
            </w:pPr>
            <w:r>
              <w:t>8.</w:t>
            </w:r>
            <w:r>
              <w:tab/>
            </w:r>
            <w:r>
              <w:t xml:space="preserve">wzywa Komisję i państwa członkowskie do </w:t>
            </w:r>
            <w:r>
              <w:rPr>
                <w:b/>
                <w:i/>
              </w:rPr>
              <w:t>zapewnienia, w ramach kolejnego Europejskiego Funduszu Morskiego, Rybackiego i Akwakultury w wieloletnich ramach finansowych na lata 2028–2034, specjalnego i</w:t>
            </w:r>
            <w:r>
              <w:t xml:space="preserve"> wyodrębnionego </w:t>
            </w:r>
            <w:r>
              <w:rPr>
                <w:b/>
                <w:i/>
              </w:rPr>
              <w:t>przydziału środków budżetowych dla całej zachodniej części basenu Morza Śródziemnego, co odwróci zapowiedzianą przez Komisję tendencję spadkową w odniesieniu do przydziału środków z funduszu rybackiego na obecny okres 2021–2027;</w:t>
            </w:r>
            <w:r>
              <w:t xml:space="preserve"> </w:t>
            </w:r>
            <w:r>
              <w:rPr>
                <w:b/>
                <w:i/>
              </w:rPr>
              <w:t>podkreśla, że pula ta powinna stanowić specjalną linię budżetową i nie należy rozdzielać jej na fundusze o ogólnym przeznaczeniu, tak aby wspierać modernizację i odnowę</w:t>
            </w:r>
            <w:r>
              <w:t xml:space="preserve"> floty</w:t>
            </w:r>
            <w:r>
              <w:rPr>
                <w:b/>
                <w:i/>
              </w:rPr>
              <w:t>, tymczasowe zaprzestanie</w:t>
            </w:r>
            <w:r>
              <w:t xml:space="preserve"> działalności połowowej, a także </w:t>
            </w:r>
            <w:r>
              <w:rPr>
                <w:b/>
                <w:i/>
              </w:rPr>
              <w:t>programy</w:t>
            </w:r>
            <w:r>
              <w:t xml:space="preserve"> dywersyfikacji gospodarczej;</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wzywa Komisję i państwa członkowskie do przeznaczenia wyodrębnionego budżetu w wysokości co najmniej 7,29 mld EUR na wsparcie modernizacji i odnowy floty (w tym selektywnych narzędzi połowowych, silników niskoemisyjnych i monitorowania cyfrowego), tymczasowego zaprzestania działalności połowowej, </w:t>
            </w:r>
            <w:r>
              <w:rPr>
                <w:b/>
                <w:i/>
              </w:rPr>
              <w:t>a także</w:t>
            </w:r>
            <w:r>
              <w:t xml:space="preserve"> programów dywersyfikacji gospodarczej;</w:t>
            </w:r>
          </w:p>
        </w:tc>
        <w:tc>
          <w:tcPr>
            <w:tcW w:w="4876" w:type="dxa"/>
            <w:tcBorders>
              <w:top w:val="nil"/>
              <w:left w:val="nil"/>
              <w:bottom w:val="nil"/>
              <w:right w:val="nil"/>
            </w:tcBorders>
          </w:tcPr>
          <w:p>
            <w:pPr>
              <w:pStyle w:val="Normal6a"/>
            </w:pPr>
            <w:r>
              <w:t>8.</w:t>
            </w:r>
            <w:r>
              <w:tab/>
            </w:r>
            <w:r>
              <w:t xml:space="preserve">wzywa Komisję i państwa członkowskie do przeznaczenia </w:t>
            </w:r>
            <w:r>
              <w:rPr>
                <w:b/>
                <w:i/>
              </w:rPr>
              <w:t>w kolejnych wieloletnich ramach finansowych</w:t>
            </w:r>
            <w:r>
              <w:t xml:space="preserve"> wyodrębnionego budżetu w wysokości co najmniej 7,29 mld EUR na wsparcie modernizacji i odnowy floty (w tym selektywnych narzędzi połowowych, silników niskoemisyjnych i monitorowania cyfrowego), tymczasowego zaprzestania działalności połowowej, </w:t>
            </w:r>
            <w:r>
              <w:rPr>
                <w:b/>
                <w:i/>
              </w:rPr>
              <w:t>odnowy pokoleń, poprawy bezpieczeństwa i warunków pracy na statkach oraz</w:t>
            </w:r>
            <w:r>
              <w:t xml:space="preserve"> programów dywersyfikacji gospodarczej</w:t>
            </w:r>
            <w:r>
              <w:rPr>
                <w:b/>
                <w:i/>
              </w:rPr>
              <w:t>, a także do dopilnowania, aby fundusz zastępujący EFMRA służył pobudzaniu odnowy, modernizacji, dekarbonizacji i konkurencyjności europejskiej floty rybackiej</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wzywa Komisję i państwa członkowskie </w:t>
            </w:r>
            <w:r>
              <w:rPr>
                <w:b/>
                <w:i/>
              </w:rPr>
              <w:t>do przeznaczenia wyodrębnionego budżetu w wysokości co najmniej 7,29 mld EUR na wsparcie modernizacji i odnowy floty</w:t>
            </w:r>
            <w:r>
              <w:t xml:space="preserve"> (w tym </w:t>
            </w:r>
            <w:r>
              <w:rPr>
                <w:b/>
                <w:i/>
              </w:rPr>
              <w:t>selektywnych</w:t>
            </w:r>
            <w:r>
              <w:t xml:space="preserve"> narzędzi połowowych</w:t>
            </w:r>
            <w:r>
              <w:rPr>
                <w:b/>
                <w:i/>
              </w:rPr>
              <w:t>, silników niskoemisyjnych i monitorowania cyfrowego</w:t>
            </w:r>
            <w:r>
              <w:t>), tymczasowego zaprzestania działalności połowowej, a także programów dywersyfikacji gospodarczej;</w:t>
            </w:r>
          </w:p>
        </w:tc>
        <w:tc>
          <w:tcPr>
            <w:tcW w:w="4876" w:type="dxa"/>
            <w:tcBorders>
              <w:top w:val="nil"/>
              <w:left w:val="nil"/>
              <w:bottom w:val="nil"/>
              <w:right w:val="nil"/>
            </w:tcBorders>
          </w:tcPr>
          <w:p>
            <w:pPr>
              <w:pStyle w:val="Normal6a"/>
            </w:pPr>
            <w:r>
              <w:t>8.</w:t>
            </w:r>
            <w:r>
              <w:tab/>
            </w:r>
            <w:r>
              <w:t>wzywa Komisję i państwa członkowskie</w:t>
            </w:r>
            <w:r>
              <w:rPr>
                <w:b/>
                <w:i/>
              </w:rPr>
              <w:t>, aby zapewniły odpowiednie wyodrębnione finansowanie dla sprawiedliwej społecznie transformacji w rybołówstwie śródziemnomorskim</w:t>
            </w:r>
            <w:r>
              <w:t xml:space="preserve"> (w tym </w:t>
            </w:r>
            <w:r>
              <w:rPr>
                <w:b/>
                <w:i/>
              </w:rPr>
              <w:t>niezależnego monitorowania elektronicznego, odzyskiwania utraconych</w:t>
            </w:r>
            <w:r>
              <w:t xml:space="preserve"> narzędzi połowowych </w:t>
            </w:r>
            <w:r>
              <w:rPr>
                <w:b/>
                <w:i/>
              </w:rPr>
              <w:t>i zapobiegania ich utracie, efektywności energetycznej, prawdziwie bezemisyjnych technologii, tymczasowego i trwałego zaprzestania działalności połowowej w razie potrzeby, przekwalifikowania, dywersyfikacji dochodów i odbudowy ekosystemów morskich</w:t>
            </w:r>
            <w:r>
              <w:t>), tymczasowego zaprzestania działalności połowowej, a także programów dywersyfikacji gospodarczej;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wzywa Komisję i państwa członkowskie do </w:t>
            </w:r>
            <w:r>
              <w:rPr>
                <w:b/>
                <w:i/>
              </w:rPr>
              <w:t>przeznaczenia wyodrębnionego budżetu w wysokości co najmniej 7,29 mld EUR na wsparcie</w:t>
            </w:r>
            <w:r>
              <w:t xml:space="preserve"> modernizacji i odnowy floty (w tym selektywnych narzędzi połowowych, silników niskoemisyjnych i monitorowania cyfrowego), tymczasowego zaprzestania działalności połowowej, a także programów dywersyfikacji gospodarczej;</w:t>
            </w:r>
          </w:p>
        </w:tc>
        <w:tc>
          <w:tcPr>
            <w:tcW w:w="4876" w:type="dxa"/>
            <w:tcBorders>
              <w:top w:val="nil"/>
              <w:left w:val="nil"/>
              <w:bottom w:val="nil"/>
              <w:right w:val="nil"/>
            </w:tcBorders>
          </w:tcPr>
          <w:p>
            <w:pPr>
              <w:pStyle w:val="Normal6a"/>
            </w:pPr>
            <w:r>
              <w:t>8.</w:t>
            </w:r>
            <w:r>
              <w:tab/>
            </w:r>
            <w:r>
              <w:rPr>
                <w:b/>
                <w:i/>
              </w:rPr>
              <w:t>przypomina swoje stanowisko w sprawie nowych WRF oraz</w:t>
            </w:r>
            <w:r>
              <w:t xml:space="preserve"> wzywa Komisję i państwa członkowskie do </w:t>
            </w:r>
            <w:r>
              <w:rPr>
                <w:b/>
                <w:i/>
              </w:rPr>
              <w:t>wyrażenia zgody na proponowany wyodrębniony budżet przedstawiony w stanowisku Parlamentu w sprawie rybołówstwa i akwakultury;</w:t>
            </w:r>
            <w:r>
              <w:t xml:space="preserve"> </w:t>
            </w:r>
            <w:r>
              <w:rPr>
                <w:b/>
                <w:i/>
              </w:rPr>
              <w:t>przypomina o znaczeniu</w:t>
            </w:r>
            <w:r>
              <w:t xml:space="preserve"> modernizacji i odnowy floty (w tym selektywnych narzędzi połowowych, silników niskoemisyjnych i monitorowania cyfrowego), tymczasowego zaprzestania działalności połowowej, a także programów dywersyfikacji gospodarczej;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wzywa Komisję i państwa członkowskie do przeznaczenia wyodrębnionego budżetu w wysokości co najmniej 7,29 mld EUR na wsparcie modernizacji i odnowy floty (w tym selektywnych narzędzi połowowych, silników niskoemisyjnych i monitorowania cyfrowego), tymczasowego zaprzestania działalności połowowej, a także programów dywersyfikacji gospodarczej;</w:t>
            </w:r>
          </w:p>
        </w:tc>
        <w:tc>
          <w:tcPr>
            <w:tcW w:w="4876" w:type="dxa"/>
            <w:tcBorders>
              <w:top w:val="nil"/>
              <w:left w:val="nil"/>
              <w:bottom w:val="nil"/>
              <w:right w:val="nil"/>
            </w:tcBorders>
          </w:tcPr>
          <w:p>
            <w:pPr>
              <w:pStyle w:val="Normal6a"/>
            </w:pPr>
            <w:r>
              <w:t>8.</w:t>
            </w:r>
            <w:r>
              <w:tab/>
            </w:r>
            <w:r>
              <w:t xml:space="preserve">wzywa Komisję i państwa członkowskie do przeznaczenia wyodrębnionego budżetu w wysokości co najmniej 7,29 mld EUR </w:t>
            </w:r>
            <w:r>
              <w:rPr>
                <w:b/>
                <w:i/>
              </w:rPr>
              <w:t>i zapewnienia bezpieczniejszych systemów pomocy publicznej</w:t>
            </w:r>
            <w:r>
              <w:t xml:space="preserve"> na wsparcie modernizacji</w:t>
            </w:r>
            <w:r>
              <w:rPr>
                <w:b/>
                <w:i/>
              </w:rPr>
              <w:t>, transformacji energetycznej</w:t>
            </w:r>
            <w:r>
              <w:t xml:space="preserve"> i odnowy floty (w tym selektywnych narzędzi połowowych, silników niskoemisyjnych i monitorowania cyfrowego), tymczasowego zaprzestania działalności połowowej, a także programów dywersyfikacji gospodarczej;</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wzywa Komisję i państwa członkowskie do przeznaczenia wyodrębnionego budżetu w wysokości co najmniej 7,29 mld EUR na wsparcie </w:t>
            </w:r>
            <w:r>
              <w:rPr>
                <w:b/>
                <w:i/>
              </w:rPr>
              <w:t>modernizacji i odnowy</w:t>
            </w:r>
            <w:r>
              <w:t xml:space="preserve"> floty </w:t>
            </w:r>
            <w:r>
              <w:rPr>
                <w:b/>
                <w:i/>
              </w:rPr>
              <w:t>(w tym selektywnych</w:t>
            </w:r>
            <w:r>
              <w:t xml:space="preserve"> narzędzi połowowych, </w:t>
            </w:r>
            <w:r>
              <w:rPr>
                <w:b/>
                <w:i/>
              </w:rPr>
              <w:t>silników niskoemisyjnych i monitorowania cyfrowego), tymczasowego zaprzestania działalności połowowej, a także programów dywersyfikacji gospodarczej</w:t>
            </w:r>
            <w:r>
              <w:t>;</w:t>
            </w:r>
          </w:p>
        </w:tc>
        <w:tc>
          <w:tcPr>
            <w:tcW w:w="4876" w:type="dxa"/>
            <w:tcBorders>
              <w:top w:val="nil"/>
              <w:left w:val="nil"/>
              <w:bottom w:val="nil"/>
              <w:right w:val="nil"/>
            </w:tcBorders>
          </w:tcPr>
          <w:p>
            <w:pPr>
              <w:pStyle w:val="Normal6a"/>
            </w:pPr>
            <w:r>
              <w:t>8.</w:t>
            </w:r>
            <w:r>
              <w:tab/>
            </w:r>
            <w:r>
              <w:t xml:space="preserve">wzywa Komisję i państwa członkowskie do przeznaczenia wyodrębnionego budżetu w wysokości co najmniej 7,29 mld EUR na wsparcie </w:t>
            </w:r>
            <w:r>
              <w:rPr>
                <w:b/>
                <w:i/>
              </w:rPr>
              <w:t>transformacji ekologicznej i energetycznej</w:t>
            </w:r>
            <w:r>
              <w:t xml:space="preserve"> floty</w:t>
            </w:r>
            <w:r>
              <w:rPr>
                <w:b/>
                <w:i/>
              </w:rPr>
              <w:t>, wspieranie innowacji i lepszej selektywności</w:t>
            </w:r>
            <w:r>
              <w:t xml:space="preserve"> narzędzi połowowych, </w:t>
            </w:r>
            <w:r>
              <w:rPr>
                <w:b/>
                <w:i/>
              </w:rPr>
              <w:t>dekarbonizacji, bezpieczeństwa na pokładzie, lepszych warunków pracy, cyfryzacji przedsiębiorstw rybackich i wymiany pokoleń</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wzywa Komisję i państwa członkowskie do przeznaczenia wyodrębnionego budżetu w wysokości co najmniej 7,29 mld EUR na wsparcie modernizacji i odnowy floty (w tym selektywnych narzędzi połowowych, silników niskoemisyjnych i monitorowania cyfrowego), tymczasowego zaprzestania działalności połowowej, a także programów dywersyfikacji gospodarczej;</w:t>
            </w:r>
          </w:p>
        </w:tc>
        <w:tc>
          <w:tcPr>
            <w:tcW w:w="4876" w:type="dxa"/>
            <w:tcBorders>
              <w:top w:val="nil"/>
              <w:left w:val="nil"/>
              <w:bottom w:val="nil"/>
              <w:right w:val="nil"/>
            </w:tcBorders>
          </w:tcPr>
          <w:p>
            <w:pPr>
              <w:pStyle w:val="Normal6a"/>
            </w:pPr>
            <w:r>
              <w:t>8.</w:t>
            </w:r>
            <w:r>
              <w:tab/>
            </w:r>
            <w:r>
              <w:t xml:space="preserve">wzywa Komisję i państwa członkowskie do przeznaczenia wyodrębnionego budżetu w wysokości co najmniej 7,29 mld EUR na wsparcie modernizacji i odnowy floty (w tym selektywnych narzędzi połowowych, silników niskoemisyjnych i monitorowania cyfrowego), </w:t>
            </w:r>
            <w:r>
              <w:rPr>
                <w:b/>
                <w:i/>
              </w:rPr>
              <w:t>wymiany pokoleń,</w:t>
            </w:r>
            <w:r>
              <w:t xml:space="preserve"> tymczasowego zaprzestania działalności połowowej, a także programów dywersyfikacji gospodarczej;</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 – akapit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wyraża zaniepokojenie możliwym zniknięciem specjalnego instrumentu na rzecz rybołówstwa w kolejnych wieloletnich ramach finansowych (WRF), a także zmniejszeniem i rozmyciem środków finansowych dla tego sektora na inne fundusze ogólne w planach krajowych i regionalnych, co może poważnie zagrozić jego przyszłości;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podkreśla, że Komisja powinna przeprowadzić przegląd i zwiększyć pułap pomocy de minimis mającej zastosowanie do sektora rybołówstwa oraz, w stosownych przypadkach, ustalić go dla każdego statku, biorąc pod uwagę wzrost kosztów energii i paliwa, a także wieloczynnikowe presje wpływające na konkurencyjność i rentowność floty europejskiej;</w:t>
            </w:r>
            <w:r>
              <w:t xml:space="preserve"> </w:t>
            </w:r>
            <w:r>
              <w:rPr>
                <w:b/>
                <w:i/>
              </w:rPr>
              <w:t>uważa, że w kolejnych wieloletnich ramach finansowych instrument ten powinien być zasadniczym elementem wsparcia UE, aby zapewnić odporność, modernizację i rentowność sektora rybołówstwa;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podkreśla, że transformacja ekologiczna sektora rybołówstwa musi być sprawiedliwa społecznie i zrównoważona gospodarczo;</w:t>
            </w:r>
            <w:r>
              <w:t xml:space="preserve"> </w:t>
            </w:r>
            <w:r>
              <w:rPr>
                <w:b/>
                <w:i/>
              </w:rPr>
              <w:t>apeluje o odpowiednie wsparcie finansowe inwestycji niezbędnych do zmniejszenia zużycia energii, poprawy warunków pracy i modernizacji statków, zwłaszcza dla małych i średnich przedsiębiorstw rybackich;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wzywa Komisję i państwa członkowskie do wspierania rybaków w przechodzeniu na w pełni zrównoważone i bezemisyjne rybołówstwo, przy jednoczesnym pełnym i skutecznym wykorzystaniu narzędzi dostępnych w ramach planu wieloletniego dla zachodniej części Morza Śródziemnego, ponieważ długoterminowa rentowność, konkurencyjność i odporność zależą od zdrowych stad ryb;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Nicolás González Casares, Leire Pajín, Alicia Homs Ginel, Sandra Gómez López, Javi López, Laura Ballarín Cereza, Marcos Ros Sempere, Idoia Mendia, Lina Gálvez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wzywa Komisję i państwa członkowskie do wzmocnienia środków kompensacyjnych dla sektora rybołówstwa w związku z usuwaniem odpadów morskich i jego wkładem w oczyszczanie dna morskiego oraz zachęt do tego działania w kontekście wspierania ochrony i odbudowy morskiej różnorodności biologicznej i ekosystemów Morza Śródziemnego;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8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wzywa Komisję i państwa członkowskie do wdrożenia konkretnych środków mających na celu zwiększenie atrakcyjności zawodów związanych z rybołówstwem, w szczególności poprzez wspieranie szkolenia zawodowego, pomoc młodym rybakom w rozpoczęciu działalności gospodarczej, wspieranie równouprawnienia płci w tym sektorze oraz poprawę bezpieczeństwa i higieny pracy;</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wzywa Komisję Europejską do przedstawienia pakietu legislacyjnego w sprawie uproszczenia w celu zapewnienia konkurencyjności wspólnej polityki rybołówstwa;</w:t>
            </w:r>
            <w:r>
              <w:t xml:space="preserve"> </w:t>
            </w:r>
            <w:r>
              <w:rPr>
                <w:b/>
                <w:i/>
              </w:rPr>
              <w:t>pakiet ten powinien obejmować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wzywa Komisję Europejską do przedstawienia pakietu legislacyjnego w sprawie uproszczenia w celu zapewnienia konkurencyjności wspólnej polityki rybołówstwa;</w:t>
            </w:r>
            <w:r>
              <w:t xml:space="preserve"> </w:t>
            </w:r>
            <w:r>
              <w:rPr>
                <w:b/>
                <w:i/>
              </w:rPr>
              <w:t>pakiet ten powinien obejmować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wzywa Komisję Europejską do przedstawienia pakietu legislacyjnego w sprawie uproszczenia w celu zapewnienia konkurencyjności wspólnej polityki rybołówstwa;</w:t>
            </w:r>
            <w:r>
              <w:t xml:space="preserve"> </w:t>
            </w:r>
            <w:r>
              <w:rPr>
                <w:b/>
                <w:i/>
              </w:rPr>
              <w:t>pakiet ten powinien obejmować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wzywa Komisję Europejską do przedstawienia pakietu legislacyjnego w sprawie uproszczenia w celu zapewnienia konkurencyjności wspólnej polityki rybołówstwa; pakiet ten powinien obejmować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t>9.</w:t>
            </w:r>
            <w:r>
              <w:tab/>
            </w:r>
            <w:r>
              <w:t xml:space="preserve">wzywa Komisję Europejską do przedstawienia pakietu legislacyjnego w sprawie uproszczenia w celu zapewnienia konkurencyjności wspólnej polityki rybołówstwa; pakiet ten powinien obejmować ukierunkowany przegląd rozporządzenia w sprawie planu wieloletniego dotyczącego stad dennych w zachodniej części Morza Śródziemnego, z uwzględnieniem zmian i dostosowań wskazanych w niniejszym sprawozdaniu; </w:t>
            </w:r>
            <w:r>
              <w:rPr>
                <w:b/>
                <w:i/>
              </w:rPr>
              <w:t>zwraca uwagę, że taki pakiet legislacyjny powinien również dotyczyć innych kwestii priorytetowych dla sektora, takich jak przegląd niektórych przepisów dotyczących obowiązku wyładunku, wyłączenie takli stawnych z rozporządzenia 2016/2336 w sprawie dostępu do połowów dalekomorskich oraz korekta problematycznych elementów rozporządzenia w sprawie kontroli rybołówstwa, m.in. aspektów związanych ze stosowaniem marginesu tolerancji i elektronicznego systemu identyfikowalności e-Catch, aby zapewnić bardziej proporcjonalne, operacyjne i dostosowane do realiów flot europejskich ramy regulacyjne, które zapewnią ich konkurencyjność na szczeblu globalnym;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wzywa Komisję Europejską do przedstawienia pakietu legislacyjnego w sprawie uproszczenia w celu zapewnienia konkurencyjności wspólnej polityki rybołówstwa; pakiet ten powinien obejmować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t>9.</w:t>
            </w:r>
            <w:r>
              <w:tab/>
            </w:r>
            <w:r>
              <w:t xml:space="preserve">wzywa Komisję Europejską do przedstawienia pakietu legislacyjnego w sprawie uproszczenia w celu zapewnienia konkurencyjności wspólnej polityki rybołówstwa; pakiet ten powinien obejmować ukierunkowany przegląd rozporządzenia w sprawie planu wieloletniego dotyczącego stad dennych w zachodniej części Morza Śródziemnego, z uwzględnieniem zmian i dostosowań wskazanych w niniejszym sprawozdaniu; </w:t>
            </w:r>
            <w:r>
              <w:rPr>
                <w:b/>
                <w:i/>
              </w:rPr>
              <w:t>przypomina, że środki upraszczające procedury administracyjne nie powinny w żadnym wypadku prowadzić do osłabienia celów środowiskowych wspólnej polityki rybołówstwa ani do ograniczenia wymogów w zakresie przejrzystości, kontroli lub gromadzenia danych naukowych;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wzywa Komisję Europejską do przedstawienia pakietu legislacyjnego w sprawie uproszczenia w celu zapewnienia konkurencyjności wspólnej polityki rybołówstwa; pakiet ten powinien obejmować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t>9.</w:t>
            </w:r>
            <w:r>
              <w:tab/>
            </w:r>
            <w:r>
              <w:t>wzywa Komisję Europejską do przedstawienia pakietu legislacyjnego w sprawie uproszczenia w celu zapewnienia konkurencyjności wspólnej polityki rybołówstwa; pakiet ten powinien obejmować ukierunkowany przegląd rozporządzenia w sprawie planu wieloletniego dotyczącego stad dennych</w:t>
            </w:r>
            <w:r>
              <w:rPr>
                <w:b/>
                <w:i/>
              </w:rPr>
              <w:t>, z wyłączeniem wszelkich zmian w kierunku zarządzania przez całkowite dopuszczalne połowy (TAC)</w:t>
            </w:r>
            <w:r>
              <w:t xml:space="preserve"> w zachodniej części Morza Śródziemnego, z uwzględnieniem zmian i dostosowań wskazanych w niniejszym sprawozdaniu</w:t>
            </w:r>
            <w:r>
              <w:rPr>
                <w:b/>
                <w:i/>
              </w:rPr>
              <w:t>, a także zwiększenia jasności przepisów dzięki obowiązkowi określenia metod obliczeniowych, poziomów stosowania i ustaleń dotyczących kumulacji systemów przewidzianych w rozporządzeniach</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France Jamet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wzywa Komisję Europejską do przedstawienia </w:t>
            </w:r>
            <w:r>
              <w:rPr>
                <w:b/>
                <w:i/>
              </w:rPr>
              <w:t>pakietu legislacyjnego w sprawie uproszczenia w celu zapewnienia konkurencyjności</w:t>
            </w:r>
            <w:r>
              <w:t xml:space="preserve"> wspólnej polityki rybołówstwa</w:t>
            </w:r>
            <w:r>
              <w:rPr>
                <w:b/>
                <w:i/>
              </w:rPr>
              <w:t>;</w:t>
            </w:r>
            <w:r>
              <w:t xml:space="preserve"> </w:t>
            </w:r>
            <w:r>
              <w:rPr>
                <w:b/>
                <w:i/>
              </w:rPr>
              <w:t>pakiet ten powinien obejmować</w:t>
            </w:r>
            <w:r>
              <w:t xml:space="preserve"> ukierunkowany przegląd rozporządzenia w sprawie planu wieloletniego dotyczącego stad dennych w zachodniej części Morza Śródziemnego, z uwzględnieniem zmian i dostosowań wskazanych w niniejszym sprawozdaniu;</w:t>
            </w:r>
          </w:p>
        </w:tc>
        <w:tc>
          <w:tcPr>
            <w:tcW w:w="4876" w:type="dxa"/>
            <w:tcBorders>
              <w:top w:val="nil"/>
              <w:left w:val="nil"/>
              <w:bottom w:val="nil"/>
              <w:right w:val="nil"/>
            </w:tcBorders>
          </w:tcPr>
          <w:p>
            <w:pPr>
              <w:pStyle w:val="Normal6a"/>
            </w:pPr>
            <w:r>
              <w:t>9.</w:t>
            </w:r>
            <w:r>
              <w:tab/>
            </w:r>
            <w:r>
              <w:t xml:space="preserve">wzywa Komisję Europejską do przedstawienia </w:t>
            </w:r>
            <w:r>
              <w:rPr>
                <w:b/>
                <w:i/>
              </w:rPr>
              <w:t>kompleksowej i ambitnej reformy</w:t>
            </w:r>
            <w:r>
              <w:t xml:space="preserve"> wspólnej polityki rybołówstwa</w:t>
            </w:r>
            <w:r>
              <w:rPr>
                <w:b/>
                <w:i/>
              </w:rPr>
              <w:t>, która obejmowałaby</w:t>
            </w:r>
            <w:r>
              <w:t xml:space="preserve"> ukierunkowany przegląd rozporządzenia w sprawie planu wieloletniego dotyczącego stad dennych w zachodniej części Morza Śródziemnego, z uwzględnieniem zmian i dostosowań wskazanych w niniejszym sprawozdaniu;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wzywa Komisję, aby w przyszłej wizji Komisji dla rybołówstwa i akwakultury na 2040 r. priorytetowo potraktować konkurencyjność tego sektora przez stworzenie europejskiego planu na rzecz niebieskiej żywności w celu zwiększenia produkcji i konsumpcji europejskich produktów rybołówstwa i akwakultury, a także przez podnoszenie świadomości na temat ich wartości odżywczej, środowiskowej i społeczno-gospodarczej w łańcuchu przemysłu morskiego;</w:t>
            </w:r>
            <w:r>
              <w:t xml:space="preserve"> </w:t>
            </w:r>
            <w:r>
              <w:rPr>
                <w:b/>
                <w:i/>
              </w:rPr>
              <w:t>ponadto wzywa Komisję i państwa członkowskie, by wprowadziły konkretne środki wspierające odnowę pokoleń, które poprawią dostęp młodych rybaków do finansowania, szkoleń, cyfryzacji, innowacji i przedsiębiorczości w sektorze rybołówstwa;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9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wzywa Komisję do poprawy wdrażania wspólnej polityki rybołówstwa przy zapewnieniu celów i norm środowiskowych, klimatycznych, dotyczących dobrostanu zwierząt, przejrzystości oraz celów i norm społecznych;</w:t>
            </w:r>
            <w:r>
              <w:t xml:space="preserve"> </w:t>
            </w:r>
            <w:r>
              <w:rPr>
                <w:b/>
                <w:i/>
              </w:rPr>
              <w:t>przypomina w szczególności o potrzebie wzmocnienia wdrażania obowiązku wyładunku, aby uniknąć nielegalnych odrzutów;</w:t>
            </w:r>
            <w:r>
              <w:t xml:space="preserve"> </w:t>
            </w:r>
            <w:r>
              <w:rPr>
                <w:b/>
                <w:i/>
              </w:rPr>
              <w:t>podkreśla, że uproszczenie musi poprawić wdrażanie przy jednoczesnym utrzymaniu lub wzmocnieniu podejścia ostrożnościowego i ekosystemowego oraz celów w zakresie odbudowy stad ryb i ekosystemów morskich;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wzywa Komisję, aby przed wprowadzeniem dalszych ograniczeń uprawnień do połowów dała wystarczająco dużo czasu na to, by podjęte już środki mogły przynieść wymierne rezultaty i by można było przeprowadzić odpowiednią ocenę ich skutków biologicznych, gospodarczych i społecznych;</w:t>
            </w:r>
          </w:p>
        </w:tc>
        <w:tc>
          <w:tcPr>
            <w:tcW w:w="4876" w:type="dxa"/>
            <w:tcBorders>
              <w:top w:val="nil"/>
              <w:left w:val="nil"/>
              <w:bottom w:val="nil"/>
              <w:right w:val="nil"/>
            </w:tcBorders>
          </w:tcPr>
          <w:p>
            <w:pPr>
              <w:pStyle w:val="Normal6a"/>
            </w:pPr>
            <w:r>
              <w:t>10.</w:t>
            </w:r>
            <w:r>
              <w:tab/>
            </w:r>
            <w:r>
              <w:t xml:space="preserve">wzywa Komisję, aby przed wprowadzeniem dalszych ograniczeń uprawnień do połowów </w:t>
            </w:r>
            <w:r>
              <w:rPr>
                <w:b/>
                <w:i/>
              </w:rPr>
              <w:t>(również za pomocą środków ochronnych)</w:t>
            </w:r>
            <w:r>
              <w:t xml:space="preserve"> dała wystarczająco dużo czasu na to, by podjęte już środki mogły przynieść wymierne rezultaty i by można było przeprowadzić odpowiednią ocenę ich skutków biologicznych, gospodarczych i społecznych</w:t>
            </w:r>
            <w:r>
              <w:rPr>
                <w:b/>
                <w:i/>
              </w:rPr>
              <w:t>, a także do przeprowadzenia analizy kosztów i korzyści oraz oceny naukowej biologicznych, gospodarczych i społecznych skutków już obowiązujących środków, oraz do utrzymania środków alternatywnych, jeżeli okażą się one bardziej odpowiednie, w celu zapewnienia, aby każda nowa decyzja opierała się na obiektywnie wykazanych wynikach</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Nora Junco García, Kristoffer Storm, Piotr Müller, Stephen Nikola Bartulica,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wzywa Komisję, aby przed wprowadzeniem dalszych ograniczeń uprawnień do połowów </w:t>
            </w:r>
            <w:r>
              <w:rPr>
                <w:b/>
                <w:i/>
              </w:rPr>
              <w:t>dała wystarczająco dużo czasu</w:t>
            </w:r>
            <w:r>
              <w:t xml:space="preserve"> na to, by podjęte już środki mogły przynieść wymierne rezultaty i by można było przeprowadzić </w:t>
            </w:r>
            <w:r>
              <w:rPr>
                <w:b/>
                <w:i/>
              </w:rPr>
              <w:t>odpowiednią</w:t>
            </w:r>
            <w:r>
              <w:t xml:space="preserve"> ocenę ich skutków biologicznych, gospodarczych i społecznych;</w:t>
            </w:r>
          </w:p>
        </w:tc>
        <w:tc>
          <w:tcPr>
            <w:tcW w:w="4876" w:type="dxa"/>
            <w:tcBorders>
              <w:top w:val="nil"/>
              <w:left w:val="nil"/>
              <w:bottom w:val="nil"/>
              <w:right w:val="nil"/>
            </w:tcBorders>
          </w:tcPr>
          <w:p>
            <w:pPr>
              <w:pStyle w:val="Normal6a"/>
            </w:pPr>
            <w:r>
              <w:t>10.</w:t>
            </w:r>
            <w:r>
              <w:tab/>
            </w:r>
            <w:r>
              <w:t xml:space="preserve">wzywa Komisję, aby przed wprowadzeniem dalszych ograniczeń uprawnień do połowów </w:t>
            </w:r>
            <w:r>
              <w:rPr>
                <w:b/>
                <w:i/>
              </w:rPr>
              <w:t>lub nakładu połowowego wyznaczyła termin wynoszący co najmniej dwa roczne cykle zarządzania</w:t>
            </w:r>
            <w:r>
              <w:t xml:space="preserve"> na to, by podjęte już środki mogły przynieść wymierne rezultaty i by można było przeprowadzić </w:t>
            </w:r>
            <w:r>
              <w:rPr>
                <w:b/>
                <w:i/>
              </w:rPr>
              <w:t>niezależną</w:t>
            </w:r>
            <w:r>
              <w:t xml:space="preserve"> ocenę ich skutków biologicznych, gospodarczych i społecznych; </w:t>
            </w:r>
            <w:r>
              <w:rPr>
                <w:b/>
                <w:i/>
              </w:rPr>
              <w:t>uważa, że w przypadku braku takiej oceny należy utrzymać obecny poziom nakładu połowowego bez dalszych ograniczeń;</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wzywa Komisję, aby </w:t>
            </w:r>
            <w:r>
              <w:rPr>
                <w:b/>
                <w:i/>
              </w:rPr>
              <w:t>przed wprowadzeniem dalszych ograniczeń</w:t>
            </w:r>
            <w:r>
              <w:t xml:space="preserve"> uprawnień do połowów </w:t>
            </w:r>
            <w:r>
              <w:rPr>
                <w:b/>
                <w:i/>
              </w:rPr>
              <w:t>dała wystarczająco dużo czasu na to, by podjęte już środki mogły przynieść wymierne rezultaty i by można było przeprowadzić odpowiednią ocenę ich skutków biologicznych, gospodarczych i społecznych</w:t>
            </w:r>
            <w:r>
              <w:t>;</w:t>
            </w:r>
          </w:p>
        </w:tc>
        <w:tc>
          <w:tcPr>
            <w:tcW w:w="4876" w:type="dxa"/>
            <w:tcBorders>
              <w:top w:val="nil"/>
              <w:left w:val="nil"/>
              <w:bottom w:val="nil"/>
              <w:right w:val="nil"/>
            </w:tcBorders>
          </w:tcPr>
          <w:p>
            <w:pPr>
              <w:pStyle w:val="Normal6a"/>
            </w:pPr>
            <w:r>
              <w:t>10.</w:t>
            </w:r>
            <w:r>
              <w:tab/>
            </w:r>
            <w:r>
              <w:t xml:space="preserve">wzywa Komisję, aby </w:t>
            </w:r>
            <w:r>
              <w:rPr>
                <w:b/>
                <w:i/>
              </w:rPr>
              <w:t>przy proponowaniu</w:t>
            </w:r>
            <w:r>
              <w:t xml:space="preserve"> uprawnień do połowów </w:t>
            </w:r>
            <w:r>
              <w:rPr>
                <w:b/>
                <w:i/>
              </w:rPr>
              <w:t>stad w ramach planu wieloletniego dla zachodniej części Morza Śródziemnego oceniła biologiczne, gospodarcze i społeczne skutki już przyjętych środków, w stosownych przypadkach, przy jednoczesnym zapewnieniu, aby w przypadku gdy stada pozostają przełowione lub znajdują się poniżej ostrożnościowych poziomów biomasy, uprawnienia do połowów nadal były zgodne z najlepszymi dostępnymi opiniami naukowymi oraz celami planu i WPRyb</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wzywa Komisję</w:t>
            </w:r>
            <w:r>
              <w:rPr>
                <w:b/>
                <w:i/>
              </w:rPr>
              <w:t>, aby przed wprowadzeniem dalszych ograniczeń uprawnień do połowów dała wystarczająco dużo czasu na to, by podjęte już środki mogły przynieść wymierne rezultaty i by można było przeprowadzić odpowiednią ocenę ich skutków</w:t>
            </w:r>
            <w:r>
              <w:t xml:space="preserve"> biologicznych, gospodarczych i społecznych;</w:t>
            </w:r>
          </w:p>
        </w:tc>
        <w:tc>
          <w:tcPr>
            <w:tcW w:w="4876" w:type="dxa"/>
            <w:tcBorders>
              <w:top w:val="nil"/>
              <w:left w:val="nil"/>
              <w:bottom w:val="nil"/>
              <w:right w:val="nil"/>
            </w:tcBorders>
          </w:tcPr>
          <w:p>
            <w:pPr>
              <w:pStyle w:val="Normal6a"/>
            </w:pPr>
            <w:r>
              <w:t>10.</w:t>
            </w:r>
            <w:r>
              <w:tab/>
            </w:r>
            <w:r>
              <w:t xml:space="preserve">wzywa Komisję </w:t>
            </w:r>
            <w:r>
              <w:rPr>
                <w:b/>
                <w:i/>
              </w:rPr>
              <w:t>do regularnej oceny</w:t>
            </w:r>
            <w:r>
              <w:t xml:space="preserve"> biologicznych</w:t>
            </w:r>
            <w:r>
              <w:rPr>
                <w:b/>
                <w:i/>
              </w:rPr>
              <w:t>, ekologicznych, klimatycznych, związanych z dobrostanem zwierząt</w:t>
            </w:r>
            <w:r>
              <w:t xml:space="preserve">, gospodarczych i społecznych </w:t>
            </w:r>
            <w:r>
              <w:rPr>
                <w:b/>
                <w:i/>
              </w:rPr>
              <w:t>skutków środków zarządzania</w:t>
            </w:r>
            <w:r>
              <w:t xml:space="preserve">; </w:t>
            </w:r>
            <w:r>
              <w:rPr>
                <w:b/>
                <w:i/>
              </w:rPr>
              <w:t>podkreśla, że nie można powoływać się na brak całkowitej pewności naukowej w celu opóźnienia środków niezbędnych do zapobiegania poważnym lub nieodwracalnym szkodom dla zwierząt morskich, uszczuplonych populacji ryb, gatunków chronionych, siedlisk lub funkcjonowania ekosystemu w szerszym ujęciu;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wzywa Komisję, aby przed wprowadzeniem dalszych ograniczeń uprawnień do połowów dała wystarczająco dużo czasu na to, by podjęte już środki mogły przynieść wymierne rezultaty i by można było przeprowadzić odpowiednią ocenę ich skutków biologicznych, gospodarczych i społecznych;</w:t>
            </w:r>
          </w:p>
        </w:tc>
        <w:tc>
          <w:tcPr>
            <w:tcW w:w="4876" w:type="dxa"/>
            <w:tcBorders>
              <w:top w:val="nil"/>
              <w:left w:val="nil"/>
              <w:bottom w:val="nil"/>
              <w:right w:val="nil"/>
            </w:tcBorders>
          </w:tcPr>
          <w:p>
            <w:pPr>
              <w:pStyle w:val="Normal6a"/>
            </w:pPr>
            <w:r>
              <w:t>10.</w:t>
            </w:r>
            <w:r>
              <w:tab/>
            </w:r>
            <w:r>
              <w:t>wzywa Komisję, aby przed wprowadzeniem dalszych ograniczeń uprawnień do połowów dała wystarczająco dużo czasu na to, by podjęte już środki mogły przynieść wymierne rezultaty i by można było przeprowadzić odpowiednią ocenę ich skutków biologicznych, gospodarczych i społecznych</w:t>
            </w:r>
            <w:r>
              <w:rPr>
                <w:b/>
                <w:i/>
              </w:rPr>
              <w:t>, co pozwoli zapewnić stabilne i przewidywalne ramy regulacyjne, które umożliwią przedsiębiorstwom planowanie inwestycji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Emma Wiesner, 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wzywa Komisję, aby przed wprowadzeniem dalszych </w:t>
            </w:r>
            <w:r>
              <w:rPr>
                <w:b/>
                <w:i/>
              </w:rPr>
              <w:t>ograniczeń</w:t>
            </w:r>
            <w:r>
              <w:t xml:space="preserve"> uprawnień do połowów </w:t>
            </w:r>
            <w:r>
              <w:rPr>
                <w:b/>
                <w:i/>
              </w:rPr>
              <w:t>dała wystarczająco dużo czasu na to, by</w:t>
            </w:r>
            <w:r>
              <w:t xml:space="preserve"> podjęte już środki mogły przynieść wymierne rezultaty i by można było przeprowadzić odpowiednią ocenę ich skutków biologicznych, gospodarczych i społecznych;</w:t>
            </w:r>
          </w:p>
        </w:tc>
        <w:tc>
          <w:tcPr>
            <w:tcW w:w="4876" w:type="dxa"/>
            <w:tcBorders>
              <w:top w:val="nil"/>
              <w:left w:val="nil"/>
              <w:bottom w:val="nil"/>
              <w:right w:val="nil"/>
            </w:tcBorders>
          </w:tcPr>
          <w:p>
            <w:pPr>
              <w:pStyle w:val="Normal6a"/>
            </w:pPr>
            <w:r>
              <w:t>10.</w:t>
            </w:r>
            <w:r>
              <w:tab/>
            </w:r>
            <w:r>
              <w:t xml:space="preserve">wzywa Komisję </w:t>
            </w:r>
            <w:r>
              <w:rPr>
                <w:b/>
                <w:i/>
              </w:rPr>
              <w:t>i państwa członkowskie</w:t>
            </w:r>
            <w:r>
              <w:t xml:space="preserve">, aby przed wprowadzeniem dalszych </w:t>
            </w:r>
            <w:r>
              <w:rPr>
                <w:b/>
                <w:i/>
              </w:rPr>
              <w:t>środków dotyczących</w:t>
            </w:r>
            <w:r>
              <w:t xml:space="preserve"> uprawnień do połowów </w:t>
            </w:r>
            <w:r>
              <w:rPr>
                <w:b/>
                <w:i/>
              </w:rPr>
              <w:t>wzięły pod uwagę, że</w:t>
            </w:r>
            <w:r>
              <w:t xml:space="preserve"> podjęte już środki </w:t>
            </w:r>
            <w:r>
              <w:rPr>
                <w:b/>
                <w:i/>
              </w:rPr>
              <w:t>potrzebują odpowiedniego czasu, by</w:t>
            </w:r>
            <w:r>
              <w:t xml:space="preserve"> mogły przynieść wymierne rezultaty i by można było przeprowadzić odpowiednią ocenę ich skutków biologicznych, gospodarczych i społecznych;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Carmen Crespo Díaz, Isabelle Le Callennec, Paulo do Nascimento Cabral, Susana Solís Pérez, Francisco José Millán Mon, Fredis Beleris, 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przypomina, że zrównoważony charakter rybołówstwa należy oceniać w oparciu o trzy filary wspólnej polityki rybołówstwa (środowiskowy, gospodarczy i społeczny), które mają ten sam status prawny i powinny być stosowane w sposób zrównoważony, unikając sytuacji, w której jeden z nich systematycznie przeważa nad pozostałymi;</w:t>
            </w:r>
            <w:r>
              <w:t xml:space="preserve"> </w:t>
            </w:r>
            <w:r>
              <w:rPr>
                <w:b/>
                <w:i/>
              </w:rPr>
              <w:t>przypomina, że wspólna polityka rybołówstwa należy do wyłącznych kompetencji Unii na mocy art. 3 TFUE, ponieważ jest jedną z kluczowych zintegrowanych strategii politycznych Unii, oraz że jej skuteczność, spójność i właściwe funkcjonowanie wymagają w pełni europejskiego podejścia, pozwalającego uniknąć ryzyka fragmentacji lub renacjonalizacji decyzji w sprawie zarządzania;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Mélissa Camara</w:t>
      </w:r>
      <w:r>
        <w:rPr>
          <w:rStyle w:val="HideTWBExt"/>
          <w:b w:val="0"/>
        </w:rPr>
        <w:t>&lt;/Members&gt;</w:t>
      </w:r>
    </w:p>
    <w:p>
      <w:r>
        <w:rPr>
          <w:rStyle w:val="HideTWBExt"/>
          <w:b w:val="0"/>
        </w:rPr>
        <w:t>&lt;AuNomDe&gt;</w:t>
      </w:r>
      <w:r>
        <w:rPr>
          <w:rStyle w:val="HideTWBInt"/>
        </w:rPr>
        <w:t>{Verts/ALE}</w:t>
      </w:r>
      <w:r>
        <w:t>w imieniu grupy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wzywa Komisję do dopilnowania, aby wszelkie przyszłe dostosowania dotyczące zarządzania rybołówstwem na Morzu Śródziemnym opierały się na przejrzystych, opartych na podstawach naukowych i ekosystemowych ocenach, zapewniały wystarczająco dużo czasu na wykazanie skuteczności niedawno przyjętych środków ochrony, przy jednoczesnym ścisłym monitorowaniu ich wpływu na stada ryb, ekosystemy morskie i społeczności zależne od rybołówstwa;</w:t>
            </w:r>
            <w:r>
              <w:t xml:space="preserve"> </w:t>
            </w:r>
            <w:r>
              <w:rPr>
                <w:b/>
                <w:i/>
              </w:rPr>
              <w:t>podkreśla potrzebę połączenia skutecznych środków ochrony ze wsparciem na rzecz sprawiedliwej transformacji w kierunku zrównoważonego rybołówstwa o niewielkim wpływie na środowisko i rybołówstwa bezemisyjnego;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Eric Sargiacomo, Nicolás González Casares, Giuseppe Lupo, Sakis Arnaoutoglou, Idoia Mendia, Chloé Ridel, Claire Fita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wzywa Komisję do przedłożenia Parlamentowi Europejskiemu, nie później niż trzy lata po wejściu w życie zmienionego rozporządzenia, sprawozdania z oceny jego skutków biologicznych, gospodarczych, społecznych i terytorialnych, analizującego w szczególności wpływ na dochody rybaków, zatrudnienie, wymianę pokoleń, odporność społeczności nadbrzeżnych, stan głównych stad ryb oraz skumulowany wpływ innych polityk morskich UE na działalność połowową;</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wzywa Komisję i państwa członkowskie do wprowadzenia zakazu stosowania ruchomych narzędzi połowowych mających kontakt z dnem na obszarach ściśle chronionych oraz do ich stopniowego wycofywania we wrażliwych ekosystemach morskich, na łąkach trawy morskiej, w siedliskach koralowców i siedliskach głębinowych, na tarliskach i obszarach dojrzewania narybku oraz na obszarach wyznaczonych do odbudowy ekologicznej;</w:t>
            </w:r>
            <w:r>
              <w:t xml:space="preserve"> </w:t>
            </w:r>
            <w:r>
              <w:rPr>
                <w:b/>
                <w:i/>
              </w:rPr>
              <w:t>wzywa do ukierunkowanego wsparcia sprawiedliwej transformacji dla dotkniętych nią pracowników i społeczności nadbrzeżnych;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wzywa do wprowadzenia wiążących, wymiernych i określonych w czasie środków mających na celu zapobieganie przyłowom i śmiertelności gatunków niedocelowych i chronionych, w tym rekinów, płaszczek, waleni, żółwi morskich i ptaków morskich, oraz ich ograniczanie;</w:t>
            </w:r>
            <w:r>
              <w:t xml:space="preserve"> </w:t>
            </w:r>
            <w:r>
              <w:rPr>
                <w:b/>
                <w:i/>
              </w:rPr>
              <w:t>wzywa do obowiązkowego stosowania najskuteczniejszych dostępnych środków łagodzących, niezależnego monitorowania i tymczasowego zamykania w razie potrzeby obszarów wysokiego ryzyka;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przypomina, że art. 13 TFUE wymaga, aby przy formułowaniu i wdrażaniu polityki rybołówstwa Unia w pełni uwzględniała wymagania w zakresie dobrostanu zwierząt jako istot zdolnych do odczuwania;</w:t>
            </w:r>
            <w:r>
              <w:t xml:space="preserve"> </w:t>
            </w:r>
            <w:r>
              <w:rPr>
                <w:b/>
                <w:i/>
              </w:rPr>
              <w:t>wzywa Komisję do wspierania badań nad praktykami w zakresie odłowu, wyciągania z wody, przemieszczania, ogłuszania i uśmiercania, które minimalizują czas trwania i stopień cierpienia ryb i skorupiaków, oraz do stopniowego wprowadzania tych praktyk;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10d.</w:t>
            </w:r>
            <w:r>
              <w:tab/>
            </w:r>
            <w:r>
              <w:rPr>
                <w:b/>
                <w:i/>
              </w:rPr>
              <w:t>wzywa Komisję do dokonania oceny i zmniejszenia śladu klimatycznego rybołówstwa w regionie Morza Śródziemnego, w tym zużycia paliwa, szkód w ekosystemach niebieskiego dwutlenku węgla, czynników chłodniczych oraz emisji w łańcuchu dostaw;</w:t>
            </w:r>
            <w:r>
              <w:t xml:space="preserve"> </w:t>
            </w:r>
            <w:r>
              <w:rPr>
                <w:b/>
                <w:i/>
              </w:rPr>
              <w:t>podkreśla, że w ramach wsparcia publicznego należy priorytetowo traktować bezwzględną redukcję emisji oraz rybołówstwo o niewielkim wpływie na środowisko, a także nie powinno się przedłużać zależności od paliw kopalnych;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10e.</w:t>
            </w:r>
            <w:r>
              <w:tab/>
            </w:r>
            <w:r>
              <w:rPr>
                <w:b/>
                <w:i/>
              </w:rPr>
              <w:t>podkreśla, że transformacja ekologiczna musi być sprawiedliwa społecznie;</w:t>
            </w:r>
            <w:r>
              <w:t xml:space="preserve"> </w:t>
            </w:r>
            <w:r>
              <w:rPr>
                <w:b/>
                <w:i/>
              </w:rPr>
              <w:t>apeluje o ukierunkowane wsparcie dochodów, ochronę socjalną, przekwalifikowanie, środki bezpieczeństwa pracy i alternatywne możliwości zatrudnienia dla zainteresowanych rybaków i pracowników;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f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10f.</w:t>
            </w:r>
            <w:r>
              <w:tab/>
            </w:r>
            <w:r>
              <w:rPr>
                <w:b/>
                <w:i/>
              </w:rPr>
              <w:t>apeluje, aby unijne i krajowe wsparcie finansowe było uzależnione od przestrzegania przepisów dotyczących rybołówstwa, środowiska, pracy i dobrostanu zwierząt;</w:t>
            </w:r>
            <w:r>
              <w:t xml:space="preserve"> </w:t>
            </w:r>
            <w:r>
              <w:rPr>
                <w:b/>
                <w:i/>
              </w:rPr>
              <w:t>podkreśla, że operatorzy odpowiedzialni za poważne lub powtarzające się naruszenia powinni być wyłączeni ze wsparcia publicznego na odpowiednio długi okres, który zapewni skuteczność i proporcjonalność tego środka;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Projekt rezolucji</w:t>
      </w:r>
      <w:r>
        <w:rPr>
          <w:rStyle w:val="HideTWBExt"/>
        </w:rPr>
        <w:t>&lt;/DocAmend&gt;</w:t>
      </w:r>
    </w:p>
    <w:p>
      <w:pPr>
        <w:pStyle w:val="NormalBold"/>
      </w:pPr>
      <w:r>
        <w:rPr>
          <w:rStyle w:val="HideTWBExt"/>
        </w:rPr>
        <w:t>&lt;Article&gt;</w:t>
      </w:r>
      <w:r>
        <w:t>Ustęp 10 g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10g.</w:t>
            </w:r>
            <w:r>
              <w:tab/>
            </w:r>
            <w:r>
              <w:rPr>
                <w:b/>
                <w:i/>
              </w:rPr>
              <w:t>wzywa państwa członkowskie do priorytetowego zajęcia się utrzymującą się nierównowagą między zdolnością połowową a uprawnieniami do połowów w zachodniej części Morza Śródziemnego poprzez sprawiedliwe, dobrowolne i trwałe środki dostosowania zdolności połowowej, wraz z odpowiednim wsparciem dla zainteresowanych rybaków i społeczności rybackich oraz możliwościami dywersyfikacji w celu zapewnienia sprawiedliwej transformacji;</w:t>
            </w:r>
            <w:r>
              <w:t xml:space="preserve"> </w:t>
            </w:r>
            <w:r>
              <w:rPr>
                <w:b/>
                <w:i/>
              </w:rPr>
              <w:t>podkreśla, że nadwyżka zdolności połowowej nie może być przenoszona na inne regiony lub łowiska;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791.020</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126</w:t>
    </w:r>
    <w:r>
      <w:fldChar w:fldCharType="end"/>
    </w:r>
    <w:r>
      <w:t>/</w:t>
    </w:r>
    <w:r>
      <w:fldChar w:fldCharType="begin"/>
    </w:r>
    <w:r>
      <w:instrText xml:space="preserve"> NUMPAGES </w:instrText>
    </w:r>
    <w:r>
      <w:fldChar w:fldCharType="separate"/>
    </w:r>
    <w:r>
      <w:t>126</w:t>
    </w:r>
    <w:r>
      <w:fldChar w:fldCharType="end"/>
    </w:r>
    <w:r>
      <w:tab/>
    </w:r>
    <w:r>
      <w:rPr>
        <w:rStyle w:val="HideTWBExt"/>
      </w:rPr>
      <w:t>&lt;PathFdR&gt;</w:t>
    </w:r>
    <w:r>
      <w:t>AM\1348234PL.docx</w:t>
    </w:r>
    <w:r>
      <w:rPr>
        <w:rStyle w:val="HideTWBExt"/>
      </w:rPr>
      <w:t>&lt;/PathFdR&gt;</w:t>
    </w:r>
  </w:p>
  <w:p>
    <w:pPr>
      <w:pStyle w:val="EPFooter2"/>
    </w:pPr>
    <w:r>
      <w:t>PL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AM\1348234PL.docx</w:t>
    </w:r>
    <w:r>
      <w:rPr>
        <w:rStyle w:val="HideTWBExt"/>
      </w:rPr>
      <w:t>&lt;/PathFdR&gt;</w:t>
    </w:r>
    <w:r>
      <w:tab/>
    </w:r>
    <w:r>
      <w:fldChar w:fldCharType="begin"/>
    </w:r>
    <w:r>
      <w:instrText xml:space="preserve"> PAGE </w:instrText>
    </w:r>
    <w:r>
      <w:fldChar w:fldCharType="separate"/>
    </w:r>
    <w:r>
      <w:t>125</w:t>
    </w:r>
    <w:r>
      <w:fldChar w:fldCharType="end"/>
    </w:r>
    <w:r>
      <w:t>/</w:t>
    </w:r>
    <w:r>
      <w:fldChar w:fldCharType="begin"/>
    </w:r>
    <w:r>
      <w:instrText xml:space="preserve"> NUMPAGES </w:instrText>
    </w:r>
    <w:r>
      <w:fldChar w:fldCharType="separate"/>
    </w:r>
    <w:r>
      <w:t>126</w:t>
    </w:r>
    <w:r>
      <w:fldChar w:fldCharType="end"/>
    </w:r>
    <w:r>
      <w:tab/>
    </w:r>
    <w:r>
      <w:t>PE</w:t>
    </w:r>
    <w:r>
      <w:rPr>
        <w:rStyle w:val="HideTWBExt"/>
      </w:rPr>
      <w:t>&lt;NoPE&gt;</w:t>
    </w:r>
    <w:r>
      <w:t>791.020</w:t>
    </w:r>
    <w:r>
      <w:rPr>
        <w:rStyle w:val="HideTWBExt"/>
      </w:rPr>
      <w:t>&lt;/NoPE&gt;</w:t>
    </w:r>
    <w:r>
      <w:rPr>
        <w:rStyle w:val="HideTWBExt"/>
      </w:rPr>
      <w:t>&lt;Version&gt;</w:t>
    </w:r>
    <w:r>
      <w:t>v01-00</w:t>
    </w:r>
    <w:r>
      <w:rPr>
        <w:rStyle w:val="HideTWBExt"/>
      </w:rPr>
      <w:t>&lt;/Version&gt;</w:t>
    </w:r>
  </w:p>
  <w:p>
    <w:pPr>
      <w:pStyle w:val="EPFooter2"/>
    </w:pPr>
    <w:r>
      <w:tab/>
    </w:r>
    <w:r>
      <w:tab/>
    </w:r>
    <w:r>
      <w:t>PL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AM\1348234PL.docx</w:t>
    </w:r>
    <w:r>
      <w:rPr>
        <w:rStyle w:val="HideTWBExt"/>
      </w:rPr>
      <w:t>&lt;/PathFdR&gt;</w:t>
    </w:r>
    <w:r>
      <w:tab/>
    </w:r>
    <w:r>
      <w:tab/>
    </w:r>
    <w:r>
      <w:t>PE</w:t>
    </w:r>
    <w:r>
      <w:rPr>
        <w:rStyle w:val="HideTWBExt"/>
      </w:rPr>
      <w:t>&lt;NoPE&gt;</w:t>
    </w:r>
    <w:r>
      <w:t>791.020</w:t>
    </w:r>
    <w:r>
      <w:rPr>
        <w:rStyle w:val="HideTWBExt"/>
      </w:rPr>
      <w:t>&lt;/NoPE&gt;</w:t>
    </w:r>
    <w:r>
      <w:rPr>
        <w:rStyle w:val="HideTWBExt"/>
      </w:rPr>
      <w:t>&lt;Version&gt;</w:t>
    </w:r>
    <w:r>
      <w:t>v01-00</w:t>
    </w:r>
    <w:r>
      <w:rPr>
        <w:rStyle w:val="HideTWBExt"/>
      </w:rPr>
      <w:t>&lt;/Version&gt;</w:t>
    </w:r>
  </w:p>
  <w:p>
    <w:pPr>
      <w:pStyle w:val="EPFooter2"/>
    </w:pPr>
    <w:r>
      <w:t>PL</w:t>
    </w:r>
    <w:r>
      <w:tab/>
    </w:r>
    <w:r>
      <w:rPr>
        <w:rStyle w:val="EPFooter2Motto"/>
      </w:rPr>
      <w:t>Zjednoczona w różnorodności</w:t>
    </w:r>
    <w:r>
      <w:tab/>
    </w:r>
    <w:r>
      <w:t>PL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Body">
    <w:name w:val="EPBody"/>
    <w:basedOn w:val="Normal"/>
    <w:pPr>
      <w:widowControl/>
      <w:jc w:val="center"/>
    </w:pPr>
    <w:rPr>
      <w:rFonts w:ascii="Arial" w:eastAsia="Arial" w:hAnsi="Arial" w:cs="Arial"/>
      <w:i/>
      <w:sz w:val="22"/>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126</Pages>
  <Words>21787</Words>
  <Characters>146608</Characters>
  <Application>Microsoft Office Word</Application>
  <DocSecurity>0</DocSecurity>
  <Lines>1</Lines>
  <Paragraphs>2144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1348234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598883</vt:lpwstr>
  </property>
  <property fmtid="{D5CDD505-2E9C-101B-9397-08002B2CF9AE}" pid="7" name="dmxml.render.traceId">
    <vt:lpwstr>6a883733250bcf3340bab3775c6301c4</vt:lpwstr>
  </property>
  <property fmtid="{D5CDD505-2E9C-101B-9397-08002B2CF9AE}" pid="8" name="FooterPath">
    <vt:lpwstr>AM\1348234PL.docx</vt:lpwstr>
  </property>
  <property fmtid="{D5CDD505-2E9C-101B-9397-08002B2CF9AE}" pid="9" name="PE Number">
    <vt:lpwstr>791.020</vt:lpwstr>
  </property>
  <property fmtid="{D5CDD505-2E9C-101B-9397-08002B2CF9AE}" pid="10" name="UID">
    <vt:lpwstr>eu.europa.europarl-DIN1-2026-0000229678_02.00-pl-01.00_text-xml</vt:lpwstr>
  </property>
</Properties>
</file>