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Fiskeriutskottet</w:t>
      </w:r>
      <w:r>
        <w:rPr>
          <w:rStyle w:val="HideTWBExt"/>
        </w:rPr>
        <w:t>&lt;/Commission&gt;</w:t>
      </w:r>
    </w:p>
    <w:p>
      <w:pPr>
        <w:pStyle w:val="LineBottom"/>
      </w:pPr>
      <w:r>
        <w:t xml:space="preserve"> </w:t>
      </w:r>
    </w:p>
    <w:p>
      <w:pPr>
        <w:pStyle w:val="CoverReference"/>
      </w:pPr>
      <w:r>
        <w:rPr>
          <w:rStyle w:val="HideTWBExt"/>
        </w:rPr>
        <w:t>&lt;RefProc&gt;</w:t>
      </w:r>
      <w:r>
        <w:t>2026/2074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{20/07/2026}</w:t>
      </w:r>
      <w:r>
        <w:t>20.7.2026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245</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Carmen Crespo Díaz</w:t>
      </w:r>
      <w:r>
        <w:rPr>
          <w:rStyle w:val="HideTWBExt"/>
        </w:rPr>
        <w:t>&lt;/Rapporteur&gt;</w:t>
      </w:r>
    </w:p>
    <w:p>
      <w:pPr>
        <w:pStyle w:val="CoverNormal24a"/>
      </w:pPr>
      <w:r>
        <w:rPr>
          <w:rStyle w:val="HideTWBExt"/>
        </w:rPr>
        <w:t>&lt;DocRefPE&gt;</w:t>
      </w:r>
      <w:r>
        <w:t>(PE789.948v01-00)</w:t>
      </w:r>
      <w:r>
        <w:rPr>
          <w:rStyle w:val="HideTWBExt"/>
        </w:rPr>
        <w:t>&lt;/DocRefPE&gt;</w:t>
      </w:r>
    </w:p>
    <w:p>
      <w:pPr>
        <w:pStyle w:val="CoverNormal"/>
      </w:pPr>
      <w:r>
        <w:rPr>
          <w:rStyle w:val="HideTWBExt"/>
        </w:rPr>
        <w:t>&lt;Titre&gt;</w:t>
      </w:r>
      <w:r>
        <w:t>En flerårig plan för de fisken som nyttjar demersala bestånd i västra Medelhavet</w:t>
      </w:r>
      <w:r>
        <w:rPr>
          <w:rStyle w:val="HideTWBExt"/>
        </w:rPr>
        <w:t>&lt;/Titre&gt;</w:t>
      </w:r>
    </w:p>
    <w:p>
      <w:pPr>
        <w:pStyle w:val="CoverNormal24a"/>
      </w:pPr>
      <w:r>
        <w:rPr>
          <w:rStyle w:val="HideTWBExt"/>
        </w:rPr>
        <w:t>&lt;DocRef&gt;</w:t>
      </w:r>
      <w:r>
        <w:t>(2026/2074(INI))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artikel 13 i fördraget om Europeiska unionens funktionssätt, som föreskriver att unionen och medlemsstaterna vid utformning och genomförande av unionens fiskeripolitik ska ta full hänsyn till välfärd för djuren som kännande varelser,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det interinstitutionella avtalet av den 13 april 2016 om bättre lagstiftning, särskilt dess principer om samråd med berörda parter, konsekvensbedömning, lagstiftningens kvalitet och Europaparlamentets demokratiska granskning,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med beaktande av </w:t>
            </w:r>
            <w:r>
              <w:rPr>
                <w:b/>
                <w:i/>
              </w:rPr>
              <w:t>rapporten</w:t>
            </w:r>
            <w:r>
              <w:t xml:space="preserve"> om tillståndet för fisket i Medelhavet och Svarta havet från Allmänna kommissionen för fiske i Medelhavet (AKFM), som lyder under FN:s livsmedels- och jordbruksorganisation (FAO),</w:t>
            </w:r>
          </w:p>
        </w:tc>
        <w:tc>
          <w:tcPr>
            <w:tcW w:w="4876" w:type="dxa"/>
            <w:tcBorders>
              <w:top w:val="nil"/>
              <w:left w:val="nil"/>
              <w:bottom w:val="nil"/>
              <w:right w:val="nil"/>
            </w:tcBorders>
          </w:tcPr>
          <w:p>
            <w:pPr>
              <w:pStyle w:val="Normal6a"/>
            </w:pPr>
            <w:r>
              <w:rPr>
                <w:b/>
                <w:i/>
              </w:rPr>
              <w:t>–</w:t>
            </w:r>
            <w:r>
              <w:tab/>
            </w:r>
            <w:r>
              <w:t xml:space="preserve">med beaktande av </w:t>
            </w:r>
            <w:r>
              <w:rPr>
                <w:b/>
                <w:i/>
              </w:rPr>
              <w:t>2025 års rapport</w:t>
            </w:r>
            <w:r>
              <w:t xml:space="preserve"> om tillståndet för fisket i Medelhavet och Svarta havet från Allmänna kommissionen för fiske i Medelhavet (AKFM), som lyder under FN:s livsmedels- och jordbruksorganisation (FAO),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10a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(EU) 2021/1119 om inrättande av en ram för att uppnå klimatneutralitet (europeisk klimatlag),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10b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(EU) 2024/1991 om restaurering av natur och om ändring av förordning (EU) 2022/869,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rapporten från vetenskapliga, tekniska och ekonomiska kommittén för fiskerinäringen (STECF) "Social Data in EU Fisheries:</w:t>
            </w:r>
            <w:r>
              <w:t xml:space="preserve"> </w:t>
            </w:r>
            <w:r>
              <w:rPr>
                <w:b/>
                <w:i/>
              </w:rPr>
              <w:t>methodology, dissemination, analysis and evaluation" (STECF 52-02 och 25-13),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7 juni 2022 om genomförandet av artikel 17 i förordningen om den gemensamma fiskeripolitiken,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28 april 2026 om enklare, tydligare och bättre genomdrivna EU-regler,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Enrico Lettas rapport från april 2024 Much more than a market,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Mario Draghis rapport av den 9 september 2024 om EU:s framtida konkurrenskraft,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Mario Draghis rapport av den 9 september 2024 om EU:s framtida konkurrenskraft,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arbetsdokumentet från kommissionens avdelningar med titeln Första rapporten om genomförandet av den fleråriga planen för de fisken som nyttjar demersala bestånd i västra Medelhavet (SWD(2024)0195),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utvärdering av den 30 maj 2026 av förordning (EU) nr 1380/2013 om den gemensamma fiskeripolitiken,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FAO-rapporten "The State of Mediterranean and Black Sea Fisheries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resolution av den 20 maj 2026 om effekterna av genomförandet av direktiv 2014/89/EU om havsplanering för fisket i utvalda fångst- och havsområden (2024/2126(INI)),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Medelhavet är en av de marina regioner i världen som uppvisar störst mångfald, och bär upp kustsamhällen och ekonomier som har varit beroende av fiske i årtusenden samt utgör en civilisationernas vagga och en </w:t>
            </w:r>
            <w:r>
              <w:rPr>
                <w:b/>
                <w:i/>
              </w:rPr>
              <w:t>hörnsten</w:t>
            </w:r>
            <w:r>
              <w:t xml:space="preserve"> i Europas kulturella, historiska och ekonomiska identitet.</w:t>
            </w:r>
          </w:p>
        </w:tc>
        <w:tc>
          <w:tcPr>
            <w:tcW w:w="4876" w:type="dxa"/>
            <w:tcBorders>
              <w:top w:val="nil"/>
              <w:left w:val="nil"/>
              <w:bottom w:val="nil"/>
              <w:right w:val="nil"/>
            </w:tcBorders>
          </w:tcPr>
          <w:p>
            <w:pPr>
              <w:pStyle w:val="Normal6a"/>
            </w:pPr>
            <w:r>
              <w:t>A.</w:t>
            </w:r>
            <w:r>
              <w:tab/>
            </w:r>
            <w:r>
              <w:t>Medelhavet är en av de marina regioner i världen som uppvisar störst mångfald</w:t>
            </w:r>
            <w:r>
              <w:rPr>
                <w:b/>
                <w:i/>
              </w:rPr>
              <w:t>, med marina ekosystem som många arter är beroende av</w:t>
            </w:r>
            <w:r>
              <w:t xml:space="preserve">, och bär upp kustsamhällen och ekonomier som har varit beroende av fiske i årtusenden samt utgör en civilisationernas vagga och en </w:t>
            </w:r>
            <w:r>
              <w:rPr>
                <w:b/>
                <w:i/>
              </w:rPr>
              <w:t>av hörnstenarna</w:t>
            </w:r>
            <w:r>
              <w:t xml:space="preserve"> i Europas kulturella, historiska och ekonomiska identitet.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Medelhavet är också ett av de mest sårbara marina ekosystemen och står inför ökat tryck i form av klimatförändring, förlust av biologisk mångfald, föroreningar, överutnyttjande av marina resurser och ohållbar utveckling av kustområden, vilket gör att återställandet och skyddet av dess ekologiska integritet är avgörande för kustsamhällenas långsiktiga motståndskraft och ett hållbart fiske.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Fiskar och kräftdjur är djur som klarar av ogynnsamma förhållanden, och enligt artikel 13 i EUF-fördraget bör fiskeripolitiken ta full hänsyn till deras välfärd som kännande varelser och försöka förhindra och minska onödigt lidande vid fångst, fiske, hantering, lagring och avlivning.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Havslevande djur har ett reellt värde som är oberoende av deras ekonomiska användning.</w:t>
            </w:r>
            <w:r>
              <w:t xml:space="preserve"> </w:t>
            </w:r>
            <w:r>
              <w:rPr>
                <w:b/>
                <w:i/>
              </w:rPr>
              <w:t>Vid fiskeriförvaltning bör man inte betrakta kännande djur enbart som exploaterbara resurser utan försöka minska antalet djur som dödas och minimera lidandet vid fångst, fiske, hantering och avlivning.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Fiskerisektorn i Medelhavet </w:t>
            </w:r>
            <w:r>
              <w:rPr>
                <w:b/>
                <w:i/>
              </w:rPr>
              <w:t>är</w:t>
            </w:r>
            <w:r>
              <w:t xml:space="preserve"> avgörande </w:t>
            </w:r>
            <w:r>
              <w:rPr>
                <w:b/>
                <w:i/>
              </w:rPr>
              <w:t>för sysselsättningen, den territoriella sammanhållningen och</w:t>
            </w:r>
            <w:r>
              <w:t xml:space="preserve"> livsmedelstryggheten </w:t>
            </w:r>
            <w:r>
              <w:rPr>
                <w:b/>
                <w:i/>
              </w:rPr>
              <w:t>i EU</w:t>
            </w:r>
            <w:r>
              <w:t>.</w:t>
            </w:r>
          </w:p>
        </w:tc>
        <w:tc>
          <w:tcPr>
            <w:tcW w:w="4876" w:type="dxa"/>
            <w:tcBorders>
              <w:top w:val="nil"/>
              <w:left w:val="nil"/>
              <w:bottom w:val="nil"/>
              <w:right w:val="nil"/>
            </w:tcBorders>
          </w:tcPr>
          <w:p>
            <w:pPr>
              <w:pStyle w:val="Normal6a"/>
            </w:pPr>
            <w:r>
              <w:t>B.</w:t>
            </w:r>
            <w:r>
              <w:tab/>
            </w:r>
            <w:r>
              <w:t xml:space="preserve">Fiskerisektorn i Medelhavet </w:t>
            </w:r>
            <w:r>
              <w:rPr>
                <w:b/>
                <w:i/>
              </w:rPr>
              <w:t>spelar en</w:t>
            </w:r>
            <w:r>
              <w:t xml:space="preserve"> avgörande </w:t>
            </w:r>
            <w:r>
              <w:rPr>
                <w:b/>
                <w:i/>
              </w:rPr>
              <w:t>roll för ekonomisk utveckling, social sammanhållning och skapande av arbetstillfällen i kustområden runt Medelhavet och bidrar på ett avgörande sätt till stabiliteten och välståndet i dessa områden samt till</w:t>
            </w:r>
            <w:r>
              <w:t xml:space="preserve"> livsmedelstryggheten </w:t>
            </w:r>
            <w:r>
              <w:rPr>
                <w:b/>
                <w:i/>
              </w:rPr>
              <w:t>för EU som helhet genom att tillhandahålla högkvalitativa produkter med låg miljöpåverkan och samtidigt bidra till Europas strategiska oberoende och livsmedelsförsörjningskedjornas resiliens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Fiskerisektorn i Medelhavet är avgörande för sysselsättningen, den territoriella sammanhållningen och livsmedelstryggheten i EU.</w:t>
            </w:r>
          </w:p>
        </w:tc>
        <w:tc>
          <w:tcPr>
            <w:tcW w:w="4876" w:type="dxa"/>
            <w:tcBorders>
              <w:top w:val="nil"/>
              <w:left w:val="nil"/>
              <w:bottom w:val="nil"/>
              <w:right w:val="nil"/>
            </w:tcBorders>
          </w:tcPr>
          <w:p>
            <w:pPr>
              <w:pStyle w:val="Normal6a"/>
            </w:pPr>
            <w:r>
              <w:t>B.</w:t>
            </w:r>
            <w:r>
              <w:tab/>
            </w:r>
            <w:r>
              <w:t xml:space="preserve">Fiskerisektorn i Medelhavet är avgörande för sysselsättningen, den territoriella sammanhållningen och livsmedelstryggheten i EU. </w:t>
            </w:r>
            <w:r>
              <w:rPr>
                <w:b/>
                <w:i/>
              </w:rPr>
              <w:t>Dessutom bär den upp en anknytande ekonomisk struktur, vars hållbarhet är direkt beroende av fångstbaserad verksamhet, och är en oersättlig del av Europas kulturarv i Medelhavets kustregioner.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Fiskerisektorn i</w:t>
            </w:r>
            <w:r>
              <w:t xml:space="preserve"> Medelhavet </w:t>
            </w:r>
            <w:r>
              <w:rPr>
                <w:b/>
                <w:i/>
              </w:rPr>
              <w:t>är avgörande för sysselsättningen, den territoriella sammanhållningen och livsmedelstryggheten i EU</w:t>
            </w:r>
            <w:r>
              <w:t>.</w:t>
            </w:r>
          </w:p>
        </w:tc>
        <w:tc>
          <w:tcPr>
            <w:tcW w:w="4876" w:type="dxa"/>
            <w:tcBorders>
              <w:top w:val="nil"/>
              <w:left w:val="nil"/>
              <w:bottom w:val="nil"/>
              <w:right w:val="nil"/>
            </w:tcBorders>
          </w:tcPr>
          <w:p>
            <w:pPr>
              <w:pStyle w:val="Normal6a"/>
            </w:pPr>
            <w:r>
              <w:t>B.</w:t>
            </w:r>
            <w:r>
              <w:tab/>
            </w:r>
            <w:r>
              <w:rPr>
                <w:b/>
                <w:i/>
              </w:rPr>
              <w:t>Den fleråriga planen för västra</w:t>
            </w:r>
            <w:r>
              <w:t xml:space="preserve"> Medelhavet </w:t>
            </w:r>
            <w:r>
              <w:rPr>
                <w:b/>
                <w:i/>
              </w:rPr>
              <w:t>har antagits mot bakgrund av den strukturella obalans som råder mellan fiskekapacitet och tillgängliga fiskemöjligheter i regionen och som äventyrar fiskbeståndens återhämtning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Fiskerisektorn i Medelhavet är avgörande för sysselsättningen, den territoriella sammanhållningen </w:t>
            </w:r>
            <w:r>
              <w:rPr>
                <w:b/>
                <w:i/>
              </w:rPr>
              <w:t>och</w:t>
            </w:r>
            <w:r>
              <w:t xml:space="preserve"> livsmedelstryggheten i EU.</w:t>
            </w:r>
          </w:p>
        </w:tc>
        <w:tc>
          <w:tcPr>
            <w:tcW w:w="4876" w:type="dxa"/>
            <w:tcBorders>
              <w:top w:val="nil"/>
              <w:left w:val="nil"/>
              <w:bottom w:val="nil"/>
              <w:right w:val="nil"/>
            </w:tcBorders>
          </w:tcPr>
          <w:p>
            <w:pPr>
              <w:pStyle w:val="Normal6a"/>
            </w:pPr>
            <w:r>
              <w:t>B.</w:t>
            </w:r>
            <w:r>
              <w:tab/>
            </w:r>
            <w:r>
              <w:t>Fiskerisektorn i Medelhavet är avgörande för sysselsättningen, den territoriella sammanhållningen</w:t>
            </w:r>
            <w:r>
              <w:rPr>
                <w:b/>
                <w:i/>
              </w:rPr>
              <w:t>,</w:t>
            </w:r>
            <w:r>
              <w:t xml:space="preserve"> livsmedelstryggheten </w:t>
            </w:r>
            <w:r>
              <w:rPr>
                <w:b/>
                <w:i/>
              </w:rPr>
              <w:t>och livsmedelssuveräniteten</w:t>
            </w:r>
            <w:r>
              <w:t xml:space="preserve"> i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Medelhavet, där omkring 30 000 fartyg är verksamma, vilket motsvarar omkring 58 % av EU:s fiskeflotta, är ett av de viktigaste fiskeområdena i Europeiska unionen.</w:t>
            </w:r>
            <w:r>
              <w:t xml:space="preserve"> </w:t>
            </w:r>
            <w:r>
              <w:rPr>
                <w:b/>
                <w:i/>
              </w:rPr>
              <w:t>81 % av denna flotta består av fartyg som bedriver småskaligt fiske, som till största delen förvaltas som familjeföretag, och spelar en viktig roll för sysselsättningen, den territoriella sammanhållningen och kustsamhällenas utveckling.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Det geografiska tillämpningsområdet för förordning (EU) 2019/1022 är "västra Medelhavet", som definieras som vattnen i AKFM:s geografiska delområden 1 (norra Alboránsjön), 2 (ön Alborán), 5 (öarna Balearerna), 6 (norra Spanien), 7 (Lejonbukten), 8 (ön Korsika), 9 (Liguriska havet och norra Tyrrenska havet), 10 (södra Tyrrenska havet) och 11 (Sardinien), enligt definitionen i bilaga I till Europaparlamentets och rådets förordning (EU) nr 1343/2011.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Fiskbestånden i Medelhavet håller på att förbättras, men många av dem fortsätter att utsättas för påfrestningar och det behövs fortfarande ytterligare åtgärder.</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EU:s fiskeflotta i Medelhavet har minskat med 17 % sedan 2017.</w:t>
            </w:r>
            <w:r>
              <w:t xml:space="preserve"> </w:t>
            </w:r>
            <w:r>
              <w:rPr>
                <w:b/>
                <w:i/>
              </w:rPr>
              <w:t>Denna sektor står fortfarande för 47 % av sysselsättningen inom EU:s fiske, med 57 616 arbetstillfällen 2023, även om siffran är nästan 8 % lägre än 2018.</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Innan förordning (EU) 2019/1022 antogs överfiskades mer än 80 % av de bedömda bestånden i delregionen, och biomassan för en del av dessa bestånd låg nära gränsreferenspunkten med stor sannolikhet för kollaps.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Elva av tjugo bedömda bestånd överfiskas fortfarande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Under de senaste sju åren har fiskeflottorna i Medelhavet varit med om betydande minskningar av fiskeansträngningen, och i vissa segment, såsom den spanska trålarflottan, har dessa minskningar överstigit 44 %.</w:t>
            </w:r>
          </w:p>
        </w:tc>
        <w:tc>
          <w:tcPr>
            <w:tcW w:w="4876" w:type="dxa"/>
            <w:tcBorders>
              <w:top w:val="nil"/>
              <w:left w:val="nil"/>
              <w:bottom w:val="nil"/>
              <w:right w:val="nil"/>
            </w:tcBorders>
          </w:tcPr>
          <w:p>
            <w:pPr>
              <w:pStyle w:val="Normal6a"/>
            </w:pPr>
            <w:r>
              <w:t>C.</w:t>
            </w:r>
            <w:r>
              <w:tab/>
            </w:r>
            <w:r>
              <w:t xml:space="preserve">Under de senaste sju åren har fiskeflottorna i Medelhavet varit med om betydande minskningar av fiskeansträngningen, och i vissa segment, såsom den spanska trålarflottan, har dessa minskningar överstigit 44 %. </w:t>
            </w:r>
            <w:r>
              <w:rPr>
                <w:b/>
                <w:i/>
              </w:rPr>
              <w:t>Den småskaliga och icke-industriella flottan påverkas av de indirekta effekterna av stängning av områden, redskapsrestriktioner och konkurrens om vissa resurser, men den fleråriga planen innehåller inga uppdelade indikatorer för att bedöma dess specifika socioekonomiska inverkan.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Under de senaste sju åren har fiskeflottorna i Medelhavet varit med om betydande minskningar av fiskeansträngningen, och i vissa segment, såsom den spanska trålarflottan, har dessa minskningar överstigit 44 %.</w:t>
            </w:r>
          </w:p>
        </w:tc>
        <w:tc>
          <w:tcPr>
            <w:tcW w:w="4876" w:type="dxa"/>
            <w:tcBorders>
              <w:top w:val="nil"/>
              <w:left w:val="nil"/>
              <w:bottom w:val="nil"/>
              <w:right w:val="nil"/>
            </w:tcBorders>
          </w:tcPr>
          <w:p>
            <w:pPr>
              <w:pStyle w:val="Normal6a"/>
            </w:pPr>
            <w:r>
              <w:t>C.</w:t>
            </w:r>
            <w:r>
              <w:tab/>
            </w:r>
            <w:r>
              <w:t xml:space="preserve">Under de senaste sju åren har fiskeflottorna i Medelhavet varit med om betydande minskningar av fiskeansträngningen, och i vissa segment, såsom den spanska trålarflottan, har dessa minskningar överstigit 44 % </w:t>
            </w:r>
            <w:r>
              <w:rPr>
                <w:b/>
                <w:i/>
              </w:rPr>
              <w:t>och, för den franska flottan, 64 % mellan 2019 och 2025, jämte en minskning med 30 % av fiskekapaciteten för trålsegmentet kopplad till den plan för utträde ur flottan som upprättades 2022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Utöver de betydande minskningar av fiskeansträngningen som genomförts inom ramen för förordning (EU) 2019/1022 är flottorna i västra Medelhavet föremål för permanenta och tillfälliga stängningar av områden som fastställs såväl i själva den fleråriga planen som genom andra bevarandeåtgärder från EU:s och medlemsstaternas sida.</w:t>
            </w:r>
            <w:r>
              <w:t xml:space="preserve"> </w:t>
            </w:r>
            <w:r>
              <w:rPr>
                <w:b/>
                <w:i/>
              </w:rPr>
              <w:t>Den kumulativa effekten av dessa begränsningar minskar avsevärt det faktiska tillträdet till fiskeområden och begränsar fiskeföretagens operativa flexibilitet och bör beaktas fullt ut vid bedömningen av förvaltningsramens proportionalitet och effektivitet.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 flottor som omfattas av den fleråriga planen för västra Medelhavet har fortfarande en betydande överkapacitet.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Det nuvarande förvaltningssystemet har främst baserats på linjära nedskärningar av fiskeansträngningen, vilket i många fall har lett till att fartygens genomsnittliga årliga verksamhet hamnat under den kritiska lönsamhetströskeln, som uppskattas till cirka 180 dagar till sjöss per år, vilket anses vara det minimum som krävs för att säkerställa att fasta kostnader täcks och fiskeföretag är ekonomisk lönsamma.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Den fleråriga planen för västra Medelhavet tillät ytterligare fem år jämfört med den gemensamma fiskeripolitiken för att uppnå MSY-målet om en successiv och stegvis anpassning för de berörda bestånden om möjligt till 2020 och senast till den 1 januari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Fiskeflottan, särskilt i Medelhavet, har gjort betydande ansträngningar för att anpassa sig och förnya sig i riktning mot mer hållbara metoder, </w:t>
            </w:r>
            <w:r>
              <w:rPr>
                <w:b/>
                <w:i/>
              </w:rPr>
              <w:t>särskilt</w:t>
            </w:r>
            <w:r>
              <w:t xml:space="preserve"> inom trålsegmentet.</w:t>
            </w:r>
          </w:p>
        </w:tc>
        <w:tc>
          <w:tcPr>
            <w:tcW w:w="4876" w:type="dxa"/>
            <w:tcBorders>
              <w:top w:val="nil"/>
              <w:left w:val="nil"/>
              <w:bottom w:val="nil"/>
              <w:right w:val="nil"/>
            </w:tcBorders>
          </w:tcPr>
          <w:p>
            <w:pPr>
              <w:pStyle w:val="Normal6a"/>
            </w:pPr>
            <w:r>
              <w:t>D.</w:t>
            </w:r>
            <w:r>
              <w:tab/>
            </w:r>
            <w:r>
              <w:t xml:space="preserve">Fiskeflottan, särskilt i Medelhavet, har gjort betydande ansträngningar för att anpassa sig och förnya sig i riktning mot mer hållbara metoder, </w:t>
            </w:r>
            <w:r>
              <w:rPr>
                <w:b/>
                <w:i/>
              </w:rPr>
              <w:t>inte bara</w:t>
            </w:r>
            <w:r>
              <w:t xml:space="preserve"> inom trålsegmentet</w:t>
            </w:r>
            <w:r>
              <w:rPr>
                <w:b/>
                <w:i/>
              </w:rPr>
              <w:t>, utan även i segmenten för småskaliga redskap, långrevar och snörpvadar, vars operativa särdrag och förvaltningsbehov skiljer sig avsevärt från dem för segmentet för bottentrålning och kräver en särskild behandling i den fleråriga planen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Fiskeflottan, särskilt i Medelhavet, har gjort betydande ansträngningar för att anpassa sig och förnya sig i riktning mot mer hållbara metoder, särskilt inom trålsegmentet.</w:t>
            </w:r>
          </w:p>
        </w:tc>
        <w:tc>
          <w:tcPr>
            <w:tcW w:w="4876" w:type="dxa"/>
            <w:tcBorders>
              <w:top w:val="nil"/>
              <w:left w:val="nil"/>
              <w:bottom w:val="nil"/>
              <w:right w:val="nil"/>
            </w:tcBorders>
          </w:tcPr>
          <w:p>
            <w:pPr>
              <w:pStyle w:val="Normal6a"/>
            </w:pPr>
            <w:r>
              <w:t>D.</w:t>
            </w:r>
            <w:r>
              <w:tab/>
            </w:r>
            <w:r>
              <w:t xml:space="preserve">Fiskeflottan, särskilt i Medelhavet, har gjort betydande ansträngningar för att anpassa sig och förnya sig i riktning mot mer hållbara metoder, särskilt inom trålsegmentet. </w:t>
            </w:r>
            <w:r>
              <w:rPr>
                <w:b/>
                <w:i/>
              </w:rPr>
              <w:t>Ytterligare insatser krävs för att säkerställa att fiskeverksamheten är helt i linje med målen om ekosystembaserad fiskeriförvaltning, återställande av biologisk mångfald och klimatresiliens.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Fiskeflottan, särskilt i Medelhavet, har gjort betydande ansträngningar för att anpassa sig och förnya sig i riktning mot mer hållbara metoder, särskilt inom trålsegmentet.</w:t>
            </w:r>
          </w:p>
        </w:tc>
        <w:tc>
          <w:tcPr>
            <w:tcW w:w="4876" w:type="dxa"/>
            <w:tcBorders>
              <w:top w:val="nil"/>
              <w:left w:val="nil"/>
              <w:bottom w:val="nil"/>
              <w:right w:val="nil"/>
            </w:tcBorders>
          </w:tcPr>
          <w:p>
            <w:pPr>
              <w:pStyle w:val="Normal6a"/>
            </w:pPr>
            <w:r>
              <w:t>D.</w:t>
            </w:r>
            <w:r>
              <w:tab/>
            </w:r>
            <w:r>
              <w:t>Fiskeflottan, särskilt i Medelhavet, har gjort betydande ansträngningar för att anpassa sig och förnya sig i riktning mot mer hållbara metoder, särskilt inom trålsegmentet</w:t>
            </w:r>
            <w:r>
              <w:rPr>
                <w:b/>
                <w:i/>
              </w:rPr>
              <w:t>, genom att förbättra fiskeredskapens selektivitet, samtidigt som den har gjort betydande ekonomiska uppoffringar till följd av successiva minskningar av antalet fiskedagar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Fiskeflottan, särskilt i Medelhavet, har gjort betydande ansträngningar för att anpassa sig och förnya sig i riktning mot mer hållbara metoder, särskilt inom trålsegmentet.</w:t>
            </w:r>
          </w:p>
        </w:tc>
        <w:tc>
          <w:tcPr>
            <w:tcW w:w="4876" w:type="dxa"/>
            <w:tcBorders>
              <w:top w:val="nil"/>
              <w:left w:val="nil"/>
              <w:bottom w:val="nil"/>
              <w:right w:val="nil"/>
            </w:tcBorders>
          </w:tcPr>
          <w:p>
            <w:pPr>
              <w:pStyle w:val="Normal6a"/>
            </w:pPr>
            <w:r>
              <w:t>D.</w:t>
            </w:r>
            <w:r>
              <w:tab/>
            </w:r>
            <w:r>
              <w:t xml:space="preserve">Fiskeflottan, särskilt i Medelhavet, har gjort betydande ansträngningar för att anpassa sig och förnya sig i riktning mot mer </w:t>
            </w:r>
            <w:r>
              <w:rPr>
                <w:b/>
                <w:i/>
              </w:rPr>
              <w:t>selektiva och</w:t>
            </w:r>
            <w:r>
              <w:t xml:space="preserve"> hållbara metoder, särskilt inom trålsegmentet.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Trålarflottan har gjort betydande tekniska anpassnings- och investeringsinsatser till förmån för ett mer hållbart fiske genom att införa åtgärder för att förbättra fiskeredskapens selektivitet och minska fiskeverksamhetens inverkan, såsom användning av kvadratiska maskor på 40 mm eller romboidmaskor på 50 mm, sorteringsgaller för ungfisk, paneler med större maskor och flygande dörrar.</w:t>
            </w:r>
            <w:r>
              <w:t xml:space="preserve"> </w:t>
            </w:r>
            <w:r>
              <w:rPr>
                <w:b/>
                <w:i/>
              </w:rPr>
              <w:t>Omkring 60 % av flottan i Spanien har dessutom redan genomfört dessa och andra tekniska förbättringar under de senaste åren.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Fiskeflottorna i Medelhavet utsätts för kumulativ belastning till följd av stigande energi- och bränslekostnader, krav i samband med utfasningen av fossila bränslen och ökande konkurrens om havsområdet.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 kompensationsåtgärder som tillämpas på Medelhavsflottan har </w:t>
            </w:r>
            <w:r>
              <w:rPr>
                <w:b/>
                <w:i/>
              </w:rPr>
              <w:t>bidragit till att delvis mildra</w:t>
            </w:r>
            <w:r>
              <w:t xml:space="preserve"> de socioekonomiska effekterna av minskningarna av fiskeansträngningen</w:t>
            </w:r>
            <w:r>
              <w:rPr>
                <w:b/>
                <w:i/>
              </w:rPr>
              <w:t>, men räcker inte</w:t>
            </w:r>
            <w:r>
              <w:t xml:space="preserve"> för att säkerställa sektorns </w:t>
            </w:r>
            <w:r>
              <w:rPr>
                <w:b/>
                <w:i/>
              </w:rPr>
              <w:t>långsiktiga</w:t>
            </w:r>
            <w:r>
              <w:t xml:space="preserve"> lönsamhet.</w:t>
            </w:r>
          </w:p>
        </w:tc>
        <w:tc>
          <w:tcPr>
            <w:tcW w:w="4876" w:type="dxa"/>
            <w:tcBorders>
              <w:top w:val="nil"/>
              <w:left w:val="nil"/>
              <w:bottom w:val="nil"/>
              <w:right w:val="nil"/>
            </w:tcBorders>
          </w:tcPr>
          <w:p>
            <w:pPr>
              <w:pStyle w:val="Normal6a"/>
            </w:pPr>
            <w:r>
              <w:t>E.</w:t>
            </w:r>
            <w:r>
              <w:tab/>
            </w:r>
            <w:r>
              <w:t xml:space="preserve">De kompensationsåtgärder som tillämpas på Medelhavsflottan har </w:t>
            </w:r>
            <w:r>
              <w:rPr>
                <w:b/>
                <w:i/>
              </w:rPr>
              <w:t>inte lyckats väga upp</w:t>
            </w:r>
            <w:r>
              <w:t xml:space="preserve"> de socioekonomiska effekterna av </w:t>
            </w:r>
            <w:r>
              <w:rPr>
                <w:b/>
                <w:i/>
              </w:rPr>
              <w:t>de på varandra följande</w:t>
            </w:r>
            <w:r>
              <w:t xml:space="preserve"> minskningarna av fiskeansträngningen </w:t>
            </w:r>
            <w:r>
              <w:rPr>
                <w:b/>
                <w:i/>
              </w:rPr>
              <w:t>och har fått till följd att många fiskeföretag ligger på gränsen till lönsamhet eller därunder, och har visat sig vara otillräckliga</w:t>
            </w:r>
            <w:r>
              <w:t xml:space="preserve"> för att säkerställa sektorns lönsamhet </w:t>
            </w:r>
            <w:r>
              <w:rPr>
                <w:b/>
                <w:i/>
              </w:rPr>
              <w:t>på medellång och lång sikt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 kompensationsåtgärder som tillämpas på Medelhavsflottan har bidragit till att delvis mildra de socioekonomiska effekterna av minskningarna av fiskeansträngningen, men räcker inte för att säkerställa sektorns långsiktiga lönsamhet.</w:t>
            </w:r>
          </w:p>
        </w:tc>
        <w:tc>
          <w:tcPr>
            <w:tcW w:w="4876" w:type="dxa"/>
            <w:tcBorders>
              <w:top w:val="nil"/>
              <w:left w:val="nil"/>
              <w:bottom w:val="nil"/>
              <w:right w:val="nil"/>
            </w:tcBorders>
          </w:tcPr>
          <w:p>
            <w:pPr>
              <w:pStyle w:val="Normal6a"/>
            </w:pPr>
            <w:r>
              <w:t>E.</w:t>
            </w:r>
            <w:r>
              <w:tab/>
            </w:r>
            <w:r>
              <w:t xml:space="preserve">De kompensationsåtgärder som tillämpas på </w:t>
            </w:r>
            <w:r>
              <w:rPr>
                <w:b/>
                <w:i/>
              </w:rPr>
              <w:t>och genomförs av</w:t>
            </w:r>
            <w:r>
              <w:t xml:space="preserve"> Medelhavsflottan har bidragit till att delvis mildra de socioekonomiska effekterna av minskningarna av fiskeansträngningen, men räcker inte för att säkerställa sektorns långsiktiga lönsamhet.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Det behövs långsiktig förutsägbarhet och en heltäckande plan för att säkra långsiktig hållbarhet för både bestånden och fiskeindustrin.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 möjligheter till kompensationsåtgärder som nyligen antagits tillåter totalt sett en större fiskeansträngning för respektive flotta än den ursprungliga begränsningen.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Småskaliga fiskares lönsamhet beror på vilka kvoter de har tillgång till.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STECF och AKFM har pekat på att</w:t>
            </w:r>
            <w:r>
              <w:t xml:space="preserve"> betydande luckor </w:t>
            </w:r>
            <w:r>
              <w:rPr>
                <w:b/>
                <w:i/>
              </w:rPr>
              <w:t>kvarstår</w:t>
            </w:r>
            <w:r>
              <w:t xml:space="preserve"> i de vetenskapliga uppgifterna om de demersala bestånden i Medelhavet</w:t>
            </w:r>
            <w:r>
              <w:rPr>
                <w:b/>
                <w:i/>
              </w:rPr>
              <w:t>, vilket gör det svårt att göra en korrekt</w:t>
            </w:r>
            <w:r>
              <w:t xml:space="preserve"> bedömning </w:t>
            </w:r>
            <w:r>
              <w:rPr>
                <w:b/>
                <w:i/>
              </w:rPr>
              <w:t>av dessa bestånd</w:t>
            </w:r>
            <w:r>
              <w:t>.</w:t>
            </w:r>
          </w:p>
        </w:tc>
        <w:tc>
          <w:tcPr>
            <w:tcW w:w="4876" w:type="dxa"/>
            <w:tcBorders>
              <w:top w:val="nil"/>
              <w:left w:val="nil"/>
              <w:bottom w:val="nil"/>
              <w:right w:val="nil"/>
            </w:tcBorders>
          </w:tcPr>
          <w:p>
            <w:pPr>
              <w:pStyle w:val="Normal6a"/>
            </w:pPr>
            <w:r>
              <w:t>F.</w:t>
            </w:r>
            <w:r>
              <w:tab/>
            </w:r>
            <w:r>
              <w:rPr>
                <w:b/>
                <w:i/>
              </w:rPr>
              <w:t>Rapporter från vetenskapliga, tekniska och ekonomiska kommittén för fiskerinäringen (STECF) och Allmänna kommissionen för fiske i Medelhavet (AKFM) belyser att det kvarstår</w:t>
            </w:r>
            <w:r>
              <w:t xml:space="preserve"> betydande luckor i de vetenskapliga uppgifterna om de demersala bestånden i Medelhavet </w:t>
            </w:r>
            <w:r>
              <w:rPr>
                <w:b/>
                <w:i/>
              </w:rPr>
              <w:t>– mindre än 40 % av bestånden i Medelhavet blir föremål för en kvantitativ</w:t>
            </w:r>
            <w:r>
              <w:t xml:space="preserve"> bedömning </w:t>
            </w:r>
            <w:r>
              <w:rPr>
                <w:b/>
                <w:i/>
              </w:rPr>
              <w:t>på grund av otillräckliga fiskeridata och förvaltningsbeslut fattas ofta på grundval av vetenskapliga bedömningar utförda med data som är upp till två år gamla, vilket begränsar deras förmåga att återspegla fiskets faktiska status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Sander Smit,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STECF och AKFM har pekat på att betydande luckor kvarstår i de vetenskapliga uppgifterna om de demersala bestånden i Medelhavet, vilket gör det svårt att göra en korrekt bedömning av dessa bestånd.</w:t>
            </w:r>
          </w:p>
        </w:tc>
        <w:tc>
          <w:tcPr>
            <w:tcW w:w="4876" w:type="dxa"/>
            <w:tcBorders>
              <w:top w:val="nil"/>
              <w:left w:val="nil"/>
              <w:bottom w:val="nil"/>
              <w:right w:val="nil"/>
            </w:tcBorders>
          </w:tcPr>
          <w:p>
            <w:pPr>
              <w:pStyle w:val="Normal6a"/>
            </w:pPr>
            <w:r>
              <w:t>F.</w:t>
            </w:r>
            <w:r>
              <w:tab/>
            </w:r>
            <w:r>
              <w:t xml:space="preserve">STECF och AKFM har pekat på att betydande luckor kvarstår i de vetenskapliga uppgifterna om de demersala bestånden i Medelhavet, vilket gör det svårt att göra en korrekt bedömning av dessa bestånd. </w:t>
            </w:r>
            <w:r>
              <w:rPr>
                <w:b/>
                <w:i/>
              </w:rPr>
              <w:t>De tillgängliga vetenskapliga studierna måste uppdateras och breddas för att förhindra att förvaltningsbeslut för hela blandfisket på ett oproportionerligt sätt baseras på bedömningen av en enskild indikatorart, vars status kanske inte är representativ för beståndet som helhet eller för de olika flottsegmentens operativa verklighet.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STECF och AKFM har pekat på att betydande luckor kvarstår i de vetenskapliga uppgifterna om de demersala bestånden i Medelhavet, vilket gör det svårt att göra en korrekt bedömning av dessa bestånd.</w:t>
            </w:r>
          </w:p>
        </w:tc>
        <w:tc>
          <w:tcPr>
            <w:tcW w:w="4876" w:type="dxa"/>
            <w:tcBorders>
              <w:top w:val="nil"/>
              <w:left w:val="nil"/>
              <w:bottom w:val="nil"/>
              <w:right w:val="nil"/>
            </w:tcBorders>
          </w:tcPr>
          <w:p>
            <w:pPr>
              <w:pStyle w:val="Normal6a"/>
            </w:pPr>
            <w:r>
              <w:t>F.</w:t>
            </w:r>
            <w:r>
              <w:tab/>
            </w:r>
            <w:r>
              <w:t xml:space="preserve">STECF och AKFM har pekat på att betydande luckor kvarstår i de vetenskapliga uppgifterna om de demersala bestånden i Medelhavet, vilket gör det svårt att göra en korrekt bedömning av dessa bestånd. </w:t>
            </w:r>
            <w:r>
              <w:rPr>
                <w:b/>
                <w:i/>
              </w:rPr>
              <w:t>Stärkande av medel för insamling av data fortsätter att vara en förutsättning för en förvaltning som vilar på bästa tillgängliga och senaste vetenskapliga rön.</w:t>
            </w:r>
            <w:r>
              <w:t xml:space="preserve"> </w:t>
            </w:r>
            <w:r>
              <w:rPr>
                <w:b/>
                <w:i/>
              </w:rPr>
              <w:t>Europaparlamentet framhåller att det inte finns tillräckliga vetenskapliga uppgifter om de viktigaste bestånden i planen för den korsikanska flottan i det geografiska delområdet 8 och för den sardiska flottan i det geografiska delområdet 11.2.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STECF och AKFM har pekat på att betydande luckor kvarstår i de vetenskapliga uppgifterna om de demersala bestånden i Medelhavet, vilket gör det svårt att göra en korrekt bedömning av dessa bestånd.</w:t>
            </w:r>
          </w:p>
        </w:tc>
        <w:tc>
          <w:tcPr>
            <w:tcW w:w="4876" w:type="dxa"/>
            <w:tcBorders>
              <w:top w:val="nil"/>
              <w:left w:val="nil"/>
              <w:bottom w:val="nil"/>
              <w:right w:val="nil"/>
            </w:tcBorders>
          </w:tcPr>
          <w:p>
            <w:pPr>
              <w:pStyle w:val="Normal6a"/>
            </w:pPr>
            <w:r>
              <w:t>F.</w:t>
            </w:r>
            <w:r>
              <w:tab/>
            </w:r>
            <w:r>
              <w:t xml:space="preserve">STECF och AKFM har pekat på att betydande luckor kvarstår i de vetenskapliga uppgifterna om de demersala bestånden i Medelhavet, vilket gör det svårt att göra en korrekt bedömning av dessa bestånd. </w:t>
            </w:r>
            <w:r>
              <w:rPr>
                <w:b/>
                <w:i/>
              </w:rPr>
              <w:t>För att genomföra en ekosystemansats fullt ut krävs fler insatser för att täppa till de befintliga dataluckorna.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Enligt färska oceanografiska studier sker en återhämtning av biomassan av vissa demersala bestånd, vilket pekar på att det föreligger möjliga skillnader mellan vetenskapliga studier, modellbaserade bedömningar och förvaltningsbeslut och att det därför är viktigt att stärka samordningen av den vetenskapliga fiskeriforskningen på europeisk, nationell och regional nivå.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Fiskbeståndens utveckling beror också på miljöfaktorer såsom klimatförändringar, föroreningar, naturlig dödlighet, livsmiljöernas kvalitet, förändringar i rekrytering och artinteraktion, vilket i större mån bör beaktas i vetenskapliga bedömningar.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Unionens miljöpolitik ska syfta till en hög skyddsnivå med beaktande av de många olika situationer som råder i unionens olika regioner och ska bygga på försiktighetsprincipen.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 och med att fiskeansträngningen kopplades till det mest sårbara beståndet uppstod i praktiken begränsande arter, vilket har medfört oproportionerliga konsekvenser för blandfisken och sektorns ekonomiska bärkraft.</w:t>
            </w:r>
          </w:p>
        </w:tc>
        <w:tc>
          <w:tcPr>
            <w:tcW w:w="4876" w:type="dxa"/>
            <w:tcBorders>
              <w:top w:val="nil"/>
              <w:left w:val="nil"/>
              <w:bottom w:val="nil"/>
              <w:right w:val="nil"/>
            </w:tcBorders>
          </w:tcPr>
          <w:p>
            <w:pPr>
              <w:pStyle w:val="Normal6a"/>
            </w:pPr>
            <w:r>
              <w:t>G.</w:t>
            </w:r>
            <w:r>
              <w:tab/>
            </w:r>
            <w:r>
              <w:t xml:space="preserve">I och med att fiskeansträngningen kopplades till det mest sårbara beståndet uppstod i praktiken begränsande arter, vilket har medfört oproportionerliga konsekvenser för blandfisken och sektorns ekonomiska bärkraft. </w:t>
            </w:r>
            <w:r>
              <w:rPr>
                <w:b/>
                <w:i/>
              </w:rPr>
              <w:t>I de senaste rapporterna från STECF har positiva framsteg noterats när det gäller återhämtningen av flera bestånd, däribland kummel, men detta har ännu inte lett till någon översyn av metoden som skulle göra det möjligt att göra fiskedagar tillgängliga i enlighet därmed, vilket visar att det nuvarande systemet är stelbent och olämpligt när det gäller beståndens faktiska utveckling.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 </w:t>
            </w:r>
            <w:r>
              <w:rPr>
                <w:b/>
                <w:i/>
              </w:rPr>
              <w:t>och med att fiskeansträngningen kopplades till det mest sårbara beståndet uppstod i praktiken</w:t>
            </w:r>
            <w:r>
              <w:t xml:space="preserve"> begränsande </w:t>
            </w:r>
            <w:r>
              <w:rPr>
                <w:b/>
                <w:i/>
              </w:rPr>
              <w:t>arter, vilket har medfört oproportionerliga konsekvenser för blandfisken och sektorns ekonomiska bärkraft</w:t>
            </w:r>
            <w:r>
              <w:t>.</w:t>
            </w:r>
          </w:p>
        </w:tc>
        <w:tc>
          <w:tcPr>
            <w:tcW w:w="4876" w:type="dxa"/>
            <w:tcBorders>
              <w:top w:val="nil"/>
              <w:left w:val="nil"/>
              <w:bottom w:val="nil"/>
              <w:right w:val="nil"/>
            </w:tcBorders>
          </w:tcPr>
          <w:p>
            <w:pPr>
              <w:pStyle w:val="Normal6a"/>
            </w:pPr>
            <w:r>
              <w:t>G.</w:t>
            </w:r>
            <w:r>
              <w:tab/>
            </w:r>
            <w:r>
              <w:t xml:space="preserve">I </w:t>
            </w:r>
            <w:r>
              <w:rPr>
                <w:b/>
                <w:i/>
              </w:rPr>
              <w:t>ett blandfiske kan bestånd som är i dåligt biologiskt skick bli</w:t>
            </w:r>
            <w:r>
              <w:t xml:space="preserve"> begränsande </w:t>
            </w:r>
            <w:r>
              <w:rPr>
                <w:b/>
                <w:i/>
              </w:rPr>
              <w:t>bestånd och öka risken för begränsning.</w:t>
            </w:r>
            <w:r>
              <w:t xml:space="preserve"> </w:t>
            </w:r>
            <w:r>
              <w:rPr>
                <w:b/>
                <w:i/>
              </w:rPr>
              <w:t>Sådana risker bör motverkas med hjälp av förbättrad taktisk och teknisk selektivitet, undvikandeåtgärder, fredningsområden/fredningstider, korrigerande åtgärder och lämpliga incitament, och det bör samtidigt säkerställas att livskraftigare bestånd inte döljer ett fortsatt överfiske av svagare bestånd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 och med att fiskeansträngningen kopplades till det mest sårbara beståndet uppstod i praktiken begränsande arter, </w:t>
            </w:r>
            <w:r>
              <w:rPr>
                <w:b/>
                <w:i/>
              </w:rPr>
              <w:t>vilket har medfört oproportionerliga konsekvenser för</w:t>
            </w:r>
            <w:r>
              <w:t xml:space="preserve"> blandfisken </w:t>
            </w:r>
            <w:r>
              <w:rPr>
                <w:b/>
                <w:i/>
              </w:rPr>
              <w:t>och sektorns ekonomiska bärkraft</w:t>
            </w:r>
            <w:r>
              <w:t>.</w:t>
            </w:r>
          </w:p>
        </w:tc>
        <w:tc>
          <w:tcPr>
            <w:tcW w:w="4876" w:type="dxa"/>
            <w:tcBorders>
              <w:top w:val="nil"/>
              <w:left w:val="nil"/>
              <w:bottom w:val="nil"/>
              <w:right w:val="nil"/>
            </w:tcBorders>
          </w:tcPr>
          <w:p>
            <w:pPr>
              <w:pStyle w:val="Normal6a"/>
            </w:pPr>
            <w:r>
              <w:t>G.</w:t>
            </w:r>
            <w:r>
              <w:tab/>
            </w:r>
            <w:r>
              <w:t xml:space="preserve">I och med att fiskeansträngningen kopplades till det mest sårbara beståndet uppstod i praktiken begränsande arter, </w:t>
            </w:r>
            <w:r>
              <w:rPr>
                <w:b/>
                <w:i/>
              </w:rPr>
              <w:t>och därför bör förvaltningen av</w:t>
            </w:r>
            <w:r>
              <w:t xml:space="preserve"> blandfisken </w:t>
            </w:r>
            <w:r>
              <w:rPr>
                <w:b/>
                <w:i/>
              </w:rPr>
              <w:t>utvecklas i riktning mot en global uppskattning av tillstånden för de främsta bestånd som nyttjas, såsom ett viktat index, samtidigt som man säkerställer att maximal hållbar avkastning uppnås för vart och ett av dessa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I och med att</w:t>
            </w:r>
            <w:r>
              <w:t xml:space="preserve"> fiskeansträngningen kopplades till det mest sårbara beståndet </w:t>
            </w:r>
            <w:r>
              <w:rPr>
                <w:b/>
                <w:i/>
              </w:rPr>
              <w:t>uppstod</w:t>
            </w:r>
            <w:r>
              <w:t xml:space="preserve"> i praktiken begränsande arter, vilket </w:t>
            </w:r>
            <w:r>
              <w:rPr>
                <w:b/>
                <w:i/>
              </w:rPr>
              <w:t>har medfört oproportionerliga konsekvenser för</w:t>
            </w:r>
            <w:r>
              <w:t xml:space="preserve"> blandfisken och sektorns ekonomiska </w:t>
            </w:r>
            <w:r>
              <w:rPr>
                <w:b/>
                <w:i/>
              </w:rPr>
              <w:t>bärkraft</w:t>
            </w:r>
            <w:r>
              <w:t>.</w:t>
            </w:r>
          </w:p>
        </w:tc>
        <w:tc>
          <w:tcPr>
            <w:tcW w:w="4876" w:type="dxa"/>
            <w:tcBorders>
              <w:top w:val="nil"/>
              <w:left w:val="nil"/>
              <w:bottom w:val="nil"/>
              <w:right w:val="nil"/>
            </w:tcBorders>
          </w:tcPr>
          <w:p>
            <w:pPr>
              <w:pStyle w:val="Normal6a"/>
            </w:pPr>
            <w:r>
              <w:t>G.</w:t>
            </w:r>
            <w:r>
              <w:tab/>
            </w:r>
            <w:r>
              <w:rPr>
                <w:b/>
                <w:i/>
              </w:rPr>
              <w:t>Till följd av den stelbenta förvaltningsstrategin i den fleråriga planen för västra Medelhavet, där</w:t>
            </w:r>
            <w:r>
              <w:t xml:space="preserve"> fiskeansträngningen kopplades till </w:t>
            </w:r>
            <w:r>
              <w:rPr>
                <w:b/>
                <w:i/>
              </w:rPr>
              <w:t>tillståndet för</w:t>
            </w:r>
            <w:r>
              <w:t xml:space="preserve"> det mest sårbara beståndet</w:t>
            </w:r>
            <w:r>
              <w:rPr>
                <w:b/>
                <w:i/>
              </w:rPr>
              <w:t>, har</w:t>
            </w:r>
            <w:r>
              <w:t xml:space="preserve"> i praktiken </w:t>
            </w:r>
            <w:r>
              <w:rPr>
                <w:b/>
                <w:i/>
              </w:rPr>
              <w:t>problemet med</w:t>
            </w:r>
            <w:r>
              <w:t xml:space="preserve"> begränsande arter </w:t>
            </w:r>
            <w:r>
              <w:rPr>
                <w:b/>
                <w:i/>
              </w:rPr>
              <w:t>uppstått</w:t>
            </w:r>
            <w:r>
              <w:t xml:space="preserve">, vilket </w:t>
            </w:r>
            <w:r>
              <w:rPr>
                <w:b/>
                <w:i/>
              </w:rPr>
              <w:t>oproportionerligt har begränsat</w:t>
            </w:r>
            <w:r>
              <w:t xml:space="preserve"> blandfisken och </w:t>
            </w:r>
            <w:r>
              <w:rPr>
                <w:b/>
                <w:i/>
              </w:rPr>
              <w:t>undergrävt</w:t>
            </w:r>
            <w:r>
              <w:t xml:space="preserve"> sektorns ekonomiska </w:t>
            </w:r>
            <w:r>
              <w:rPr>
                <w:b/>
                <w:i/>
              </w:rPr>
              <w:t>lönsamhet utan att erbjuda motsvarande fördelar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 och med att fiskeansträngningen </w:t>
            </w:r>
            <w:r>
              <w:rPr>
                <w:b/>
                <w:i/>
              </w:rPr>
              <w:t>kopplades</w:t>
            </w:r>
            <w:r>
              <w:t xml:space="preserve"> till det mest sårbara beståndet </w:t>
            </w:r>
            <w:r>
              <w:rPr>
                <w:b/>
                <w:i/>
              </w:rPr>
              <w:t>uppstod i praktiken</w:t>
            </w:r>
            <w:r>
              <w:t xml:space="preserve"> begränsande arter, vilket </w:t>
            </w:r>
            <w:r>
              <w:rPr>
                <w:b/>
                <w:i/>
              </w:rPr>
              <w:t>har medfört oproportionerliga</w:t>
            </w:r>
            <w:r>
              <w:t xml:space="preserve"> konsekvenser för blandfisken och </w:t>
            </w:r>
            <w:r>
              <w:rPr>
                <w:b/>
                <w:i/>
              </w:rPr>
              <w:t>sektorns</w:t>
            </w:r>
            <w:r>
              <w:t xml:space="preserve"> ekonomiska bärkraft.</w:t>
            </w:r>
          </w:p>
        </w:tc>
        <w:tc>
          <w:tcPr>
            <w:tcW w:w="4876" w:type="dxa"/>
            <w:tcBorders>
              <w:top w:val="nil"/>
              <w:left w:val="nil"/>
              <w:bottom w:val="nil"/>
              <w:right w:val="nil"/>
            </w:tcBorders>
          </w:tcPr>
          <w:p>
            <w:pPr>
              <w:pStyle w:val="Normal6a"/>
            </w:pPr>
            <w:r>
              <w:t>G.</w:t>
            </w:r>
            <w:r>
              <w:tab/>
            </w:r>
            <w:r>
              <w:t xml:space="preserve">I och med att fiskeansträngningen </w:t>
            </w:r>
            <w:r>
              <w:rPr>
                <w:b/>
                <w:i/>
              </w:rPr>
              <w:t>kopplas</w:t>
            </w:r>
            <w:r>
              <w:t xml:space="preserve"> till det mest sårbara beståndet </w:t>
            </w:r>
            <w:r>
              <w:rPr>
                <w:b/>
                <w:i/>
              </w:rPr>
              <w:t>uppstår effekter såsom</w:t>
            </w:r>
            <w:r>
              <w:t xml:space="preserve"> begränsande arter, vilket </w:t>
            </w:r>
            <w:r>
              <w:rPr>
                <w:b/>
                <w:i/>
              </w:rPr>
              <w:t>ger</w:t>
            </w:r>
            <w:r>
              <w:t xml:space="preserve"> konsekvenser för blandfisken och </w:t>
            </w:r>
            <w:r>
              <w:rPr>
                <w:b/>
                <w:i/>
              </w:rPr>
              <w:t>deras</w:t>
            </w:r>
            <w:r>
              <w:t xml:space="preserve"> ekonomiska bärkraft.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 och med att fiskeansträngningen kopplades till det mest sårbara beståndet uppstod i praktiken begränsande arter, vilket har medfört oproportionerliga konsekvenser för blandfisken och </w:t>
            </w:r>
            <w:r>
              <w:rPr>
                <w:b/>
                <w:i/>
              </w:rPr>
              <w:t>sektorns</w:t>
            </w:r>
            <w:r>
              <w:t xml:space="preserve"> ekonomiska </w:t>
            </w:r>
            <w:r>
              <w:rPr>
                <w:b/>
                <w:i/>
              </w:rPr>
              <w:t>bärkraft</w:t>
            </w:r>
            <w:r>
              <w:t>.</w:t>
            </w:r>
          </w:p>
        </w:tc>
        <w:tc>
          <w:tcPr>
            <w:tcW w:w="4876" w:type="dxa"/>
            <w:tcBorders>
              <w:top w:val="nil"/>
              <w:left w:val="nil"/>
              <w:bottom w:val="nil"/>
              <w:right w:val="nil"/>
            </w:tcBorders>
          </w:tcPr>
          <w:p>
            <w:pPr>
              <w:pStyle w:val="Normal6a"/>
            </w:pPr>
            <w:r>
              <w:t>G.</w:t>
            </w:r>
            <w:r>
              <w:tab/>
            </w:r>
            <w:r>
              <w:t xml:space="preserve">I och med att fiskeansträngningen kopplades till det mest sårbara beståndet uppstod i praktiken begränsande arter, vilket har medfört oproportionerliga konsekvenser för blandfisken och </w:t>
            </w:r>
            <w:r>
              <w:rPr>
                <w:b/>
                <w:i/>
              </w:rPr>
              <w:t>den</w:t>
            </w:r>
            <w:r>
              <w:t xml:space="preserve"> ekonomiska </w:t>
            </w:r>
            <w:r>
              <w:rPr>
                <w:b/>
                <w:i/>
              </w:rPr>
              <w:t>bärkraften för sektorn och de samhällen som beror av den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De marina ekosystemens utveckling är avhängig flera faktorer, inbegripet klimatförändringar, stigande temperaturer, föroreningar, försämring av livsmiljöer, invasiva arter och naturlig predation, och politiska åtgärder för bevarande bör därför hantera alla dessa belastningar på ett integrerat sätt.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Efter fem år av tillämpning uppvisar den fleråriga planen för västra Medelhavet ett ojämnt resultat – det finns positiva tecken på återhämtning för vissa bestånd, såsom djuphavsräkan (Parapenaeus longirostris), medan andra, särskilt kummel, som betecknas som mest sårbart bestånd, uppvisar en långsammare återhämtning.</w:t>
            </w:r>
          </w:p>
        </w:tc>
        <w:tc>
          <w:tcPr>
            <w:tcW w:w="4876" w:type="dxa"/>
            <w:tcBorders>
              <w:top w:val="nil"/>
              <w:left w:val="nil"/>
              <w:bottom w:val="nil"/>
              <w:right w:val="nil"/>
            </w:tcBorders>
          </w:tcPr>
          <w:p>
            <w:pPr>
              <w:pStyle w:val="Normal6a"/>
            </w:pPr>
            <w:r>
              <w:t>H</w:t>
            </w:r>
            <w:r>
              <w:tab/>
            </w:r>
            <w:r>
              <w:t>Efter fem år av tillämpning uppvisar den fleråriga planen för västra Medelhavet ett ojämnt resultat – det finns positiva tecken på återhämtning för vissa bestånd, såsom djuphavsräkan (Parapenaeus longirostris), medan andra, särskilt kummel, som betecknas som mest sårbart bestånd, uppvisar en långsammare återhämtning</w:t>
            </w:r>
            <w:r>
              <w:rPr>
                <w:b/>
                <w:i/>
              </w:rPr>
              <w:t>, och eftersom flera nyligen genomförda förvaltningsåtgärder ännu inte har resulterat i alla sina biologiska och socioekonomiska effekter bör därför en fullständig bedömning av deras effektivitet göras innan någon ytterligare minskning av fiskemöjligheterna övervägs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Efter fem år av tillämpning uppvisar den fleråriga planen för västra Medelhavet ett ojämnt resultat </w:t>
            </w:r>
            <w:r>
              <w:rPr>
                <w:b/>
                <w:i/>
              </w:rPr>
              <w:t>– det finns</w:t>
            </w:r>
            <w:r>
              <w:t xml:space="preserve"> positiva tecken på återhämtning för vissa bestånd, såsom </w:t>
            </w:r>
            <w:r>
              <w:rPr>
                <w:b/>
                <w:i/>
              </w:rPr>
              <w:t>djuphavsräkan</w:t>
            </w:r>
            <w:r>
              <w:t xml:space="preserve"> (Parapenaeus longirostris), </w:t>
            </w:r>
            <w:r>
              <w:rPr>
                <w:b/>
                <w:i/>
              </w:rPr>
              <w:t>medan andra, särskilt</w:t>
            </w:r>
            <w:r>
              <w:t xml:space="preserve"> kummel, </w:t>
            </w:r>
            <w:r>
              <w:rPr>
                <w:b/>
                <w:i/>
              </w:rPr>
              <w:t>som betecknas som mest sårbart bestånd, uppvisar en långsammare återhämtning</w:t>
            </w:r>
            <w:r>
              <w:t>.</w:t>
            </w:r>
          </w:p>
        </w:tc>
        <w:tc>
          <w:tcPr>
            <w:tcW w:w="4876" w:type="dxa"/>
            <w:tcBorders>
              <w:top w:val="nil"/>
              <w:left w:val="nil"/>
              <w:bottom w:val="nil"/>
              <w:right w:val="nil"/>
            </w:tcBorders>
          </w:tcPr>
          <w:p>
            <w:pPr>
              <w:pStyle w:val="Normal6a"/>
            </w:pPr>
            <w:r>
              <w:t>H</w:t>
            </w:r>
            <w:r>
              <w:tab/>
            </w:r>
            <w:r>
              <w:t>Efter fem år av tillämpning uppvisar den fleråriga planen för västra Medelhavet ett ojämnt resultat</w:t>
            </w:r>
            <w:r>
              <w:rPr>
                <w:b/>
                <w:i/>
              </w:rPr>
              <w:t>, med</w:t>
            </w:r>
            <w:r>
              <w:t xml:space="preserve"> positiva tecken på återhämtning för vissa bestånd, såsom </w:t>
            </w:r>
            <w:r>
              <w:rPr>
                <w:b/>
                <w:i/>
              </w:rPr>
              <w:t>djuphavsräka</w:t>
            </w:r>
            <w:r>
              <w:t xml:space="preserve"> (Parapenaeus longirostris), </w:t>
            </w:r>
            <w:r>
              <w:rPr>
                <w:b/>
                <w:i/>
              </w:rPr>
              <w:t>rödmulle och blåröd räka.</w:t>
            </w:r>
            <w:r>
              <w:t xml:space="preserve"> </w:t>
            </w:r>
            <w:r>
              <w:rPr>
                <w:b/>
                <w:i/>
              </w:rPr>
              <w:t>De senaste vetenskapliga rapporterna visar också på positiva framsteg när det gäller</w:t>
            </w:r>
            <w:r>
              <w:t xml:space="preserve"> kummel, </w:t>
            </w:r>
            <w:r>
              <w:rPr>
                <w:b/>
                <w:i/>
              </w:rPr>
              <w:t>vilket ifrågasätter relevansen av att fortsätta att göra hela fiskeansträngningen inom blandfisket beroende av indikatorer för enskilda arter, och ökar behovet av att utan dröjsmål se över metoden för tilldelning av fiskedagar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Dessa framsteg har uppnåtts till höga ekonomiska och sociala kostnader för Medelhavsflottan och kustsamhällena.</w:t>
            </w:r>
            <w:r>
              <w:t xml:space="preserve"> </w:t>
            </w:r>
            <w:r>
              <w:rPr>
                <w:b/>
                <w:i/>
              </w:rPr>
              <w:t>Framtida förvaltningsbeslut bör befästa dessa framsteg genom att undvika ytterligare oproportionerliga minskningar av fiskeansträngningen.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 senaste studierna</w:t>
            </w:r>
            <w:r>
              <w:rPr>
                <w:b/>
                <w:i/>
                <w:vertAlign w:val="superscript"/>
              </w:rPr>
              <w:t>1 a</w:t>
            </w:r>
            <w:r>
              <w:t xml:space="preserve"> </w:t>
            </w:r>
            <w:r>
              <w:rPr>
                <w:b/>
                <w:i/>
              </w:rPr>
              <w:t>visar på positiva resultat när det gäller tendensen för biomassan i västra Medelhavet och minskningen av överfisket.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Europeiska kommissionen, gemensamma forskningscentrumet, "Scientific, Technical and Economic Committee for Fisheries (STECF) Monitoring the Performance of the Common Fisheries Policy" (STECF-Adhoc-25–01),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Enligt FAO:s senaste rapporter</w:t>
            </w:r>
            <w:r>
              <w:rPr>
                <w:b/>
                <w:i/>
                <w:vertAlign w:val="superscript"/>
              </w:rPr>
              <w:t>1 a</w:t>
            </w:r>
            <w:r>
              <w:t xml:space="preserve"> </w:t>
            </w:r>
            <w:r>
              <w:rPr>
                <w:b/>
                <w:i/>
              </w:rPr>
              <w:t>har procentsatsen överfiskade bestånd i Medelhavet sjunkit till den lägsta nivå som registrerats i tidsserien.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FAO,</w:t>
            </w:r>
            <w:r>
              <w:t xml:space="preserve"> </w:t>
            </w:r>
            <w:r>
              <w:rPr>
                <w:b/>
                <w:i/>
              </w:rPr>
              <w:t>2025.</w:t>
            </w:r>
            <w:r>
              <w:t xml:space="preserve"> </w:t>
            </w:r>
            <w:r>
              <w:rPr>
                <w:b/>
                <w:i/>
              </w:rPr>
              <w:t>"The State of Mediterranean and Black Sea Fisheries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I den fleråriga planen för västra Medelhavet saknas de mekanismer för flexibilitet och stabilisering från år till år som återfinns i andra av EU:s fleråriga planer, vilket skapar rättslig och ekonomisk oförutsägbarhet.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I den fleråriga planen för västra Medelhavet saknas de mekanismer för flexibilitet och stabilisering från år till år som återfinns i andra av EU:s fleråriga planer, vilket skapar rättslig och ekonomisk oförutsägbarhet.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 den fleråriga planen för västra Medelhavet saknas </w:t>
            </w:r>
            <w:r>
              <w:rPr>
                <w:b/>
                <w:i/>
              </w:rPr>
              <w:t>de</w:t>
            </w:r>
            <w:r>
              <w:t xml:space="preserve"> mekanismer för flexibilitet och stabilisering från år till år som </w:t>
            </w:r>
            <w:r>
              <w:rPr>
                <w:b/>
                <w:i/>
              </w:rPr>
              <w:t>återfinns i andra av EU:s fleråriga planer, vilket skapar rättslig och ekonomisk oförutsägbarhet</w:t>
            </w:r>
            <w:r>
              <w:t>.</w:t>
            </w:r>
          </w:p>
        </w:tc>
        <w:tc>
          <w:tcPr>
            <w:tcW w:w="4876" w:type="dxa"/>
            <w:tcBorders>
              <w:top w:val="nil"/>
              <w:left w:val="nil"/>
              <w:bottom w:val="nil"/>
              <w:right w:val="nil"/>
            </w:tcBorders>
          </w:tcPr>
          <w:p>
            <w:pPr>
              <w:pStyle w:val="Normal6a"/>
            </w:pPr>
            <w:r>
              <w:t>I.</w:t>
            </w:r>
            <w:r>
              <w:tab/>
            </w:r>
            <w:r>
              <w:t xml:space="preserve">I den fleråriga planen för västra Medelhavet saknas mekanismer för flexibilitet och stabilisering från år till år som </w:t>
            </w:r>
            <w:r>
              <w:rPr>
                <w:b/>
                <w:i/>
              </w:rPr>
              <w:t>ger en mer långsiktig förutsägbarhet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 den fleråriga planen för västra Medelhavet saknas de mekanismer för flexibilitet och stabilisering från år till år som återfinns i andra av EU:s fleråriga planer, vilket skapar rättslig och ekonomisk oförutsägbarhet.</w:t>
            </w:r>
          </w:p>
        </w:tc>
        <w:tc>
          <w:tcPr>
            <w:tcW w:w="4876" w:type="dxa"/>
            <w:tcBorders>
              <w:top w:val="nil"/>
              <w:left w:val="nil"/>
              <w:bottom w:val="nil"/>
              <w:right w:val="nil"/>
            </w:tcBorders>
          </w:tcPr>
          <w:p>
            <w:pPr>
              <w:pStyle w:val="Normal6a"/>
            </w:pPr>
            <w:r>
              <w:t>I.</w:t>
            </w:r>
            <w:r>
              <w:tab/>
            </w:r>
            <w:r>
              <w:t xml:space="preserve">I den fleråriga planen för västra Medelhavet saknas de mekanismer för flexibilitet och stabilisering från år till år som återfinns i andra av EU:s fleråriga planer, vilket skapar </w:t>
            </w:r>
            <w:r>
              <w:rPr>
                <w:b/>
                <w:i/>
              </w:rPr>
              <w:t>ojämlik behandling och</w:t>
            </w:r>
            <w:r>
              <w:t xml:space="preserve"> rättslig och ekonomisk oförutsägbarhet.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Enligt STECF ligger överfisket av djuphavsräkor fortfarande på en hög nivå och tillståndet för dessa bestånd har inte förändrats tillräckligt mycket för att uppnå målet om maximal hållbar avkastning.</w:t>
            </w:r>
            <w:r>
              <w:t xml:space="preserve"> </w:t>
            </w:r>
            <w:r>
              <w:rPr>
                <w:b/>
                <w:i/>
              </w:rPr>
              <w:t>STECF rekommenderar därför att den fortsatta minskningen av fiskeansträngningen för trålare ska kombineras med fångstbegränsningar som kompletterande åtgärder av relevans för bestånden av djuphavsräka.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Aktörer har nytta av bättre förutsägbarhet för sina investeringar och sin verksamhet.</w:t>
            </w:r>
            <w:r>
              <w:t xml:space="preserve"> </w:t>
            </w:r>
            <w:r>
              <w:rPr>
                <w:b/>
                <w:i/>
              </w:rPr>
              <w:t>Denna förutsägbarhet bör förbättras genom framförhållning, tydlig kommunikation och bättre användning av verktyg som finns tillgängliga inom ramen för den fleråriga planen för västra Medelhavet, samtidigt som det säkerställs att den årliga förvaltningen förblir i linje med bästa tillgängliga vetenskapliga rådgivning.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Med tanke på det blandfiske som är typiskt för Medelhavet och där flera arter fiskas samtidigt, krävs det anpassningsbara förvaltningsåtgärder som tar hänsyn till selektivitet inom flottan, redskapsinnovation och socioekonomisk resiliens.</w:t>
            </w:r>
          </w:p>
        </w:tc>
        <w:tc>
          <w:tcPr>
            <w:tcW w:w="4876" w:type="dxa"/>
            <w:tcBorders>
              <w:top w:val="nil"/>
              <w:left w:val="nil"/>
              <w:bottom w:val="nil"/>
              <w:right w:val="nil"/>
            </w:tcBorders>
          </w:tcPr>
          <w:p>
            <w:pPr>
              <w:pStyle w:val="Normal6a"/>
            </w:pPr>
            <w:r>
              <w:t>J.</w:t>
            </w:r>
            <w:r>
              <w:tab/>
            </w:r>
            <w:r>
              <w:t xml:space="preserve">Med tanke på det blandfiske som är typiskt för Medelhavet och där flera arter fiskas samtidigt, krävs det anpassningsbara förvaltningsåtgärder som tar hänsyn till selektivitet inom flottan, redskapsinnovation och socioekonomisk resiliens </w:t>
            </w:r>
            <w:r>
              <w:rPr>
                <w:b/>
                <w:i/>
              </w:rPr>
              <w:t>och som måste möjliggöra anpassning av förvaltningsreglerna till de olika flottsegmentens särdrag i de fall då vissa administrativa segmenteringar inte längre stämmer överens med hur Medelhavsfisket fungerar i praktiken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Med tanke på </w:t>
            </w:r>
            <w:r>
              <w:rPr>
                <w:b/>
                <w:i/>
              </w:rPr>
              <w:t>det blandfiske som är typiskt för</w:t>
            </w:r>
            <w:r>
              <w:t xml:space="preserve"> Medelhavet </w:t>
            </w:r>
            <w:r>
              <w:rPr>
                <w:b/>
                <w:i/>
              </w:rPr>
              <w:t>och</w:t>
            </w:r>
            <w:r>
              <w:t xml:space="preserve"> där flera arter fiskas samtidigt, krävs det anpassningsbara förvaltningsåtgärder som </w:t>
            </w:r>
            <w:r>
              <w:rPr>
                <w:b/>
                <w:i/>
              </w:rPr>
              <w:t>tar</w:t>
            </w:r>
            <w:r>
              <w:t xml:space="preserve"> hänsyn till selektivitet inom flottan, </w:t>
            </w:r>
            <w:r>
              <w:rPr>
                <w:b/>
                <w:i/>
              </w:rPr>
              <w:t>redskapsinnovation och socioekonomisk resiliens</w:t>
            </w:r>
            <w:r>
              <w:t>.</w:t>
            </w:r>
          </w:p>
        </w:tc>
        <w:tc>
          <w:tcPr>
            <w:tcW w:w="4876" w:type="dxa"/>
            <w:tcBorders>
              <w:top w:val="nil"/>
              <w:left w:val="nil"/>
              <w:bottom w:val="nil"/>
              <w:right w:val="nil"/>
            </w:tcBorders>
          </w:tcPr>
          <w:p>
            <w:pPr>
              <w:pStyle w:val="Normal6a"/>
            </w:pPr>
            <w:r>
              <w:t>J.</w:t>
            </w:r>
            <w:r>
              <w:tab/>
            </w:r>
            <w:r>
              <w:t xml:space="preserve">Med tanke på </w:t>
            </w:r>
            <w:r>
              <w:rPr>
                <w:b/>
                <w:i/>
              </w:rPr>
              <w:t>de blandade typerna av fiske i</w:t>
            </w:r>
            <w:r>
              <w:t xml:space="preserve"> Medelhavet</w:t>
            </w:r>
            <w:r>
              <w:rPr>
                <w:b/>
                <w:i/>
              </w:rPr>
              <w:t>,</w:t>
            </w:r>
            <w:r>
              <w:t xml:space="preserve"> där flera arter </w:t>
            </w:r>
            <w:r>
              <w:rPr>
                <w:b/>
                <w:i/>
              </w:rPr>
              <w:t>ofta</w:t>
            </w:r>
            <w:r>
              <w:t> fiskas samtidigt, krävs det anpassningsbara</w:t>
            </w:r>
            <w:r>
              <w:rPr>
                <w:b/>
                <w:i/>
              </w:rPr>
              <w:t>, ekosystembaserade</w:t>
            </w:r>
            <w:r>
              <w:t xml:space="preserve"> förvaltningsåtgärder som </w:t>
            </w:r>
            <w:r>
              <w:rPr>
                <w:b/>
                <w:i/>
              </w:rPr>
              <w:t>bygger på bästa tillgängliga vetenskapliga rådgivning, med</w:t>
            </w:r>
            <w:r>
              <w:t xml:space="preserve"> hänsyn till selektivitet inom flottan, </w:t>
            </w:r>
            <w:r>
              <w:rPr>
                <w:b/>
                <w:i/>
              </w:rPr>
              <w:t>innovation inom skonsamma fiskeredskap, skydd av känsliga marina ekosystem och bifångstarter samt behovet att säkerställa en rättvis omställning och långsiktig motståndskraft för kustsamhällen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Med tanke på det blandfiske som är typiskt för Medelhavet och där flera arter fiskas samtidigt, krävs det anpassningsbara förvaltningsåtgärder som tar hänsyn till selektivitet inom flottan, redskapsinnovation och socioekonomisk resiliens.</w:t>
            </w:r>
          </w:p>
        </w:tc>
        <w:tc>
          <w:tcPr>
            <w:tcW w:w="4876" w:type="dxa"/>
            <w:tcBorders>
              <w:top w:val="nil"/>
              <w:left w:val="nil"/>
              <w:bottom w:val="nil"/>
              <w:right w:val="nil"/>
            </w:tcBorders>
          </w:tcPr>
          <w:p>
            <w:pPr>
              <w:pStyle w:val="Normal6a"/>
            </w:pPr>
            <w:r>
              <w:t>J.</w:t>
            </w:r>
            <w:r>
              <w:tab/>
            </w:r>
            <w:r>
              <w:t xml:space="preserve">Med tanke på det blandfiske som är typiskt för Medelhavet och där flera arter fiskas samtidigt, krävs det anpassningsbara förvaltningsåtgärder som tar hänsyn till selektivitet inom flottan, redskapsinnovation och socioekonomisk resiliens </w:t>
            </w:r>
            <w:r>
              <w:rPr>
                <w:b/>
                <w:i/>
              </w:rPr>
              <w:t>samt till interaktionerna mellan arter, effekten av klimatförändringarna och andra belastningar på de marina ekosystemen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Med tanke på det blandfiske som är typiskt för Medelhavet och där flera arter fiskas samtidigt, krävs det anpassningsbara förvaltningsåtgärder som tar hänsyn till selektivitet inom flottan, redskapsinnovation och socioekonomisk resiliens.</w:t>
            </w:r>
          </w:p>
        </w:tc>
        <w:tc>
          <w:tcPr>
            <w:tcW w:w="4876" w:type="dxa"/>
            <w:tcBorders>
              <w:top w:val="nil"/>
              <w:left w:val="nil"/>
              <w:bottom w:val="nil"/>
              <w:right w:val="nil"/>
            </w:tcBorders>
          </w:tcPr>
          <w:p>
            <w:pPr>
              <w:pStyle w:val="Normal6a"/>
            </w:pPr>
            <w:r>
              <w:t>J.</w:t>
            </w:r>
            <w:r>
              <w:tab/>
            </w:r>
            <w:r>
              <w:t xml:space="preserve">Med tanke på det blandfiske som är typiskt för Medelhavet och där flera arter fiskas samtidigt, krävs det anpassningsbara förvaltningsåtgärder som </w:t>
            </w:r>
            <w:r>
              <w:rPr>
                <w:b/>
                <w:i/>
              </w:rPr>
              <w:t>skyddar sårbara arter och</w:t>
            </w:r>
            <w:r>
              <w:t xml:space="preserve"> tar hänsyn till selektivitet inom flottan, redskapsinnovation och socioekonomisk resiliens.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 artikel 9.5 i förordning (EU) nr 1380/2013 fastställs det att man vid förvaltningen av blandfiske ska ta vederbörlig hänsyn till att det i praktiken är svårt att samtidigt uppnå maximal hållbar avkastning för alla bestånd.</w:t>
            </w:r>
            <w:r>
              <w:t xml:space="preserve"> </w:t>
            </w:r>
            <w:r>
              <w:rPr>
                <w:b/>
                <w:i/>
              </w:rPr>
              <w:t>Förvaltningsåtgärderna bör därför inte leda till att fisket stängs i förtid eller till att fiskeverksamhet minskas till nivåer där den ekonomiska och sociala bärkraften äventyras, och de bör säkerställa tillräckliga fiskemöjligheter för att upprätthålla flottans verksamhet, med ett genomsnitt på minst 180 fiskedagar per fartyg och år som allmänt referensvärde.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De olika typerna av fisken i Medelhavet uppvisar stora skillnader i fråga om grad av påverkan, nivå av selektivitet, rörlighet och beroende av demersala bestånd.</w:t>
            </w:r>
            <w:r>
              <w:t xml:space="preserve"> </w:t>
            </w:r>
            <w:r>
              <w:rPr>
                <w:b/>
                <w:i/>
              </w:rPr>
              <w:t>En likriktad strategi för förvaltningen gör det inte alltid möjligt hantera dessa specifika omständigheter.</w:t>
            </w:r>
            <w:r>
              <w:t xml:space="preserve"> </w:t>
            </w:r>
            <w:r>
              <w:rPr>
                <w:b/>
                <w:i/>
              </w:rPr>
              <w:t>Därför är det nödvändigt att se till att förvaltningsåtgärderna står i proportion till de olika fiskenas särskilda egenskaper.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Fiskeriförvaltningen måste ta hänsyn till kumulativa påfrestningar från fiske, klimatförändring, föroreningar, undervattensbuller, förstörelse av livsmiljöer, invasiva arter och annan mänsklig verksamhet.</w:t>
            </w:r>
            <w:r>
              <w:t xml:space="preserve"> </w:t>
            </w:r>
            <w:r>
              <w:rPr>
                <w:b/>
                <w:i/>
              </w:rPr>
              <w:t>Fiskeriförvaltningsåtgärder bör baseras på de marina ekosystemens bärkraft och miljömässiga gränser.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Havsplaneringen måste säkerställa en balanserad samexistens mellan yrkesfisket, marina skyddsområden, områden med starkt skydd, återställande av marina ekosystem och utveckling av marin förnybar energi.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I sin genomföranderapport från 2024 anser kommissionen att den fleråriga planen har visat sig vara en fördelaktig ram för att genomföra den gemensamma fiskeripolitiken för västra Medelhavet och för att uppnå F</w:t>
            </w:r>
            <w:r>
              <w:rPr>
                <w:b/>
                <w:i/>
                <w:vertAlign w:val="subscript"/>
              </w:rPr>
              <w:t>MSY</w:t>
            </w:r>
            <w:r>
              <w:t xml:space="preserve"> </w:t>
            </w:r>
            <w:r>
              <w:rPr>
                <w:b/>
                <w:i/>
              </w:rPr>
              <w:t>senast den 1 januari 2025.</w:t>
            </w:r>
            <w:r>
              <w:t xml:space="preserve"> </w:t>
            </w:r>
            <w:r>
              <w:rPr>
                <w:b/>
                <w:i/>
              </w:rPr>
              <w:t>Enligt samma rapport har den fleråriga planen under en övergångsperiod på fem år lett till bättre fiskerikontroll, t.ex. genom att det upprättats årliga förteckningar över fartyg med tillstånd och genom att det antagits bevarandeåtgärder såsom verkningsfulla fredningsområden.</w:t>
            </w:r>
            <w:r>
              <w:t xml:space="preserve"> </w:t>
            </w:r>
            <w:r>
              <w:rPr>
                <w:b/>
                <w:i/>
              </w:rPr>
              <w:t>I rapporten dras också slutsatsen att den fleråriga planen innehöll en rad flexibilitetsåtgärder för att hjälpa sektorn att övergå till hållbarare metoder, t.ex. överföring av fiskeansträngning och alternativa verkningsfulla fredningsområden.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Bevarandeåtgärderna bör regelbundet utvärderas med avseende på deras biologiska, ekonomiska, sociala och territoriella effekter för att säkerställa att de är ändamålsenliga och att de accepteras i fiskesamhällena.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Olagligt, orapporterat och oreglerat fiske (IUU-fiske) och verksamhet av tredjeländers flottor i Medelhavet kontrolleras fortfarande inte tillräckligt, vilket inverkar negativt på fiskbestånden och den europeiska flottans konkurrenskraft.</w:t>
            </w:r>
          </w:p>
        </w:tc>
        <w:tc>
          <w:tcPr>
            <w:tcW w:w="4876" w:type="dxa"/>
            <w:tcBorders>
              <w:top w:val="nil"/>
              <w:left w:val="nil"/>
              <w:bottom w:val="nil"/>
              <w:right w:val="nil"/>
            </w:tcBorders>
          </w:tcPr>
          <w:p>
            <w:pPr>
              <w:pStyle w:val="Normal6a"/>
            </w:pPr>
            <w:r>
              <w:t>K.</w:t>
            </w:r>
            <w:r>
              <w:tab/>
            </w:r>
            <w:r>
              <w:t xml:space="preserve">Olagligt, orapporterat och oreglerat fiske (IUU-fiske) och verksamhet av tredjeländers flottor i Medelhavet kontrolleras fortfarande inte tillräckligt, vilket inverkar negativt på fiskbestånden och den europeiska flottans konkurrenskraft. </w:t>
            </w:r>
            <w:r>
              <w:rPr>
                <w:b/>
                <w:i/>
              </w:rPr>
              <w:t>Den spanska fiskerisektorn har upprepade gånger påtalat att fartyg från Marocko och Algeriet fiskar i Alboránsjön med drivgarn, ett redskap som är förbjudet i EU, och att deras fångst sedan kommer in på den europeiska marknaden, vilket utgör uppenbart illojal konkurrens.</w:t>
            </w:r>
            <w:r>
              <w:t xml:space="preserve"> </w:t>
            </w:r>
            <w:r>
              <w:rPr>
                <w:b/>
                <w:i/>
              </w:rPr>
              <w:t>Till följd av denna situation måste samarbetet med kustländer samt gränskontroller och spårbarheten för fiskeimporter brådskande förstärkas.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Olagligt, orapporterat och oreglerat fiske (IUU-fiske) och verksamhet av tredjeländers flottor i Medelhavet kontrolleras fortfarande inte tillräckligt, vilket inverkar negativt på fiskbestånden </w:t>
            </w:r>
            <w:r>
              <w:rPr>
                <w:b/>
                <w:i/>
              </w:rPr>
              <w:t>och</w:t>
            </w:r>
            <w:r>
              <w:t xml:space="preserve"> den europeiska flottans konkurrenskraft.</w:t>
            </w:r>
          </w:p>
        </w:tc>
        <w:tc>
          <w:tcPr>
            <w:tcW w:w="4876" w:type="dxa"/>
            <w:tcBorders>
              <w:top w:val="nil"/>
              <w:left w:val="nil"/>
              <w:bottom w:val="nil"/>
              <w:right w:val="nil"/>
            </w:tcBorders>
          </w:tcPr>
          <w:p>
            <w:pPr>
              <w:pStyle w:val="Normal6a"/>
            </w:pPr>
            <w:r>
              <w:t>K.</w:t>
            </w:r>
            <w:r>
              <w:tab/>
            </w:r>
            <w:r>
              <w:t>Olagligt, orapporterat och oreglerat fiske (IUU-fiske) och verksamhet av tredjeländers flottor i Medelhavet kontrolleras fortfarande inte tillräckligt, vilket inverkar negativt på fiskbestånden</w:t>
            </w:r>
            <w:r>
              <w:rPr>
                <w:b/>
                <w:i/>
              </w:rPr>
              <w:t>,</w:t>
            </w:r>
            <w:r>
              <w:t xml:space="preserve"> den europeiska flottans konkurrenskraft </w:t>
            </w:r>
            <w:r>
              <w:rPr>
                <w:b/>
                <w:i/>
              </w:rPr>
              <w:t>och de sektorer som beror av den samt kustsamhällenas välstånd</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Olagligt, orapporterat och oreglerat fiske (IUU-fiske) och verksamhet av tredjeländers flottor i Medelhavet kontrolleras fortfarande inte tillräckligt, vilket inverkar negativt på fiskbestånden och den europeiska flottans konkurrenskraft.</w:t>
            </w:r>
          </w:p>
        </w:tc>
        <w:tc>
          <w:tcPr>
            <w:tcW w:w="4876" w:type="dxa"/>
            <w:tcBorders>
              <w:top w:val="nil"/>
              <w:left w:val="nil"/>
              <w:bottom w:val="nil"/>
              <w:right w:val="nil"/>
            </w:tcBorders>
          </w:tcPr>
          <w:p>
            <w:pPr>
              <w:pStyle w:val="Normal6a"/>
            </w:pPr>
            <w:r>
              <w:t>K.</w:t>
            </w:r>
            <w:r>
              <w:tab/>
            </w:r>
            <w:r>
              <w:t xml:space="preserve">Olagligt, orapporterat och oreglerat fiske (IUU-fiske) och verksamhet av tredjeländers flottor i Medelhavet kontrolleras </w:t>
            </w:r>
            <w:r>
              <w:rPr>
                <w:b/>
                <w:i/>
              </w:rPr>
              <w:t>i vissa fall</w:t>
            </w:r>
            <w:r>
              <w:t xml:space="preserve"> fortfarande inte tillräckligt, vilket inverkar negativt på fiskbestånden och den europeiska flottans konkurrenskraft </w:t>
            </w:r>
            <w:r>
              <w:rPr>
                <w:b/>
                <w:i/>
              </w:rPr>
              <w:t>utanför tillämpningsområdet för förordning (EU) 2019/1022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Olagligt, orapporterat och oreglerat fiske (IUU-fiske) och verksamhet av tredjeländers flottor i Medelhavet kontrolleras </w:t>
            </w:r>
            <w:r>
              <w:rPr>
                <w:b/>
                <w:i/>
              </w:rPr>
              <w:t>fortfarande inte tillräckligt, vilket inverkar negativt på fiskbestånden och</w:t>
            </w:r>
            <w:r>
              <w:t xml:space="preserve"> den europeiska </w:t>
            </w:r>
            <w:r>
              <w:rPr>
                <w:b/>
                <w:i/>
              </w:rPr>
              <w:t>flottans konkurrenskraft</w:t>
            </w:r>
            <w:r>
              <w:t>.</w:t>
            </w:r>
          </w:p>
        </w:tc>
        <w:tc>
          <w:tcPr>
            <w:tcW w:w="4876" w:type="dxa"/>
            <w:tcBorders>
              <w:top w:val="nil"/>
              <w:left w:val="nil"/>
              <w:bottom w:val="nil"/>
              <w:right w:val="nil"/>
            </w:tcBorders>
          </w:tcPr>
          <w:p>
            <w:pPr>
              <w:pStyle w:val="Normal6a"/>
            </w:pPr>
            <w:r>
              <w:t>K.</w:t>
            </w:r>
            <w:r>
              <w:tab/>
            </w:r>
            <w:r>
              <w:t xml:space="preserve">Olagligt, orapporterat och oreglerat fiske (IUU-fiske) och verksamhet av tredjeländers flottor i Medelhavet </w:t>
            </w:r>
            <w:r>
              <w:rPr>
                <w:b/>
                <w:i/>
              </w:rPr>
              <w:t>fortsätter att övervakas illa, vilket bidrar till beståndens försämring utan att den illojala konkurrensen</w:t>
            </w:r>
            <w:r>
              <w:t xml:space="preserve"> kontrolleras</w:t>
            </w:r>
            <w:r>
              <w:rPr>
                <w:b/>
                <w:i/>
              </w:rPr>
              <w:t>, till förfång för</w:t>
            </w:r>
            <w:r>
              <w:t xml:space="preserve"> den europeiska </w:t>
            </w:r>
            <w:r>
              <w:rPr>
                <w:b/>
                <w:i/>
              </w:rPr>
              <w:t>flottan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 kommissionens genomföranderapport från 2024 dras slutsatsen att de olika utvecklingstendenserna för demersala bestånd och lönsamheten för de berörda fiskena också beror på förseningar i genomförandet och begränsat egenansvar från medlemsstaternas sida, bland annat ökade fångster av ungfisk, strukturell överkapacitet, ökad användning av tvillingtrålare samt brister i kontrollen och tillsynen i vissa medlemsstater.</w:t>
            </w:r>
            <w:r>
              <w:t xml:space="preserve"> </w:t>
            </w:r>
            <w:r>
              <w:rPr>
                <w:b/>
                <w:i/>
              </w:rPr>
              <w:t>Kommissionen anser att obalansen mellan fiskemöjligheter och flottkapacitet har undergrävt planens positiva effekter och försenat beståndens återhämtning.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Fiskare utför ett miljöarbete genom att de samtidigt som de tar upp sin fångst ur havet samlar upp det avfall som fastnar i deras nät, och därigenom bidrar de till att rengöra havsbotten, vilket initiativ som ”Upcycling the Oceans” utgör exempel på.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Spridningen av invasiva arter förvärrar problemen i fiskeriförvaltningen i Medelhavet.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Fiskerisektorn måste bli mer attraktiv så att det går att säkerställa generationsskiftet inom den, förbättra dess konkurrenskraft och säkerställa dess bärkraft.</w:t>
            </w:r>
          </w:p>
        </w:tc>
        <w:tc>
          <w:tcPr>
            <w:tcW w:w="4876" w:type="dxa"/>
            <w:tcBorders>
              <w:top w:val="nil"/>
              <w:left w:val="nil"/>
              <w:bottom w:val="nil"/>
              <w:right w:val="nil"/>
            </w:tcBorders>
          </w:tcPr>
          <w:p>
            <w:pPr>
              <w:pStyle w:val="Normal6a"/>
            </w:pPr>
            <w:r>
              <w:t>L.</w:t>
            </w:r>
            <w:r>
              <w:tab/>
            </w:r>
            <w:r>
              <w:t xml:space="preserve">Fiskerisektorn måste bli mer attraktiv så att det går att säkerställa generationsskiftet inom den, förbättra dess konkurrenskraft och säkerställa dess bärkraft. </w:t>
            </w:r>
            <w:r>
              <w:rPr>
                <w:b/>
                <w:i/>
              </w:rPr>
              <w:t>I STECF:s första sociala rapport konstaterar man en nedåtgående trend i sysselsättningen inom EU:s fångstfiske och pekar man på man inkomstosäkerhet, en stor administrativ och byråkratisk börda, fysiskt krävande arbete, bristen på mekanismer för utbildning och företagsöverlåtelser såsom faktorer som gör det svårt för nya generationer att etablera sig.</w:t>
            </w:r>
            <w:r>
              <w:t xml:space="preserve"> </w:t>
            </w:r>
            <w:r>
              <w:rPr>
                <w:b/>
                <w:i/>
              </w:rPr>
              <w:t>Om inte en särskild utbildningspolitik inrättas, lagstiftningen förenklas och stöd ges till företagsöverlåtelser, riskerar generationsskiftet i Medelhavsområdet att gå om intet.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Fiskerisektorn måste bli mer attraktiv så att det går att säkerställa generationsskiftet inom den, förbättra dess konkurrenskraft och säkerställa dess bärkraft.</w:t>
            </w:r>
          </w:p>
        </w:tc>
        <w:tc>
          <w:tcPr>
            <w:tcW w:w="4876" w:type="dxa"/>
            <w:tcBorders>
              <w:top w:val="nil"/>
              <w:left w:val="nil"/>
              <w:bottom w:val="nil"/>
              <w:right w:val="nil"/>
            </w:tcBorders>
          </w:tcPr>
          <w:p>
            <w:pPr>
              <w:pStyle w:val="Normal6a"/>
            </w:pPr>
            <w:r>
              <w:t>L.</w:t>
            </w:r>
            <w:r>
              <w:tab/>
            </w:r>
            <w:r>
              <w:t>Fiskerisektorn måste bli mer attraktiv</w:t>
            </w:r>
            <w:r>
              <w:rPr>
                <w:b/>
                <w:i/>
              </w:rPr>
              <w:t>, särskilt för unga,</w:t>
            </w:r>
            <w:r>
              <w:t xml:space="preserve"> så att det går att säkerställa generationsskiftet inom den, förbättra dess konkurrenskraft och säkerställa dess bärkraft </w:t>
            </w:r>
            <w:r>
              <w:rPr>
                <w:b/>
                <w:i/>
              </w:rPr>
              <w:t>på lång sikt</w:t>
            </w:r>
            <w:r>
              <w:t xml:space="preserve">. </w:t>
            </w:r>
            <w:r>
              <w:rPr>
                <w:b/>
                <w:i/>
              </w:rPr>
              <w:t>Det är också viktigt att främja en diversifiering av fiskeverksamheten för att öka sektorns lönsamhet och fullt ut utnyttja Medelhavets ekonomiska potential.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Fiskerisektorn måste bli mer attraktiv så att det går att säkerställa generationsskiftet inom den, förbättra dess konkurrenskraft och säkerställa dess bärkraft.</w:t>
            </w:r>
          </w:p>
        </w:tc>
        <w:tc>
          <w:tcPr>
            <w:tcW w:w="4876" w:type="dxa"/>
            <w:tcBorders>
              <w:top w:val="nil"/>
              <w:left w:val="nil"/>
              <w:bottom w:val="nil"/>
              <w:right w:val="nil"/>
            </w:tcBorders>
          </w:tcPr>
          <w:p>
            <w:pPr>
              <w:pStyle w:val="Normal6a"/>
            </w:pPr>
            <w:r>
              <w:t>L.</w:t>
            </w:r>
            <w:r>
              <w:tab/>
            </w:r>
            <w:r>
              <w:t>Fiskerisektorn måste bli mer attraktiv</w:t>
            </w:r>
            <w:r>
              <w:rPr>
                <w:b/>
                <w:i/>
              </w:rPr>
              <w:t>, särskilt genom att fiskbestånden återställs,</w:t>
            </w:r>
            <w:r>
              <w:t xml:space="preserve"> så att det går att säkerställa generationsskiftet inom den, förbättra dess konkurrenskraft och säkerställa dess bärkraft.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Fiskerisektorn måste bli mer attraktiv så att det går att säkerställa generationsskiftet inom den, förbättra dess konkurrenskraft och säkerställa dess bärkraft.</w:t>
            </w:r>
          </w:p>
        </w:tc>
        <w:tc>
          <w:tcPr>
            <w:tcW w:w="4876" w:type="dxa"/>
            <w:tcBorders>
              <w:top w:val="nil"/>
              <w:left w:val="nil"/>
              <w:bottom w:val="nil"/>
              <w:right w:val="nil"/>
            </w:tcBorders>
          </w:tcPr>
          <w:p>
            <w:pPr>
              <w:pStyle w:val="Normal6a"/>
            </w:pPr>
            <w:r>
              <w:t>L.</w:t>
            </w:r>
            <w:r>
              <w:tab/>
            </w:r>
            <w:r>
              <w:t xml:space="preserve">Fiskerisektorn måste bli mer attraktiv så att det går att säkerställa generationsskiftet inom den, förbättra dess konkurrenskraft och säkerställa dess bärkraft </w:t>
            </w:r>
            <w:r>
              <w:rPr>
                <w:b/>
                <w:i/>
              </w:rPr>
              <w:t>och bärkraften för relaterade sektorer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La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Den nuvarande metoden inom ramen för den gemensamma fiskeripolitiken tar inte i tillräcklig mån hänsyn till socioekonomiska effekter och är främst inriktad på biologiska kriterier, vilket kan leda till oproportionerliga konsekvenser för fiskare, beredningsindustrin och kustsamhällenas försörjningsmöjligheter.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Europeiska havs-, fiskeri- och vattenbruksfonden är avgörande för att förbättra fiskeri</w:t>
            </w:r>
            <w:r>
              <w:rPr>
                <w:b/>
                <w:i/>
              </w:rPr>
              <w:t>‑</w:t>
            </w:r>
            <w:r>
              <w:t xml:space="preserve"> och vattenbrukssektorns hållbarhet och konkurrenskraft, stödja lokala aktionsgrupper för fiske och stärka kustsamhällenas utveckling, och bör därför fortsätta att vara en separat fond, som tilldelas tillräcklig finansiering.</w:t>
            </w:r>
          </w:p>
        </w:tc>
        <w:tc>
          <w:tcPr>
            <w:tcW w:w="4876" w:type="dxa"/>
            <w:tcBorders>
              <w:top w:val="nil"/>
              <w:left w:val="nil"/>
              <w:bottom w:val="nil"/>
              <w:right w:val="nil"/>
            </w:tcBorders>
          </w:tcPr>
          <w:p>
            <w:pPr>
              <w:pStyle w:val="Normal6a"/>
            </w:pPr>
            <w:r>
              <w:t>M.</w:t>
            </w:r>
            <w:r>
              <w:tab/>
            </w:r>
            <w:r>
              <w:t xml:space="preserve">Europeiska havs-, fiskeri- och vattenbruksfonden </w:t>
            </w:r>
            <w:r>
              <w:rPr>
                <w:b/>
                <w:i/>
              </w:rPr>
              <w:t>(EHFVF)</w:t>
            </w:r>
            <w:r>
              <w:t xml:space="preserve"> är avgörande för att förbättra fiskeri</w:t>
            </w:r>
            <w:r>
              <w:rPr>
                <w:b/>
                <w:i/>
              </w:rPr>
              <w:t>-</w:t>
            </w:r>
            <w:r>
              <w:t xml:space="preserve"> och vattenbrukssektorns hållbarhet och konkurrenskraft, stödja lokala aktionsgrupper för fiske och stärka kustsamhällenas utveckling, och bör därför fortsätta att vara en separat </w:t>
            </w:r>
            <w:r>
              <w:rPr>
                <w:b/>
                <w:i/>
              </w:rPr>
              <w:t>och fristående</w:t>
            </w:r>
            <w:r>
              <w:t xml:space="preserve"> fond, som tilldelas tillräcklig finansiering</w:t>
            </w:r>
            <w:r>
              <w:rPr>
                <w:b/>
                <w:i/>
              </w:rPr>
              <w:t>, inom ramen för nästa fleråriga budgetram 2028–2034</w:t>
            </w:r>
            <w:r>
              <w:t xml:space="preserve">. </w:t>
            </w:r>
            <w:r>
              <w:rPr>
                <w:b/>
                <w:i/>
              </w:rPr>
              <w:t>En minskning av dess budgetanslag skulle direkt äventyra Medelhavsflottans förmåga att ta itu med moderniseringen samt förbättra fiskeredskapens selektivitet och de socioekonomiska kompensationsåtgärder som krävs enligt den fleråriga planen.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Europeiska havs-, fiskeri- och vattenbruksfonden är avgörande för att </w:t>
            </w:r>
            <w:r>
              <w:rPr>
                <w:b/>
                <w:i/>
              </w:rPr>
              <w:t>förbättra</w:t>
            </w:r>
            <w:r>
              <w:t xml:space="preserve"> fiskeri</w:t>
            </w:r>
            <w:r>
              <w:rPr>
                <w:b/>
                <w:i/>
              </w:rPr>
              <w:t>‑</w:t>
            </w:r>
            <w:r>
              <w:t xml:space="preserve"> och vattenbrukssektorns hållbarhet och konkurrenskraft, stödja lokala aktionsgrupper för fiske och stärka kustsamhällenas utveckling</w:t>
            </w:r>
            <w:r>
              <w:rPr>
                <w:b/>
                <w:i/>
              </w:rPr>
              <w:t>, och bör därför</w:t>
            </w:r>
            <w:r>
              <w:t xml:space="preserve"> fortsätta att vara en separat fond, som tilldelas tillräcklig finansiering.</w:t>
            </w:r>
          </w:p>
        </w:tc>
        <w:tc>
          <w:tcPr>
            <w:tcW w:w="4876" w:type="dxa"/>
            <w:tcBorders>
              <w:top w:val="nil"/>
              <w:left w:val="nil"/>
              <w:bottom w:val="nil"/>
              <w:right w:val="nil"/>
            </w:tcBorders>
          </w:tcPr>
          <w:p>
            <w:pPr>
              <w:pStyle w:val="Normal6a"/>
            </w:pPr>
            <w:r>
              <w:t>M.</w:t>
            </w:r>
            <w:r>
              <w:tab/>
            </w:r>
            <w:r>
              <w:t xml:space="preserve">Europeiska havs-, fiskeri- och vattenbruksfonden är avgörande för att </w:t>
            </w:r>
            <w:r>
              <w:rPr>
                <w:b/>
                <w:i/>
              </w:rPr>
              <w:t>säkerställa</w:t>
            </w:r>
            <w:r>
              <w:t xml:space="preserve"> fiskeri</w:t>
            </w:r>
            <w:r>
              <w:rPr>
                <w:b/>
                <w:i/>
              </w:rPr>
              <w:t>-</w:t>
            </w:r>
            <w:r>
              <w:t xml:space="preserve"> och vattenbrukssektorns hållbarhet och konkurrenskraft, stödja lokala aktionsgrupper för fiske och stärka kustsamhällenas utveckling</w:t>
            </w:r>
            <w:r>
              <w:rPr>
                <w:b/>
                <w:i/>
              </w:rPr>
              <w:t>.</w:t>
            </w:r>
            <w:r>
              <w:t xml:space="preserve"> </w:t>
            </w:r>
            <w:r>
              <w:rPr>
                <w:b/>
                <w:i/>
              </w:rPr>
              <w:t>Den bör</w:t>
            </w:r>
            <w:r>
              <w:t xml:space="preserve"> fortsätta att vara en separat</w:t>
            </w:r>
            <w:r>
              <w:rPr>
                <w:b/>
                <w:i/>
              </w:rPr>
              <w:t>, fristående</w:t>
            </w:r>
            <w:r>
              <w:t xml:space="preserve"> fond, som tilldelas </w:t>
            </w:r>
            <w:r>
              <w:rPr>
                <w:b/>
                <w:i/>
              </w:rPr>
              <w:t>en</w:t>
            </w:r>
            <w:r>
              <w:t xml:space="preserve"> tillräcklig </w:t>
            </w:r>
            <w:r>
              <w:rPr>
                <w:b/>
                <w:i/>
              </w:rPr>
              <w:t>och lämplig</w:t>
            </w:r>
            <w:r>
              <w:t xml:space="preserve"> finansiering </w:t>
            </w:r>
            <w:r>
              <w:rPr>
                <w:b/>
                <w:i/>
              </w:rPr>
              <w:t>i proportion till de utmaningar som sektorn står inför, särskilt moderniseringen och förnyelsen av och utfasningen av fossila bränslen i flottan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Europeiska havs-, fiskeri- och vattenbruksfonden </w:t>
            </w:r>
            <w:r>
              <w:rPr>
                <w:b/>
                <w:i/>
              </w:rPr>
              <w:t>är</w:t>
            </w:r>
            <w:r>
              <w:t xml:space="preserve"> avgörande </w:t>
            </w:r>
            <w:r>
              <w:rPr>
                <w:b/>
                <w:i/>
              </w:rPr>
              <w:t>för att förbättra fiskeri‑ och vattenbrukssektorns hållbarhet och konkurrenskraft, stödja</w:t>
            </w:r>
            <w:r>
              <w:t xml:space="preserve"> lokala aktionsgrupper för fiske och </w:t>
            </w:r>
            <w:r>
              <w:rPr>
                <w:b/>
                <w:i/>
              </w:rPr>
              <w:t>stärka kustsamhällenas utveckling, och bör</w:t>
            </w:r>
            <w:r>
              <w:t xml:space="preserve"> därför </w:t>
            </w:r>
            <w:r>
              <w:rPr>
                <w:b/>
                <w:i/>
              </w:rPr>
              <w:t>fortsätta att vara en separat fond, som tilldelas tillräcklig finansiering</w:t>
            </w:r>
            <w:r>
              <w:t>.</w:t>
            </w:r>
          </w:p>
        </w:tc>
        <w:tc>
          <w:tcPr>
            <w:tcW w:w="4876" w:type="dxa"/>
            <w:tcBorders>
              <w:top w:val="nil"/>
              <w:left w:val="nil"/>
              <w:bottom w:val="nil"/>
              <w:right w:val="nil"/>
            </w:tcBorders>
          </w:tcPr>
          <w:p>
            <w:pPr>
              <w:pStyle w:val="Normal6a"/>
            </w:pPr>
            <w:r>
              <w:t>M.</w:t>
            </w:r>
            <w:r>
              <w:tab/>
            </w:r>
            <w:r>
              <w:t xml:space="preserve">Europeiska havs-, fiskeri- och vattenbruksfonden </w:t>
            </w:r>
            <w:r>
              <w:rPr>
                <w:b/>
                <w:i/>
              </w:rPr>
              <w:t>(EHFVF) ger ett</w:t>
            </w:r>
            <w:r>
              <w:t xml:space="preserve"> avgörande </w:t>
            </w:r>
            <w:r>
              <w:rPr>
                <w:b/>
                <w:i/>
              </w:rPr>
              <w:t>stöd till modernisering av flottan, införande av mer selektiva fiskeredskap,</w:t>
            </w:r>
            <w:r>
              <w:t xml:space="preserve"> lokala aktionsgrupper för fiske och </w:t>
            </w:r>
            <w:r>
              <w:rPr>
                <w:b/>
                <w:i/>
              </w:rPr>
              <w:t>ersättning till flottan för tillfälligt upphörande, och</w:t>
            </w:r>
            <w:r>
              <w:t xml:space="preserve"> därför </w:t>
            </w:r>
            <w:r>
              <w:rPr>
                <w:b/>
                <w:i/>
              </w:rPr>
              <w:t>är det viktigt att den förblir oberoende och har tillräckliga resurser för att säkerställa sektorns hållbarhet och socioekonomiska bärkraft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Europeiska havs-, fiskeri- och vattenbruksfonden är avgörande för att förbättra fiskeri</w:t>
            </w:r>
            <w:r>
              <w:rPr>
                <w:b/>
                <w:i/>
              </w:rPr>
              <w:t>‑</w:t>
            </w:r>
            <w:r>
              <w:t xml:space="preserve"> och vattenbrukssektorns hållbarhet och konkurrenskraft, stödja lokala aktionsgrupper för fiske och stärka kustsamhällenas utveckling, och bör därför fortsätta att vara en separat fond, som tilldelas tillräcklig finansiering.</w:t>
            </w:r>
          </w:p>
        </w:tc>
        <w:tc>
          <w:tcPr>
            <w:tcW w:w="4876" w:type="dxa"/>
            <w:tcBorders>
              <w:top w:val="nil"/>
              <w:left w:val="nil"/>
              <w:bottom w:val="nil"/>
              <w:right w:val="nil"/>
            </w:tcBorders>
          </w:tcPr>
          <w:p>
            <w:pPr>
              <w:pStyle w:val="Normal6a"/>
            </w:pPr>
            <w:r>
              <w:t>M.</w:t>
            </w:r>
            <w:r>
              <w:tab/>
            </w:r>
            <w:r>
              <w:rPr>
                <w:b/>
                <w:i/>
              </w:rPr>
              <w:t>De särskilda europeiska medlen, till exempel inom ramen för den nuvarande</w:t>
            </w:r>
            <w:r>
              <w:t xml:space="preserve"> Europeiska havs-, fiskeri- och vattenbruksfonden</w:t>
            </w:r>
            <w:r>
              <w:rPr>
                <w:b/>
                <w:i/>
              </w:rPr>
              <w:t>,</w:t>
            </w:r>
            <w:r>
              <w:t xml:space="preserve"> är avgörande för att förbättra fiskeri</w:t>
            </w:r>
            <w:r>
              <w:rPr>
                <w:b/>
                <w:i/>
              </w:rPr>
              <w:t>-</w:t>
            </w:r>
            <w:r>
              <w:t xml:space="preserve"> och vattenbrukssektorns hållbarhet och konkurrenskraft, stödja lokala aktionsgrupper för fiske och stärka kustsamhällenas utveckling, och bör därför fortsätta att vara en separat fond, som tilldelas tillräcklig 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Oron växer över att detta specifika fiskeriinstrument eventuellt kommer att försvinna i nästa fleråriga budgetram, liksom att sektorns finansiella resurser kommer att minska eller urvattnas till förmån för andra allmänna fonder i de nationella och regionala planerna, vilket allvarligt skulle kunna äventyra fiskets framtid.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En ihållande obalans mellan fiskekapacitet och tillgängliga fiskemöjligheter kan undergräva beståndens återhämtning och den ekonomiska effektiviteten.</w:t>
            </w:r>
            <w:r>
              <w:t xml:space="preserve"> </w:t>
            </w:r>
            <w:r>
              <w:rPr>
                <w:b/>
                <w:i/>
              </w:rPr>
              <w:t>För långsiktig konkurrenskraft krävs en återhämtad resursbas och vid behov en rättvis och permanent anpassning av fiskekapaciteten åtföljt av diversifiering, omskolning och stöd till kustsamhällen.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Fisket kan inte ensamt stå för allt arbete med att återställa ekosystemen i Medelhavet.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Förvaltningen och bevarandet av havets biologiska resurser är en av Europeiska unionens få exklusiva befogenheter.</w:t>
            </w:r>
            <w:r>
              <w:t xml:space="preserve"> </w:t>
            </w:r>
            <w:r>
              <w:rPr>
                <w:b/>
                <w:i/>
              </w:rPr>
              <w:t>Detta ansvar kräver att EU-institutionerna, och i synnerhet kommissionen, upprätthåller en ständig dialog med sektorn och på ett effektivt sätt bemöter de farhågor som uttryckts av medborgare och samhällen som är beroende av fiskeverksamhet.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Kummel är fortfarande kraftigt överfiskad i västra Medelhavet, och bevis på att kummel av för liten storlek kommer in på marknaden pekar på brister i kontrollen av efterlevnaden som undergräver återhämtningen.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Förstörelsen av ekosystemen i Medelhavet har flera orsaker, bland annat industriella föroreningar från länderna söder om Medelhavet.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Mc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Marina värmeböljor ökar i västra Medelhavet till följd av klimatförändringens effekter och hotar den marina biologiska mångfalden.</w:t>
            </w:r>
            <w:r>
              <w:t xml:space="preserve"> </w:t>
            </w:r>
            <w:r>
              <w:rPr>
                <w:b/>
                <w:i/>
              </w:rPr>
              <w:t>Friska och motståndskraftiga fiskpopulationer och ekosystem är en förutsättning för att komma till rätta med klimatförändringens effekter.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Reform</w:t>
            </w:r>
            <w:r>
              <w:t xml:space="preserve"> av den fleråriga planen för västra Medelhavet</w:t>
            </w:r>
          </w:p>
        </w:tc>
        <w:tc>
          <w:tcPr>
            <w:tcW w:w="4876" w:type="dxa"/>
            <w:tcBorders>
              <w:top w:val="nil"/>
              <w:left w:val="nil"/>
              <w:bottom w:val="nil"/>
              <w:right w:val="nil"/>
            </w:tcBorders>
          </w:tcPr>
          <w:p>
            <w:pPr>
              <w:pStyle w:val="Normal6a"/>
            </w:pPr>
            <w:r>
              <w:rPr>
                <w:b/>
                <w:i/>
              </w:rPr>
              <w:t>Utvärdering</w:t>
            </w:r>
            <w:r>
              <w:t xml:space="preserve"> av den fleråriga planen för västra Medelhavet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Europaparlamentet framhåller de ansträngningar som sektorn har gjort för att anpassa sig till kraven i den fleråriga planen och som har lett till en betydande minskning av fiskeridödligheten, en betydande återhämtning av bedömda bestånd, ökningar av nivåerna av biomassa och ett betydande närmande till maximal hållbar avkastning.</w:t>
            </w:r>
            <w:r>
              <w:t xml:space="preserve"> </w:t>
            </w:r>
            <w:r>
              <w:rPr>
                <w:b/>
                <w:i/>
              </w:rPr>
              <w:t>Parlamentet betonar att dessa åtgärder har haft en hög social kostnad, med en minskning på mer än 40 % av trålningsansträngningen mellan 2020 och 2024 och en minskning av både sysselsättningen och genomsnittslönerna, särskilt för den småskaliga flottan</w:t>
            </w:r>
            <w:r>
              <w:rPr>
                <w:b/>
                <w:i/>
                <w:vertAlign w:val="superscript"/>
              </w:rPr>
              <w:t>1 a</w:t>
            </w:r>
            <w:r>
              <w:rPr>
                <w:b/>
                <w:i/>
              </w:rPr>
              <w:t>.</w:t>
            </w:r>
            <w:r>
              <w:t xml:space="preserve"> </w:t>
            </w:r>
            <w:r>
              <w:rPr>
                <w:b/>
                <w:i/>
              </w:rPr>
              <w:t>Parlamentet beklagar den bristande flexibilitet som kommissionen visat vid genomförandet av den fleråriga planen och efterlyser en attitydförändring för att säkerställa sektorns och de berörda kustsamhällenas bärkraft.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Första rapporten om genomförandet av den fleråriga planen för de fisken som nyttjar demersala bestånd i västra Medelhavet.</w:t>
            </w:r>
            <w:r>
              <w:t xml:space="preserve"> </w:t>
            </w:r>
            <w:r>
              <w:rPr>
                <w:b/>
                <w:i/>
              </w:rPr>
              <w:t>COM(2023)0322 final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att </w:t>
            </w:r>
            <w:r>
              <w:rPr>
                <w:b/>
                <w:i/>
              </w:rPr>
              <w:t>innan den 1 december 2026 lägga fram ett lagstiftningsförslag om</w:t>
            </w:r>
            <w:r>
              <w:t xml:space="preserve"> en omfattande </w:t>
            </w:r>
            <w:r>
              <w:rPr>
                <w:b/>
                <w:i/>
              </w:rPr>
              <w:t>reform av förordning (EU) 2019/1022, där följande aspekter bör ändras:</w:t>
            </w:r>
          </w:p>
        </w:tc>
        <w:tc>
          <w:tcPr>
            <w:tcW w:w="4876" w:type="dxa"/>
            <w:tcBorders>
              <w:top w:val="nil"/>
              <w:left w:val="nil"/>
              <w:bottom w:val="nil"/>
              <w:right w:val="nil"/>
            </w:tcBorders>
          </w:tcPr>
          <w:p>
            <w:pPr>
              <w:pStyle w:val="Normal6a"/>
            </w:pPr>
            <w:r>
              <w:t>1.</w:t>
            </w:r>
            <w:r>
              <w:tab/>
            </w:r>
            <w:r>
              <w:t xml:space="preserve">Europaparlamentet uppmanar </w:t>
            </w:r>
            <w:r>
              <w:rPr>
                <w:b/>
                <w:i/>
              </w:rPr>
              <w:t>med kraft</w:t>
            </w:r>
            <w:r>
              <w:t xml:space="preserve"> kommissionen att </w:t>
            </w:r>
            <w:r>
              <w:rPr>
                <w:b/>
                <w:i/>
              </w:rPr>
              <w:t>fortsätta genomföra målen för västra Medelhavet för att verkligen återställa fiskpopulationerna, efter att ha gjort</w:t>
            </w:r>
            <w:r>
              <w:t xml:space="preserve"> en omfattande </w:t>
            </w:r>
            <w:r>
              <w:rPr>
                <w:b/>
                <w:i/>
              </w:rPr>
              <w:t>vetenskaplig, miljömässig och klimatrelaterad konsekvensbedömning av djurskydd och socioekonomiska effekter som beaktar de marina djurens reella värde och bidrar till att successivt minska onödigt dödande och lidande som orsakas av fiskeverksamhet, genom 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uppmanar kommissionen att innan den 1 december 2026 lägga fram ett lagstiftningsförslag om en omfattande reform av förordning (EU) 2019/1022, där följande aspekter bör ändras:</w:t>
            </w:r>
          </w:p>
        </w:tc>
        <w:tc>
          <w:tcPr>
            <w:tcW w:w="4876" w:type="dxa"/>
            <w:tcBorders>
              <w:top w:val="nil"/>
              <w:left w:val="nil"/>
              <w:bottom w:val="nil"/>
              <w:right w:val="nil"/>
            </w:tcBorders>
          </w:tcPr>
          <w:p>
            <w:pPr>
              <w:pStyle w:val="Normal6a"/>
            </w:pPr>
            <w:r>
              <w:t>1.</w:t>
            </w:r>
            <w:r>
              <w:tab/>
            </w:r>
            <w:r>
              <w:t>Europaparlamentet uppmanar kommissionen att innan den 1 december 2026</w:t>
            </w:r>
            <w:r>
              <w:rPr>
                <w:b/>
                <w:i/>
              </w:rPr>
              <w:t>, med beaktande av bidragen från de berörda parterna i det offentliga samrådet om de fleråriga förvaltningsplanerna,</w:t>
            </w:r>
            <w:r>
              <w:t xml:space="preserve"> lägga fram ett lagstiftningsförslag om en omfattande reform av förordning (EU) 2019/1022, där följande aspekter bör ändras: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att innan den 1 december 2026 lägga fram </w:t>
            </w:r>
            <w:r>
              <w:rPr>
                <w:b/>
                <w:i/>
              </w:rPr>
              <w:t>ett</w:t>
            </w:r>
            <w:r>
              <w:t xml:space="preserve"> lagstiftningsförslag </w:t>
            </w:r>
            <w:r>
              <w:rPr>
                <w:b/>
                <w:i/>
              </w:rPr>
              <w:t>om en omfattande reform av</w:t>
            </w:r>
            <w:r>
              <w:t xml:space="preserve"> förordning (EU) 2019/1022</w:t>
            </w:r>
            <w:r>
              <w:rPr>
                <w:b/>
                <w:i/>
              </w:rPr>
              <w:t>,</w:t>
            </w:r>
            <w:r>
              <w:t xml:space="preserve"> där följande aspekter </w:t>
            </w:r>
            <w:r>
              <w:rPr>
                <w:b/>
                <w:i/>
              </w:rPr>
              <w:t>bör ändras</w:t>
            </w:r>
            <w:r>
              <w:t>:</w:t>
            </w:r>
          </w:p>
        </w:tc>
        <w:tc>
          <w:tcPr>
            <w:tcW w:w="4876" w:type="dxa"/>
            <w:tcBorders>
              <w:top w:val="nil"/>
              <w:left w:val="nil"/>
              <w:bottom w:val="nil"/>
              <w:right w:val="nil"/>
            </w:tcBorders>
          </w:tcPr>
          <w:p>
            <w:pPr>
              <w:pStyle w:val="Normal6a"/>
            </w:pPr>
            <w:r>
              <w:t>1.</w:t>
            </w:r>
            <w:r>
              <w:tab/>
            </w:r>
            <w:r>
              <w:t xml:space="preserve">Europaparlamentet uppmanar kommissionen att innan den 1 december 2026 lägga fram lagstiftningsförslag </w:t>
            </w:r>
            <w:r>
              <w:rPr>
                <w:b/>
                <w:i/>
              </w:rPr>
              <w:t>och andra förslag för att ta itu med de utmaningar som identifieras i</w:t>
            </w:r>
            <w:r>
              <w:t xml:space="preserve"> förordning (EU) 2019/1022 där </w:t>
            </w:r>
            <w:r>
              <w:rPr>
                <w:b/>
                <w:i/>
              </w:rPr>
              <w:t>den särskilt tar upp</w:t>
            </w:r>
            <w:r>
              <w:t xml:space="preserve"> följande aspekter: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att </w:t>
            </w:r>
            <w:r>
              <w:rPr>
                <w:b/>
                <w:i/>
              </w:rPr>
              <w:t>innan den 1 december 2026</w:t>
            </w:r>
            <w:r>
              <w:t xml:space="preserve"> lägga fram </w:t>
            </w:r>
            <w:r>
              <w:rPr>
                <w:b/>
                <w:i/>
              </w:rPr>
              <w:t>ett lagstiftningsförslag om en omfattande reform</w:t>
            </w:r>
            <w:r>
              <w:t xml:space="preserve"> av förordning (EU) 2019/1022, </w:t>
            </w:r>
            <w:r>
              <w:rPr>
                <w:b/>
                <w:i/>
              </w:rPr>
              <w:t>där</w:t>
            </w:r>
            <w:r>
              <w:t xml:space="preserve"> följande </w:t>
            </w:r>
            <w:r>
              <w:rPr>
                <w:b/>
                <w:i/>
              </w:rPr>
              <w:t>aspekter bör ändras</w:t>
            </w:r>
            <w:r>
              <w:t>:</w:t>
            </w:r>
          </w:p>
        </w:tc>
        <w:tc>
          <w:tcPr>
            <w:tcW w:w="4876" w:type="dxa"/>
            <w:tcBorders>
              <w:top w:val="nil"/>
              <w:left w:val="nil"/>
              <w:bottom w:val="nil"/>
              <w:right w:val="nil"/>
            </w:tcBorders>
          </w:tcPr>
          <w:p>
            <w:pPr>
              <w:pStyle w:val="Normal6a"/>
            </w:pPr>
            <w:r>
              <w:t>1.</w:t>
            </w:r>
            <w:r>
              <w:tab/>
            </w:r>
            <w:r>
              <w:t xml:space="preserve">Europaparlamentet uppmanar kommissionen att lägga fram </w:t>
            </w:r>
            <w:r>
              <w:rPr>
                <w:b/>
                <w:i/>
              </w:rPr>
              <w:t>en utvärdering</w:t>
            </w:r>
            <w:r>
              <w:t xml:space="preserve"> av förordning (EU) 2019/1022, </w:t>
            </w:r>
            <w:r>
              <w:rPr>
                <w:b/>
                <w:i/>
              </w:rPr>
              <w:t>i vilken den bland annat behandlar</w:t>
            </w:r>
            <w:r>
              <w:t xml:space="preserve">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uppmanar kommissionen att innan den 1 december 2026 lägga fram ett lagstiftningsförslag om en omfattande reform av förordning (EU) 2019/1022, där följande aspekter bör ändras:</w:t>
            </w:r>
          </w:p>
        </w:tc>
        <w:tc>
          <w:tcPr>
            <w:tcW w:w="4876" w:type="dxa"/>
            <w:tcBorders>
              <w:top w:val="nil"/>
              <w:left w:val="nil"/>
              <w:bottom w:val="nil"/>
              <w:right w:val="nil"/>
            </w:tcBorders>
          </w:tcPr>
          <w:p>
            <w:pPr>
              <w:pStyle w:val="Normal6a"/>
            </w:pPr>
            <w:r>
              <w:t>1.</w:t>
            </w:r>
            <w:r>
              <w:tab/>
            </w:r>
            <w:r>
              <w:t xml:space="preserve">Europaparlamentet uppmanar kommissionen att innan den 1 december 2026 lägga fram ett lagstiftningsförslag om en omfattande reform av förordning (EU) 2019/1022, där </w:t>
            </w:r>
            <w:r>
              <w:rPr>
                <w:b/>
                <w:i/>
              </w:rPr>
              <w:t>åtminstone</w:t>
            </w:r>
            <w:r>
              <w:t xml:space="preserve"> följande aspekter bör ändras: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De befintliga reglerna om minskning av fiskeansträngningen i artikel 4.3 bör ersättas av en särskild strategi för blandfiske, i enlighet med vad som tillämpas i andra fleråriga planer, och begränsningen av fiskedagar på grund av begränsande arter bör överges.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 befintliga reglerna om minskning av fiskeansträngningen i artikel 4.3 bör ersättas av en särskild strategi för blandfiske</w:t>
            </w:r>
            <w:r>
              <w:rPr>
                <w:b/>
                <w:i/>
              </w:rPr>
              <w:t>,</w:t>
            </w:r>
            <w:r>
              <w:t xml:space="preserve"> i enlighet med vad som tillämpas i andra fleråriga planer, och begränsningen av fiskedagar på </w:t>
            </w:r>
            <w:r>
              <w:rPr>
                <w:b/>
                <w:i/>
              </w:rPr>
              <w:t>grund av</w:t>
            </w:r>
            <w:r>
              <w:t xml:space="preserve"> begränsande </w:t>
            </w:r>
            <w:r>
              <w:rPr>
                <w:b/>
                <w:i/>
              </w:rPr>
              <w:t>arter</w:t>
            </w:r>
            <w:r>
              <w:t xml:space="preserve"> bör överges.</w:t>
            </w:r>
          </w:p>
        </w:tc>
        <w:tc>
          <w:tcPr>
            <w:tcW w:w="4876" w:type="dxa"/>
            <w:tcBorders>
              <w:top w:val="nil"/>
              <w:left w:val="nil"/>
              <w:bottom w:val="nil"/>
              <w:right w:val="nil"/>
            </w:tcBorders>
          </w:tcPr>
          <w:p>
            <w:pPr>
              <w:pStyle w:val="Normal6a"/>
            </w:pPr>
            <w:r>
              <w:t>A)</w:t>
            </w:r>
            <w:r>
              <w:tab/>
            </w:r>
            <w:r>
              <w:rPr>
                <w:b/>
                <w:i/>
              </w:rPr>
              <w:t>Definitionen "det mest sårbara beståndet” i artikel 2 bör strykas och</w:t>
            </w:r>
            <w:r>
              <w:t xml:space="preserve"> de befintliga reglerna om minskning av fiskeansträngningen i artikel 4.3 bör ersättas av en särskild strategi för </w:t>
            </w:r>
            <w:r>
              <w:rPr>
                <w:b/>
                <w:i/>
              </w:rPr>
              <w:t>förvaltning av</w:t>
            </w:r>
            <w:r>
              <w:t xml:space="preserve"> blandfiske i enlighet med vad som tillämpas i andra fleråriga planer </w:t>
            </w:r>
            <w:r>
              <w:rPr>
                <w:b/>
                <w:i/>
              </w:rPr>
              <w:t>i unionen</w:t>
            </w:r>
            <w:r>
              <w:t xml:space="preserve">, och begränsningen av fiskedagar på </w:t>
            </w:r>
            <w:r>
              <w:rPr>
                <w:b/>
                <w:i/>
              </w:rPr>
              <w:t>grundval av de så kallade</w:t>
            </w:r>
            <w:r>
              <w:t xml:space="preserve"> begränsande </w:t>
            </w:r>
            <w:r>
              <w:rPr>
                <w:b/>
                <w:i/>
              </w:rPr>
              <w:t>arterna</w:t>
            </w:r>
            <w:r>
              <w:t xml:space="preserve"> bör överges </w:t>
            </w:r>
            <w:r>
              <w:rPr>
                <w:b/>
                <w:i/>
              </w:rPr>
              <w:t>och ersättas av ett förvaltningssystem för flera arter där alla bestånd som fångas samtidigt beaktas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befintliga reglerna om minskning av fiskeansträngningen i artikel 4.3 bör </w:t>
            </w:r>
            <w:r>
              <w:rPr>
                <w:b/>
                <w:i/>
              </w:rPr>
              <w:t>ersättas av</w:t>
            </w:r>
            <w:r>
              <w:t xml:space="preserve"> en särskild strategi för blandfiske, i enlighet med vad som tillämpas i andra fleråriga planer, och begränsningen av fiskedagar på grund av begränsande arter bör överges.</w:t>
            </w:r>
          </w:p>
        </w:tc>
        <w:tc>
          <w:tcPr>
            <w:tcW w:w="4876" w:type="dxa"/>
            <w:tcBorders>
              <w:top w:val="nil"/>
              <w:left w:val="nil"/>
              <w:bottom w:val="nil"/>
              <w:right w:val="nil"/>
            </w:tcBorders>
          </w:tcPr>
          <w:p>
            <w:pPr>
              <w:pStyle w:val="Normal6a"/>
            </w:pPr>
            <w:r>
              <w:t>A)</w:t>
            </w:r>
            <w:r>
              <w:tab/>
            </w:r>
            <w:r>
              <w:t xml:space="preserve">De befintliga reglerna om minskning av fiskeansträngningen i artikel 4.3 bör </w:t>
            </w:r>
            <w:r>
              <w:rPr>
                <w:b/>
                <w:i/>
              </w:rPr>
              <w:t>ändras för att införa</w:t>
            </w:r>
            <w:r>
              <w:t xml:space="preserve"> en särskild strategi för blandfiske, i enlighet med vad som tillämpas i andra fleråriga planer, </w:t>
            </w:r>
            <w:r>
              <w:rPr>
                <w:b/>
                <w:i/>
              </w:rPr>
              <w:t>som tar hänsyn till svårigheten att nyttja alla bestånd till maximal hållbar avkastning samtidigt, särskilt när detta kan ge upphov till stängning av fiske i förtid,</w:t>
            </w:r>
            <w:r>
              <w:t xml:space="preserve"> och begränsningen av fiskedagar på grund av begränsande arter bör överges.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 befintliga reglerna om minskning av fiskeansträngningen i artikel 4.3 bör ersättas av en särskild strategi för blandfiske, i enlighet med vad som tillämpas i andra fleråriga planer, och begränsningen av fiskedagar på grund av begränsande arter bör överges.</w:t>
            </w:r>
          </w:p>
        </w:tc>
        <w:tc>
          <w:tcPr>
            <w:tcW w:w="4876" w:type="dxa"/>
            <w:tcBorders>
              <w:top w:val="nil"/>
              <w:left w:val="nil"/>
              <w:bottom w:val="nil"/>
              <w:right w:val="nil"/>
            </w:tcBorders>
          </w:tcPr>
          <w:p>
            <w:pPr>
              <w:pStyle w:val="Normal6a"/>
            </w:pPr>
            <w:r>
              <w:t>A)</w:t>
            </w:r>
            <w:r>
              <w:tab/>
            </w:r>
            <w:r>
              <w:t xml:space="preserve">De befintliga reglerna om minskning av fiskeansträngningen i artikel 4.3 bör ersättas av en särskild strategi för blandfiske, i enlighet med vad som tillämpas i andra fleråriga planer, och begränsningen av fiskedagar på grund av begränsande arter bör överges </w:t>
            </w:r>
            <w:r>
              <w:rPr>
                <w:b/>
                <w:i/>
              </w:rPr>
              <w:t>eftersom artens status inte bara beror på fiskeansträngningen utan även på externa faktorer, inbegripet stigande temperaturer på grund av klimatförändringar och föroreningar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 befintliga reglerna om minskning av fiskeansträngningen i artikel 4.3 bör ersättas av en </w:t>
            </w:r>
            <w:r>
              <w:rPr>
                <w:b/>
                <w:i/>
              </w:rPr>
              <w:t>särskild strategi</w:t>
            </w:r>
            <w:r>
              <w:t xml:space="preserve"> för blandfiske</w:t>
            </w:r>
            <w:r>
              <w:rPr>
                <w:b/>
                <w:i/>
              </w:rPr>
              <w:t>, i enlighet med vad som tillämpas i andra fleråriga planer</w:t>
            </w:r>
            <w:r>
              <w:t>, och begränsningen av fiskedagar på grund av begränsande arter bör överges.</w:t>
            </w:r>
          </w:p>
        </w:tc>
        <w:tc>
          <w:tcPr>
            <w:tcW w:w="4876" w:type="dxa"/>
            <w:tcBorders>
              <w:top w:val="nil"/>
              <w:left w:val="nil"/>
              <w:bottom w:val="nil"/>
              <w:right w:val="nil"/>
            </w:tcBorders>
          </w:tcPr>
          <w:p>
            <w:pPr>
              <w:pStyle w:val="Normal6a"/>
            </w:pPr>
            <w:r>
              <w:t>A)</w:t>
            </w:r>
            <w:r>
              <w:tab/>
            </w:r>
            <w:r>
              <w:t xml:space="preserve">De befintliga reglerna om minskning av fiskeansträngningen i artikel 4.3 bör ersättas av en </w:t>
            </w:r>
            <w:r>
              <w:rPr>
                <w:b/>
                <w:i/>
              </w:rPr>
              <w:t>förvaltningsstrategi</w:t>
            </w:r>
            <w:r>
              <w:t xml:space="preserve"> för blandfiske </w:t>
            </w:r>
            <w:r>
              <w:rPr>
                <w:b/>
                <w:i/>
              </w:rPr>
              <w:t>som vilar på bästa tillgängliga vetenskapliga rådgivning och tar hänsyn till den biologiska statusen för helheten av de främsta bestånd som nyttjas, såsom ett viktat index, samtidigt som målet att uppnå maximal hållbar avkastning för varje bestånd bibehålls</w:t>
            </w:r>
            <w:r>
              <w:t>, och begränsningen av fiskedagar på grund av begränsande arter bör överges.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 befintliga reglerna om minskning av fiskeansträngningen i artikel 4.3 bör ersättas av en särskild strategi för blandfiske, i enlighet med vad som tillämpas i andra fleråriga planer, och begränsningen av fiskedagar på grund av begränsande arter bör överges.</w:t>
            </w:r>
          </w:p>
        </w:tc>
        <w:tc>
          <w:tcPr>
            <w:tcW w:w="4876" w:type="dxa"/>
            <w:tcBorders>
              <w:top w:val="nil"/>
              <w:left w:val="nil"/>
              <w:bottom w:val="nil"/>
              <w:right w:val="nil"/>
            </w:tcBorders>
          </w:tcPr>
          <w:p>
            <w:pPr>
              <w:pStyle w:val="Normal6a"/>
            </w:pPr>
            <w:r>
              <w:t>A)</w:t>
            </w:r>
            <w:r>
              <w:tab/>
            </w:r>
            <w:r>
              <w:t>De befintliga reglerna om minskning av fiskeansträngningen i artikel 4.3 bör ersättas av en särskild strategi för blandfiske, i enlighet med vad som tillämpas i andra fleråriga planer, </w:t>
            </w:r>
            <w:r>
              <w:rPr>
                <w:b/>
                <w:i/>
              </w:rPr>
              <w:t>utvecklingen av fiskeansträngningen bör beräknas från år N-1 för att bättre återspegla verksamhetens omständigheter</w:t>
            </w:r>
            <w:r>
              <w:t xml:space="preserve"> och begränsningen av fiskedagar på grund av begränsande arter bör överges </w:t>
            </w:r>
            <w:r>
              <w:rPr>
                <w:b/>
                <w:i/>
              </w:rPr>
              <w:t>till förmån för ett sammansatt index över viktad sårbarhet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De befintliga</w:t>
            </w:r>
            <w:r>
              <w:t xml:space="preserve"> reglerna om minskning av fiskeansträngningen i artikel 4.3 </w:t>
            </w:r>
            <w:r>
              <w:rPr>
                <w:b/>
                <w:i/>
              </w:rPr>
              <w:t>bör ersättas</w:t>
            </w:r>
            <w:r>
              <w:t xml:space="preserve"> av en särskild strategi för blandfiske, </w:t>
            </w:r>
            <w:r>
              <w:rPr>
                <w:b/>
                <w:i/>
              </w:rPr>
              <w:t>i enlighet med vad som tillämpas i andra fleråriga planer, och begränsningen</w:t>
            </w:r>
            <w:r>
              <w:t xml:space="preserve"> av fiskedagar på grund av begränsande arter </w:t>
            </w:r>
            <w:r>
              <w:rPr>
                <w:b/>
                <w:i/>
              </w:rPr>
              <w:t>bör överges</w:t>
            </w:r>
            <w:r>
              <w:t>.</w:t>
            </w:r>
          </w:p>
        </w:tc>
        <w:tc>
          <w:tcPr>
            <w:tcW w:w="4876" w:type="dxa"/>
            <w:tcBorders>
              <w:top w:val="nil"/>
              <w:left w:val="nil"/>
              <w:bottom w:val="nil"/>
              <w:right w:val="nil"/>
            </w:tcBorders>
          </w:tcPr>
          <w:p>
            <w:pPr>
              <w:pStyle w:val="Normal6a"/>
            </w:pPr>
            <w:r>
              <w:t>A)</w:t>
            </w:r>
            <w:r>
              <w:tab/>
            </w:r>
            <w:r>
              <w:rPr>
                <w:b/>
                <w:i/>
              </w:rPr>
              <w:t>Anpassningar av</w:t>
            </w:r>
            <w:r>
              <w:t xml:space="preserve"> reglerna om minskning av fiskeansträngningen i artikel 4.3 </w:t>
            </w:r>
            <w:r>
              <w:rPr>
                <w:b/>
                <w:i/>
              </w:rPr>
              <w:t>genom införlivande</w:t>
            </w:r>
            <w:r>
              <w:t xml:space="preserve"> av en särskild strategi för blandfiske, </w:t>
            </w:r>
            <w:r>
              <w:rPr>
                <w:b/>
                <w:i/>
              </w:rPr>
              <w:t>särskilt med beaktande av ökad flexibilitet i samband med begränsningar</w:t>
            </w:r>
            <w:r>
              <w:t xml:space="preserve"> av fiskedagar på grund av begränsande arter</w:t>
            </w:r>
            <w:r>
              <w:rPr>
                <w:b/>
                <w:i/>
              </w:rPr>
              <w:t>, samtidigt som man fortsätter att säkerställa ett korrekt skydd av bestånd, däribland behovet att förbättra situationen, särskilt för de värdefullaste bestånden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De befintliga reglerna om minskning av fiskeansträngningen i artikel 4.3 bör ersättas av</w:t>
            </w:r>
            <w:r>
              <w:t xml:space="preserve"> en särskild strategi för blandfiske, i enlighet med vad som tillämpas i andra fleråriga planer, </w:t>
            </w:r>
            <w:r>
              <w:rPr>
                <w:b/>
                <w:i/>
              </w:rPr>
              <w:t>och begränsningen av fiskedagar på grund av begränsande arter bör överges.</w:t>
            </w:r>
          </w:p>
        </w:tc>
        <w:tc>
          <w:tcPr>
            <w:tcW w:w="4876" w:type="dxa"/>
            <w:tcBorders>
              <w:top w:val="nil"/>
              <w:left w:val="nil"/>
              <w:bottom w:val="nil"/>
              <w:right w:val="nil"/>
            </w:tcBorders>
          </w:tcPr>
          <w:p>
            <w:pPr>
              <w:pStyle w:val="Normal6a"/>
            </w:pPr>
            <w:r>
              <w:t>A)</w:t>
            </w:r>
            <w:r>
              <w:tab/>
            </w:r>
            <w:r>
              <w:rPr>
                <w:b/>
                <w:i/>
              </w:rPr>
              <w:t>överväga</w:t>
            </w:r>
            <w:r>
              <w:t xml:space="preserve"> en särskild strategi för blandfiske, i enlighet med vad som tillämpas i andra fleråriga 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Det bör säkerställas att beslut om fiskeansträngning, när vetenskapliga data tillåter det, tar hänsyn till den faktiska fångstsammansättningen, de använda redskapens selektivitet och flottornas framsteg när det gäller att minska bifångster.</w:t>
            </w:r>
            <w:r>
              <w:t xml:space="preserve"> </w:t>
            </w:r>
            <w:r>
              <w:rPr>
                <w:b/>
                <w:i/>
              </w:rPr>
              <w:t>Den korsikanska flottans och den sardiska flottans socioekonomiska särdrag ska beaktas genom en regionspecifik strategi för det geografiska delområdet 8 respektive 11.2.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Europaparlamentet begär därför att definitionen av ”det mest sårbara beståndet” i artikel 2 stryks i syfte att undvika alltför stelbenta förvaltningsstrategier och säkerställa en mer balanserad tillämpning som är anpassad till omständigheterna för blandfisket i Medelhavet.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Anpassningsbara flexibilitetsmekanismer bör införas, såsom överföring från år till år av minst 10 % av fiskemöjligheterna, och tvååriga förvaltningscykler bör inrättas för fiskeansträngningen för att ge yrkesfiskarna och beredningssektorerna långsiktig förutsägbarhet.</w:t>
            </w:r>
          </w:p>
        </w:tc>
        <w:tc>
          <w:tcPr>
            <w:tcW w:w="4876" w:type="dxa"/>
            <w:tcBorders>
              <w:top w:val="nil"/>
              <w:left w:val="nil"/>
              <w:bottom w:val="nil"/>
              <w:right w:val="nil"/>
            </w:tcBorders>
          </w:tcPr>
          <w:p>
            <w:pPr>
              <w:pStyle w:val="Normal6a"/>
            </w:pPr>
            <w:r>
              <w:t>B)</w:t>
            </w:r>
            <w:r>
              <w:tab/>
            </w:r>
            <w:r>
              <w:t xml:space="preserve">Anpassningsbara flexibilitetsmekanismer bör införas, såsom överföring från år till år av minst 10 % av fiskemöjligheterna, </w:t>
            </w:r>
            <w:r>
              <w:rPr>
                <w:b/>
                <w:i/>
              </w:rPr>
              <w:t>inrättandet av en mekanism för överföring av fiskeansträngning som inte utnyttjats från år N till N +1,</w:t>
            </w:r>
            <w:r>
              <w:t xml:space="preserve"> och tvååriga förvaltningscykler</w:t>
            </w:r>
            <w:r>
              <w:rPr>
                <w:b/>
                <w:i/>
              </w:rPr>
              <w:t>, åtföljda av en klausul om tidig översyn endast när det är motiverat av en större vetenskaplig bedömning eller exceptionell händelse,</w:t>
            </w:r>
            <w:r>
              <w:t xml:space="preserve"> bör inrättas för fiskeansträngningen för att ge yrkesfiskarna och beredningssektorerna långsiktig förutsägbarhet.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Anpassningsbara flexibilitetsmekanismer </w:t>
            </w:r>
            <w:r>
              <w:rPr>
                <w:b/>
                <w:i/>
              </w:rPr>
              <w:t>bör införas, såsom överföring från år till</w:t>
            </w:r>
            <w:r>
              <w:t xml:space="preserve"> år av </w:t>
            </w:r>
            <w:r>
              <w:rPr>
                <w:b/>
                <w:i/>
              </w:rPr>
              <w:t>minst 10 % av fiskemöjligheterna, och tvååriga förvaltningscykler bör inrättas för</w:t>
            </w:r>
            <w:r>
              <w:t xml:space="preserve"> fiskeansträngningen för att ge </w:t>
            </w:r>
            <w:r>
              <w:rPr>
                <w:b/>
                <w:i/>
              </w:rPr>
              <w:t>yrkesfiskarna och beredningssektorerna långsiktig förutsägbarhet</w:t>
            </w:r>
            <w:r>
              <w:t>.</w:t>
            </w:r>
          </w:p>
        </w:tc>
        <w:tc>
          <w:tcPr>
            <w:tcW w:w="4876" w:type="dxa"/>
            <w:tcBorders>
              <w:top w:val="nil"/>
              <w:left w:val="nil"/>
              <w:bottom w:val="nil"/>
              <w:right w:val="nil"/>
            </w:tcBorders>
          </w:tcPr>
          <w:p>
            <w:pPr>
              <w:pStyle w:val="Normal6a"/>
            </w:pPr>
            <w:r>
              <w:t>B)</w:t>
            </w:r>
            <w:r>
              <w:tab/>
            </w:r>
            <w:r>
              <w:t xml:space="preserve">Anpassningsbara flexibilitetsmekanismer </w:t>
            </w:r>
            <w:r>
              <w:rPr>
                <w:b/>
                <w:i/>
              </w:rPr>
              <w:t>som möjliggör en flerårig planering på fem</w:t>
            </w:r>
            <w:r>
              <w:t xml:space="preserve"> år av fiskeansträngningen </w:t>
            </w:r>
            <w:r>
              <w:rPr>
                <w:b/>
                <w:i/>
              </w:rPr>
              <w:t>bör införas</w:t>
            </w:r>
            <w:r>
              <w:t xml:space="preserve"> för att ge </w:t>
            </w:r>
            <w:r>
              <w:rPr>
                <w:b/>
                <w:i/>
              </w:rPr>
              <w:t>aktörerna tillräcklig synlighet och samtidigt bevara förmågan till anpassning till den senaste vetenskapliga rådgivningen</w:t>
            </w:r>
            <w:r>
              <w:t xml:space="preserve">. </w:t>
            </w:r>
            <w:r>
              <w:rPr>
                <w:b/>
                <w:i/>
              </w:rPr>
              <w:t>Varje betydande minskning av fiskeansträngningen ska föregås av en bedömning av dess biologiska, ekonomiska och sociala konsekvenser och samråd med berörda parter.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Anpassningsbara flexibilitetsmekanismer </w:t>
            </w:r>
            <w:r>
              <w:rPr>
                <w:b/>
                <w:i/>
              </w:rPr>
              <w:t>bör införas, såsom överföring</w:t>
            </w:r>
            <w:r>
              <w:t xml:space="preserve"> från år till år </w:t>
            </w:r>
            <w:r>
              <w:rPr>
                <w:b/>
                <w:i/>
              </w:rPr>
              <w:t>av minst 10 % av fiskemöjligheterna, och tvååriga förvaltningscykler bör inrättas för fiskeansträngningen</w:t>
            </w:r>
            <w:r>
              <w:t xml:space="preserve"> för att ge yrkesfiskarna och beredningssektorerna långsiktig förutsägbarhet.</w:t>
            </w:r>
          </w:p>
        </w:tc>
        <w:tc>
          <w:tcPr>
            <w:tcW w:w="4876" w:type="dxa"/>
            <w:tcBorders>
              <w:top w:val="nil"/>
              <w:left w:val="nil"/>
              <w:bottom w:val="nil"/>
              <w:right w:val="nil"/>
            </w:tcBorders>
          </w:tcPr>
          <w:p>
            <w:pPr>
              <w:pStyle w:val="Normal6a"/>
            </w:pPr>
            <w:r>
              <w:t>B)</w:t>
            </w:r>
            <w:r>
              <w:tab/>
            </w:r>
            <w:r>
              <w:rPr>
                <w:b/>
                <w:i/>
              </w:rPr>
              <w:t>Införande av</w:t>
            </w:r>
            <w:r>
              <w:t xml:space="preserve"> anpassningsbara flexibilitetsmekanismer</w:t>
            </w:r>
            <w:r>
              <w:rPr>
                <w:b/>
                <w:i/>
              </w:rPr>
              <w:t>, inbegripet förslag om möjlig flexibilitet</w:t>
            </w:r>
            <w:r>
              <w:t xml:space="preserve"> från år till år </w:t>
            </w:r>
            <w:r>
              <w:rPr>
                <w:b/>
                <w:i/>
              </w:rPr>
              <w:t>som anpassas till den särskilda situationen i Medelhavsområdet och dess strategi för fiskeriförvaltning,</w:t>
            </w:r>
            <w:r>
              <w:t xml:space="preserve"> för att ge yrkesfiskarna och beredningssektorerna långsiktig förutsägbarhet.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Anpassningsbara</w:t>
            </w:r>
            <w:r>
              <w:t xml:space="preserve"> flexibilitetsmekanismer </w:t>
            </w:r>
            <w:r>
              <w:rPr>
                <w:b/>
                <w:i/>
              </w:rPr>
              <w:t>bör införas</w:t>
            </w:r>
            <w:r>
              <w:t xml:space="preserve">, såsom överföring </w:t>
            </w:r>
            <w:r>
              <w:rPr>
                <w:b/>
                <w:i/>
              </w:rPr>
              <w:t>från år till år av minst 10 %</w:t>
            </w:r>
            <w:r>
              <w:t xml:space="preserve"> av fiskemöjligheterna, och tvååriga förvaltningscykler </w:t>
            </w:r>
            <w:r>
              <w:rPr>
                <w:b/>
                <w:i/>
              </w:rPr>
              <w:t>bör inrättas</w:t>
            </w:r>
            <w:r>
              <w:t xml:space="preserve"> för fiskeansträngningen för att ge yrkesfiskarna och beredningssektorerna långsiktig förutsägbarhet.</w:t>
            </w:r>
          </w:p>
        </w:tc>
        <w:tc>
          <w:tcPr>
            <w:tcW w:w="4876" w:type="dxa"/>
            <w:tcBorders>
              <w:top w:val="nil"/>
              <w:left w:val="nil"/>
              <w:bottom w:val="nil"/>
              <w:right w:val="nil"/>
            </w:tcBorders>
          </w:tcPr>
          <w:p>
            <w:pPr>
              <w:pStyle w:val="Normal6a"/>
            </w:pPr>
            <w:r>
              <w:t>B)</w:t>
            </w:r>
            <w:r>
              <w:tab/>
            </w:r>
            <w:r>
              <w:rPr>
                <w:b/>
                <w:i/>
              </w:rPr>
              <w:t>Tillämpning av tillgängliga</w:t>
            </w:r>
            <w:r>
              <w:t xml:space="preserve"> flexibilitetsmekanismer, såsom överföring av fiskemöjligheterna, och </w:t>
            </w:r>
            <w:r>
              <w:rPr>
                <w:b/>
                <w:i/>
              </w:rPr>
              <w:t>övervägande om att utifrån bästa tillgängliga vetenskapliga rådgivning införa</w:t>
            </w:r>
            <w:r>
              <w:t xml:space="preserve"> tvååriga förvaltningscykler för fiskeansträngningen</w:t>
            </w:r>
            <w:r>
              <w:rPr>
                <w:b/>
                <w:i/>
              </w:rPr>
              <w:t>,</w:t>
            </w:r>
            <w:r>
              <w:t xml:space="preserve"> för att ge yrkesfiskarna och beredningssektorerna långsiktig förutsägbarhet.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Anpassningsbara flexibilitetsmekanismer bör införas, såsom överföring från år till år av minst 10 % av fiskemöjligheterna, och tvååriga förvaltningscykler bör inrättas för fiskeansträngningen för att ge yrkesfiskarna och beredningssektorerna långsiktig förutsägbarhet.</w:t>
            </w:r>
          </w:p>
        </w:tc>
        <w:tc>
          <w:tcPr>
            <w:tcW w:w="4876" w:type="dxa"/>
            <w:tcBorders>
              <w:top w:val="nil"/>
              <w:left w:val="nil"/>
              <w:bottom w:val="nil"/>
              <w:right w:val="nil"/>
            </w:tcBorders>
          </w:tcPr>
          <w:p>
            <w:pPr>
              <w:pStyle w:val="Normal6a"/>
            </w:pPr>
            <w:r>
              <w:t>B)</w:t>
            </w:r>
            <w:r>
              <w:tab/>
            </w:r>
            <w:r>
              <w:t xml:space="preserve">Anpassningsbara flexibilitetsmekanismer bör införas, såsom överföring från år till år av minst 10 % av fiskemöjligheterna </w:t>
            </w:r>
            <w:r>
              <w:rPr>
                <w:b/>
                <w:i/>
              </w:rPr>
              <w:t>mellan på varandra följande år</w:t>
            </w:r>
            <w:r>
              <w:t>, och tvååriga förvaltningscykler bör inrättas för fiskeansträngningen för att ge yrkesfiskarna och beredningssektorerna långsiktig förutsägbarhet.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Anpassningsbara</w:t>
            </w:r>
            <w:r>
              <w:t xml:space="preserve"> flexibilitetsmekanismer </w:t>
            </w:r>
            <w:r>
              <w:rPr>
                <w:b/>
                <w:i/>
              </w:rPr>
              <w:t>bör införas, såsom överföring från år till år av minst 10 % av fiskemöjligheterna, och tvååriga förvaltningscykler bör inrättas för fiskeansträngningen för att ge yrkesfiskarna och beredningssektorerna långsiktig förutsägbarhet.</w:t>
            </w:r>
          </w:p>
        </w:tc>
        <w:tc>
          <w:tcPr>
            <w:tcW w:w="4876" w:type="dxa"/>
            <w:tcBorders>
              <w:top w:val="nil"/>
              <w:left w:val="nil"/>
              <w:bottom w:val="nil"/>
              <w:right w:val="nil"/>
            </w:tcBorders>
          </w:tcPr>
          <w:p>
            <w:pPr>
              <w:pStyle w:val="Normal6a"/>
            </w:pPr>
            <w:r>
              <w:t>B)</w:t>
            </w:r>
            <w:r>
              <w:tab/>
            </w:r>
            <w:r>
              <w:rPr>
                <w:b/>
                <w:i/>
              </w:rPr>
              <w:t>förbättra yrkesfiskarnas och beredningssektorernas långsiktiga förutsägbarhet med hjälp av fleråriga förvaltningsparametrar, förutsatt att alla</w:t>
            </w:r>
            <w:r>
              <w:t xml:space="preserve"> flexibilitetsmekanismer </w:t>
            </w:r>
            <w:r>
              <w:rPr>
                <w:b/>
                <w:i/>
              </w:rPr>
              <w:t>förblir kompatibla med bevarandemålen och inte försenar beståndens återhämtning,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Stabilisatorer bör införas för att begränsa minskningar och ökningar av dagar till 20 %, förutsatt att miniminivån för lönsamhet uppnås, och socioekonomiska effekter bör uttryckligen inkluderas i beslutsfattandet (artikel 3).</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Stabilisatorer bör införas för att begränsa minskningar och ökningar av </w:t>
            </w:r>
            <w:r>
              <w:rPr>
                <w:b/>
                <w:i/>
              </w:rPr>
              <w:t>dagar till 20</w:t>
            </w:r>
            <w:r>
              <w:t xml:space="preserve"> %, förutsatt att miniminivån för lönsamhet uppnås, och socioekonomiska effekter bör uttryckligen inkluderas i beslutsfattandet (artikel 3).</w:t>
            </w:r>
          </w:p>
        </w:tc>
        <w:tc>
          <w:tcPr>
            <w:tcW w:w="4876" w:type="dxa"/>
            <w:tcBorders>
              <w:top w:val="nil"/>
              <w:left w:val="nil"/>
              <w:bottom w:val="nil"/>
              <w:right w:val="nil"/>
            </w:tcBorders>
          </w:tcPr>
          <w:p>
            <w:pPr>
              <w:pStyle w:val="Normal6a"/>
            </w:pPr>
            <w:r>
              <w:t>C)</w:t>
            </w:r>
            <w:r>
              <w:tab/>
            </w:r>
            <w:r>
              <w:t xml:space="preserve">Stabilisatorer bör införas för att begränsa minskningar och ökningar av </w:t>
            </w:r>
            <w:r>
              <w:rPr>
                <w:b/>
                <w:i/>
              </w:rPr>
              <w:t>fiskedagar till 8</w:t>
            </w:r>
            <w:r>
              <w:t xml:space="preserve"> %, förutsatt att miniminivån för lönsamhet uppnås, och socioekonomiska effekter bör uttryckligen inkluderas i beslutsfattandet (artikel 3)</w:t>
            </w:r>
            <w:r>
              <w:rPr>
                <w:b/>
                <w:i/>
              </w:rPr>
              <w:t>, liksom faktorer utanför fisket (föroreningar, klimatförändringar och annan maritim användning), i en verklig ekosystemansats, och stabiliteten i kompensationsmekanismerna under hela förvaltningscykeln bör säkerställas och ska kunna anpassas under året, när de biologiska omständigheterna tillåter det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Stabilisatorer bör införas för att begränsa minskningar och ökningar av </w:t>
            </w:r>
            <w:r>
              <w:rPr>
                <w:b/>
                <w:i/>
              </w:rPr>
              <w:t>dagar</w:t>
            </w:r>
            <w:r>
              <w:t xml:space="preserve"> till 20 %, förutsatt att miniminivån för lönsamhet </w:t>
            </w:r>
            <w:r>
              <w:rPr>
                <w:b/>
                <w:i/>
              </w:rPr>
              <w:t>uppnås,</w:t>
            </w:r>
            <w:r>
              <w:t xml:space="preserve"> och socioekonomiska effekter bör uttryckligen inkluderas i beslutsfattandet (artikel 3).</w:t>
            </w:r>
          </w:p>
        </w:tc>
        <w:tc>
          <w:tcPr>
            <w:tcW w:w="4876" w:type="dxa"/>
            <w:tcBorders>
              <w:top w:val="nil"/>
              <w:left w:val="nil"/>
              <w:bottom w:val="nil"/>
              <w:right w:val="nil"/>
            </w:tcBorders>
          </w:tcPr>
          <w:p>
            <w:pPr>
              <w:pStyle w:val="Normal6a"/>
            </w:pPr>
            <w:r>
              <w:t>C)</w:t>
            </w:r>
            <w:r>
              <w:tab/>
            </w:r>
            <w:r>
              <w:t xml:space="preserve">Stabilisatorer bör införas för att begränsa minskningar och </w:t>
            </w:r>
            <w:r>
              <w:rPr>
                <w:b/>
                <w:i/>
              </w:rPr>
              <w:t>årliga</w:t>
            </w:r>
            <w:r>
              <w:t xml:space="preserve"> ökningar av </w:t>
            </w:r>
            <w:r>
              <w:rPr>
                <w:b/>
                <w:i/>
              </w:rPr>
              <w:t>fiskedagar</w:t>
            </w:r>
            <w:r>
              <w:t xml:space="preserve"> till 20 %, förutsatt att </w:t>
            </w:r>
            <w:r>
              <w:rPr>
                <w:b/>
                <w:i/>
              </w:rPr>
              <w:t>man uppnår</w:t>
            </w:r>
            <w:r>
              <w:t xml:space="preserve"> miniminivån för lönsamhet </w:t>
            </w:r>
            <w:r>
              <w:rPr>
                <w:b/>
                <w:i/>
              </w:rPr>
              <w:t>– definierad utifrån den indikator för nollpunktsomsättning som används av STECF i den årliga ekonomiska rapporten om unionens fiskeflotta –</w:t>
            </w:r>
            <w:r>
              <w:t xml:space="preserve"> och socioekonomiska effekter</w:t>
            </w:r>
            <w:r>
              <w:rPr>
                <w:b/>
                <w:i/>
              </w:rPr>
              <w:t>, uppmätta i sysselsättning, yrkesfiskarnas inkomster och företagens lönsamhet,</w:t>
            </w:r>
            <w:r>
              <w:t xml:space="preserve"> bör uttryckligen inkluderas i beslutsfattandet (artikel 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Stabilisatorer bör införas för att begränsa minskningar och ökningar av dagar till 20 %, förutsatt att miniminivån för lönsamhet uppnås, och socioekonomiska effekter bör uttryckligen inkluderas i beslutsfattandet (artikel 3)</w:t>
            </w:r>
            <w:r>
              <w:rPr>
                <w:b/>
                <w:i/>
              </w:rPr>
              <w:t>.</w:t>
            </w:r>
          </w:p>
        </w:tc>
        <w:tc>
          <w:tcPr>
            <w:tcW w:w="4876" w:type="dxa"/>
            <w:tcBorders>
              <w:top w:val="nil"/>
              <w:left w:val="nil"/>
              <w:bottom w:val="nil"/>
              <w:right w:val="nil"/>
            </w:tcBorders>
          </w:tcPr>
          <w:p>
            <w:pPr>
              <w:pStyle w:val="Normal6a"/>
            </w:pPr>
            <w:r>
              <w:t>C)</w:t>
            </w:r>
            <w:r>
              <w:tab/>
            </w:r>
            <w:r>
              <w:t>Stabilisatorer bör införas för att begränsa minskningar och ökningar av dagar till 20 %, förutsatt att miniminivån för lönsamhet uppnås, och socioekonomiska effekter</w:t>
            </w:r>
            <w:r>
              <w:rPr>
                <w:b/>
                <w:i/>
              </w:rPr>
              <w:t>, inbegripet sysselsättning, företagens lönsamhet, tillhandahållande av fiskeriprodukter och unionens livsmedelstrygghet,</w:t>
            </w:r>
            <w:r>
              <w:t xml:space="preserve"> bör uttryckligen inkluderas i beslutsfattandet (artikel 3)</w:t>
            </w:r>
            <w:r>
              <w:rPr>
                <w:b/>
                <w:i/>
              </w:rPr>
              <w:t>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Stabilisatorer </w:t>
            </w:r>
            <w:r>
              <w:rPr>
                <w:b/>
                <w:i/>
              </w:rPr>
              <w:t>bör införas</w:t>
            </w:r>
            <w:r>
              <w:t xml:space="preserve"> för att begränsa minskningar och ökningar av </w:t>
            </w:r>
            <w:r>
              <w:rPr>
                <w:b/>
                <w:i/>
              </w:rPr>
              <w:t>dagar till 20 %, förutsatt att miniminivån för lönsamhet uppnås, och socioekonomiska effekter bör uttryckligen inkluderas i beslutsfattandet (artikel 3)</w:t>
            </w:r>
            <w:r>
              <w:t>.</w:t>
            </w:r>
          </w:p>
        </w:tc>
        <w:tc>
          <w:tcPr>
            <w:tcW w:w="4876" w:type="dxa"/>
            <w:tcBorders>
              <w:top w:val="nil"/>
              <w:left w:val="nil"/>
              <w:bottom w:val="nil"/>
              <w:right w:val="nil"/>
            </w:tcBorders>
          </w:tcPr>
          <w:p>
            <w:pPr>
              <w:pStyle w:val="Normal6a"/>
            </w:pPr>
            <w:r>
              <w:t>C)</w:t>
            </w:r>
            <w:r>
              <w:tab/>
            </w:r>
            <w:r>
              <w:rPr>
                <w:b/>
                <w:i/>
              </w:rPr>
              <w:t>Införande av</w:t>
            </w:r>
            <w:r>
              <w:t xml:space="preserve"> stabilisatorer för att begränsa minskningar och ökningar av </w:t>
            </w:r>
            <w:r>
              <w:rPr>
                <w:b/>
                <w:i/>
              </w:rPr>
              <w:t>fiskemöjligheter, vilket ger sektorn bättre stabilitet och långsiktig förutsägbarhet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Stabilisatorer bör införas för att begränsa minskningar och ökningar av </w:t>
            </w:r>
            <w:r>
              <w:rPr>
                <w:b/>
                <w:i/>
              </w:rPr>
              <w:t>dagar</w:t>
            </w:r>
            <w:r>
              <w:t xml:space="preserve"> till 20 %, förutsatt att miniminivån för lönsamhet uppnås, och socioekonomiska effekter bör uttryckligen inkluderas i beslutsfattandet (artikel 3).</w:t>
            </w:r>
          </w:p>
        </w:tc>
        <w:tc>
          <w:tcPr>
            <w:tcW w:w="4876" w:type="dxa"/>
            <w:tcBorders>
              <w:top w:val="nil"/>
              <w:left w:val="nil"/>
              <w:bottom w:val="nil"/>
              <w:right w:val="nil"/>
            </w:tcBorders>
          </w:tcPr>
          <w:p>
            <w:pPr>
              <w:pStyle w:val="Normal6a"/>
            </w:pPr>
            <w:r>
              <w:t>C)</w:t>
            </w:r>
            <w:r>
              <w:tab/>
            </w:r>
            <w:r>
              <w:rPr>
                <w:b/>
                <w:i/>
              </w:rPr>
              <w:t>Automatiska</w:t>
            </w:r>
            <w:r>
              <w:t xml:space="preserve"> stabilisatorer bör införas för att begränsa minskningar och ökningar av </w:t>
            </w:r>
            <w:r>
              <w:rPr>
                <w:b/>
                <w:i/>
              </w:rPr>
              <w:t>antalet fiskedagar</w:t>
            </w:r>
            <w:r>
              <w:t xml:space="preserve"> till 20 %, förutsatt att miniminivån för lönsamhet uppnås, och socioekonomiska effekter bör uttryckligen inkluderas i beslutsfattandet (artikel 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Stabilisatorer bör införas för att begränsa minskningar och ökningar av dagar till 20 %, förutsatt att miniminivån för lönsamhet uppnås, och socioekonomiska effekter bör uttryckligen inkluderas i beslutsfattandet (artikel 3).</w:t>
            </w:r>
          </w:p>
        </w:tc>
        <w:tc>
          <w:tcPr>
            <w:tcW w:w="4876" w:type="dxa"/>
            <w:tcBorders>
              <w:top w:val="nil"/>
              <w:left w:val="nil"/>
              <w:bottom w:val="nil"/>
              <w:right w:val="nil"/>
            </w:tcBorders>
          </w:tcPr>
          <w:p>
            <w:pPr>
              <w:pStyle w:val="Normal6a"/>
            </w:pPr>
            <w:r>
              <w:t>C)</w:t>
            </w:r>
            <w:r>
              <w:tab/>
            </w:r>
            <w:r>
              <w:rPr>
                <w:b/>
                <w:i/>
              </w:rPr>
              <w:t>ta itu med slutsatserna i kommissionens genomföranderapport från 2024, särskilt strukturell överkapacitet, fångst av ungfisk och brister i kontrollen och tillsynen,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Stabilisatorer bör införas för</w:t>
            </w:r>
            <w:r>
              <w:t xml:space="preserve"> att begränsa </w:t>
            </w:r>
            <w:r>
              <w:rPr>
                <w:b/>
                <w:i/>
              </w:rPr>
              <w:t>minskningar och ökningar av dagar till 20 %, förutsatt att miniminivån för lönsamhet uppnås, och socioekonomiska effekter bör uttryckligen inkluderas i beslutsfattandet (artikel 3)</w:t>
            </w:r>
            <w:r>
              <w:t>.</w:t>
            </w:r>
          </w:p>
        </w:tc>
        <w:tc>
          <w:tcPr>
            <w:tcW w:w="4876" w:type="dxa"/>
            <w:tcBorders>
              <w:top w:val="nil"/>
              <w:left w:val="nil"/>
              <w:bottom w:val="nil"/>
              <w:right w:val="nil"/>
            </w:tcBorders>
          </w:tcPr>
          <w:p>
            <w:pPr>
              <w:pStyle w:val="Normal6a"/>
            </w:pPr>
            <w:r>
              <w:t>C)</w:t>
            </w:r>
            <w:r>
              <w:tab/>
            </w:r>
            <w:r>
              <w:rPr>
                <w:b/>
                <w:i/>
              </w:rPr>
              <w:t>Mekanismer som syftar till</w:t>
            </w:r>
            <w:r>
              <w:t xml:space="preserve"> att begränsa </w:t>
            </w:r>
            <w:r>
              <w:rPr>
                <w:b/>
                <w:i/>
              </w:rPr>
              <w:t>alltför stora årliga variationer i fiskeansträngningen bör införas i fall då sådana riskerar att äventyra företagens ekonomiska bärkraft, och samtidigt bör bevarandemålen respekteras fullt ut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 tekniska åtgärderna för skydd av ungfisk bör stärkas, inbegripet stängning av vetenskapligt kartlagda uppväxtområden, förstärkning av kontrollen av minsta referensstorlekar för bevarande och minskning av utkast, i syfte att säkerställa framtida rekrytering av bestånd utan att behöva ta till generella minskningar av fiskeansträngningen.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 förordningen bör en permanent kompensationsmekanism för tekniska selektivitetsåtgärder inkluderas för att säkerställa rättslig förutsebarhet, regelstabilitet och tillräcklig synlighet för fiskeföretagens investeringar.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förbättra redskapens selektivitet, kontrollen och övervakningen samt införa och effektivt genomföra fredningsområden och fredningstider, särskilt i lek- och uppväxtområden.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Halva fiskedagar bör tas med i beräkningen av fiskeansträngningen.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Metoden för tilldelning av fiskeansträngningen bör ses över för att säkerställa en mer balanserad fördelning mellan de olika flottsegment som fångar samma demersala bestånd, och det bör bedömas om det är lämpligt att utvidga en harmoniserad förvaltningsram på unionsnivå till segmenten för icke-industriella och småskaliga redskap när deras bidrag till fiskeridödligheten för dessa bestånd är betydande, samt uppdatera kriterierna för intern fördelning av dagar mellan olika längdsegment inom trålarflottan, som för närvarande baseras på historisk verksamhet från perioden 2019–2020, för att återspegla flottans nuvarande operativa verklighet.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Det bör säkerställas att väsentliga ändringar av tekniska åtgärder eller kompensationsmekanismer föregås av en tillräckligt lång period för den vetenskapliga bedömningen, så att ändringarnas biologiska, ekonomiska och sociala effekter kan mätas innan någon större översyn genomförs.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Ansträngningsgrupper uppdelade efter fartygslängd bör avskaffas och slås samman till en enda grupp per geografiskt delområde.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 – led Cc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Europaparlamentet uppmanar kommissionen att se över villkoren för tillämpning av planen på fartyg som använder pelagiska redskap om de inte utövar ett betydande tryck på demersala bestånd.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framhåller det verkliga värde som havet och alla arter som är beroende av det har.</w:t>
            </w:r>
            <w:r>
              <w:t xml:space="preserve"> </w:t>
            </w:r>
            <w:r>
              <w:rPr>
                <w:b/>
                <w:i/>
              </w:rPr>
              <w:t>Parlamentet betonar att Medelhavet utgör mindre än 1 % av världens hav men är en av jordens största källor till biologisk mångfald i havs- och kustområden som hotas av flera påfrestningar, däribland överfiske, föroreningar, förstörelse av livsmiljöer, försurning och en uppvärmning som sker ungefär 20 % snabbare än det globala genomsnittet på grund av klimatförändring.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Termen "blandfiske" bör definieras.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En proportionalitetsprincip mellan medlemsstaterna på grundval av deras faktiska bidrag till fiskedödligheten bör införas.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Kompensationsmekanismen samt dess diversifiering och en minsta varaktighet på tre år för åtgärder som ger rätt till ytterligare fiskedagar bör bli permanenta.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Det bör klargöras hur fartyg som bedriver pelagisk trålning ska behandlas.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De tekniska åtgärder som är tillämpliga i västra Medelhavet bör regelbundet utvärderas vetenskapligt, teknisk och socioekonomiskt, så att de åtgärder för vilka biologisk effektivitet inte har påvisats eller för vilka de socioekonomiska konsekvenserna förefaller oproportionerliga kan anpassas eller avskaffas.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välkomnar den inbjudan att lämna synpunkter för en konsekvensbedömning som kommissionen offentliggjorde den 26 maj 2026 med avseende på den fleråriga planen och kommissionens åtagande att bedöma de socioekonomiska effekterna av de </w:t>
            </w:r>
            <w:r>
              <w:rPr>
                <w:b/>
                <w:i/>
              </w:rPr>
              <w:t>genomförda åtgärderna</w:t>
            </w:r>
            <w:r>
              <w:t>.</w:t>
            </w:r>
          </w:p>
        </w:tc>
        <w:tc>
          <w:tcPr>
            <w:tcW w:w="4876" w:type="dxa"/>
            <w:tcBorders>
              <w:top w:val="nil"/>
              <w:left w:val="nil"/>
              <w:bottom w:val="nil"/>
              <w:right w:val="nil"/>
            </w:tcBorders>
          </w:tcPr>
          <w:p>
            <w:pPr>
              <w:pStyle w:val="Normal6a"/>
            </w:pPr>
            <w:r>
              <w:t>2.</w:t>
            </w:r>
            <w:r>
              <w:tab/>
            </w:r>
            <w:r>
              <w:t xml:space="preserve">Europaparlamentet välkomnar den inbjudan att lämna synpunkter för en konsekvensbedömning som kommissionen offentliggjorde den 26 maj 2026 med avseende på den fleråriga planen och kommissionens åtagande att bedöma de socioekonomiska effekterna av de </w:t>
            </w:r>
            <w:r>
              <w:rPr>
                <w:b/>
                <w:i/>
              </w:rPr>
              <w:t>åtgärder som har genomförts sedan 2019, med särskild uppmärksamhet på sysselsättningens och flottans utveckling, kustsamhällenas ekonomiska och sociala resiliens och kompensationsåtgärdernas effektivitet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välkomnar den inbjudan att lämna synpunkter för en konsekvensbedömning som kommissionen offentliggjorde den 26 maj 2026 med avseende på den fleråriga planen och kommissionens åtagande att bedöma de socioekonomiska effekterna av de genomförda åtgärderna.</w:t>
            </w:r>
          </w:p>
        </w:tc>
        <w:tc>
          <w:tcPr>
            <w:tcW w:w="4876" w:type="dxa"/>
            <w:tcBorders>
              <w:top w:val="nil"/>
              <w:left w:val="nil"/>
              <w:bottom w:val="nil"/>
              <w:right w:val="nil"/>
            </w:tcBorders>
          </w:tcPr>
          <w:p>
            <w:pPr>
              <w:pStyle w:val="Normal6a"/>
            </w:pPr>
            <w:r>
              <w:t>2.</w:t>
            </w:r>
            <w:r>
              <w:tab/>
            </w:r>
            <w:r>
              <w:t xml:space="preserve">Europaparlamentet välkomnar den inbjudan att lämna synpunkter för en konsekvensbedömning som kommissionen offentliggjorde den 26 maj 2026 med avseende på den fleråriga planen och kommissionens åtagande att bedöma de socioekonomiska effekterna av de genomförda åtgärderna. </w:t>
            </w:r>
            <w:r>
              <w:rPr>
                <w:b/>
                <w:i/>
              </w:rPr>
              <w:t>Parlamentet betonar att denna bedömning bör bygga på konsekvensbedömningen från 2018, genomföranderapporten från 2024, relevant rådgivning från STECF och aktuella miljömässiga och socioekonomiska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w:t>
            </w:r>
            <w:r>
              <w:rPr>
                <w:b/>
                <w:i/>
              </w:rPr>
              <w:t>välkomnar</w:t>
            </w:r>
            <w:r>
              <w:t xml:space="preserve"> den inbjudan att lämna synpunkter för en konsekvensbedömning som kommissionen offentliggjorde den 26 maj 2026 med avseende på den fleråriga planen och kommissionens åtagande att bedöma de socioekonomiska effekterna av de genomförda åtgärderna.</w:t>
            </w:r>
          </w:p>
        </w:tc>
        <w:tc>
          <w:tcPr>
            <w:tcW w:w="4876" w:type="dxa"/>
            <w:tcBorders>
              <w:top w:val="nil"/>
              <w:left w:val="nil"/>
              <w:bottom w:val="nil"/>
              <w:right w:val="nil"/>
            </w:tcBorders>
          </w:tcPr>
          <w:p>
            <w:pPr>
              <w:pStyle w:val="Normal6a"/>
            </w:pPr>
            <w:r>
              <w:t>2.</w:t>
            </w:r>
            <w:r>
              <w:tab/>
            </w:r>
            <w:r>
              <w:t xml:space="preserve">Europaparlamentet </w:t>
            </w:r>
            <w:r>
              <w:rPr>
                <w:b/>
                <w:i/>
              </w:rPr>
              <w:t>noterar</w:t>
            </w:r>
            <w:r>
              <w:t xml:space="preserve"> den inbjudan att lämna synpunkter för en konsekvensbedömning som kommissionen offentliggjorde den 26 maj 2026 med avseende på den fleråriga planen och kommissionens åtagande att bedöma de socioekonomiska effekterna av de genomförda åtgärderna. </w:t>
            </w:r>
            <w:r>
              <w:rPr>
                <w:b/>
                <w:i/>
              </w:rPr>
              <w:t>Parlamentet beklagar att en sådan bedömning görs först efter att flottan i över fem år tvingats göra kumulativa minskningar av fiskeansträngningen.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betonar att den övergångsfas som föreskrivs i artikel 7 i förordning (EU) 2019/1022, som består av en gradvis minskning av fiskeansträngningen under perioden 2020–2024, har löpt ut.</w:t>
            </w:r>
            <w:r>
              <w:t xml:space="preserve"> </w:t>
            </w:r>
            <w:r>
              <w:rPr>
                <w:b/>
                <w:i/>
              </w:rPr>
              <w:t>Parlamentet anser därför att förvaltningen av planen för västra Medelhavet bör gå in i en ny fas, inriktad på att befästa de resultat som uppnåtts, överge de systematiska minskningarna av antalet fiskedagar och, när vetenskapliga uppgifter stöder detta och beståndens hållbarhet säkerställs, möjliggöra en gradvis ökning av fiskemöjligheterna för att återställa Medelhavsflottans ekonomiska och sociala bärkraft.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uppmanar kommissionen och medlemsstaterna att förbättra tillgängligheten till och kvaliteten på data om storleks- och ålderskriterier för de berörda bestånden innan de fattar beslut om fiskeriförvaltning för det område som omfattas av den fleråriga planen för västra Medelhavet.</w:t>
            </w:r>
            <w:r>
              <w:t xml:space="preserve"> </w:t>
            </w:r>
            <w:r>
              <w:rPr>
                <w:b/>
                <w:i/>
              </w:rPr>
              <w:t>Parlamentet betonar att förbättrad insamling av data om dessa parametrar bör stödja integreringen av havsmiljödirektivets deskriptor 3, kriterium 3 (D3C3) enligt kraven i artikel 3.4 i planen.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uppmanar kommissionen och medlemsstaterna att säkerställa att förvaltningen av de fiskbestånd som omfattas av den fleråriga planen för västra Medelhavet inbegriper mål för återställandet av en naturlig storleks- och åldersfördelning inom populationer i linje med artikel 2.5 j i GFP-förordningen, som hänvisar till artikel 1.1 i havsmiljödirektivet, med hänsyn till att hälsosamma populationsstrukturer bidrar till reproduktionsförmågan, beståndens motståndskraft och ekosystemens stabilitet.</w:t>
            </w:r>
            <w:r>
              <w:t xml:space="preserve"> </w:t>
            </w:r>
            <w:r>
              <w:rPr>
                <w:b/>
                <w:i/>
              </w:rPr>
              <w:t>Parlamentet uppmuntrar utvecklingen av övervakningsindikatorer och mer selektiva fiskemetoder som utvecklas i samarbete med sektorn och som kan minska det systematiska avlägsnandet av större och äldre fiskar och bättre skydda beståndets rekryteringspotential.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noterar att trålarflottan har gjort betydande tekniska anpassnings- och investeringsinsatser för ett mer hållbart fiske genom att vidta åtgärder i syfte att förbättra fiskeredskapens selektivitet och minska fiskeverksamhetens inverkan, såsom användning av kvadratiska maskor på 40 mm eller romboidmaskor på 50 mm, sorteringsgaller för ungfisk, paneler med större maskor och flygande dörrar.</w:t>
            </w:r>
            <w:r>
              <w:t xml:space="preserve"> </w:t>
            </w:r>
            <w:r>
              <w:rPr>
                <w:b/>
                <w:i/>
              </w:rPr>
              <w:t>Parlamentet noterar dessutom att omkring 60 % av flottan i Spanien dessutom redan har genomfört dessa och andra tekniska förbättringar under de senaste åren.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uppmanar kommissionen att hålla obligatoriska samråd med alla berörda parter, särskilt den rådgivande nämnden för Medelhavet, regionala vetenskapliga organ, yrkesfiskarorganisationer och beredningsindustrin, innan ytterligare begränsningar antas.</w:t>
            </w:r>
          </w:p>
        </w:tc>
        <w:tc>
          <w:tcPr>
            <w:tcW w:w="4876" w:type="dxa"/>
            <w:tcBorders>
              <w:top w:val="nil"/>
              <w:left w:val="nil"/>
              <w:bottom w:val="nil"/>
              <w:right w:val="nil"/>
            </w:tcBorders>
          </w:tcPr>
          <w:p>
            <w:pPr>
              <w:pStyle w:val="Normal6a"/>
            </w:pPr>
            <w:r>
              <w:t>3.</w:t>
            </w:r>
            <w:r>
              <w:tab/>
            </w:r>
            <w:r>
              <w:t>Europaparlamentet uppmanar kommissionen att hålla obligatoriska samråd med alla berörda parter, särskilt den rådgivande nämnden för Medelhavet, regionala vetenskapliga organ, yrkesfiskarorganisationer</w:t>
            </w:r>
            <w:r>
              <w:rPr>
                <w:b/>
                <w:i/>
              </w:rPr>
              <w:t>, organisationer som företräder det småskaliga fisket, såsom Cofradias, Prud’homies och italienska kooperativ, fackföreningar som företräder arbetstagare inom sektorn, miljöorganisationer</w:t>
            </w:r>
            <w:r>
              <w:t xml:space="preserve"> och beredningsindustrin, innan ytterligare begränsningar antas </w:t>
            </w:r>
            <w:r>
              <w:rPr>
                <w:b/>
                <w:i/>
              </w:rPr>
              <w:t>eller befintliga tekniska åtgärder ändras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w:t>
            </w:r>
            <w:r>
              <w:rPr>
                <w:b/>
                <w:i/>
              </w:rPr>
              <w:t>hålla obligatoriska</w:t>
            </w:r>
            <w:r>
              <w:t xml:space="preserve"> samråd med alla berörda parter, särskilt den rådgivande nämnden för Medelhavet, regionala vetenskapliga organ, yrkesfiskarorganisationer och beredningsindustrin, </w:t>
            </w:r>
            <w:r>
              <w:rPr>
                <w:b/>
                <w:i/>
              </w:rPr>
              <w:t>innan ytterligare begränsningar antas</w:t>
            </w:r>
            <w:r>
              <w:t>.</w:t>
            </w:r>
          </w:p>
        </w:tc>
        <w:tc>
          <w:tcPr>
            <w:tcW w:w="4876" w:type="dxa"/>
            <w:tcBorders>
              <w:top w:val="nil"/>
              <w:left w:val="nil"/>
              <w:bottom w:val="nil"/>
              <w:right w:val="nil"/>
            </w:tcBorders>
          </w:tcPr>
          <w:p>
            <w:pPr>
              <w:pStyle w:val="Normal6a"/>
            </w:pPr>
            <w:r>
              <w:t>3.</w:t>
            </w:r>
            <w:r>
              <w:tab/>
            </w:r>
            <w:r>
              <w:t xml:space="preserve">Europaparlamentet uppmanar kommissionen att </w:t>
            </w:r>
            <w:r>
              <w:rPr>
                <w:b/>
                <w:i/>
              </w:rPr>
              <w:t>säkerställa lägliga och meningsfulla</w:t>
            </w:r>
            <w:r>
              <w:t xml:space="preserve"> samråd med alla berörda parter, särskilt den rådgivande nämnden för Medelhavet, regionala vetenskapliga organ, </w:t>
            </w:r>
            <w:r>
              <w:rPr>
                <w:b/>
                <w:i/>
              </w:rPr>
              <w:t>icke-statliga miljöorganisationer,</w:t>
            </w:r>
            <w:r>
              <w:t xml:space="preserve"> yrkesfiskarorganisationer och beredningsindustrin, </w:t>
            </w:r>
            <w:r>
              <w:rPr>
                <w:b/>
                <w:i/>
              </w:rPr>
              <w:t>när den utarbetar förvaltningsåtgärder som påverkar fiskemöjligheter</w:t>
            </w:r>
            <w:r>
              <w:t xml:space="preserve">. </w:t>
            </w:r>
            <w:r>
              <w:rPr>
                <w:b/>
                <w:i/>
              </w:rPr>
              <w:t>Parlamentet betonar att sådana samråd bör förbättra transparensen, proportionaliteten och det praktiska genomförandet och samtidigt förbli förenligt med bästa tillgängliga vetenskapliga rådgivning.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uppmanar kommissionen att hålla obligatoriska samråd med alla berörda parter, särskilt den rådgivande nämnden för Medelhavet, regionala vetenskapliga organ, yrkesfiskarorganisationer och beredningsindustrin, innan ytterligare begränsningar antas.</w:t>
            </w:r>
          </w:p>
        </w:tc>
        <w:tc>
          <w:tcPr>
            <w:tcW w:w="4876" w:type="dxa"/>
            <w:tcBorders>
              <w:top w:val="nil"/>
              <w:left w:val="nil"/>
              <w:bottom w:val="nil"/>
              <w:right w:val="nil"/>
            </w:tcBorders>
          </w:tcPr>
          <w:p>
            <w:pPr>
              <w:pStyle w:val="Normal6a"/>
            </w:pPr>
            <w:r>
              <w:t>3.</w:t>
            </w:r>
            <w:r>
              <w:tab/>
            </w:r>
            <w:r>
              <w:t>Europaparlamentet uppmanar kommissionen att</w:t>
            </w:r>
            <w:r>
              <w:rPr>
                <w:b/>
                <w:i/>
              </w:rPr>
              <w:t>, med minst åtta veckors varsel,</w:t>
            </w:r>
            <w:r>
              <w:t xml:space="preserve"> hålla obligatoriska samråd med alla berörda parter, särskilt den rådgivande nämnden för Medelhavet, regionala vetenskapliga organ, yrkesfiskarorganisationer och beredningsindustrin, innan ytterligare begränsningar antas. </w:t>
            </w:r>
            <w:r>
              <w:rPr>
                <w:b/>
                <w:i/>
              </w:rPr>
              <w:t>Parlamentet uppmanar vidare kommissionen att skriftligen motivera alla beslut som väsentligt avviker från de ståndpunkter som uttryckts av dessa berörda parter under samrådsprocessen.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uppmanar kommissionen att hålla obligatoriska samråd med alla berörda parter, särskilt den rådgivande nämnden för Medelhavet, regionala vetenskapliga organ, yrkesfiskarorganisationer och beredningsindustrin, innan ytterligare begränsningar antas.</w:t>
            </w:r>
          </w:p>
        </w:tc>
        <w:tc>
          <w:tcPr>
            <w:tcW w:w="4876" w:type="dxa"/>
            <w:tcBorders>
              <w:top w:val="nil"/>
              <w:left w:val="nil"/>
              <w:bottom w:val="nil"/>
              <w:right w:val="nil"/>
            </w:tcBorders>
          </w:tcPr>
          <w:p>
            <w:pPr>
              <w:pStyle w:val="Normal6a"/>
            </w:pPr>
            <w:r>
              <w:t>3.</w:t>
            </w:r>
            <w:r>
              <w:tab/>
            </w:r>
            <w:r>
              <w:t>Europaparlamentet uppmanar kommissionen att hålla obligatoriska samråd med alla berörda parter, särskilt den rådgivande nämnden för Medelhavet, regionala vetenskapliga organ, yrkesfiskarorganisationer</w:t>
            </w:r>
            <w:r>
              <w:rPr>
                <w:b/>
                <w:i/>
              </w:rPr>
              <w:t>, arbetsmarknadens parter</w:t>
            </w:r>
            <w:r>
              <w:t xml:space="preserve"> och beredningsindustrin</w:t>
            </w:r>
            <w:r>
              <w:rPr>
                <w:b/>
                <w:i/>
              </w:rPr>
              <w:t>, med särskild uppmärksamhet på de småskaliga sektorerna</w:t>
            </w:r>
            <w:r>
              <w:t>, innan ytterligare begränsningar antas.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w:t>
            </w:r>
            <w:r>
              <w:rPr>
                <w:b/>
                <w:i/>
              </w:rPr>
              <w:t>hålla obligatoriska</w:t>
            </w:r>
            <w:r>
              <w:t xml:space="preserve"> samråd med alla berörda parter, särskilt den rådgivande nämnden för Medelhavet, regionala vetenskapliga organ, yrkesfiskarorganisationer och beredningsindustrin</w:t>
            </w:r>
            <w:r>
              <w:rPr>
                <w:b/>
                <w:i/>
              </w:rPr>
              <w:t>, innan ytterligare begränsningar antas</w:t>
            </w:r>
            <w:r>
              <w:t>.</w:t>
            </w:r>
          </w:p>
        </w:tc>
        <w:tc>
          <w:tcPr>
            <w:tcW w:w="4876" w:type="dxa"/>
            <w:tcBorders>
              <w:top w:val="nil"/>
              <w:left w:val="nil"/>
              <w:bottom w:val="nil"/>
              <w:right w:val="nil"/>
            </w:tcBorders>
          </w:tcPr>
          <w:p>
            <w:pPr>
              <w:pStyle w:val="Normal6a"/>
            </w:pPr>
            <w:r>
              <w:t>3.</w:t>
            </w:r>
            <w:r>
              <w:tab/>
            </w:r>
            <w:r>
              <w:t xml:space="preserve">Europaparlamentet uppmanar kommissionen att </w:t>
            </w:r>
            <w:r>
              <w:rPr>
                <w:b/>
                <w:i/>
              </w:rPr>
              <w:t>tillåta inkluderande</w:t>
            </w:r>
            <w:r>
              <w:t xml:space="preserve"> samråd med alla berörda parter, särskilt den rådgivande nämnden för Medelhavet </w:t>
            </w:r>
            <w:r>
              <w:rPr>
                <w:b/>
                <w:i/>
              </w:rPr>
              <w:t>i dess struktur och funktion enligt kommissionens delegerade förordning (EU) 2017/1575</w:t>
            </w:r>
            <w:r>
              <w:t>, regionala vetenskapliga organ, yrkesfiskarorganisationer</w:t>
            </w:r>
            <w:r>
              <w:rPr>
                <w:b/>
                <w:i/>
              </w:rPr>
              <w:t>, icke-statliga miljöorganisationer</w:t>
            </w:r>
            <w:r>
              <w:t xml:space="preserve"> och beredningsindustrin.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uppmanar kommissionen att </w:t>
            </w:r>
            <w:r>
              <w:rPr>
                <w:b/>
                <w:i/>
              </w:rPr>
              <w:t>hålla obligatoriska</w:t>
            </w:r>
            <w:r>
              <w:t xml:space="preserve"> samråd med alla berörda parter, särskilt den rådgivande nämnden för Medelhavet, regionala vetenskapliga organ, yrkesfiskarorganisationer och beredningsindustrin, innan </w:t>
            </w:r>
            <w:r>
              <w:rPr>
                <w:b/>
                <w:i/>
              </w:rPr>
              <w:t>ytterligare begränsningar antas</w:t>
            </w:r>
            <w:r>
              <w:t>.</w:t>
            </w:r>
          </w:p>
        </w:tc>
        <w:tc>
          <w:tcPr>
            <w:tcW w:w="4876" w:type="dxa"/>
            <w:tcBorders>
              <w:top w:val="nil"/>
              <w:left w:val="nil"/>
              <w:bottom w:val="nil"/>
              <w:right w:val="nil"/>
            </w:tcBorders>
          </w:tcPr>
          <w:p>
            <w:pPr>
              <w:pStyle w:val="Normal6a"/>
            </w:pPr>
            <w:r>
              <w:t>3.</w:t>
            </w:r>
            <w:r>
              <w:tab/>
            </w:r>
            <w:r>
              <w:t xml:space="preserve">Europaparlamentet uppmanar kommissionen att </w:t>
            </w:r>
            <w:r>
              <w:rPr>
                <w:b/>
                <w:i/>
              </w:rPr>
              <w:t>säkerställa vederbörliga</w:t>
            </w:r>
            <w:r>
              <w:t xml:space="preserve"> samråd med alla berörda parter, särskilt den rådgivande nämnden för Medelhavet, regionala vetenskapliga organ, yrkesfiskarorganisationer och beredningsindustrin, innan </w:t>
            </w:r>
            <w:r>
              <w:rPr>
                <w:b/>
                <w:i/>
              </w:rPr>
              <w:t>den lägger fram fiskeriförvaltningsförslag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påminner om EU:s åtaganden och mål när det gäller de marina skyddsområdenas geografiska omfattning och ändamålsenlighet.</w:t>
            </w:r>
            <w:r>
              <w:t xml:space="preserve"> </w:t>
            </w:r>
            <w:r>
              <w:rPr>
                <w:b/>
                <w:i/>
              </w:rPr>
              <w:t>Parlamentet uppmuntrar till ett korrekt genomförande av ändamålsenliga förvaltningsåtgärder i regionens nuvarande marina skyddsområden inom ramen för den fleråriga planen för västra Medelhavet samt till upprättandet av ytterligare marina skyddsområden i linje med EU:s åtaganden.</w:t>
            </w:r>
            <w:r>
              <w:t xml:space="preserve"> </w:t>
            </w:r>
            <w:r>
              <w:rPr>
                <w:b/>
                <w:i/>
              </w:rPr>
              <w:t>Parlamentet betonar att upprättandet av dessa skyddsområden bör baseras på vetenskapliga bedömningar som visar på kritiska livsmiljöer eller lekområden.</w:t>
            </w:r>
            <w:r>
              <w:t xml:space="preserve"> </w:t>
            </w:r>
            <w:r>
              <w:rPr>
                <w:b/>
                <w:i/>
              </w:rPr>
              <w:t>Parlamentet poängterar att det behövs effektiva förvaltningsåtgärder i kombination med pilotprojekt för selektiva och skonsamma fiskeredskap där man hämtar inspiration från framgångsrika initiativ i andra havsområden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uppmanar kommissionen och medlemsstaterna att rutinmässigt göra producentorganisationer, vetenskapliga institut, rådgivande nämnder och företrädare för kustsamhällen delaktiga i bedömningen av effekterna av den fleråriga planen för västra Medelhavet.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tvångsåtgärder samtidigt, dvs. ett kvotsystem och begränsningar av fiskedagar, och att avskaffa denna </w:t>
            </w:r>
            <w:r>
              <w:rPr>
                <w:b/>
                <w:i/>
              </w:rPr>
              <w:t>dubbla</w:t>
            </w:r>
            <w:r>
              <w:t xml:space="preserve"> regelbörda</w:t>
            </w:r>
            <w:r>
              <w:rPr>
                <w:b/>
                <w:i/>
              </w:rPr>
              <w:t>, som</w:t>
            </w:r>
            <w:r>
              <w:t xml:space="preserve"> har haft särskilt allvarlig inverkan på den ekonomiska och operativa bärkraften för detta fiske i västra Medelhavet.</w:t>
            </w:r>
          </w:p>
        </w:tc>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tvångsåtgärder samtidigt, dvs. ett kvotsystem och begränsningar av fiskedagar, och att avskaffa denna </w:t>
            </w:r>
            <w:r>
              <w:rPr>
                <w:b/>
                <w:i/>
              </w:rPr>
              <w:t>totala tillåtna fångstmängd (TAC) eftersom den utgör en dubbel</w:t>
            </w:r>
            <w:r>
              <w:t xml:space="preserve"> regelbörda </w:t>
            </w:r>
            <w:r>
              <w:rPr>
                <w:b/>
                <w:i/>
              </w:rPr>
              <w:t>och</w:t>
            </w:r>
            <w:r>
              <w:t xml:space="preserve"> har haft särskilt allvarlig inverkan på den ekonomiska och operativa bärkraften för detta fiske i västra Medelhavet. </w:t>
            </w:r>
            <w:r>
              <w:rPr>
                <w:b/>
                <w:i/>
              </w:rPr>
              <w:t>Parlamentet anser därför att dess förvaltning uteslutande bör baseras på det fiskeansträngningssystem som föreskrivs i planen för västra Medelhavet och att det nuvarande systemet med totala tillåtna fångstmängder bör avskaffas.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uppmanar kommissionen att </w:t>
            </w:r>
            <w:r>
              <w:rPr>
                <w:b/>
                <w:i/>
              </w:rPr>
              <w:t>skyndsamt se över de särskilda omständigheterna</w:t>
            </w:r>
            <w:r>
              <w:t xml:space="preserve"> för fisket efter blåröd räka, </w:t>
            </w:r>
            <w:r>
              <w:rPr>
                <w:b/>
                <w:i/>
              </w:rPr>
              <w:t>den enda art som är föremål för två tvångsåtgärder samtidigt, dvs. ett kvotsystem och</w:t>
            </w:r>
            <w:r>
              <w:t xml:space="preserve"> begränsningar av </w:t>
            </w:r>
            <w:r>
              <w:rPr>
                <w:b/>
                <w:i/>
              </w:rPr>
              <w:t>fiskedagar</w:t>
            </w:r>
            <w:r>
              <w:t xml:space="preserve">, </w:t>
            </w:r>
            <w:r>
              <w:rPr>
                <w:b/>
                <w:i/>
              </w:rPr>
              <w:t>och att avskaffa denna dubbla regelbörda, som har haft särskilt allvarlig inverkan på den ekonomiska och operativa bärkraften för detta fiske i västra Medelhavet</w:t>
            </w:r>
            <w:r>
              <w:t>.</w:t>
            </w:r>
          </w:p>
        </w:tc>
        <w:tc>
          <w:tcPr>
            <w:tcW w:w="4876" w:type="dxa"/>
            <w:tcBorders>
              <w:top w:val="nil"/>
              <w:left w:val="nil"/>
              <w:bottom w:val="nil"/>
              <w:right w:val="nil"/>
            </w:tcBorders>
          </w:tcPr>
          <w:p>
            <w:pPr>
              <w:pStyle w:val="Normal6a"/>
            </w:pPr>
            <w:r>
              <w:t>4.</w:t>
            </w:r>
            <w:r>
              <w:tab/>
            </w:r>
            <w:r>
              <w:t xml:space="preserve">Europaparlamentet uppmanar kommissionen att </w:t>
            </w:r>
            <w:r>
              <w:rPr>
                <w:b/>
                <w:i/>
              </w:rPr>
              <w:t>i linje med bästa tillgängliga vetenskapliga rådgivning bedöma förvaltningsåtgärderna</w:t>
            </w:r>
            <w:r>
              <w:t xml:space="preserve"> för fisket efter blåröd räka, </w:t>
            </w:r>
            <w:r>
              <w:rPr>
                <w:b/>
                <w:i/>
              </w:rPr>
              <w:t>i syfte att minska fiskedödligheten och möjliggöra återhämtning av bestånden.</w:t>
            </w:r>
            <w:r>
              <w:t xml:space="preserve"> </w:t>
            </w:r>
            <w:r>
              <w:rPr>
                <w:b/>
                <w:i/>
              </w:rPr>
              <w:t>Parlamentet vill att bedömningen inbegriper samspelet mellan</w:t>
            </w:r>
            <w:r>
              <w:t xml:space="preserve"> begränsningar av </w:t>
            </w:r>
            <w:r>
              <w:rPr>
                <w:b/>
                <w:i/>
              </w:rPr>
              <w:t>fiskeansträngning</w:t>
            </w:r>
            <w:r>
              <w:t xml:space="preserve">, </w:t>
            </w:r>
            <w:r>
              <w:rPr>
                <w:b/>
                <w:i/>
              </w:rPr>
              <w:t>fångstbegränsningar, tekniska åtgärder och deras miljömässiga och socioekonomiska effekter.</w:t>
            </w:r>
            <w:r>
              <w:t xml:space="preserve"> </w:t>
            </w:r>
            <w:r>
              <w:rPr>
                <w:b/>
                <w:i/>
              </w:rPr>
              <w:t>Parlamentet betonar att man vid eventuella anpassningar måste bibehålla de åtgärder som krävs för att minska fiskedödligheten och stödja beståndens återhämtning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w:t>
            </w:r>
            <w:r>
              <w:rPr>
                <w:b/>
                <w:i/>
              </w:rPr>
              <w:t>tvångsåtgärder</w:t>
            </w:r>
            <w:r>
              <w:t xml:space="preserve"> samtidigt, dvs. ett kvotsystem och begränsningar av fiskedagar, </w:t>
            </w:r>
            <w:r>
              <w:rPr>
                <w:b/>
                <w:i/>
              </w:rPr>
              <w:t>och att avskaffa denna dubbla regelbörda, som har haft särskilt allvarlig inverkan på den ekonomiska och operativa bärkraften</w:t>
            </w:r>
            <w:r>
              <w:t xml:space="preserve"> för detta fiske i västra Medelhavet.</w:t>
            </w:r>
          </w:p>
        </w:tc>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w:t>
            </w:r>
            <w:r>
              <w:rPr>
                <w:b/>
                <w:i/>
              </w:rPr>
              <w:t>förvaltningsåtgärder</w:t>
            </w:r>
            <w:r>
              <w:t xml:space="preserve"> samtidigt, dvs. ett kvotsystem och begränsningar av fiskedagar, </w:t>
            </w:r>
            <w:r>
              <w:rPr>
                <w:b/>
                <w:i/>
              </w:rPr>
              <w:t>i syfte att upprätta ett system som säkerställer bättre förutsägbarhet, ekonomisk stabilitet och operativ bärkraft</w:t>
            </w:r>
            <w:r>
              <w:t xml:space="preserve"> för detta fiske i västra Medelhavet.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w:t>
            </w:r>
            <w:r>
              <w:rPr>
                <w:b/>
                <w:i/>
              </w:rPr>
              <w:t>den enda art som är föremål för två tvångsåtgärder samtidigt, dvs. ett kvotsystem och begränsningar av fiskedagar, och att avskaffa denna dubbla regelbörda, som har haft särskilt allvarlig inverkan på den ekonomiska och operativa bärkraften för detta fiske i västra Medelhavet</w:t>
            </w:r>
            <w:r>
              <w:t>.</w:t>
            </w:r>
          </w:p>
        </w:tc>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w:t>
            </w:r>
            <w:r>
              <w:rPr>
                <w:b/>
                <w:i/>
              </w:rPr>
              <w:t>i syfte att förbättra förvaltningen på grundval av bästa tillgängliga vetenskapliga rådgivning och ta hänsyn till samspelet mellan de förvaltningsåtgärder som tillämpas i nuläget utan att undergräva planens delmål och mål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tvångsåtgärder samtidigt, dvs. ett kvotsystem och begränsningar av fiskedagar, och att avskaffa denna dubbla </w:t>
            </w:r>
            <w:r>
              <w:rPr>
                <w:b/>
                <w:i/>
              </w:rPr>
              <w:t>regelbörda</w:t>
            </w:r>
            <w:r>
              <w:t>, som har haft särskilt allvarlig inverkan på den ekonomiska och operativa bärkraften för detta fiske i västra Medelhavet.</w:t>
            </w:r>
          </w:p>
        </w:tc>
        <w:tc>
          <w:tcPr>
            <w:tcW w:w="4876" w:type="dxa"/>
            <w:tcBorders>
              <w:top w:val="nil"/>
              <w:left w:val="nil"/>
              <w:bottom w:val="nil"/>
              <w:right w:val="nil"/>
            </w:tcBorders>
          </w:tcPr>
          <w:p>
            <w:pPr>
              <w:pStyle w:val="Normal6a"/>
            </w:pPr>
            <w:r>
              <w:t>4.</w:t>
            </w:r>
            <w:r>
              <w:tab/>
            </w:r>
            <w:r>
              <w:t xml:space="preserve">Europaparlamentet uppmanar kommissionen att skyndsamt se över de särskilda omständigheterna för fisket efter blåröd räka, den enda art som är föremål för två tvångsåtgärder samtidigt, dvs. ett kvotsystem och begränsningar av fiskedagar, och att avskaffa denna dubbla </w:t>
            </w:r>
            <w:r>
              <w:rPr>
                <w:b/>
                <w:i/>
              </w:rPr>
              <w:t>begränsning</w:t>
            </w:r>
            <w:r>
              <w:t>, som har haft särskilt allvarlig inverkan på den ekonomiska och operativa bärkraften för detta fiske i västra Medelhavet.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uppmuntrar kommissionen och rådet att säkerställa att fastställandet av TAC:er och fiskeansträngning är transparent och bygger på bästa tillgängliga vetenskapliga rådgivning och kunskap i enlighet med målen i den fleråriga planen för västra Medelhavet och den gemensamma fiskeripolitiken samt görs i enlighet med ekosystembaserad rådgivning om flera arter och med hänsyn till samspelet mellan fisket och kustsamhällenas långsiktiga socioekonomiska stabilitet.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begär att skyddsåtgärderna ska vara riktade, proportionerliga och anpassade till lokala förhållanden samt prioritera särskilda bevarandeåtgärder snarare än en generell minskning av fiskeansträngningen, samtidigt som medlemsstaternas skyldigheter i fråga om samordning mellan planen för västra Medelhavet, fysiska begränsningar och havsplanering ska stärkas genom en bedömning av lagstiftningens kumulativa effekter.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upprepar sin uppmaning till kommissionen att dra lärdom av det framgångsrika exemplet med den blåfenade tonfisken genom att studera införandet av totala tillåtna fångstmängder (TAC:er) på lång sikt för vissa 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efterlyser effektiva åtgärder för begränsning av och anpassning till klimatförändringarna för att snabbt ta itu med klimatrelaterade risker och undvika de ökande risker och kostnader som försenade åtgärder i regionen medför.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begär att fisket ska erkännas som en verksamhet av stort allmänintresse och som en prioriterad användning inom havsplaneringen.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w:t>
            </w:r>
          </w:p>
        </w:tc>
        <w:tc>
          <w:tcPr>
            <w:tcW w:w="4876" w:type="dxa"/>
            <w:tcBorders>
              <w:top w:val="nil"/>
              <w:left w:val="nil"/>
              <w:bottom w:val="nil"/>
              <w:right w:val="nil"/>
            </w:tcBorders>
          </w:tcPr>
          <w:p>
            <w:pPr>
              <w:pStyle w:val="Normal6a"/>
            </w:pPr>
            <w:r>
              <w:t>5.</w:t>
            </w:r>
            <w:r>
              <w:tab/>
            </w:r>
            <w:r>
              <w:t>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w:t>
            </w:r>
            <w:r>
              <w:rPr>
                <w:b/>
                <w:i/>
              </w:rPr>
              <w:t> genom att öka de resurser som avsätts för att förbättra datamängderna, övervaka bestånd som inte är tillräckligt dokumenterade, särskilt bedöma den faktiska effektiviteten av de åtgärder som redan har vidtagits, vidta särskilda åtgärder som är anpassade till de olika lokala och regionala omständigheterna, ta hänsyn till faktorer utanför fisket som påverkar resursernas tillstånd, inrätta regelbundna översyner av planen, på grundval av transparenta indikatorer för att anpassa åtgärderna och integrera empirisk och lokal kunskap om miljön i processerna för datainsamling, utvärdering och fiskeriförvaltning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w:t>
            </w:r>
          </w:p>
        </w:tc>
        <w:tc>
          <w:tcPr>
            <w:tcW w:w="4876" w:type="dxa"/>
            <w:tcBorders>
              <w:top w:val="nil"/>
              <w:left w:val="nil"/>
              <w:bottom w:val="nil"/>
              <w:right w:val="nil"/>
            </w:tcBorders>
          </w:tcPr>
          <w:p>
            <w:pPr>
              <w:pStyle w:val="Normal6a"/>
            </w:pPr>
            <w:r>
              <w:t>5.</w:t>
            </w:r>
            <w:r>
              <w:tab/>
            </w:r>
            <w:r>
              <w:t xml:space="preserve">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 </w:t>
            </w:r>
            <w:r>
              <w:rPr>
                <w:b/>
                <w:i/>
              </w:rPr>
              <w:t>Parlamentet uppmanar särskilt kommissionen att säkerställa att årliga beslut om fiskemöjligheter och fiskeansträngning baseras på bästa tillgängliga vetenskapliga rön, offentliggjorda på ett transparent och tillgängligt sätt innan antagandet av dessa beslut.</w:t>
            </w:r>
            <w:r>
              <w:t xml:space="preserve"> </w:t>
            </w:r>
            <w:r>
              <w:rPr>
                <w:b/>
                <w:i/>
              </w:rPr>
              <w:t>Parlamentet uppmanar också kommissionen och medlemsstaterna att ta med en särskild bedömning av klimatförändringarnas effekter på utbredningen, mängden och produktiviteten av fiskbestånden i Medelhavet.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w:t>
            </w:r>
          </w:p>
        </w:tc>
        <w:tc>
          <w:tcPr>
            <w:tcW w:w="4876" w:type="dxa"/>
            <w:tcBorders>
              <w:top w:val="nil"/>
              <w:left w:val="nil"/>
              <w:bottom w:val="nil"/>
              <w:right w:val="nil"/>
            </w:tcBorders>
          </w:tcPr>
          <w:p>
            <w:pPr>
              <w:pStyle w:val="Normal6a"/>
            </w:pPr>
            <w:r>
              <w:t>5.</w:t>
            </w:r>
            <w:r>
              <w:tab/>
            </w:r>
            <w:r>
              <w:t xml:space="preserve">Europaparlamentet uppmanar kommissionen och medlemsstaterna att stärka samordningen av den vetenskapliga forskningen om fisket med de senaste uppgifterna på europeisk, nationell och regional nivå och att förbättra interoperabiliteten och utbytet mellan EU:s, AKFM:s och nationella tekniska instituts databaser. </w:t>
            </w:r>
            <w:r>
              <w:rPr>
                <w:b/>
                <w:i/>
              </w:rPr>
              <w:t>Parlamentet betonar att detta vetenskapliga samarbete också bör göra det möjligt att utveckla en ekosystembaserad ansats som tar hänsyn till effekterna av klimatförändringarna, oceanografiska förändringar, artinteraktion, tillgången till viktiga livsmiljöer och annan antropogen belastning på fiskeresurserna, såsom fritidsfisket.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kommissionen och medlemsstaterna att stärka samordningen av den vetenskapliga forskningen om fisket med de senaste uppgifterna på europeisk, nationell och regional nivå </w:t>
            </w:r>
            <w:r>
              <w:rPr>
                <w:b/>
                <w:i/>
              </w:rPr>
              <w:t>och att förbättra interoperabiliteten och utbytet</w:t>
            </w:r>
            <w:r>
              <w:t xml:space="preserve"> mellan EU:s, AKFM:s och nationella tekniska instituts databaser.</w:t>
            </w:r>
          </w:p>
        </w:tc>
        <w:tc>
          <w:tcPr>
            <w:tcW w:w="4876" w:type="dxa"/>
            <w:tcBorders>
              <w:top w:val="nil"/>
              <w:left w:val="nil"/>
              <w:bottom w:val="nil"/>
              <w:right w:val="nil"/>
            </w:tcBorders>
          </w:tcPr>
          <w:p>
            <w:pPr>
              <w:pStyle w:val="Normal6a"/>
            </w:pPr>
            <w:r>
              <w:t>5.</w:t>
            </w:r>
            <w:r>
              <w:tab/>
            </w:r>
            <w:r>
              <w:t>Europaparlamentet uppmanar kommissionen och medlemsstaterna att stärka samordningen av den vetenskapliga forskningen om fisket</w:t>
            </w:r>
            <w:r>
              <w:rPr>
                <w:b/>
                <w:i/>
              </w:rPr>
              <w:t>, särskilt genom oberoende vetenskapliga kampanjer, såsom Medits-kampanjen som samordnas av institut såsom det spanska oceanografiska institutet,</w:t>
            </w:r>
            <w:r>
              <w:t xml:space="preserve"> med de senaste uppgifterna på europeisk, nationell och regional nivå</w:t>
            </w:r>
            <w:r>
              <w:rPr>
                <w:b/>
                <w:i/>
              </w:rPr>
              <w:t>.</w:t>
            </w:r>
            <w:r>
              <w:t xml:space="preserve"> </w:t>
            </w:r>
            <w:r>
              <w:rPr>
                <w:b/>
                <w:i/>
              </w:rPr>
              <w:t>Parlamentet efterlyser bättre interoperabilitet och utbyte</w:t>
            </w:r>
            <w:r>
              <w:t xml:space="preserve"> mellan EU:s, AKFM:s och nationella tekniska instituts databaser </w:t>
            </w:r>
            <w:r>
              <w:rPr>
                <w:b/>
                <w:i/>
              </w:rPr>
              <w:t>och ett årligt offentliggörande av en konsoliderad och offentligt tillgänglig rapport om situationen för bestånden och fångsterna i västra Medelhavet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behovet av att stärka insamlingen av de vetenskapliga uppgifterna om fiskbestånden i Medelhavet, med tanke på att endast 13 av de 20 bestånd i den senaste bedömningen kunde analyseras eftersom uppgifterna var otillräckliga.</w:t>
            </w:r>
            <w:r>
              <w:t xml:space="preserve"> </w:t>
            </w:r>
            <w:r>
              <w:rPr>
                <w:b/>
                <w:i/>
              </w:rPr>
              <w:t>Parlamentet uppmanar därför kommissionen och medlemsstaterna att öka resurserna för vetenskaplig forskning, övervakning av bestånd och datainsamling för att förbättra den vetenskapliga grunden för beslutsfattandet.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kommissionen att i samarbete med STECF, Allmänna kommissionen för fiske i Medelhavet (AKFM) och nationella vetenskapliga institut utarbeta ett särskilt vetenskapligt program när det gäller klimatförändringarnas inverkan på fisket i västra Medelhavet, inbegripet rekrytering, artfördelning, naturlig dödlighet och förändringar i de marina livsmiljöerna.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kommissionen att i samarbete med oberoende forskare, djurskyddsexperter och berörda parter inom fiskenäringen utarbeta artspecifika indikatorer för fiskars och kräftdjurs välfärd vid fångst, fiske, hantering, lagring och avlivning.</w:t>
            </w:r>
            <w:r>
              <w:t xml:space="preserve"> </w:t>
            </w:r>
            <w:r>
              <w:rPr>
                <w:b/>
                <w:i/>
              </w:rPr>
              <w:t>Parlamentet vill att dessa indikatorer integreras i fiskeriförvaltningen, de tekniska åtgärderna och unionens finansieringskriterier.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kommissionen och medlemsstaterna att förbättra genomförandet av blandfiskeförvaltning inom ramen för den befintliga fleråriga planen för västra Medelhavet, bland annat genom en bättre användning av selektiva åtgärder, fredningsområden och fredningstider, undvikandeåtgärder, korrigerande åtgärder och kompensationsmekanismen, samtidigt som skyddsåtgärder för utarmade bestånd bibehålls.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 xml:space="preserve">Europaparlamentet understryker behovet av korrekt datainsamling som en hörnsten för att göra korrekta vetenskapliga bedömningar. </w:t>
            </w:r>
            <w:r>
              <w:t xml:space="preserve"> </w:t>
            </w:r>
            <w:r>
              <w:rPr>
                <w:b/>
                <w:i/>
              </w:rPr>
              <w:t>Parlamentet erinrar om att korrekt vetenskaplig rådgivning är avgörande för att på ett korrekt sätt kunna genomföra en ekosystemansats i fiskeriförvaltningen.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uppmanar med kraft kommissionen att fullt ut erkänna de vetenskapliga bedömningar som utarbetats av AKFM:s vetenskapliga rådgivande kommitté vid fastställandet av förvaltningsåtgärderna i planen för västra Medelhavet, på lika villkor som bedömningarna utfärdade av STECF.</w:t>
            </w:r>
            <w:r>
              <w:t xml:space="preserve"> </w:t>
            </w:r>
            <w:r>
              <w:rPr>
                <w:b/>
                <w:i/>
              </w:rPr>
              <w:t>Parlamentet efterlyser dessutom en översyn av referenspunkterna och bedömningsmodellerna för kummel för att säkerställa att förvaltningsbesluten på ett adekvat sätt återspeglar den biologiska verklighet som observerats och de senaste vetenskapliga uppgifterna.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uppmanar kommissionen att ta fram harmoniserade indikatorer som gör det möjligt att bedöma den kumulativa effekten av fiskeriförvaltningsåtgärder, marina skyddsområden, starka skyddsområden, fritidsfiske, projekt för marin förnybar energi och annan användning av havsområden på professionella fiskeflottors verksamhet.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efterlyser en successiv utfasning av fiskemetoder och fiskeredskap som orsakar särskilt stort eller utdraget lidande, hög dödlighet av icke-målarter eller betydande förstörelse av livsmiljöer samt riktat stöd så att berörda fiskare och arbetstagare kan ställa om till skonsammare metoder.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Europaparlamentet uppmanar kommissionen och medlemsstaterna att upprätta och på ett effektivt sätt förvalta ett ekologiskt sammanhängande nätverk av marina skyddsområden, inbegripet strikt skyddade och fiskefria områden som omfattar lekområden, uppväxtområden, klimatrefugier, känsliga marina ekosystem och områden som är särskilt viktiga för skyddade 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Europaparlamentet begär att bedömningen av den fleråriga planen ska inkludera indikatorer för livsmiljöers tillstånd, havsbottnens integritet, trofisk struktur, genetisk mångfald, populationers ålders- och storleksstruktur, bifångstdödlighet, förekomst av skyddade arter och marina ekosystems motståndskraft mot klimatförändring.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är djupt oroat över rapporter om att tredjeländer bedriver IUU-fiske i Medelhavets vatten, inbegripet medlemsstaternas exklusiva ekonomiska zoner. Parlamentet betonar behovet att inrätta en europeisk byrå för importkontroll för att förhindra att produkter som härrör från IUU-fiske kommer ut på den inre marknaden.</w:t>
            </w:r>
          </w:p>
        </w:tc>
        <w:tc>
          <w:tcPr>
            <w:tcW w:w="4876" w:type="dxa"/>
            <w:tcBorders>
              <w:top w:val="nil"/>
              <w:left w:val="nil"/>
              <w:bottom w:val="nil"/>
              <w:right w:val="nil"/>
            </w:tcBorders>
          </w:tcPr>
          <w:p>
            <w:pPr>
              <w:pStyle w:val="Normal6a"/>
            </w:pPr>
            <w:r>
              <w:t>6.</w:t>
            </w:r>
            <w:r>
              <w:tab/>
            </w:r>
            <w:r>
              <w:t xml:space="preserve">Europaparlamentet är djupt oroat över rapporter om att tredjeländer bedriver IUU-fiske i Medelhavets vatten, inbegripet medlemsstaternas exklusiva ekonomiska zoner. Parlamentet </w:t>
            </w:r>
            <w:r>
              <w:rPr>
                <w:b/>
                <w:i/>
              </w:rPr>
              <w:t>uppmanar med kraft kommissionen och Europeiska fiskerikontrollbyrån (EFCA) att närmare övervaka den verksamhet som bedrivs av flottor i Medelhavsområdet som för tredjelands flagg och att överväga marknadsåtgärder mot de stater som tillåter dessa metoder.</w:t>
            </w:r>
            <w:r>
              <w:t xml:space="preserve"> </w:t>
            </w:r>
            <w:r>
              <w:rPr>
                <w:b/>
                <w:i/>
              </w:rPr>
              <w:t>Parlamentet</w:t>
            </w:r>
            <w:r>
              <w:t xml:space="preserve"> betonar behovet att inrätta en europeisk byrå för importkontroll för att förhindra att produkter som härrör från IUU-fiske kommer ut på den inre marknaden. </w:t>
            </w:r>
            <w:r>
              <w:rPr>
                <w:b/>
                <w:i/>
              </w:rPr>
              <w:t>Parlamentet är särskilt oroat över användningen av drivgarn av vissa fartyg med tredjelands flagg i Alboránsjön, vilket är en förbjuden metod som utgör ett allvarligt hot mot den marina biologiska mångfalden och den rättvisa konkurrensen i Medelhavet.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är djupt oroat över </w:t>
            </w:r>
            <w:r>
              <w:rPr>
                <w:b/>
                <w:i/>
              </w:rPr>
              <w:t>rapporter</w:t>
            </w:r>
            <w:r>
              <w:t xml:space="preserve"> om att tredjeländer bedriver IUU-fiske i Medelhavets vatten</w:t>
            </w:r>
            <w:r>
              <w:rPr>
                <w:b/>
                <w:i/>
              </w:rPr>
              <w:t>, inbegripet medlemsstaternas</w:t>
            </w:r>
            <w:r>
              <w:t xml:space="preserve"> exklusiva ekonomiska zoner. Parlamentet betonar behovet att </w:t>
            </w:r>
            <w:r>
              <w:rPr>
                <w:b/>
                <w:i/>
              </w:rPr>
              <w:t>inrätta en europeisk byrå för</w:t>
            </w:r>
            <w:r>
              <w:t xml:space="preserve"> importkontroll </w:t>
            </w:r>
            <w:r>
              <w:rPr>
                <w:b/>
                <w:i/>
              </w:rPr>
              <w:t>för</w:t>
            </w:r>
            <w:r>
              <w:t xml:space="preserve"> att förhindra att </w:t>
            </w:r>
            <w:r>
              <w:rPr>
                <w:b/>
                <w:i/>
              </w:rPr>
              <w:t>produkter som härrör från IUU-fiske</w:t>
            </w:r>
            <w:r>
              <w:t xml:space="preserve"> kommer ut på den inre marknaden.</w:t>
            </w:r>
          </w:p>
        </w:tc>
        <w:tc>
          <w:tcPr>
            <w:tcW w:w="4876" w:type="dxa"/>
            <w:tcBorders>
              <w:top w:val="nil"/>
              <w:left w:val="nil"/>
              <w:bottom w:val="nil"/>
              <w:right w:val="nil"/>
            </w:tcBorders>
          </w:tcPr>
          <w:p>
            <w:pPr>
              <w:pStyle w:val="Normal6a"/>
            </w:pPr>
            <w:r>
              <w:t>6.</w:t>
            </w:r>
            <w:r>
              <w:tab/>
            </w:r>
            <w:r>
              <w:t xml:space="preserve">Europaparlamentet är djupt oroat över </w:t>
            </w:r>
            <w:r>
              <w:rPr>
                <w:b/>
                <w:i/>
              </w:rPr>
              <w:t>de upprepade rapporterna</w:t>
            </w:r>
            <w:r>
              <w:t xml:space="preserve"> om att </w:t>
            </w:r>
            <w:r>
              <w:rPr>
                <w:b/>
                <w:i/>
              </w:rPr>
              <w:t>fartyg från</w:t>
            </w:r>
            <w:r>
              <w:t xml:space="preserve"> tredjeländer </w:t>
            </w:r>
            <w:r>
              <w:rPr>
                <w:b/>
                <w:i/>
              </w:rPr>
              <w:t>såsom Marocko och Algeriet</w:t>
            </w:r>
            <w:r>
              <w:t xml:space="preserve"> bedriver IUU-fiske i Medelhavets vatten </w:t>
            </w:r>
            <w:r>
              <w:rPr>
                <w:b/>
                <w:i/>
              </w:rPr>
              <w:t>i Alboránsjön och att deras fångster sedan kommer in på EU-marknaden under förhållanden som utgör illojal konkurrens med den europeiska flottan.</w:t>
            </w:r>
            <w:r>
              <w:t xml:space="preserve"> </w:t>
            </w:r>
            <w:r>
              <w:rPr>
                <w:b/>
                <w:i/>
              </w:rPr>
              <w:t>Parlamentet påminner om att liknande företeelser då tredjeländer bedriver otillåtet fiske och gör ensidiga anspråk på</w:t>
            </w:r>
            <w:r>
              <w:t xml:space="preserve"> exklusiva ekonomiska zoner </w:t>
            </w:r>
            <w:r>
              <w:rPr>
                <w:b/>
                <w:i/>
              </w:rPr>
              <w:t>också förekommer i andra EU-vatten, såsom Kanarieöarnas vatten</w:t>
            </w:r>
            <w:r>
              <w:t xml:space="preserve">. Parlamentet betonar behovet att </w:t>
            </w:r>
            <w:r>
              <w:rPr>
                <w:b/>
                <w:i/>
              </w:rPr>
              <w:t>stärka Europeiska fiskerikontrollbyråns (EFCA) befogenheter och resurser när det gäller</w:t>
            </w:r>
            <w:r>
              <w:t xml:space="preserve"> importkontroll </w:t>
            </w:r>
            <w:r>
              <w:rPr>
                <w:b/>
                <w:i/>
              </w:rPr>
              <w:t>i syfte</w:t>
            </w:r>
            <w:r>
              <w:t xml:space="preserve"> att förhindra att </w:t>
            </w:r>
            <w:r>
              <w:rPr>
                <w:b/>
                <w:i/>
              </w:rPr>
              <w:t>IUU-produkter</w:t>
            </w:r>
            <w:r>
              <w:t xml:space="preserve"> kommer ut på den inre marknaden</w:t>
            </w:r>
            <w:r>
              <w:rPr>
                <w:b/>
                <w:i/>
              </w:rPr>
              <w:t>, oavsett vilket havsområde de har sitt ursprung 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är djupt oroat över </w:t>
            </w:r>
            <w:r>
              <w:rPr>
                <w:b/>
                <w:i/>
              </w:rPr>
              <w:t>rapporter om att tredjeländer bedriver</w:t>
            </w:r>
            <w:r>
              <w:t xml:space="preserve"> IUU-fiske </w:t>
            </w:r>
            <w:r>
              <w:rPr>
                <w:b/>
                <w:i/>
              </w:rPr>
              <w:t>i Medelhavets vatten, inbegripet medlemsstaternas exklusiva ekonomiska zoner</w:t>
            </w:r>
            <w:r>
              <w:t xml:space="preserve">. Parlamentet </w:t>
            </w:r>
            <w:r>
              <w:rPr>
                <w:b/>
                <w:i/>
              </w:rPr>
              <w:t>betonar behovet att inrätta</w:t>
            </w:r>
            <w:r>
              <w:t xml:space="preserve"> en europeisk byrå för importkontroll för att förhindra att produkter </w:t>
            </w:r>
            <w:r>
              <w:rPr>
                <w:b/>
                <w:i/>
              </w:rPr>
              <w:t>som härrör från IUU-fiske</w:t>
            </w:r>
            <w:r>
              <w:t xml:space="preserve"> kommer ut på </w:t>
            </w:r>
            <w:r>
              <w:rPr>
                <w:b/>
                <w:i/>
              </w:rPr>
              <w:t>den inre marknaden</w:t>
            </w:r>
            <w:r>
              <w:t>.</w:t>
            </w:r>
          </w:p>
        </w:tc>
        <w:tc>
          <w:tcPr>
            <w:tcW w:w="4876" w:type="dxa"/>
            <w:tcBorders>
              <w:top w:val="nil"/>
              <w:left w:val="nil"/>
              <w:bottom w:val="nil"/>
              <w:right w:val="nil"/>
            </w:tcBorders>
          </w:tcPr>
          <w:p>
            <w:pPr>
              <w:pStyle w:val="Normal6a"/>
            </w:pPr>
            <w:r>
              <w:t>6.</w:t>
            </w:r>
            <w:r>
              <w:tab/>
            </w:r>
            <w:r>
              <w:t xml:space="preserve">Europaparlamentet är djupt oroat över </w:t>
            </w:r>
            <w:r>
              <w:rPr>
                <w:b/>
                <w:i/>
              </w:rPr>
              <w:t>att</w:t>
            </w:r>
            <w:r>
              <w:t xml:space="preserve"> IUU-fiske </w:t>
            </w:r>
            <w:r>
              <w:rPr>
                <w:b/>
                <w:i/>
              </w:rPr>
              <w:t>fortsätter att utgöra ett betydande hot mot marina ekosystem i Medelhavet, hållbart fiske och kustsamhällen</w:t>
            </w:r>
            <w:r>
              <w:t xml:space="preserve">. Parlamentet </w:t>
            </w:r>
            <w:r>
              <w:rPr>
                <w:b/>
                <w:i/>
              </w:rPr>
              <w:t>efterlyser nolltolerans mot IUU-fiske genom striktare övervaknings-, kontroll- och tillsynsmekanismer, ökad transparens och spårbarhet för fisk- och skaldjursprodukter och begär att det inrättas</w:t>
            </w:r>
            <w:r>
              <w:t xml:space="preserve"> en europeisk byrå för importkontroll för att förhindra att produkter </w:t>
            </w:r>
            <w:r>
              <w:rPr>
                <w:b/>
                <w:i/>
              </w:rPr>
              <w:t>med olagligt ursprung</w:t>
            </w:r>
            <w:r>
              <w:t xml:space="preserve"> kommer ut på </w:t>
            </w:r>
            <w:r>
              <w:rPr>
                <w:b/>
                <w:i/>
              </w:rPr>
              <w:t>unionsmarknaden och säkerställa att alla fisk- och skaldjursprodukter som släpps ut på EU-marknaden uppfyller EU:s bevarande- och hållbarhetsmål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är djupt oroat över rapporter om att tredjeländer bedriver IUU-fiske i Medelhavets vatten, inbegripet medlemsstaternas exklusiva ekonomiska zoner. Parlamentet betonar behovet att inrätta </w:t>
            </w:r>
            <w:r>
              <w:rPr>
                <w:b/>
                <w:i/>
              </w:rPr>
              <w:t>en europeisk byrå för importkontroll</w:t>
            </w:r>
            <w:r>
              <w:t xml:space="preserve"> för att förhindra att produkter som härrör från IUU-fiske kommer ut på den inre marknaden.</w:t>
            </w:r>
          </w:p>
        </w:tc>
        <w:tc>
          <w:tcPr>
            <w:tcW w:w="4876" w:type="dxa"/>
            <w:tcBorders>
              <w:top w:val="nil"/>
              <w:left w:val="nil"/>
              <w:bottom w:val="nil"/>
              <w:right w:val="nil"/>
            </w:tcBorders>
          </w:tcPr>
          <w:p>
            <w:pPr>
              <w:pStyle w:val="Normal6a"/>
            </w:pPr>
            <w:r>
              <w:t>6.</w:t>
            </w:r>
            <w:r>
              <w:tab/>
            </w:r>
            <w:r>
              <w:t xml:space="preserve">Europaparlamentet är djupt oroat över rapporter om att tredjeländer bedriver IUU-fiske i Medelhavets vatten, inbegripet medlemsstaternas exklusiva ekonomiska zoner. Parlamentet betonar behovet </w:t>
            </w:r>
            <w:r>
              <w:rPr>
                <w:b/>
                <w:i/>
              </w:rPr>
              <w:t>av att stärka medlemsstaternas importkontroller och att förbättra samordningen mellan de nationella kontrollmyndigheterna och Europeiska fiskerikontrollbyrån, och således utgå från befintliga strukturer i stället för</w:t>
            </w:r>
            <w:r>
              <w:t xml:space="preserve"> att inrätta </w:t>
            </w:r>
            <w:r>
              <w:rPr>
                <w:b/>
                <w:i/>
              </w:rPr>
              <w:t>ett nytt unionsorgan,</w:t>
            </w:r>
            <w:r>
              <w:t xml:space="preserve"> för att förhindra att produkter som härrör från IUU-fiske kommer ut på den inre 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är djupt oroat över rapporter om att tredjeländer bedriver IUU-fiske i Medelhavets vatten, inbegripet medlemsstaternas exklusiva ekonomiska zoner. Parlamentet betonar behovet att inrätta en europeisk byrå för importkontroll för att förhindra att produkter som härrör från IUU-fiske kommer ut på den inre marknaden.</w:t>
            </w:r>
          </w:p>
        </w:tc>
        <w:tc>
          <w:tcPr>
            <w:tcW w:w="4876" w:type="dxa"/>
            <w:tcBorders>
              <w:top w:val="nil"/>
              <w:left w:val="nil"/>
              <w:bottom w:val="nil"/>
              <w:right w:val="nil"/>
            </w:tcBorders>
          </w:tcPr>
          <w:p>
            <w:pPr>
              <w:pStyle w:val="Normal6a"/>
            </w:pPr>
            <w:r>
              <w:t>6.</w:t>
            </w:r>
            <w:r>
              <w:tab/>
            </w:r>
            <w:r>
              <w:t xml:space="preserve">Europaparlamentet är djupt oroat över rapporter om att tredjeländer bedriver IUU-fiske i Medelhavets vatten, inbegripet medlemsstaternas exklusiva ekonomiska zoner. Parlamentet betonar behovet att inrätta en europeisk byrå för importkontroll för att förhindra att produkter som härrör från IUU-fiske kommer ut på den inre marknaden </w:t>
            </w:r>
            <w:r>
              <w:rPr>
                <w:b/>
                <w:i/>
              </w:rPr>
              <w:t>och att stärka samarbetet om kontroller mellan EFCA, medlemsstaterna och myndigheterna i tredjeländer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är djupt oroat över rapporter om </w:t>
            </w:r>
            <w:r>
              <w:rPr>
                <w:b/>
                <w:i/>
              </w:rPr>
              <w:t>att tredjeländer bedriver</w:t>
            </w:r>
            <w:r>
              <w:t xml:space="preserve"> IUU-fiske i Medelhavets vatten, inbegripet medlemsstaternas exklusiva ekonomiska zoner. Parlamentet betonar behovet att inrätta en europeisk byrå för importkontroll för att förhindra att produkter som härrör från IUU-fiske kommer ut på den inre marknaden.</w:t>
            </w:r>
          </w:p>
        </w:tc>
        <w:tc>
          <w:tcPr>
            <w:tcW w:w="4876" w:type="dxa"/>
            <w:tcBorders>
              <w:top w:val="nil"/>
              <w:left w:val="nil"/>
              <w:bottom w:val="nil"/>
              <w:right w:val="nil"/>
            </w:tcBorders>
          </w:tcPr>
          <w:p>
            <w:pPr>
              <w:pStyle w:val="Normal6a"/>
            </w:pPr>
            <w:r>
              <w:t>6.</w:t>
            </w:r>
            <w:r>
              <w:tab/>
            </w:r>
            <w:r>
              <w:t xml:space="preserve">Europaparlamentet är djupt oroat över rapporter om IUU-fiske </w:t>
            </w:r>
            <w:r>
              <w:rPr>
                <w:b/>
                <w:i/>
              </w:rPr>
              <w:t>och kontinuerliga överträdelser från tredjeländers sida</w:t>
            </w:r>
            <w:r>
              <w:t xml:space="preserve"> i Medelhavets vatten, inbegripet medlemsstaternas exklusiva ekonomiska zoner. Parlamentet betonar behovet att inrätta en europeisk byrå för importkontroll för att förhindra att produkter som härrör från IUU-fiske kommer ut på den inre marknaden.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 xml:space="preserve">Europaparlamentet betonar att fiskeri- och vattenbruksprodukter som importeras från tredjeländer bör uppfylla samma miljömässiga, hälsomässiga, sociala och hållbarhetsmässiga krav som gäller för unionens producenter. </w:t>
            </w:r>
            <w:r>
              <w:t xml:space="preserve"> </w:t>
            </w:r>
            <w:r>
              <w:rPr>
                <w:b/>
                <w:i/>
              </w:rPr>
              <w:t>Parlamentet uppmanar kommissionen att säkerställa verklig ömsesidighet i marknadstillträdet och att stärka importkontrollerna i enlighet med detta, så att unionens fiskare inte drabbas av konkurrensnackdelar på grund av importer som producerats enligt lägre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efterlyser också inrättandet av ett avskräckande sanktionssystem som är tillämpligt på importörer och aktörer på den inre marknaden som för in eller saluför IUU-produkter, oavsett vilka sanktioner som redan tillämpas på de inblandade fartygen.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kommissionen att stärka det regionala samarbetet genom att integrera den fleråriga planen för västra Medelhavet i den bredare ramen för EU:s grannskapspolitik. Parlamentet välkomnar målen i Medelhavspakten om att stärka samarbetet om fiskeriförvaltning, kontroll, inspektion, uppföljning och övervakning när det gäller IUU-fiske.</w:t>
            </w:r>
          </w:p>
        </w:tc>
        <w:tc>
          <w:tcPr>
            <w:tcW w:w="4876" w:type="dxa"/>
            <w:tcBorders>
              <w:top w:val="nil"/>
              <w:left w:val="nil"/>
              <w:bottom w:val="nil"/>
              <w:right w:val="nil"/>
            </w:tcBorders>
          </w:tcPr>
          <w:p>
            <w:pPr>
              <w:pStyle w:val="Normal6a"/>
            </w:pPr>
            <w:r>
              <w:t>7.</w:t>
            </w:r>
            <w:r>
              <w:tab/>
            </w:r>
            <w:r>
              <w:t xml:space="preserve">Europaparlamentet uppmanar med kraft kommissionen att stärka det regionala samarbetet genom att integrera den fleråriga planen för västra Medelhavet i den bredare ramen för EU:s grannskapspolitik. Parlamentet välkomnar målen i Medelhavspakten om att stärka samarbetet om fiskeriförvaltning, kontroll, inspektion, uppföljning och övervakning när det gäller IUU-fiske. </w:t>
            </w:r>
            <w:r>
              <w:rPr>
                <w:b/>
                <w:i/>
              </w:rPr>
              <w:t>Parlamentet betonar också behovet av att förbättra konvergensen av förvaltningsregler och kontrollstandarder mellan Medelhavets kustländer för att säkerställa lika villkor och se till att bevarandeåtgärderna förblir effektiva.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kommissionen att stärka det regionala samarbetet genom att integrera den fleråriga planen för västra Medelhavet i den bredare ramen för EU:s grannskapspolitik. Parlamentet välkomnar målen i Medelhavspakten om att stärka samarbetet om fiskeriförvaltning, kontroll, inspektion, uppföljning och övervakning när det gäller IUU-fiske.</w:t>
            </w:r>
          </w:p>
        </w:tc>
        <w:tc>
          <w:tcPr>
            <w:tcW w:w="4876" w:type="dxa"/>
            <w:tcBorders>
              <w:top w:val="nil"/>
              <w:left w:val="nil"/>
              <w:bottom w:val="nil"/>
              <w:right w:val="nil"/>
            </w:tcBorders>
          </w:tcPr>
          <w:p>
            <w:pPr>
              <w:pStyle w:val="Normal6a"/>
            </w:pPr>
            <w:r>
              <w:t>7.</w:t>
            </w:r>
            <w:r>
              <w:tab/>
            </w:r>
            <w:r>
              <w:t xml:space="preserve">Europaparlamentet uppmanar med kraft kommissionen att stärka det regionala samarbetet genom att integrera den fleråriga planen för västra Medelhavet i den bredare ramen för EU:s grannskapspolitik. Parlamentet välkomnar målen i Medelhavspakten om att stärka samarbetet om fiskeriförvaltning, </w:t>
            </w:r>
            <w:r>
              <w:rPr>
                <w:b/>
                <w:i/>
              </w:rPr>
              <w:t>efterlevnad av internationella normer och ökad kapacitet för</w:t>
            </w:r>
            <w:r>
              <w:t xml:space="preserve"> kontroll, inspektion, uppföljning och övervakning när det gäller IUU-fiske. </w:t>
            </w:r>
            <w:r>
              <w:rPr>
                <w:b/>
                <w:i/>
              </w:rPr>
              <w:t>Parlamentet uppmanar kommissionen att säkerställa ett effektivt genomförande av dessa åtaganden och att göra fisket till en av prioriteringarna för Europa–Medelhavssamarbetet.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kommissionen att stärka det regionala samarbetet genom att integrera den fleråriga planen för västra Medelhavet i den bredare ramen för EU:s grannskapspolitik. Parlamentet välkomnar målen i Medelhavspakten om att stärka samarbetet om fiskeriförvaltning, kontroll, inspektion, uppföljning och övervakning när det gäller IUU-fiske.</w:t>
            </w:r>
          </w:p>
        </w:tc>
        <w:tc>
          <w:tcPr>
            <w:tcW w:w="4876" w:type="dxa"/>
            <w:tcBorders>
              <w:top w:val="nil"/>
              <w:left w:val="nil"/>
              <w:bottom w:val="nil"/>
              <w:right w:val="nil"/>
            </w:tcBorders>
          </w:tcPr>
          <w:p>
            <w:pPr>
              <w:pStyle w:val="Normal6a"/>
            </w:pPr>
            <w:r>
              <w:t>7.</w:t>
            </w:r>
            <w:r>
              <w:tab/>
            </w:r>
            <w:r>
              <w:t xml:space="preserve">Europaparlamentet uppmanar med kraft kommissionen att stärka det regionala samarbetet </w:t>
            </w:r>
            <w:r>
              <w:rPr>
                <w:b/>
                <w:i/>
              </w:rPr>
              <w:t>för att göra framsteg i riktning mot en bättre styrning och säkerställa rättvisa konkurrensvillkor med tredjeländer,</w:t>
            </w:r>
            <w:r>
              <w:t xml:space="preserve"> genom att integrera den fleråriga planen för västra Medelhavet i den bredare ramen för EU:s grannskapspolitik. Parlamentet välkomnar målen i Medelhavspakten om att stärka samarbetet om fiskeriförvaltning, kontroll, inspektion, uppföljning och övervakning när det gäller IUU-fiske.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med kraft kommissionen att stärka det regionala samarbetet genom att integrera den fleråriga planen för västra Medelhavet i den bredare ramen för EU:s grannskapspolitik. Parlamentet </w:t>
            </w:r>
            <w:r>
              <w:rPr>
                <w:b/>
                <w:i/>
              </w:rPr>
              <w:t>välkomnar målen i Medelhavspakten om</w:t>
            </w:r>
            <w:r>
              <w:t xml:space="preserve"> att stärka samarbetet om fiskeriförvaltning, kontroll, inspektion, uppföljning och övervakning när det gäller IUU-fiske.</w:t>
            </w:r>
          </w:p>
        </w:tc>
        <w:tc>
          <w:tcPr>
            <w:tcW w:w="4876" w:type="dxa"/>
            <w:tcBorders>
              <w:top w:val="nil"/>
              <w:left w:val="nil"/>
              <w:bottom w:val="nil"/>
              <w:right w:val="nil"/>
            </w:tcBorders>
          </w:tcPr>
          <w:p>
            <w:pPr>
              <w:pStyle w:val="Normal6a"/>
            </w:pPr>
            <w:r>
              <w:t>7.</w:t>
            </w:r>
            <w:r>
              <w:tab/>
            </w:r>
            <w:r>
              <w:t xml:space="preserve">Europaparlamentet uppmanar med kraft kommissionen </w:t>
            </w:r>
            <w:r>
              <w:rPr>
                <w:b/>
                <w:i/>
              </w:rPr>
              <w:t>och medlemsstaterna</w:t>
            </w:r>
            <w:r>
              <w:t xml:space="preserve"> att stärka det regionala samarbetet genom att integrera den fleråriga planen för västra Medelhavet i den bredare ramen för EU:s grannskapspolitik</w:t>
            </w:r>
            <w:r>
              <w:rPr>
                <w:b/>
                <w:i/>
              </w:rPr>
              <w:t>, i synnerhet via unionen för Medelhavsområdet</w:t>
            </w:r>
            <w:r>
              <w:t xml:space="preserve">. Parlamentet </w:t>
            </w:r>
            <w:r>
              <w:rPr>
                <w:b/>
                <w:i/>
              </w:rPr>
              <w:t>eftersträvar</w:t>
            </w:r>
            <w:r>
              <w:t xml:space="preserve"> att stärka samarbetet om fiskeriförvaltning, kontroll, inspektion, uppföljning och övervakning när det gäller IUU-fiske </w:t>
            </w:r>
            <w:r>
              <w:rPr>
                <w:b/>
                <w:i/>
              </w:rPr>
              <w:t>och all annan verksamhet som är till skada för yrkesfiskarna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påminner om att ifall områden med särskilda fiskebegränsningar som antagits inom ramen för AKFM har en tillräcklig skyddsnivå kan de minimera oavsiktliga fångster, skydda lek- och uppväxtområden för fisk och ungfiskar samt minska inverkan på känsliga livsmiljöer, särskilt havsbottnen, vilket bidrar till att återuppbygga fiskpopulationer.</w:t>
            </w:r>
            <w:r>
              <w:t xml:space="preserve"> </w:t>
            </w:r>
            <w:r>
              <w:rPr>
                <w:b/>
                <w:i/>
              </w:rPr>
              <w:t>Parlamentet uppmanar därför kommissionen och medlemsstaterna att inom ramen för AKFM arbeta för att utöka nätverket av områden med fiskebegränsning och vid behov förbättra deras skyddsnivå.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påminner om att framtida fysiska förvaltningsåtgärder och marina skyddsområden bör antas från fall till fall, på grundval av bästa tillgängliga vetenskapliga rön, specifika bedömningar konsekvenserna av fisket och samråd med berörda parter, för att säkerställa rättvis tillgång till fiskevatten och undvika oproportionerliga begränsningar som är oförenliga med målen för den gemensamma fiskeripolitiken.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uppmanar medlemsstaterna att säkerställa ett fullständigt och effektivt genomförande av EU:s förordning om fiskerikontroll, inklusive bestämmelser för att ta itu med felaktig rapportering av fångster och öka korrektheten och tillförlitligheten i fångstrapporteringen för de bestånd som omfattas av den fleråriga planen för västra Medelhavet.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uppmanar kommissionen att stärka samarbetet på lokal nivå genom en direkt dialog med kustmyndigheter och sammanslutningar för yrkesfiskare i Medelhavet, som är nyckelaktörer i en hållbar förvaltning av resurserna och i genomförandet av bevarandeåtgärder på plats.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uppmanar kommissionen att inrätta en särskild ram för ekonomiskt stöd för avlägsnande, hantering och tillvaratagande av invasiva främmande arter som påverkar fiskeverksamheten och att uppmuntra utnyttjandet av dessa genom lösningar som bygger på den cirkulära ekonomin.</w:t>
            </w:r>
            <w:r>
              <w:t xml:space="preserve"> </w:t>
            </w:r>
            <w:r>
              <w:rPr>
                <w:b/>
                <w:i/>
              </w:rPr>
              <w:t>Parlamentet erkänner särskilt yrkesfiskarnas roll som aktiva partner när det gäller att sanera och återställa den marina miljön genom avlägsnande av arter såsom asiatiska alger (Rugulopteryx okamurae), och efterlyser lämplig ersättning för de kostnader som uppstår till följd av dessa åtgärder.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uppmanar kommissionen att ta ett verkligt helhetsgrepp på förvaltningen av västra Medelhavet och ta hänsyn till alla belastningar som påverkar det marina ekosystemet, inte bara fiskeverksamheten.</w:t>
            </w:r>
            <w:r>
              <w:t xml:space="preserve"> </w:t>
            </w:r>
            <w:r>
              <w:rPr>
                <w:b/>
                <w:i/>
              </w:rPr>
              <w:t>Parlamentet understryker särskilt effekterna av klimatförändringarna, ökningen av havsföroreningar (inbegripet plastavfall som yrkesfiskarna själva har för vana att regelbundet avlägsna utan någon ersättning) och spridningen av invasiva främmande arter, vilka är faktorer som bör fullt ut bör beaktas i bedömningen och förvaltningen av planen.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Europaparlamentet uppmanar kommissionen och medlemsstaterna att anslå en öronmärkt budget på minst 7,29 miljarder euro till stöd för modernisering och förnyelse av flottan (inklusive selektiva redskap, utsläppssnåla motorer och digital övervakning), tillfälligt upphörande och program för ekonomisk diversifiering.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och medlemsstaterna att </w:t>
            </w:r>
            <w:r>
              <w:rPr>
                <w:b/>
                <w:i/>
              </w:rPr>
              <w:t>anslå en</w:t>
            </w:r>
            <w:r>
              <w:t xml:space="preserve"> öronmärkt </w:t>
            </w:r>
            <w:r>
              <w:rPr>
                <w:b/>
                <w:i/>
              </w:rPr>
              <w:t>budget på minst 7,29 miljarder euro till stöd för</w:t>
            </w:r>
            <w:r>
              <w:t xml:space="preserve"> modernisering och förnyelse av flottan </w:t>
            </w:r>
            <w:r>
              <w:rPr>
                <w:b/>
                <w:i/>
              </w:rPr>
              <w:t>(inklusive selektiva redskap, utsläppssnåla motorer och digital övervakning)</w:t>
            </w:r>
            <w:r>
              <w:t>,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uppmanar kommissionen och medlemsstaterna att </w:t>
            </w:r>
            <w:r>
              <w:rPr>
                <w:b/>
                <w:i/>
              </w:rPr>
              <w:t>inom ramen för nästa Europeiska havs-, fiskeri- och vattenbruksfond i den fleråriga budgetramen 2028–2034 säkerställa ett specifikt och</w:t>
            </w:r>
            <w:r>
              <w:t xml:space="preserve"> öronmärkt </w:t>
            </w:r>
            <w:r>
              <w:rPr>
                <w:b/>
                <w:i/>
              </w:rPr>
              <w:t>budgetanslag för hela västra Medelhavsområdet, för att vända den nedåtgående trend som kommissionen aviserat i förhållande till tilldelningen av medel i fiskerifonden för den innevarande perioden 2021–2027.</w:t>
            </w:r>
            <w:r>
              <w:t xml:space="preserve"> </w:t>
            </w:r>
            <w:r>
              <w:rPr>
                <w:b/>
                <w:i/>
              </w:rPr>
              <w:t>Parlamentet insisterar på att detta anslag bör utgöra en särskild budgetpost och inte urvattnas i fonder med allmänt syfte, för att stödja</w:t>
            </w:r>
            <w:r>
              <w:t xml:space="preserve"> modernisering och förnyelse av flottan, tillfälligt upphörande och program för ekonomisk diversifiering.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uppmanar kommissionen och medlemsstaterna att anslå en öronmärkt budget på minst 7,29 miljarder euro till stöd för modernisering och förnyelse av flottan (inklusive selektiva redskap, utsläppssnåla motorer och digital övervakning),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uppmanar kommissionen och medlemsstaterna att anslå en öronmärkt budget på minst 7,29 miljarder euro </w:t>
            </w:r>
            <w:r>
              <w:rPr>
                <w:b/>
                <w:i/>
              </w:rPr>
              <w:t>i nästa fleråriga budgetram</w:t>
            </w:r>
            <w:r>
              <w:t xml:space="preserve"> till stöd för modernisering och förnyelse av flottan (inklusive selektiva redskap, utsläppssnåla motorer och digital övervakning), tillfälligt upphörande</w:t>
            </w:r>
            <w:r>
              <w:rPr>
                <w:b/>
                <w:i/>
              </w:rPr>
              <w:t>, generationsskiftet, bättre säkerhet och arbetsvillkor ombord,</w:t>
            </w:r>
            <w:r>
              <w:t xml:space="preserve"> och program för ekonomisk diversifiering</w:t>
            </w:r>
            <w:r>
              <w:rPr>
                <w:b/>
                <w:i/>
              </w:rPr>
              <w:t>, för att på så sätt säkerställa att den fond som följer på EHFVF bidrar till att påskynda förnyelse, modernisering, utfasning av fossila bränslen och konkurrenskraft för den europeiska fiskeflottan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och medlemsstaterna att </w:t>
            </w:r>
            <w:r>
              <w:rPr>
                <w:b/>
                <w:i/>
              </w:rPr>
              <w:t>anslå en öronmärkt budget på minst 7,29 miljarder euro till stöd för modernisering och förnyelse av flottan</w:t>
            </w:r>
            <w:r>
              <w:t xml:space="preserve"> (inklusive </w:t>
            </w:r>
            <w:r>
              <w:rPr>
                <w:b/>
                <w:i/>
              </w:rPr>
              <w:t>selektiva redskap, utsläppssnåla motorer och digital</w:t>
            </w:r>
            <w:r>
              <w:t xml:space="preserve"> övervakning),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uppmanar kommissionen och medlemsstaterna att </w:t>
            </w:r>
            <w:r>
              <w:rPr>
                <w:b/>
                <w:i/>
              </w:rPr>
              <w:t>tillhandahålla tillräckliga öronmärka medel för en socialt rättvis omställning av fisket i Medelhavet</w:t>
            </w:r>
            <w:r>
              <w:t xml:space="preserve"> (inklusive </w:t>
            </w:r>
            <w:r>
              <w:rPr>
                <w:b/>
                <w:i/>
              </w:rPr>
              <w:t>oberoende elektronisk</w:t>
            </w:r>
            <w:r>
              <w:t xml:space="preserve"> övervakning</w:t>
            </w:r>
            <w:r>
              <w:rPr>
                <w:b/>
                <w:i/>
              </w:rPr>
              <w:t>, avlägsnande och förebyggande av förlorade fiskeredskap, energieffektivitet, genuint utsläppsfri teknik, tillfälligt och permanent upphörande där så behövs, omskolning, diversifiering av inkomster och återställande av marina ekosystem</w:t>
            </w:r>
            <w:r>
              <w:t>), tillfälligt upphörande och program för ekonomisk diversifiering.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och medlemsstaterna att </w:t>
            </w:r>
            <w:r>
              <w:rPr>
                <w:b/>
                <w:i/>
              </w:rPr>
              <w:t>anslå en öronmärkt</w:t>
            </w:r>
            <w:r>
              <w:t xml:space="preserve"> budget </w:t>
            </w:r>
            <w:r>
              <w:rPr>
                <w:b/>
                <w:i/>
              </w:rPr>
              <w:t>på minst 7,29 miljarder euro till stöd</w:t>
            </w:r>
            <w:r>
              <w:t xml:space="preserve"> för modernisering och förnyelse av flottan (inklusive selektiva redskap, utsläppssnåla motorer och digital övervakning),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w:t>
            </w:r>
            <w:r>
              <w:rPr>
                <w:b/>
                <w:i/>
              </w:rPr>
              <w:t>påminner om sin ståndpunkt om den nya fleråriga budgetramen och</w:t>
            </w:r>
            <w:r>
              <w:t xml:space="preserve"> uppmanar kommissionen och medlemsstaterna att </w:t>
            </w:r>
            <w:r>
              <w:rPr>
                <w:b/>
                <w:i/>
              </w:rPr>
              <w:t>samtycka till den öronmärkta</w:t>
            </w:r>
            <w:r>
              <w:t xml:space="preserve"> budget för </w:t>
            </w:r>
            <w:r>
              <w:rPr>
                <w:b/>
                <w:i/>
              </w:rPr>
              <w:t>fiske och vattenbruk som parlamentet föreslår i sin ståndpunkt.</w:t>
            </w:r>
            <w:r>
              <w:t xml:space="preserve"> </w:t>
            </w:r>
            <w:r>
              <w:rPr>
                <w:b/>
                <w:i/>
              </w:rPr>
              <w:t>Parlamentet påminner om vikten av</w:t>
            </w:r>
            <w:r>
              <w:t xml:space="preserve"> modernisering och förnyelse av flottan (inklusive selektiva redskap, utsläppssnåla motorer och digital övervakning), tillfälligt upphörande och program för ekonomisk diversifiering.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uppmanar kommissionen och medlemsstaterna att anslå en öronmärkt budget på minst 7,29 miljarder euro till stöd för modernisering och förnyelse av flottan (inklusive selektiva redskap, utsläppssnåla motorer och digital övervakning),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uppmanar kommissionen och medlemsstaterna att anslå en öronmärkt budget på minst 7,29 miljarder euro </w:t>
            </w:r>
            <w:r>
              <w:rPr>
                <w:b/>
                <w:i/>
              </w:rPr>
              <w:t>och att tillhandahålla säkrare offentliga stödsystem</w:t>
            </w:r>
            <w:r>
              <w:t xml:space="preserve"> till stöd för modernisering</w:t>
            </w:r>
            <w:r>
              <w:rPr>
                <w:b/>
                <w:i/>
              </w:rPr>
              <w:t>, energiomställning</w:t>
            </w:r>
            <w:r>
              <w:t xml:space="preserve"> och förnyelse av flottan (inklusive selektiva redskap, utsläppssnåla motorer och digital övervakning), tillfälligt upphörande och program för ekonomisk diversifiering.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uppmanar kommissionen och medlemsstaterna att anslå en öronmärkt budget på minst 7,29 miljarder euro </w:t>
            </w:r>
            <w:r>
              <w:rPr>
                <w:b/>
                <w:i/>
              </w:rPr>
              <w:t>till stöd för modernisering och förnyelse av flottan (inklusive selektiva redskap, utsläppssnåla motorer och digital övervakning), tillfälligt upphörande och program för ekonomisk diversifiering</w:t>
            </w:r>
            <w:r>
              <w:t>.</w:t>
            </w:r>
          </w:p>
        </w:tc>
        <w:tc>
          <w:tcPr>
            <w:tcW w:w="4876" w:type="dxa"/>
            <w:tcBorders>
              <w:top w:val="nil"/>
              <w:left w:val="nil"/>
              <w:bottom w:val="nil"/>
              <w:right w:val="nil"/>
            </w:tcBorders>
          </w:tcPr>
          <w:p>
            <w:pPr>
              <w:pStyle w:val="Normal6a"/>
            </w:pPr>
            <w:r>
              <w:t>8.</w:t>
            </w:r>
            <w:r>
              <w:tab/>
            </w:r>
            <w:r>
              <w:t xml:space="preserve">Europaparlamentet uppmanar kommissionen och medlemsstaterna att anslå en öronmärkt budget på minst 7,29 miljarder euro </w:t>
            </w:r>
            <w:r>
              <w:rPr>
                <w:b/>
                <w:i/>
              </w:rPr>
              <w:t>i syfte att underlätta flottans gröna omställning och energiomställning och stödja innovation och förbättrad redskapsselektivitet, utfasning av fossila bränslen, säkerhet ombord, arbetsvillkor, digitalisering av fiskeföretag och generationsskifte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uppmanar kommissionen och medlemsstaterna att anslå en öronmärkt budget på minst 7,29 miljarder euro till stöd för modernisering och förnyelse av flottan (inklusive selektiva redskap, utsläppssnåla motorer och digital övervakning), tillfälligt upphörande och program för ekonomisk diversifiering.</w:t>
            </w:r>
          </w:p>
        </w:tc>
        <w:tc>
          <w:tcPr>
            <w:tcW w:w="4876" w:type="dxa"/>
            <w:tcBorders>
              <w:top w:val="nil"/>
              <w:left w:val="nil"/>
              <w:bottom w:val="nil"/>
              <w:right w:val="nil"/>
            </w:tcBorders>
          </w:tcPr>
          <w:p>
            <w:pPr>
              <w:pStyle w:val="Normal6a"/>
            </w:pPr>
            <w:r>
              <w:t>8.</w:t>
            </w:r>
            <w:r>
              <w:tab/>
            </w:r>
            <w:r>
              <w:t xml:space="preserve">Europaparlamentet uppmanar kommissionen och medlemsstaterna att anslå en öronmärkt budget på minst 7,29 miljarder euro till stöd för modernisering och förnyelse av flottan (inklusive selektiva redskap, utsläppssnåla motorer och digital övervakning), </w:t>
            </w:r>
            <w:r>
              <w:rPr>
                <w:b/>
                <w:i/>
              </w:rPr>
              <w:t>generationsskifte,</w:t>
            </w:r>
            <w:r>
              <w:t xml:space="preserve"> tillfälligt upphörande och program för ekonomisk diversifiering.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Europaparlamentet uttrycker oro över att det eventuellt inte kommer att finnas något specifikt instrument för fiskeri i nästa fleråriga budgetram och fruktar att de finansiella resurserna för sektorn minskar eller urvattnas till förmån för andra allmänna fonder i de nationella och regionala planerna, vilket allvarligt skulle kunna äventyra dess framtid.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betonar behovet av att kommissionen ser över och höjer taket för stöd av mindre betydelse som är tillämpligt på fiskerisektorn och att detta stöd, när så är lämpligt, fastställs per fartyg, med beaktande av de ökade energi- och bränslekostnaderna samt de belastningar av olika slag som påverkar den europeiska flottans konkurrenskraft och lönsamhet.</w:t>
            </w:r>
            <w:r>
              <w:t xml:space="preserve"> </w:t>
            </w:r>
            <w:r>
              <w:rPr>
                <w:b/>
                <w:i/>
              </w:rPr>
              <w:t>Parlamentet anser att detta instrument inom ramen för nästa fleråriga budgetram bör vara en avgörande del av EU:s stöd för att säkerställa fiskerisektorns motståndskraft, modernisering och ekonomiska bärkraft.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betonar att fiskerisektorns gröna omställning måste vara socialt rättvis och ekonomiskt hållbar.</w:t>
            </w:r>
            <w:r>
              <w:t xml:space="preserve"> </w:t>
            </w:r>
            <w:r>
              <w:rPr>
                <w:b/>
                <w:i/>
              </w:rPr>
              <w:t>Parlamentet begär att de investeringar som behövs för att minska energiförbrukningen, förbättra arbetsvillkoren och modernisera fartygen ska ges lämpligt ekonomiskt stöd, särskilt när det gäller små och medelstora fiskeföretag.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uppmanar kommissionen och medlemsstaterna att stödja fiskare i omställningen till ett fullt hållbart och utsläppsfritt fiske och att samtidigt fullt ut och på ett effektivt sätt utnyttja de verktyg som den fleråriga planen för västra Medelhavet erbjuder, eftersom friska fiskbestånd är en förutsättning för långsiktig lönsamhet, konkurrenskraft och motståndskraft.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uppmanar med kraft kommissionen och medlemsstaterna att stärka åtgärderna för att kompensera och ge incitament till fiskerisektorn för avlägsnandet av marint skräp och dess hjälp med att sanera havsbotten, inom ramen för stödet till skyddet och återställandet av Medelhavets marina biologiska mångfald och ekosystem.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Europaparlamentet uppmanar kommissionen och medlemsstaterna att genomföra specifika åtgärder för att göra yrkena inom fisket mer attraktiva, särskilt genom att stödja yrkesutbildning, etablering av unga fiskare, jämställdhet inom sektorn och bättre arbetsmiljövillkor.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t>9.</w:t>
            </w:r>
            <w:r>
              <w:tab/>
            </w:r>
            <w:r>
              <w:t xml:space="preserve">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 </w:t>
            </w:r>
            <w:r>
              <w:rPr>
                <w:b/>
                <w:i/>
              </w:rPr>
              <w:t>Parlamentet påpekar att man i ett sådant lagstiftningspaket också bör behandla andra prioriterade frågor för sektorn, såsom en översyn av vissa bestämmelser inom ramen för landningsskyldigheten, en strykning av bottenlångrevar från förordningen om djuphavsbestånd 2016/2336 och en korrigering av problematiska delar av förordningen om fiskerikontroll, inbegripet aspekter som rör tillämpningen av toleransmarginalen och det elektroniska spårbarhetssystemet e-Catch, i syfte att säkerställa ett mer proportionerligt och effektivare regelverk, som är anpassat till de europeiska flottornas omständigheter och säkerställer deras konkurrenskraft på den globala nivån.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t>9.</w:t>
            </w:r>
            <w:r>
              <w:tab/>
            </w:r>
            <w:r>
              <w:t xml:space="preserve">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 </w:t>
            </w:r>
            <w:r>
              <w:rPr>
                <w:b/>
                <w:i/>
              </w:rPr>
              <w:t>Parlamentet påminner om att administrativa förenklingsåtgärder under inga omständigheter får leda till en försvagning av den gemensamma fiskeripolitikens miljömål eller till minskade krav på transparens, kontroll eller insamling av vetenskapliga uppgifter.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t>9.</w:t>
            </w:r>
            <w:r>
              <w:tab/>
            </w:r>
            <w:r>
              <w:t xml:space="preserve">Europaparlamentet uppmanar med kraft kommissionen att lägga fram ett lagstiftningspaket om förenkling för att säkerställa den gemensamma fiskeripolitikens konkurrenskraft, inbegripet en riktad översyn av förordningen om den fleråriga planen för demersala bestånd i västra Medelhavet </w:t>
            </w:r>
            <w:r>
              <w:rPr>
                <w:b/>
                <w:i/>
              </w:rPr>
              <w:t>som utesluter varje övergång till en förvaltning genom totala tillåtna fångstmängder (TAC) i västra Medelhavet</w:t>
            </w:r>
            <w:r>
              <w:t xml:space="preserve">, och att däri ta med de ändringar och anpassningar som identifieras i detta betänkande </w:t>
            </w:r>
            <w:r>
              <w:rPr>
                <w:b/>
                <w:i/>
              </w:rPr>
              <w:t>samt öka den rättsliga klarheten genom skyldigheten att redogöra för beräkningsmetoderna, tillämpningsnivåerna och kumulationsordningarna för de system som föreskrivs i förordningarna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France Jamet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med kraft kommissionen att lägga fram </w:t>
            </w:r>
            <w:r>
              <w:rPr>
                <w:b/>
                <w:i/>
              </w:rPr>
              <w:t>ett lagstiftningspaket om förenkling för att säkerställa</w:t>
            </w:r>
            <w:r>
              <w:t xml:space="preserve"> den gemensamma </w:t>
            </w:r>
            <w:r>
              <w:rPr>
                <w:b/>
                <w:i/>
              </w:rPr>
              <w:t>fiskeripolitikens konkurrenskraft</w:t>
            </w:r>
            <w:r>
              <w:t>, inbegripet en riktad översyn av förordningen om den fleråriga planen för demersala bestånd i västra Medelhavet, och att däri ta med de ändringar och anpassningar som identifieras i detta betänkande.</w:t>
            </w:r>
          </w:p>
        </w:tc>
        <w:tc>
          <w:tcPr>
            <w:tcW w:w="4876" w:type="dxa"/>
            <w:tcBorders>
              <w:top w:val="nil"/>
              <w:left w:val="nil"/>
              <w:bottom w:val="nil"/>
              <w:right w:val="nil"/>
            </w:tcBorders>
          </w:tcPr>
          <w:p>
            <w:pPr>
              <w:pStyle w:val="Normal6a"/>
            </w:pPr>
            <w:r>
              <w:t>9.</w:t>
            </w:r>
            <w:r>
              <w:tab/>
            </w:r>
            <w:r>
              <w:t xml:space="preserve">Europaparlamentet uppmanar med kraft kommissionen att lägga fram </w:t>
            </w:r>
            <w:r>
              <w:rPr>
                <w:b/>
                <w:i/>
              </w:rPr>
              <w:t>en helomfattande och genomgripande reform av</w:t>
            </w:r>
            <w:r>
              <w:t xml:space="preserve"> den gemensamma </w:t>
            </w:r>
            <w:r>
              <w:rPr>
                <w:b/>
                <w:i/>
              </w:rPr>
              <w:t>fiskeripolitiken</w:t>
            </w:r>
            <w:r>
              <w:t>, inbegripet en riktad översyn av förordningen om den fleråriga planen för demersala bestånd i västra Medelhavet, och att däri ta med de ändringar och anpassningar som identifieras i detta betänkande.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kommissionen att i kommande vision 2024 för fiske och vattenbruk prioritera sektorns konkurrenskraft genom att skapa en europeisk plan för blå livsmedel för att öka produktionen och konsumtionen av europeiska fiskeri- och vattenbruksprodukter samt öka kunskapen om deras näringsmässiga, miljömässiga och socioekonomiska värde i havsindustrins värdekedja.</w:t>
            </w:r>
            <w:r>
              <w:t xml:space="preserve"> </w:t>
            </w:r>
            <w:r>
              <w:rPr>
                <w:b/>
                <w:i/>
              </w:rPr>
              <w:t>Parlamentet uppmanar vidare med kraft kommissionen och medlemsstaterna att vidta särskilda åtgärder för att främja generationsskiftet genom att förbättra unga fiskares tillgång till finansiering, utbildning, digitalisering, innovation och entreprenörskap inom fiskerisektorn.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med kraft kommissionen att förbättra genomförandet av den gemensamma fiskeripolitiken och säkerställa att målen och kraven med avseende på miljö, klimat, djurskydd, transparens och det sociala området uppfylls.</w:t>
            </w:r>
            <w:r>
              <w:t xml:space="preserve"> </w:t>
            </w:r>
            <w:r>
              <w:rPr>
                <w:b/>
                <w:i/>
              </w:rPr>
              <w:t>Parlamentet påminner särskilt om behovet av att stärka genomförandet av landningsskyldigheten för att förhindra olagliga utkast.</w:t>
            </w:r>
            <w:r>
              <w:t xml:space="preserve"> </w:t>
            </w:r>
            <w:r>
              <w:rPr>
                <w:b/>
                <w:i/>
              </w:rPr>
              <w:t>Parlamentet betonar att en förenkling krävs för att förbättra genomförandet samtidigt som försiktighets- och ekosystemansatsen och målen att återställa fiskpopulationerna och de marina ekosystemen bibehålls eller stärks.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att</w:t>
            </w:r>
            <w:r>
              <w:rPr>
                <w:b/>
                <w:i/>
              </w:rPr>
              <w:t>, innan den inför ytterligare minskningar av fiskemöjligheterna,</w:t>
            </w:r>
            <w:r>
              <w:t xml:space="preserve"> avsätta tillräckligt med tid </w:t>
            </w:r>
            <w:r>
              <w:rPr>
                <w:b/>
                <w:i/>
              </w:rPr>
              <w:t>så</w:t>
            </w:r>
            <w:r>
              <w:t xml:space="preserve"> att de åtgärder som redan vidtagits </w:t>
            </w:r>
            <w:r>
              <w:rPr>
                <w:b/>
                <w:i/>
              </w:rPr>
              <w:t>hinner</w:t>
            </w:r>
            <w:r>
              <w:t xml:space="preserve"> ge mätbara resultat </w:t>
            </w:r>
            <w:r>
              <w:rPr>
                <w:b/>
                <w:i/>
              </w:rPr>
              <w:t>och</w:t>
            </w:r>
            <w:r>
              <w:t xml:space="preserve"> bli föremål för en grundlig bedömning med avseende på deras biologiska, ekonomiska och sociala konsekvenser.</w:t>
            </w:r>
          </w:p>
        </w:tc>
        <w:tc>
          <w:tcPr>
            <w:tcW w:w="4876" w:type="dxa"/>
            <w:tcBorders>
              <w:top w:val="nil"/>
              <w:left w:val="nil"/>
              <w:bottom w:val="nil"/>
              <w:right w:val="nil"/>
            </w:tcBorders>
          </w:tcPr>
          <w:p>
            <w:pPr>
              <w:pStyle w:val="Normal6a"/>
            </w:pPr>
            <w:r>
              <w:t>10.</w:t>
            </w:r>
            <w:r>
              <w:tab/>
            </w:r>
            <w:r>
              <w:t xml:space="preserve">Europaparlamentet uppmanar kommissionen att avsätta tillräckligt med tid </w:t>
            </w:r>
            <w:r>
              <w:rPr>
                <w:b/>
                <w:i/>
              </w:rPr>
              <w:t>för</w:t>
            </w:r>
            <w:r>
              <w:t xml:space="preserve"> att de åtgärder som redan vidtagits </w:t>
            </w:r>
            <w:r>
              <w:rPr>
                <w:b/>
                <w:i/>
              </w:rPr>
              <w:t>ska hinna</w:t>
            </w:r>
            <w:r>
              <w:t xml:space="preserve"> ge mätbara resultat </w:t>
            </w:r>
            <w:r>
              <w:rPr>
                <w:b/>
                <w:i/>
              </w:rPr>
              <w:t>samt</w:t>
            </w:r>
            <w:r>
              <w:t xml:space="preserve"> bli föremål för en grundlig bedömning med avseende på deras biologiska, ekonomiska och sociala konsekvenser</w:t>
            </w:r>
            <w:r>
              <w:rPr>
                <w:b/>
                <w:i/>
              </w:rPr>
              <w:t>, men även för genomförandet av en vetenskaplig kostnads-nyttoanalys och en bedömning av de biologiska, ekonomiska och sociala effekterna av åtgärder som redan är i kraft innan ytterligare minskningar av fiskemöjligheterna införs (även genom bevarandeåtgärder), och så att alternativa åtgärder kan bibehållas om de förefaller mer relevanta, för att säkerställa att alla nya beslut baseras på objektivt påvisade resultat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kommissionen att, innan den inför ytterligare minskningar av fiskemöjligheterna, avsätta </w:t>
            </w:r>
            <w:r>
              <w:rPr>
                <w:b/>
                <w:i/>
              </w:rPr>
              <w:t>tillräckligt med tid</w:t>
            </w:r>
            <w:r>
              <w:t xml:space="preserve"> så att de åtgärder som redan vidtagits hinner ge mätbara resultat och </w:t>
            </w:r>
            <w:r>
              <w:rPr>
                <w:b/>
                <w:i/>
              </w:rPr>
              <w:t>bli</w:t>
            </w:r>
            <w:r>
              <w:t xml:space="preserve"> föremål för en grundlig bedömning med avseende på deras biologiska, ekonomiska och sociala konsekvenser.</w:t>
            </w:r>
          </w:p>
        </w:tc>
        <w:tc>
          <w:tcPr>
            <w:tcW w:w="4876" w:type="dxa"/>
            <w:tcBorders>
              <w:top w:val="nil"/>
              <w:left w:val="nil"/>
              <w:bottom w:val="nil"/>
              <w:right w:val="nil"/>
            </w:tcBorders>
          </w:tcPr>
          <w:p>
            <w:pPr>
              <w:pStyle w:val="Normal6a"/>
            </w:pPr>
            <w:r>
              <w:t>10.</w:t>
            </w:r>
            <w:r>
              <w:tab/>
            </w:r>
            <w:r>
              <w:t xml:space="preserve">Europaparlamentet uppmanar kommissionen att, innan den inför ytterligare minskningar av fiskemöjligheterna </w:t>
            </w:r>
            <w:r>
              <w:rPr>
                <w:b/>
                <w:i/>
              </w:rPr>
              <w:t>eller fiskeansträngningen</w:t>
            </w:r>
            <w:r>
              <w:t xml:space="preserve">, avsätta </w:t>
            </w:r>
            <w:r>
              <w:rPr>
                <w:b/>
                <w:i/>
              </w:rPr>
              <w:t>en period på minst två årliga förvaltningscykler</w:t>
            </w:r>
            <w:r>
              <w:t xml:space="preserve"> så att de åtgärder som redan vidtagits hinner ge mätbara resultat och </w:t>
            </w:r>
            <w:r>
              <w:rPr>
                <w:b/>
                <w:i/>
              </w:rPr>
              <w:t>att resultatet av dessa blir</w:t>
            </w:r>
            <w:r>
              <w:t xml:space="preserve"> föremål för en grundlig </w:t>
            </w:r>
            <w:r>
              <w:rPr>
                <w:b/>
                <w:i/>
              </w:rPr>
              <w:t>oberoende</w:t>
            </w:r>
            <w:r>
              <w:t xml:space="preserve"> bedömning med avseende på deras biologiska, ekonomiska och sociala konsekvenser. </w:t>
            </w:r>
            <w:r>
              <w:rPr>
                <w:b/>
                <w:i/>
              </w:rPr>
              <w:t>Parlamentet anser att den nuvarande nivån på fiskeansträngningen bör bibehållas utan ytterligare minskningar i avsaknad av en sådan bedömning.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kommissionen att, </w:t>
            </w:r>
            <w:r>
              <w:rPr>
                <w:b/>
                <w:i/>
              </w:rPr>
              <w:t>innan den inför ytterligare minskningar av fiskemöjligheterna, avsätta tillräckligt med tid så att de åtgärder som redan vidtagits hinner ge mätbara resultat och bli föremål för en grundlig bedömning med avseende på deras</w:t>
            </w:r>
            <w:r>
              <w:t xml:space="preserve"> biologiska, ekonomiska och sociala </w:t>
            </w:r>
            <w:r>
              <w:rPr>
                <w:b/>
                <w:i/>
              </w:rPr>
              <w:t>konsekvenser</w:t>
            </w:r>
            <w:r>
              <w:t>.</w:t>
            </w:r>
          </w:p>
        </w:tc>
        <w:tc>
          <w:tcPr>
            <w:tcW w:w="4876" w:type="dxa"/>
            <w:tcBorders>
              <w:top w:val="nil"/>
              <w:left w:val="nil"/>
              <w:bottom w:val="nil"/>
              <w:right w:val="nil"/>
            </w:tcBorders>
          </w:tcPr>
          <w:p>
            <w:pPr>
              <w:pStyle w:val="Normal6a"/>
            </w:pPr>
            <w:r>
              <w:t>10.</w:t>
            </w:r>
            <w:r>
              <w:tab/>
            </w:r>
            <w:r>
              <w:t xml:space="preserve">Europaparlamentet uppmanar kommissionen att, </w:t>
            </w:r>
            <w:r>
              <w:rPr>
                <w:b/>
                <w:i/>
              </w:rPr>
              <w:t>när den föreslår fiskemöjligheter för bestånd som omfattas av den fleråriga planen för västra Medelhavet, bedöma de</w:t>
            </w:r>
            <w:r>
              <w:t xml:space="preserve"> biologiska, ekonomiska och sociala </w:t>
            </w:r>
            <w:r>
              <w:rPr>
                <w:b/>
                <w:i/>
              </w:rPr>
              <w:t>konsekvenserna av de åtgärder som redan antagits, i förekommande fall, och att samtidigt, i händelse av att bestånden fortfarande överfiskas eller ligger under försiktighetsnivåerna för biomassa, säkerställa att fiskemöjligheterna förblir i linje med bästa tillgängliga vetenskapliga rådgivning och planens och den gemensamma fiskeripolitikens mål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att</w:t>
            </w:r>
            <w:r>
              <w:rPr>
                <w:b/>
                <w:i/>
              </w:rPr>
              <w:t>, innan den inför ytterligare minskningar av fiskemöjligheterna, avsätta tillräckligt med tid så att de åtgärder som redan vidtagits hinner ge mätbara resultat och bli föremål för en grundlig bedömning med avseende på deras</w:t>
            </w:r>
            <w:r>
              <w:t xml:space="preserve"> biologiska, ekonomiska och sociala konsekvenser.</w:t>
            </w:r>
          </w:p>
        </w:tc>
        <w:tc>
          <w:tcPr>
            <w:tcW w:w="4876" w:type="dxa"/>
            <w:tcBorders>
              <w:top w:val="nil"/>
              <w:left w:val="nil"/>
              <w:bottom w:val="nil"/>
              <w:right w:val="nil"/>
            </w:tcBorders>
          </w:tcPr>
          <w:p>
            <w:pPr>
              <w:pStyle w:val="Normal6a"/>
            </w:pPr>
            <w:r>
              <w:t>10.</w:t>
            </w:r>
            <w:r>
              <w:tab/>
            </w:r>
            <w:r>
              <w:t xml:space="preserve">Europaparlamentet uppmanar kommissionen att </w:t>
            </w:r>
            <w:r>
              <w:rPr>
                <w:b/>
                <w:i/>
              </w:rPr>
              <w:t>regelbundet bedöma förvaltningsåtgärdernas</w:t>
            </w:r>
            <w:r>
              <w:t xml:space="preserve"> biologiska</w:t>
            </w:r>
            <w:r>
              <w:rPr>
                <w:b/>
                <w:i/>
              </w:rPr>
              <w:t>, ekologiska, klimatmässiga, djurskyddsrelaterade</w:t>
            </w:r>
            <w:r>
              <w:t xml:space="preserve">, ekonomiska och sociala konsekvenser. </w:t>
            </w:r>
            <w:r>
              <w:rPr>
                <w:b/>
                <w:i/>
              </w:rPr>
              <w:t>Parlamentet betonar att det faktum att det saknas fullständig vetenskaplig säkerhet inte får åberopas för att fördröja åtgärder som är nödvändiga för att förhindra allvarlig eller oåterkallelig skada på marina djurarter, utarmade fiskbestånd, skyddade arter, livsmiljöer eller ekosystemens bredare funktion.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uppmanar kommissionen att, innan den inför ytterligare minskningar av fiskemöjligheterna, avsätta tillräckligt med tid så att de åtgärder som redan vidtagits hinner ge mätbara resultat och bli föremål för en grundlig bedömning med avseende på deras biologiska, ekonomiska och sociala konsekvenser.</w:t>
            </w:r>
          </w:p>
        </w:tc>
        <w:tc>
          <w:tcPr>
            <w:tcW w:w="4876" w:type="dxa"/>
            <w:tcBorders>
              <w:top w:val="nil"/>
              <w:left w:val="nil"/>
              <w:bottom w:val="nil"/>
              <w:right w:val="nil"/>
            </w:tcBorders>
          </w:tcPr>
          <w:p>
            <w:pPr>
              <w:pStyle w:val="Normal6a"/>
            </w:pPr>
            <w:r>
              <w:t>10.</w:t>
            </w:r>
            <w:r>
              <w:tab/>
            </w:r>
            <w:r>
              <w:t xml:space="preserve">Europaparlamentet uppmanar kommissionen att, innan den inför ytterligare minskningar av fiskemöjligheterna, avsätta tillräckligt med tid så att de åtgärder som redan vidtagits hinner ge mätbara resultat och bli föremål för en grundlig bedömning med avseende på deras biologiska, ekonomiska och sociala konsekvenser </w:t>
            </w:r>
            <w:r>
              <w:rPr>
                <w:b/>
                <w:i/>
              </w:rPr>
              <w:t>i syfte att säkerställa ett stabilt och förutsägbart regelverk som gör det möjligt för företag att planera investeringar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uppmanar kommissionen att, innan </w:t>
            </w:r>
            <w:r>
              <w:rPr>
                <w:b/>
                <w:i/>
              </w:rPr>
              <w:t>den</w:t>
            </w:r>
            <w:r>
              <w:t xml:space="preserve"> inför ytterligare </w:t>
            </w:r>
            <w:r>
              <w:rPr>
                <w:b/>
                <w:i/>
              </w:rPr>
              <w:t>minskningar av fiskemöjligheterna, avsätta tillräckligt med tid så att</w:t>
            </w:r>
            <w:r>
              <w:t xml:space="preserve"> de åtgärder som redan vidtagits </w:t>
            </w:r>
            <w:r>
              <w:rPr>
                <w:b/>
                <w:i/>
              </w:rPr>
              <w:t>hinner</w:t>
            </w:r>
            <w:r>
              <w:t xml:space="preserve"> ge mätbara resultat och bli föremål för en grundlig bedömning med avseende på deras biologiska, ekonomiska och sociala konsekvenser.</w:t>
            </w:r>
          </w:p>
        </w:tc>
        <w:tc>
          <w:tcPr>
            <w:tcW w:w="4876" w:type="dxa"/>
            <w:tcBorders>
              <w:top w:val="nil"/>
              <w:left w:val="nil"/>
              <w:bottom w:val="nil"/>
              <w:right w:val="nil"/>
            </w:tcBorders>
          </w:tcPr>
          <w:p>
            <w:pPr>
              <w:pStyle w:val="Normal6a"/>
            </w:pPr>
            <w:r>
              <w:t>10.</w:t>
            </w:r>
            <w:r>
              <w:tab/>
            </w:r>
            <w:r>
              <w:t xml:space="preserve">Europaparlamentet uppmanar kommissionen </w:t>
            </w:r>
            <w:r>
              <w:rPr>
                <w:b/>
                <w:i/>
              </w:rPr>
              <w:t>och medlemsstaterna</w:t>
            </w:r>
            <w:r>
              <w:t xml:space="preserve"> att, innan </w:t>
            </w:r>
            <w:r>
              <w:rPr>
                <w:b/>
                <w:i/>
              </w:rPr>
              <w:t>de</w:t>
            </w:r>
            <w:r>
              <w:t xml:space="preserve"> inför ytterligare </w:t>
            </w:r>
            <w:r>
              <w:rPr>
                <w:b/>
                <w:i/>
              </w:rPr>
              <w:t>åtgärder med avseende på fiskemöjligheter, tänka på att ge</w:t>
            </w:r>
            <w:r>
              <w:t xml:space="preserve"> de åtgärder som redan vidtagits </w:t>
            </w:r>
            <w:r>
              <w:rPr>
                <w:b/>
                <w:i/>
              </w:rPr>
              <w:t>tillräckligt med tid för att</w:t>
            </w:r>
            <w:r>
              <w:t xml:space="preserve"> ge mätbara resultat och bli föremål för en grundlig bedömning med avseende på deras biologiska, ekonomiska och sociala konsekvenser.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påminner om att fiskets hållbarhet måste bedömas på grundval av den gemensamma fiskeripolitikens tre pelare (miljö, ekonomi och sociala aspekter), som har samma rättsliga status och bör tillämpas på ett balanserat sätt, så att inte en av dem rutinmässigt prioriteras framför de andra.</w:t>
            </w:r>
            <w:r>
              <w:t xml:space="preserve"> </w:t>
            </w:r>
            <w:r>
              <w:rPr>
                <w:b/>
                <w:i/>
              </w:rPr>
              <w:t>Parlamentet påminner om att den gemensamma fiskeripolitiken är unionens exklusiva befogenhet i enlighet med artikel 3 i EUF-fördraget, eftersom den är ett av unionens viktigaste integrerade politikområden, och att det för dess effektivitet, samstämmighet och korrekta funktion krävs ett fullt europeisk tillvägagångssätt, vilket förebygger alla risker för fragmentering eller åternationalisering av förvaltningsbeslut.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kommissionen att se till att alla framtida anpassningar av fiskeriförvaltningen i Medelhavet bygger på transparenta, vetenskapligt grundade och ekosystembaserade bedömningar samt att ge nyligen antagna bevarandeåtgärder tillräckligt med tid att visa hur effektiva de är och samtidigt noggrant övervaka hur de påverkar fiskbestånden, de marina ekosystemen och de samhällen som är beroende av fisket.</w:t>
            </w:r>
            <w:r>
              <w:t xml:space="preserve"> </w:t>
            </w:r>
            <w:r>
              <w:rPr>
                <w:b/>
                <w:i/>
              </w:rPr>
              <w:t>Parlamentet understryker behovet av att kombinera effektiva bevarandeåtgärder med stöd för en rättvis omställning till hållbart, skonsamt och utsläppsfritt fiske.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kommissionen att senast tre år efter den reviderade förordningens ikraftträdande lägga fram en utvärderingsrapport för Europaparlamentet om dess biologiska, ekonomiska, sociala och territoriella konsekvenser, med en analys av i synnerhet effekterna på yrkesfiskarnas inkomster, sysselsättningen, generationsskiftet, kustsamhällenas motståndskraft, tillståndet för de viktigaste fiskbestånden och de kumulativa effekterna av EU:s övriga havspolitik på fiskeverksamheten.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uppmanar kommissionen och medlemsstaterna att förbjuda mobila fiskeredskap med bottenkontakt i strikt skyddade områden och att fasa ut dem i känsliga marina ekosystem, sjögräsängar, korallalstrande livsmiljöer och djuphavshabitat, lek- och uppväxtområden samt områden som utsetts för ekologiskt återställande.</w:t>
            </w:r>
            <w:r>
              <w:t xml:space="preserve"> </w:t>
            </w:r>
            <w:r>
              <w:rPr>
                <w:b/>
                <w:i/>
              </w:rPr>
              <w:t>Parlamentet efterlyser riktat stöd för en rättvis omställning för arbetstagare och kustsamhällen som påverkas.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Europaparlamentet efterlyser bindande, mätbara och tidsbegränsade åtgärder som ska förhindra och minska bifångsten av och dödligheten bland icke-målarter och skyddade arter, däribland hajar, rockor, valar, havssköldpaddor och havsfåglar.</w:t>
            </w:r>
            <w:r>
              <w:t xml:space="preserve"> </w:t>
            </w:r>
            <w:r>
              <w:rPr>
                <w:b/>
                <w:i/>
              </w:rPr>
              <w:t>Parlamentet kräver att det blir obligatoriskt att använda de effektivaste begränsande åtgärder som finns tillgängliga, oberoende övervakning och vid behov tillfällig fredning av högriskområden.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Europaparlamentet påminner om att artikel 13 i EUF-fördraget föreskriver att unionen ska ta full hänsyn till välfärd för djuren som kännande varelser när den utformar och genomför fiskeripolitiken.</w:t>
            </w:r>
            <w:r>
              <w:t xml:space="preserve"> </w:t>
            </w:r>
            <w:r>
              <w:rPr>
                <w:b/>
                <w:i/>
              </w:rPr>
              <w:t>Parlamentet uppmanar kommissionen att stödja forskning om och ett successivt införande av fångst-, fiske-, hanterings-, bedövnings- och avlivningsmetoder som minimerar varaktigheten och allvarlighetsgraden för fiskars och kräftdjurs lidande.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Europaparlamentet uppmanar kommissionen att bedöma och minska Medelhavsfiskets klimatavtryck, däribland bränsleanvändning, skador på ekosystem med blått kol, köldmedier och utsläpp från leveranskedjan.</w:t>
            </w:r>
            <w:r>
              <w:t xml:space="preserve"> </w:t>
            </w:r>
            <w:r>
              <w:rPr>
                <w:b/>
                <w:i/>
              </w:rPr>
              <w:t>Europaparlamentet betonar att offentligt stöd bör prioritera absoluta utsläppsminskningar och skonsamt fiske och bör inte förlänga beroendet av fossila bränslen.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Europaparlamentet betonar att den ekologiska omställningen måste vara socialt rättvis.</w:t>
            </w:r>
            <w:r>
              <w:t xml:space="preserve"> </w:t>
            </w:r>
            <w:r>
              <w:rPr>
                <w:b/>
                <w:i/>
              </w:rPr>
              <w:t>Parlamentet efterlyser riktat inkomststöd, socialt skydd, omskolning, arbetsmiljöåtgärder och alternativa sysselsättningsmöjligheter för fiskare och arbetstagare som påverkas.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Europaparlamentet kräver att unionens och medlemsstaternas nationella ekonomiska stöd förbinds med villkor om efterlevnad av reglerna avseende fiske, miljö, arbetsrätt och djurskydd.</w:t>
            </w:r>
            <w:r>
              <w:t xml:space="preserve"> </w:t>
            </w:r>
            <w:r>
              <w:rPr>
                <w:b/>
                <w:i/>
              </w:rPr>
              <w:t>Parlamentet betonar att aktörer som gör sig skyldiga till allvarliga eller upprepade överträdelser bör uteslutas från offentligt stöd under en lämplig och proportionell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Europaparlamentet uppmanar medlemsstaterna att ta itu med den ihållande obalansen mellan fiskekapacitet och fiskemöjligheter i västra Medelhavet som en prioriterad fråga genom rättvisa, frivilliga och permanenta åtgärder för anpassning av kapaciteten, åtföljt av adekvat stöd till fiskare och fiskesamhällen som påverkas och av möjligheter för diversifiering för att säkerställa en rättvis omställning.</w:t>
            </w:r>
            <w:r>
              <w:t xml:space="preserve"> </w:t>
            </w:r>
            <w:r>
              <w:rPr>
                <w:b/>
                <w:i/>
              </w:rPr>
              <w:t>Parlamentet betonar att överkapacitet inte får överföras till andra regioner eller fisken.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791.020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120</w:t>
    </w:r>
    <w:r>
      <w:fldChar w:fldCharType="end"/>
    </w:r>
    <w:r>
      <w:t>/</w:t>
    </w:r>
    <w:r>
      <w:fldChar w:fldCharType="begin"/>
    </w:r>
    <w:r>
      <w:instrText xml:space="preserve"> NUMPAGES </w:instrText>
    </w:r>
    <w:r>
      <w:fldChar w:fldCharType="separate"/>
    </w:r>
    <w:r>
      <w:t>121</w:t>
    </w:r>
    <w:r>
      <w:fldChar w:fldCharType="end"/>
    </w:r>
    <w:r>
      <w:tab/>
    </w:r>
    <w:r>
      <w:rPr>
        <w:rStyle w:val="HideTWBExt"/>
      </w:rPr>
      <w:t>&lt;PathFdR&gt;</w:t>
    </w:r>
    <w:r>
      <w:t>AM\1348234SV.docx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AM\1348234SV.docx</w:t>
    </w:r>
    <w:r>
      <w:rPr>
        <w:rStyle w:val="HideTWBExt"/>
      </w:rPr>
      <w:t>&lt;/PathFdR&gt;</w:t>
    </w:r>
    <w:r>
      <w:tab/>
    </w:r>
    <w:r>
      <w:fldChar w:fldCharType="begin"/>
    </w:r>
    <w:r>
      <w:instrText xml:space="preserve"> PAGE </w:instrText>
    </w:r>
    <w:r>
      <w:fldChar w:fldCharType="separate"/>
    </w:r>
    <w:r>
      <w:t>121</w:t>
    </w:r>
    <w:r>
      <w:fldChar w:fldCharType="end"/>
    </w:r>
    <w:r>
      <w:t>/</w:t>
    </w:r>
    <w:r>
      <w:fldChar w:fldCharType="begin"/>
    </w:r>
    <w:r>
      <w:instrText xml:space="preserve"> NUMPAGES </w:instrText>
    </w:r>
    <w:r>
      <w:fldChar w:fldCharType="separate"/>
    </w:r>
    <w:r>
      <w:t>121</w:t>
    </w:r>
    <w:r>
      <w:fldChar w:fldCharType="end"/>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AM\1348234SV.docx</w:t>
    </w:r>
    <w:r>
      <w:rPr>
        <w:rStyle w:val="HideTWBExt"/>
      </w:rPr>
      <w:t>&lt;/PathFdR&gt;</w:t>
    </w:r>
    <w:r>
      <w:tab/>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121</Pages>
  <Words>22052</Words>
  <Characters>145412</Characters>
  <Application>Microsoft Office Word</Application>
  <DocSecurity>0</DocSecurity>
  <Lines>1</Lines>
  <Paragraphs>2144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599064</vt:lpwstr>
  </property>
  <property fmtid="{D5CDD505-2E9C-101B-9397-08002B2CF9AE}" pid="7" name="dmxml.render.traceId">
    <vt:lpwstr>6a8be77f01e8d9691be63bf4b4feec25</vt:lpwstr>
  </property>
  <property fmtid="{D5CDD505-2E9C-101B-9397-08002B2CF9AE}" pid="8" name="FooterPath">
    <vt:lpwstr>AM\1348234SV.docx</vt:lpwstr>
  </property>
  <property fmtid="{D5CDD505-2E9C-101B-9397-08002B2CF9AE}" pid="9" name="PE Number">
    <vt:lpwstr>791.020</vt:lpwstr>
  </property>
  <property fmtid="{D5CDD505-2E9C-101B-9397-08002B2CF9AE}" pid="10" name="UID">
    <vt:lpwstr>eu.europa.europarl-DIN1-2026-0000229678_02.00-sv-01.00_text-xml</vt:lpwstr>
  </property>
</Properties>
</file>