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{PETI}</w:t>
      </w:r>
      <w:r>
        <w:t>Udvalget for Andragender</w:t>
      </w:r>
      <w:r>
        <w:rPr>
          <w:rStyle w:val="HideTWBExt"/>
        </w:rPr>
        <w:t>&lt;/Commission&gt;</w:t>
      </w:r>
    </w:p>
    <w:p>
      <w:pPr>
        <w:pStyle w:val="LineBottom"/>
      </w:pPr>
      <w:r>
        <w:t xml:space="preserve"> </w:t>
      </w:r>
    </w:p>
    <w:p>
      <w:pPr>
        <w:pStyle w:val="CoverReference"/>
      </w:pPr>
      <w:r>
        <w:rPr>
          <w:rStyle w:val="HideTWBExt"/>
        </w:rPr>
        <w:t>&lt;RefProc&gt;</w:t>
      </w:r>
      <w:r>
        <w:t>2024/2056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{10/10/2024}</w:t>
      </w:r>
      <w:r>
        <w:t>10.10.2024</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1</w:t>
      </w:r>
      <w:r>
        <w:t xml:space="preserve"> - </w:t>
      </w:r>
      <w:r>
        <w:t>116</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Alex Agius Saliba</w:t>
      </w:r>
      <w:r>
        <w:rPr>
          <w:rStyle w:val="HideTWBExt"/>
        </w:rPr>
        <w:t>&lt;/Rapporteur&gt;</w:t>
      </w:r>
    </w:p>
    <w:p>
      <w:pPr>
        <w:pStyle w:val="CoverNormal24a"/>
      </w:pPr>
      <w:r>
        <w:rPr>
          <w:rStyle w:val="HideTWBExt"/>
        </w:rPr>
        <w:t>&lt;DocRefPE&gt;</w:t>
      </w:r>
      <w:r>
        <w:t>(PE763.122v01-00)</w:t>
      </w:r>
      <w:r>
        <w:rPr>
          <w:rStyle w:val="HideTWBExt"/>
        </w:rPr>
        <w:t>&lt;/DocRefPE&gt;</w:t>
      </w:r>
    </w:p>
    <w:p>
      <w:pPr>
        <w:pStyle w:val="CoverNormal"/>
      </w:pPr>
      <w:r>
        <w:rPr>
          <w:rStyle w:val="HideTWBExt"/>
        </w:rPr>
        <w:t>&lt;Titre&gt;</w:t>
      </w:r>
      <w:r>
        <w:t>Den Europæiske Ombudsmands virksomhed – årsberetning 2023</w:t>
      </w:r>
      <w:r>
        <w:rPr>
          <w:rStyle w:val="HideTWBExt"/>
        </w:rPr>
        <w:t>&lt;/Titre&gt;</w:t>
      </w:r>
    </w:p>
    <w:p>
      <w:pPr>
        <w:pStyle w:val="CoverNormal24a"/>
      </w:pPr>
      <w:r>
        <w:rPr>
          <w:rStyle w:val="HideTWBExt"/>
        </w:rPr>
        <w:t>&lt;DocRef&gt;</w:t>
      </w:r>
      <w:r>
        <w:t>(2024/2056(INI))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E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der henviser til, at det af artikel 298, stk. 1, i TEUF fremgår, at Unionens institutioner, organer, kontorer og agenturer under udførelsen af deres opgaver støtter sig på en åben, effektiv og uafhængig europæisk forvaltning;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der henviser til, at Ombudsmanden i 2023 indledte 398 undersøgelser, heraf 393 på grundlag af klager og fem på eget initiativ, og at 372 undersøgelser (369 på grundlag af klager og tre på eget initiativ) blev afsluttet;</w:t>
            </w:r>
          </w:p>
        </w:tc>
        <w:tc>
          <w:tcPr>
            <w:tcW w:w="4876" w:type="dxa"/>
            <w:tcBorders>
              <w:top w:val="nil"/>
              <w:left w:val="nil"/>
              <w:bottom w:val="nil"/>
              <w:right w:val="nil"/>
            </w:tcBorders>
          </w:tcPr>
          <w:p>
            <w:pPr>
              <w:pStyle w:val="Normal6a"/>
            </w:pPr>
            <w:r>
              <w:t>F.</w:t>
            </w:r>
            <w:r>
              <w:tab/>
            </w:r>
            <w:r>
              <w:t xml:space="preserve">der henviser til, at Ombudsmanden i 2023 indledte 398 undersøgelser, heraf 393 på grundlag af klager og fem på eget initiativ, og at 372 undersøgelser (369 på grundlag af klager og tre på eget initiativ) blev afsluttet; </w:t>
            </w:r>
            <w:r>
              <w:rPr>
                <w:b/>
                <w:i/>
              </w:rPr>
              <w:t>Ombudsmanden fortsætter således sin intense og effektive virksomhed, muliggjort af Europa-Parlamentets nye forordning 2021/1163 af 24. juni 2021 om Ombudsmandens statut og de almindelige betingelser for udøvelsen af dennes hverv (Den Europæiske Ombudsmands statut) og om ophævelse af afgørelse 94/262/EKSF, EF, Euratom;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der henviser til, at der i de undersøgelser, som Ombudsmanden afsluttede i 2023, ikke blev konstateret fejl eller forsømmelser i </w:t>
            </w:r>
            <w:r>
              <w:rPr>
                <w:b/>
                <w:i/>
              </w:rPr>
              <w:t>26,6 % af sagerne, en</w:t>
            </w:r>
            <w:r>
              <w:t xml:space="preserve"> løsning blev fundet af institutionen i </w:t>
            </w:r>
            <w:r>
              <w:rPr>
                <w:b/>
                <w:i/>
              </w:rPr>
              <w:t>55,4 % af sagerne</w:t>
            </w:r>
            <w:r>
              <w:t xml:space="preserve">, ingen yderligere undersøgelser var berettigede i </w:t>
            </w:r>
            <w:r>
              <w:rPr>
                <w:b/>
                <w:i/>
              </w:rPr>
              <w:t>12,4 % af sagerne</w:t>
            </w:r>
            <w:r>
              <w:t xml:space="preserve">, og der blev konstateret fejl og forsømmelser i </w:t>
            </w:r>
            <w:r>
              <w:rPr>
                <w:b/>
                <w:i/>
              </w:rPr>
              <w:t>7,3 % af sagerne</w:t>
            </w:r>
            <w:r>
              <w:t>;</w:t>
            </w:r>
          </w:p>
        </w:tc>
        <w:tc>
          <w:tcPr>
            <w:tcW w:w="4876" w:type="dxa"/>
            <w:tcBorders>
              <w:top w:val="nil"/>
              <w:left w:val="nil"/>
              <w:bottom w:val="nil"/>
              <w:right w:val="nil"/>
            </w:tcBorders>
          </w:tcPr>
          <w:p>
            <w:pPr>
              <w:pStyle w:val="Normal6a"/>
            </w:pPr>
            <w:r>
              <w:t>I.</w:t>
            </w:r>
            <w:r>
              <w:tab/>
            </w:r>
            <w:r>
              <w:t xml:space="preserve">der henviser til, at der i de undersøgelser, som Ombudsmanden afsluttede i 2023, ikke blev konstateret fejl eller forsømmelser i </w:t>
            </w:r>
            <w:r>
              <w:rPr>
                <w:b/>
                <w:i/>
              </w:rPr>
              <w:t>99 sager (26,6 %), en løsning eller en delvis</w:t>
            </w:r>
            <w:r>
              <w:t xml:space="preserve"> løsning blev fundet af institutionen i </w:t>
            </w:r>
            <w:r>
              <w:rPr>
                <w:b/>
                <w:i/>
              </w:rPr>
              <w:t>206 sager (55,4 %)</w:t>
            </w:r>
            <w:r>
              <w:t xml:space="preserve">, ingen yderligere undersøgelser var berettigede i </w:t>
            </w:r>
            <w:r>
              <w:rPr>
                <w:b/>
                <w:i/>
              </w:rPr>
              <w:t>46 sager (12,4 %)</w:t>
            </w:r>
            <w:r>
              <w:t xml:space="preserve">, og der blev konstateret fejl og forsømmelser i </w:t>
            </w:r>
            <w:r>
              <w:rPr>
                <w:b/>
                <w:i/>
              </w:rPr>
              <w:t>27 sager (7,3 %)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K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der henviser til, at Ombudsmandens erfaring med behandling af klager over aktindsigt er, at der ofte forekom lange forsinkelser i sager af væsentlig offentlig interesse, hvis virkninger var at gøre de indhentede oplysninger ubrugelige for de personer, der anmodede om aktindsigt, og at forhindre borgerne i at give deres mening til kende på relevante tidspunkter i beslutningstagningen;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der henviser til, at EU-borgere har omfattende rettigheder til aktindsigt i dokumenter, som EU-administrationen er i besiddelse af; der henviser til, at Ombudsmanden indledte en undersøgelse på eget initiativ og anmodede Kommissionen om hurtigst muligt at håndtere de systematiske forsinkelser i behandlingen af begæringer om aktindsigt for at sikre, at den overholder de frister, der er fastsat i EU's forordning om aktindsigt (forordning (EF) nr. 1049/2001</w:t>
            </w:r>
            <w:r>
              <w:rPr>
                <w:vertAlign w:val="superscript"/>
              </w:rPr>
              <w:t>2</w:t>
            </w:r>
            <w:r>
              <w:t>); der henviser til, at denne undersøgelse viste, at Kommissionen, når den anmodes om at gennemgå en afgørelse om aktindsigt, overskrider de frister, der er fastsat i forordningen, i 85 % af sagerne;</w:t>
            </w:r>
          </w:p>
        </w:tc>
        <w:tc>
          <w:tcPr>
            <w:tcW w:w="4876" w:type="dxa"/>
            <w:tcBorders>
              <w:top w:val="nil"/>
              <w:left w:val="nil"/>
              <w:bottom w:val="nil"/>
              <w:right w:val="nil"/>
            </w:tcBorders>
          </w:tcPr>
          <w:p>
            <w:pPr>
              <w:pStyle w:val="Normal6a"/>
            </w:pPr>
            <w:r>
              <w:t>L.</w:t>
            </w:r>
            <w:r>
              <w:tab/>
            </w:r>
            <w:r>
              <w:t>der henviser til, at EU-borgere har omfattende rettigheder til aktindsigt i dokumenter, som EU-administrationen er i besiddelse af; der henviser til, at Ombudsmanden indledte en undersøgelse på eget initiativ og anmodede Kommissionen om hurtigst muligt at håndtere de systematiske forsinkelser i behandlingen af begæringer om aktindsigt for at sikre, at den overholder de frister, der er fastsat i EU's forordning om aktindsigt (forordning (EF) nr. 1049/2001</w:t>
            </w:r>
            <w:r>
              <w:rPr>
                <w:vertAlign w:val="superscript"/>
              </w:rPr>
              <w:t>2</w:t>
            </w:r>
            <w:r>
              <w:t>); der henviser til, at denne undersøgelse viste, at Kommissionen, når den anmodes om at gennemgå en afgørelse om aktindsigt, overskrider de frister, der er fastsat i forordningen, i 85 % af sagerne</w:t>
            </w:r>
            <w:r>
              <w:rPr>
                <w:b/>
                <w:i/>
              </w:rPr>
              <w:t>, og størstedelen af svarene kommer efter 60 dage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Europa-Parlamentets og Rådets forordning (EF) nr. 1049/2001 af 30. maj 2001 om aktindsigt i Europa-Parlamentets, Rådets og Kommissionens dokumenter (EFT L 145 af 31.5.2001, s. 43).</w:t>
            </w:r>
          </w:p>
        </w:tc>
        <w:tc>
          <w:tcPr>
            <w:tcW w:w="4876" w:type="dxa"/>
            <w:tcBorders>
              <w:top w:val="nil"/>
              <w:left w:val="nil"/>
              <w:bottom w:val="nil"/>
              <w:right w:val="nil"/>
            </w:tcBorders>
          </w:tcPr>
          <w:p>
            <w:pPr>
              <w:pStyle w:val="Normal6a"/>
            </w:pPr>
            <w:r>
              <w:rPr>
                <w:vertAlign w:val="superscript"/>
              </w:rPr>
              <w:t>2</w:t>
            </w:r>
            <w:r>
              <w:t xml:space="preserve"> </w:t>
            </w:r>
            <w:r>
              <w:t>Europa-Parlamentets og Rådets forordning (EF) nr. 1049/2001 af 30. maj 2001 om aktindsigt i Europa-Parlamentets, Rådets og Kommissionens dokumenter (EFT L 145 af 31.5.2001, s. 43).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der henviser til, at Ombudsmanden i 2023 offentliggjorde en særberetning efter hendes strategiske undersøgelse af den tid, det tager Kommissionen at behandle begæringer om aktindsigt; der henviser til, at Ombudsmanden har forelagt denne for Parlamentet for at hjælp til at få Kommissionen til at reagere på hendes henstillinger, idet Ombudsmanden er af den opfattelse, at borgerne har ret til at forvente bedre praksis fra en åben, moderne og serviceminded EU-administration;</w:t>
            </w:r>
          </w:p>
        </w:tc>
        <w:tc>
          <w:tcPr>
            <w:tcW w:w="4876" w:type="dxa"/>
            <w:tcBorders>
              <w:top w:val="nil"/>
              <w:left w:val="nil"/>
              <w:bottom w:val="nil"/>
              <w:right w:val="nil"/>
            </w:tcBorders>
          </w:tcPr>
          <w:p>
            <w:pPr>
              <w:pStyle w:val="Normal6a"/>
            </w:pPr>
            <w:r>
              <w:t>M.</w:t>
            </w:r>
            <w:r>
              <w:tab/>
            </w:r>
            <w:r>
              <w:t xml:space="preserve">der henviser til, at Ombudsmanden i 2023 offentliggjorde en særberetning efter hendes strategiske undersøgelse af den tid, det tager Kommissionen at behandle begæringer om aktindsigt; der henviser til, at </w:t>
            </w:r>
            <w:r>
              <w:rPr>
                <w:b/>
                <w:i/>
              </w:rPr>
              <w:t>Ombudsmandens undersøgelse viste, at Kommissionen, når enkeltpersoner anmoder om en prøvelse af en afgørelse om aktindsigt, kendt som en genfremsat begæring, overskrider de frister, der er fastsat i forordningen, i 85 % af sagerne;</w:t>
            </w:r>
            <w:r>
              <w:t xml:space="preserve"> </w:t>
            </w:r>
            <w:r>
              <w:rPr>
                <w:b/>
                <w:i/>
              </w:rPr>
              <w:t>der henviser til, at</w:t>
            </w:r>
            <w:r>
              <w:t xml:space="preserve"> Ombudsmanden har forelagt denne for Parlamentet for at hjælp til at få Kommissionen til at reagere på hendes henstillinger, idet Ombudsmanden er af den opfattelse, at borgerne har ret til at forvente bedre praksis fra en åben, moderne og serviceminded EU-administration;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der henviser til, at Ombudsmanden i 2023 offentliggjorde en særberetning efter hendes strategiske undersøgelse af den tid, det tager Kommissionen at behandle begæringer om aktindsigt; der henviser til, at Ombudsmanden har forelagt denne for Parlamentet for at </w:t>
            </w:r>
            <w:r>
              <w:rPr>
                <w:b/>
                <w:i/>
              </w:rPr>
              <w:t>hjælp</w:t>
            </w:r>
            <w:r>
              <w:t xml:space="preserve"> til at få Kommissionen til at reagere på hendes henstillinger, idet Ombudsmanden er af den opfattelse, at borgerne har ret til at forvente bedre praksis fra en åben, moderne og serviceminded EU-administration;</w:t>
            </w:r>
          </w:p>
        </w:tc>
        <w:tc>
          <w:tcPr>
            <w:tcW w:w="4876" w:type="dxa"/>
            <w:tcBorders>
              <w:top w:val="nil"/>
              <w:left w:val="nil"/>
              <w:bottom w:val="nil"/>
              <w:right w:val="nil"/>
            </w:tcBorders>
          </w:tcPr>
          <w:p>
            <w:pPr>
              <w:pStyle w:val="Normal6a"/>
            </w:pPr>
            <w:r>
              <w:t>M.</w:t>
            </w:r>
            <w:r>
              <w:tab/>
            </w:r>
            <w:r>
              <w:t xml:space="preserve">der henviser til, at Ombudsmanden i 2023 offentliggjorde en særberetning efter hendes strategiske undersøgelse af den tid, det tager Kommissionen at behandle begæringer om aktindsigt; der henviser til, at Ombudsmanden har forelagt denne for Parlamentet for at </w:t>
            </w:r>
            <w:r>
              <w:rPr>
                <w:b/>
                <w:i/>
              </w:rPr>
              <w:t>få dets støtte</w:t>
            </w:r>
            <w:r>
              <w:t xml:space="preserve"> til at få Kommissionen til at reagere på hendes henstillinger, idet Ombudsmanden er af den opfattelse, at borgerne har ret til at forvente bedre praksis fra en åben, moderne og serviceminded EU-administration;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M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der henviser til, at Ombudsmanden i 2023 kritiserede Kommissionens oprindelige undladelse af at medtage specifikke e-mails i et svar på en begæring om aktindsigt vedrørende udvekslinger om udkast til EU's jordbunds-, skov- og klimatilpasningsstrategier;</w:t>
            </w:r>
            <w:r>
              <w:t xml:space="preserve"> </w:t>
            </w:r>
            <w:r>
              <w:rPr>
                <w:b/>
                <w:i/>
              </w:rPr>
              <w:t>der henviser til, at Kommissionen i forbindelse med Ombudsmandens undersøgelse indvilligede i at registrere de pågældende e-mails og undersøge, om de kunne frigives;</w:t>
            </w:r>
            <w:r>
              <w:t xml:space="preserve"> </w:t>
            </w:r>
            <w:r>
              <w:rPr>
                <w:b/>
                <w:i/>
              </w:rPr>
              <w:t>der henviser til, at denne praksis ikke bør anvendes vilkårligt, og at Kommissionen konsekvent bør anvende denne tilgang i alle sager, herunder i forhandlingerne om indkøb af covid-19-vacciner;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Kosma Złotowski, Ivaylo Valchev,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M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der henviser til, at Ombudsmanden anerkendte betydelige fremskridt med hensyn til at styrke de etiske regler i Europa-Parlamentet efter Qatargate, men udtrykte bekymring over deres gennemførelse og håndhævelse;</w:t>
            </w:r>
            <w:r>
              <w:t xml:space="preserve"> </w:t>
            </w:r>
            <w:r>
              <w:rPr>
                <w:b/>
                <w:i/>
              </w:rPr>
              <w:t>der henviser til, at Ombudsmanden indledte en særskilt undersøgelse vedrørende rejseudgifter, som tredjeparter har betalt for Kommissionen siden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der henviser til, at særberetningen blev drøftet i Parlamentets Udvalg om Borgernes Rettigheder og Retlige og Indre Anliggender og førte til en beslutning fra Europa-Parlamentet med titlen "Europa-Kommissionens behandlingstid for så vidt angår anmodninger om aktindsigt"</w:t>
            </w:r>
            <w:r>
              <w:rPr>
                <w:vertAlign w:val="superscript"/>
              </w:rPr>
              <w:t>3</w:t>
            </w:r>
            <w:r>
              <w:t>, hvori Parlamentet udtrykte stor bekymring over de ekstreme forsinkelser i Kommissionens proces med at give aktindsigt i de ønskede dokumenter og anmodede Kommissionen om at rette op på disse systematiske og betydelige forsinkelser;</w:t>
            </w:r>
          </w:p>
        </w:tc>
        <w:tc>
          <w:tcPr>
            <w:tcW w:w="4876" w:type="dxa"/>
            <w:tcBorders>
              <w:top w:val="nil"/>
              <w:left w:val="nil"/>
              <w:bottom w:val="nil"/>
              <w:right w:val="nil"/>
            </w:tcBorders>
          </w:tcPr>
          <w:p>
            <w:pPr>
              <w:pStyle w:val="Normal6a"/>
            </w:pPr>
            <w:r>
              <w:t>N.</w:t>
            </w:r>
            <w:r>
              <w:tab/>
            </w:r>
            <w:r>
              <w:t>der henviser til, at særberetningen blev drøftet i Parlamentets Udvalg om Borgernes Rettigheder og Retlige og Indre Anliggender og førte til en beslutning fra Europa-Parlamentet med titlen "Europa-Kommissionens behandlingstid for så vidt angår anmodninger om aktindsigt"</w:t>
            </w:r>
            <w:r>
              <w:rPr>
                <w:vertAlign w:val="superscript"/>
              </w:rPr>
              <w:t>3</w:t>
            </w:r>
            <w:r>
              <w:t xml:space="preserve">, hvori Parlamentet udtrykte stor bekymring over de ekstreme forsinkelser i Kommissionens proces med at give aktindsigt i de ønskede dokumenter og anmodede Kommissionen om at rette op på disse systematiske og betydelige forsinkelser </w:t>
            </w:r>
            <w:r>
              <w:rPr>
                <w:b/>
                <w:i/>
              </w:rPr>
              <w:t>og opfordrede Kommissionen til endelig og omgående at offentliggøre de tekstbeskeder, som formanden for Kommissionen og den administrerende direktør for medicinalvirksomheden Pfizer udvekslede under forhandlingerne om indkøb af 1,8 mia. doser covid-19-vacciner, og anmodede om øjeblikkelig og fuldstændig offentliggørelse af alle kontrakter om indkøb af covid-19-vacciner, der helt eller delvist blev finansieret med offentlige midler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Vedtagne tekster, P9_TA(2024)0172.</w:t>
            </w:r>
          </w:p>
        </w:tc>
        <w:tc>
          <w:tcPr>
            <w:tcW w:w="4876" w:type="dxa"/>
            <w:tcBorders>
              <w:top w:val="nil"/>
              <w:left w:val="nil"/>
              <w:bottom w:val="nil"/>
              <w:right w:val="nil"/>
            </w:tcBorders>
          </w:tcPr>
          <w:p>
            <w:pPr>
              <w:pStyle w:val="Normal6a"/>
            </w:pPr>
            <w:r>
              <w:rPr>
                <w:vertAlign w:val="superscript"/>
              </w:rPr>
              <w:t>3</w:t>
            </w:r>
            <w:r>
              <w:t xml:space="preserve"> </w:t>
            </w:r>
            <w:r>
              <w:t>Vedtagne tekster, P9_TA(2024)0172.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N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der henviser til, at Parlamentet den 14. marts 2024 vedtog beslutningen med titlen "Europa-Kommissionens behandlingstid for så vidt angår anmodninger om aktindsigt", hvori det understreges, at hvis Kommissionen ikke tager fat på de systematiske og betydelige forsinkelser i sin behandling af anmodninger om aktindsigt på det tidspunkt, hvor det nye kommissærkollegium oprettes, vil Parlamentet overveje at anvende alle tilgængelige parlamentariske instrumenter til at behandle sagen;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der henviser til, at gennemsigtighed er en afgørende del af et demokratisk samfund og et vigtigt redskab i bekæmpelsen af korruption; der henviser til, at EU-borgerne har ret til </w:t>
            </w:r>
            <w:r>
              <w:rPr>
                <w:b/>
                <w:i/>
              </w:rPr>
              <w:t>den højeste grad af</w:t>
            </w:r>
            <w:r>
              <w:t xml:space="preserve"> gennemsigtighed, og at </w:t>
            </w:r>
            <w:r>
              <w:rPr>
                <w:b/>
                <w:i/>
              </w:rPr>
              <w:t>det højeste niveau af</w:t>
            </w:r>
            <w:r>
              <w:t xml:space="preserve"> adgang til offentlige dokumenter er afgørende for at sikre ansvarlighed;</w:t>
            </w:r>
          </w:p>
        </w:tc>
        <w:tc>
          <w:tcPr>
            <w:tcW w:w="4876" w:type="dxa"/>
            <w:tcBorders>
              <w:top w:val="nil"/>
              <w:left w:val="nil"/>
              <w:bottom w:val="nil"/>
              <w:right w:val="nil"/>
            </w:tcBorders>
          </w:tcPr>
          <w:p>
            <w:pPr>
              <w:pStyle w:val="Normal6a"/>
            </w:pPr>
            <w:r>
              <w:t>P.</w:t>
            </w:r>
            <w:r>
              <w:tab/>
            </w:r>
            <w:r>
              <w:t>der henviser til, at gennemsigtighed er en afgørende del af et demokratisk samfund og et vigtigt redskab i bekæmpelsen af korruption; der henviser til, at EU-borgerne har ret til gennemsigtighed, og at adgang til offentlige dokumenter er afgørende for at sikre ansvarlighed;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P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der henviser til, at Ombudsmandens undersøgelse i sag OI/3/2023/MHZ vedrørende Frontex' rolle i eftersøgnings- og redningsoperationer har vist, at der er alvorlige mangler, herunder den manglende sikring af, at Frontex' observatører af grundlæggende rettigheder inddrages tilstrækkeligt i beslutningstagningen i maritime nødsituationer, samt manglen på Frontex' interne retningslinjer for udsendelse af nødsignaler;</w:t>
            </w:r>
            <w:r>
              <w:t xml:space="preserve"> </w:t>
            </w:r>
            <w:r>
              <w:rPr>
                <w:b/>
                <w:i/>
              </w:rPr>
              <w:t>der henviser til, at Ombudsmanden iværksatte denne undersøgelse efter Adriana-tragedien i juni 2023, som resulterede i, at over 600 mennesker druknede ud for Grækenlands kyst;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Q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der henviser til, at Den Europæiske Ombudsmand kan foreslå henstillinger, afhjælpende foranstaltninger og forbedringer med henblik på at løse forskellige aspekter af fejl og forsømmelser;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lykønsker Emily O'Reilly med, at hun er fast besluttet på at indlede bredere strategiske undersøgelser og initiativer for at afsløre systemiske fejl i EU-institutionerne med hensyn til aktindsigt, beskyttelse af grundlæggende rettigheder, etiske spørgsmål, ansvarlighed i beslutningstagningen og personalespørgsmål;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glæder sig over Ombudsmandens offentliggørelse af en vejledning om aktindsigt i EU-dokumenter, som har til formål at øge borgernes bevidsthed om deres ret til aktindsigt og sætte dem i stand til at kontrollere EU's beslutningstagning;</w:t>
            </w:r>
          </w:p>
        </w:tc>
        <w:tc>
          <w:tcPr>
            <w:tcW w:w="4876" w:type="dxa"/>
            <w:tcBorders>
              <w:top w:val="nil"/>
              <w:left w:val="nil"/>
              <w:bottom w:val="nil"/>
              <w:right w:val="nil"/>
            </w:tcBorders>
          </w:tcPr>
          <w:p>
            <w:pPr>
              <w:pStyle w:val="Normal6a"/>
            </w:pPr>
            <w:r>
              <w:t>4.</w:t>
            </w:r>
            <w:r>
              <w:tab/>
            </w:r>
            <w:r>
              <w:t xml:space="preserve">glæder sig over Ombudsmandens offentliggørelse af en vejledning om aktindsigt i EU-dokumenter, som har til formål at øge borgernes bevidsthed om deres ret til aktindsigt og sætte dem i stand til at kontrollere EU's beslutningstagning; </w:t>
            </w:r>
            <w:r>
              <w:rPr>
                <w:b/>
                <w:i/>
              </w:rPr>
              <w:t>mener, at det er afgørende fortsat at give borgerne passende oplysninger om Ombudsmandens rolle og omfang og hendes indflydelse på EU-institutionernes udvikling;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opfordrer alle andre EU-institutioner til at fremme Ombudsmandens vejledning om aktindsigt i EU-dokumenter i en fælles indsats for at øge borgernes bevidsthed om deres ret til aktindsigt og øge borgernes deltagelse i EU's beslutningsprocesser;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beklager den fuldstændige mangel på initiativer til støtte for cypriotiske borgere, såsom Titina Loizidou, der er blevet udvist fra den besatte del af Republikken Cypern af den tyrkiske besættelseshær, og som ved flere lejligheder har fået medhold i retssager;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glæder sig over de henstillinger, som Ombudsmanden fremsatte efter sin undersøgelse på eget initiativ af den tid, det tager Kommissionen at behandle anmodninger om aktindsigt, og hvori Kommissionen opfordres til hurtigst muligt at behandle sine systemiske forsinkelser og overholde de frister, der er fastsat i forordning (EF) nr. 1049/2001 om aktindsigt i Europa-Parlamentets, Rådets og Kommissionens dokumenter; er bekymret over, at det i undersøgelsen blev konstateret, at Kommissionens systemiske og betydelige forsinkelser i behandlingen af anmodninger om aktindsigt udgør fejl og forsømmelser;</w:t>
            </w:r>
          </w:p>
        </w:tc>
        <w:tc>
          <w:tcPr>
            <w:tcW w:w="4876" w:type="dxa"/>
            <w:tcBorders>
              <w:top w:val="nil"/>
              <w:left w:val="nil"/>
              <w:bottom w:val="nil"/>
              <w:right w:val="nil"/>
            </w:tcBorders>
          </w:tcPr>
          <w:p>
            <w:pPr>
              <w:pStyle w:val="Normal6a"/>
            </w:pPr>
            <w:r>
              <w:t>5.</w:t>
            </w:r>
            <w:r>
              <w:tab/>
            </w:r>
            <w:r>
              <w:t xml:space="preserve">glæder sig over de henstillinger, som Ombudsmanden fremsatte efter sin undersøgelse på eget initiativ af den tid, det tager Kommissionen at behandle anmodninger om aktindsigt, og hvori Kommissionen opfordres til hurtigst muligt at behandle sine systemiske forsinkelser og overholde de frister, der er fastsat i forordning (EF) nr. 1049/2001 om aktindsigt i Europa-Parlamentets, Rådets og Kommissionens dokumenter; er bekymret over, at det i undersøgelsen blev konstateret, at Kommissionens systemiske og betydelige forsinkelser i behandlingen af anmodninger om aktindsigt udgør fejl og forsømmelser; </w:t>
            </w:r>
            <w:r>
              <w:rPr>
                <w:b/>
                <w:i/>
              </w:rPr>
              <w:t>beklager, at de vigtigste kontrakter, som formanden for Kommissionen har indgået med lægemiddelindustrien uden nogen form for gennemsigtighed og i strid med alle EU's regler for offentlige indkøb, stadig ikke er blevet offentliggjort;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glæder sig over de henstillinger, som Ombudsmanden fremsatte efter sin undersøgelse på eget initiativ af den tid, det tager Kommissionen at behandle anmodninger om aktindsigt, og hvori Kommissionen opfordres til hurtigst muligt at behandle sine systemiske forsinkelser og overholde de frister, der er fastsat i forordning (EF) nr. 1049/2001 om aktindsigt i Europa-Parlamentets, Rådets og Kommissionens dokumenter; er bekymret over, at det i undersøgelsen blev konstateret, at Kommissionens systemiske og betydelige forsinkelser i behandlingen af anmodninger om aktindsigt udgør fejl og forsømmelser;</w:t>
            </w:r>
          </w:p>
        </w:tc>
        <w:tc>
          <w:tcPr>
            <w:tcW w:w="4876" w:type="dxa"/>
            <w:tcBorders>
              <w:top w:val="nil"/>
              <w:left w:val="nil"/>
              <w:bottom w:val="nil"/>
              <w:right w:val="nil"/>
            </w:tcBorders>
          </w:tcPr>
          <w:p>
            <w:pPr>
              <w:pStyle w:val="Normal6a"/>
            </w:pPr>
            <w:r>
              <w:t>5.</w:t>
            </w:r>
            <w:r>
              <w:tab/>
            </w:r>
            <w:r>
              <w:t xml:space="preserve">glæder sig over de henstillinger, som Ombudsmanden fremsatte efter sin undersøgelse på eget initiativ af den tid, det tager Kommissionen at behandle anmodninger om aktindsigt, og hvori Kommissionen opfordres til </w:t>
            </w:r>
            <w:r>
              <w:rPr>
                <w:b/>
                <w:i/>
              </w:rPr>
              <w:t>grundlæggende at genoverveje sin måde at behandle sådanne anmodninger på,</w:t>
            </w:r>
            <w:r>
              <w:t xml:space="preserve"> hurtigst muligt at behandle sine systemiske forsinkelser og overholde de frister, der er fastsat i forordning (EF) nr. 1049/2001 om aktindsigt i Europa-Parlamentets, Rådets og Kommissionens dokumenter; er </w:t>
            </w:r>
            <w:r>
              <w:rPr>
                <w:b/>
                <w:i/>
              </w:rPr>
              <w:t>dybt</w:t>
            </w:r>
            <w:r>
              <w:t xml:space="preserve"> bekymret over, at det i undersøgelsen blev konstateret, at Kommissionens systemiske og betydelige forsinkelser i behandlingen af anmodninger om aktindsigt udgør fejl og forsømmelser;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støtter Ombudsmandens synspunkt om, at "forsinket aktindsigt er afslag på aktindsigt", da de dokumenter og oplysninger, der anmodes om, ofte er tidsfølsomme og kan miste relevans for de personer, der anmoder om aktindsigt, hvis der opstår forsinkelser;</w:t>
            </w:r>
            <w:r>
              <w:t xml:space="preserve"> </w:t>
            </w:r>
            <w:r>
              <w:rPr>
                <w:b/>
                <w:i/>
              </w:rPr>
              <w:t>mener, at Kommissionen proaktivt skal offentliggøre dokumenter og statistikker om, hvordan den behandler anmodninger om aktindsigt, herunder klare data om overholdelse af de frister, der er fastsat i EU-retten, da sådanne oplysninger er afgørende for at forbedre gennemsigtigheden på dette område og styrke Kommissionens ansvarlighed over for borgerne;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Kosma Złotowski, Ivaylo Valchev,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understreger, at gennemsigtigheden i beslutningstagningen, navnlig med hensyn til lobbyvirksomhed, inden for miljøbeskyttelse og klimaændringer har været i fokus i mange af Ombudsmandens undersøgelser;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Fidias Panayiotou, Maria Zacharia, 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opfordrer indtrængende Rådet til at indlede konstruktive forhandlinger med Parlamentet og Kommissionen om revisionen af forordning (EF) nr. 1049/2001 med henblik på at gøre disse tre centrale EU-institutioner til forbilleder for gennemsigtighed og offentlig ansvarlighed i hele EU;</w:t>
            </w:r>
          </w:p>
        </w:tc>
        <w:tc>
          <w:tcPr>
            <w:tcW w:w="4876" w:type="dxa"/>
            <w:tcBorders>
              <w:top w:val="nil"/>
              <w:left w:val="nil"/>
              <w:bottom w:val="nil"/>
              <w:right w:val="nil"/>
            </w:tcBorders>
          </w:tcPr>
          <w:p>
            <w:pPr>
              <w:pStyle w:val="Normal6a"/>
            </w:pPr>
            <w:r>
              <w:t>6.</w:t>
            </w:r>
            <w:r>
              <w:tab/>
            </w:r>
            <w:r>
              <w:t xml:space="preserve">opfordrer indtrængende Rådet til at indlede konstruktive forhandlinger med Parlamentet og Kommissionen om revisionen af forordning (EF) nr. 1049/2001 med henblik på at </w:t>
            </w:r>
            <w:r>
              <w:rPr>
                <w:b/>
                <w:i/>
              </w:rPr>
              <w:t>ajourføre definitionen af et EU-dokument under hensyntagen til nye kommunikationsmidler såsom tekst- og straksbeskeder og tilpasse denne forordning til den nye digitale kontekst og</w:t>
            </w:r>
            <w:r>
              <w:t xml:space="preserve"> gøre disse tre centrale EU-institutioner til forbilleder for gennemsigtighed og offentlig ansvarlighed i hele EU; </w:t>
            </w:r>
            <w:r>
              <w:rPr>
                <w:b/>
                <w:i/>
              </w:rPr>
              <w:t>opfordrer Ombudsmanden til i denne forbindelse og på grundlag af sin dokumenterede ekspertise at rådgive og foreslå retningslinjer for god praksis og dermed bevare borgernes adgang til offentlige dokumenter i et digitalt samfund i hastig udvikling;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opfordrer </w:t>
            </w:r>
            <w:r>
              <w:rPr>
                <w:b/>
                <w:i/>
              </w:rPr>
              <w:t>indtrængende</w:t>
            </w:r>
            <w:r>
              <w:t xml:space="preserve"> Rådet til at indlede konstruktive forhandlinger med Parlamentet og Kommissionen om revisionen af forordning (EF) nr. 1049/2001 med henblik på at gøre disse tre centrale EU-institutioner til forbilleder for gennemsigtighed og offentlig ansvarlighed i hele EU;</w:t>
            </w:r>
          </w:p>
        </w:tc>
        <w:tc>
          <w:tcPr>
            <w:tcW w:w="4876" w:type="dxa"/>
            <w:tcBorders>
              <w:top w:val="nil"/>
              <w:left w:val="nil"/>
              <w:bottom w:val="nil"/>
              <w:right w:val="nil"/>
            </w:tcBorders>
          </w:tcPr>
          <w:p>
            <w:pPr>
              <w:pStyle w:val="Normal6a"/>
            </w:pPr>
            <w:r>
              <w:t>6.</w:t>
            </w:r>
            <w:r>
              <w:tab/>
            </w:r>
            <w:r>
              <w:t xml:space="preserve">opfordrer Rådet til at indlede konstruktive forhandlinger med Parlamentet og Kommissionen om revisionen af forordning (EF) nr. 1049/2001 med henblik på at gøre disse tre centrale EU-institutioner til forbilleder for gennemsigtighed og offentlig ansvarlighed i hele EU; </w:t>
            </w:r>
            <w:r>
              <w:rPr>
                <w:b/>
                <w:i/>
              </w:rPr>
              <w:t>understreger, at selv om det er afgørende for institutionerne at være gennemsigtige i deres forbindelser med borgerne, må denne gennemsigtighed ikke undergrave deres politiske forhandlinger, som kan blive hæmmet af et krav om overdreven gennemsigtighed, der fører til en betydelig stigning i antallet af uformelle møder og dermed har den modsatte virkning;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opfordrer indtrængende Rådet til at indlede konstruktive forhandlinger med Parlamentet og Kommissionen om revisionen af forordning (EF) nr. 1049/2001 </w:t>
            </w:r>
            <w:r>
              <w:rPr>
                <w:b/>
                <w:i/>
              </w:rPr>
              <w:t>med henblik på at gøre disse tre centrale EU-institutioner til forbilleder for gennemsigtighed og offentlig</w:t>
            </w:r>
            <w:r>
              <w:t xml:space="preserve"> ansvarlighed i </w:t>
            </w:r>
            <w:r>
              <w:rPr>
                <w:b/>
                <w:i/>
              </w:rPr>
              <w:t>hele</w:t>
            </w:r>
            <w:r>
              <w:t xml:space="preserve"> EU;</w:t>
            </w:r>
          </w:p>
        </w:tc>
        <w:tc>
          <w:tcPr>
            <w:tcW w:w="4876" w:type="dxa"/>
            <w:tcBorders>
              <w:top w:val="nil"/>
              <w:left w:val="nil"/>
              <w:bottom w:val="nil"/>
              <w:right w:val="nil"/>
            </w:tcBorders>
          </w:tcPr>
          <w:p>
            <w:pPr>
              <w:pStyle w:val="Normal6a"/>
            </w:pPr>
            <w:r>
              <w:t>6.</w:t>
            </w:r>
            <w:r>
              <w:tab/>
            </w:r>
            <w:r>
              <w:rPr>
                <w:b/>
                <w:i/>
              </w:rPr>
              <w:t>understreger, at aktindsigt er en grundlæggende rettighed for EU-borgerne og en hjørnesten i det europæiske demokrati;</w:t>
            </w:r>
            <w:r>
              <w:t xml:space="preserve"> </w:t>
            </w:r>
            <w:r>
              <w:rPr>
                <w:b/>
                <w:i/>
              </w:rPr>
              <w:t>den teknologiske og samfundsmæssige udvikling siden vedtagelsen af forordning (EF) nr. 1049/2001 gør det nødvendigt at overveje at konsolidere borgernes ret til aktindsigt;</w:t>
            </w:r>
            <w:r>
              <w:t xml:space="preserve"> </w:t>
            </w:r>
            <w:r>
              <w:rPr>
                <w:b/>
                <w:i/>
              </w:rPr>
              <w:t>opfordrer Kommissionen til at overveje et forslag til revision og</w:t>
            </w:r>
            <w:r>
              <w:t xml:space="preserve"> opfordrer indtrængende Rådet til at indlede konstruktive forhandlinger med Parlamentet og Kommissionen om revisionen af forordning (EF) nr. 1049/2001 </w:t>
            </w:r>
            <w:r>
              <w:rPr>
                <w:b/>
                <w:i/>
              </w:rPr>
              <w:t>for at forbedre gennemsigtigheden og den offentlige</w:t>
            </w:r>
            <w:r>
              <w:t xml:space="preserve"> ansvarlighed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opfordrer indtrængende Rådet til at </w:t>
            </w:r>
            <w:r>
              <w:rPr>
                <w:b/>
                <w:i/>
              </w:rPr>
              <w:t>indlede konstruktive forhandlinger med Parlamentet og Kommissionen om revisionen</w:t>
            </w:r>
            <w:r>
              <w:t xml:space="preserve"> af forordning (EF) nr. 1049/2001 med henblik på at gøre disse tre centrale EU-institutioner til forbilleder for gennemsigtighed og offentlig ansvarlighed i hele EU;</w:t>
            </w:r>
          </w:p>
        </w:tc>
        <w:tc>
          <w:tcPr>
            <w:tcW w:w="4876" w:type="dxa"/>
            <w:tcBorders>
              <w:top w:val="nil"/>
              <w:left w:val="nil"/>
              <w:bottom w:val="nil"/>
              <w:right w:val="nil"/>
            </w:tcBorders>
          </w:tcPr>
          <w:p>
            <w:pPr>
              <w:pStyle w:val="Normal6a"/>
            </w:pPr>
            <w:r>
              <w:t>6.</w:t>
            </w:r>
            <w:r>
              <w:tab/>
            </w:r>
            <w:r>
              <w:t xml:space="preserve">opfordrer indtrængende Rådet til at </w:t>
            </w:r>
            <w:r>
              <w:rPr>
                <w:b/>
                <w:i/>
              </w:rPr>
              <w:t>anerkende behovet for en revision</w:t>
            </w:r>
            <w:r>
              <w:t xml:space="preserve"> af forordning (EF) nr. 1049/2001 </w:t>
            </w:r>
            <w:r>
              <w:rPr>
                <w:b/>
                <w:i/>
              </w:rPr>
              <w:t>og til uden yderligere forsinkelse at indlede konstruktive forhandlinger med Parlamentet og Kommissionen om denne revision</w:t>
            </w:r>
            <w:r>
              <w:t> med henblik på at gøre disse tre centrale EU-institutioner til forbilleder for gennemsigtighed og offentlig ansvarlighed i hele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opfordrer indtrængende Rådet til at indlede konstruktive forhandlinger med Parlamentet og Kommissionen om revisionen af forordning (EF) nr. 1049/2001 med henblik på at gøre disse tre centrale EU-institutioner til forbilleder for gennemsigtighed og offentlig ansvarlighed i hele EU;</w:t>
            </w:r>
          </w:p>
        </w:tc>
        <w:tc>
          <w:tcPr>
            <w:tcW w:w="4876" w:type="dxa"/>
            <w:tcBorders>
              <w:top w:val="nil"/>
              <w:left w:val="nil"/>
              <w:bottom w:val="nil"/>
              <w:right w:val="nil"/>
            </w:tcBorders>
          </w:tcPr>
          <w:p>
            <w:pPr>
              <w:pStyle w:val="Normal6a"/>
            </w:pPr>
            <w:r>
              <w:t>6.</w:t>
            </w:r>
            <w:r>
              <w:tab/>
            </w:r>
            <w:r>
              <w:t>opfordrer indtrængende Rådet til at indlede konstruktive forhandlinger med Parlamentet og Kommissionen om revisionen af forordning (EF) nr. 1049/2001 med henblik på at gøre disse tre centrale EU-institutioner</w:t>
            </w:r>
            <w:r>
              <w:rPr>
                <w:b/>
                <w:i/>
              </w:rPr>
              <w:t>, herunder deres formandskab,</w:t>
            </w:r>
            <w:r>
              <w:t xml:space="preserve"> til forbilleder for gennemsigtighed og offentlig ansvarlighed i hele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er af den faste overbevisning, at enhver revision af forordning (EF) nr. 1049/2001 skal føre til øget aktindsigt for EU-borgere og personer med bopæl i EU i dokumenter fra Unionens institutioner, organer, kontorer og agenturer;</w:t>
            </w:r>
            <w:r>
              <w:t xml:space="preserve"> </w:t>
            </w:r>
            <w:r>
              <w:rPr>
                <w:b/>
                <w:i/>
              </w:rPr>
              <w:t>er fast overbevist om, at udgangspunktet for enhver fremtidig forhandling skal være baseret på den holdning, som Parlamentet allerede har vedtaget, og insisterer på, at en ændret tekst som et absolut minimum skal:</w:t>
            </w:r>
            <w:r>
              <w:t xml:space="preserve"> </w:t>
            </w:r>
            <w:r>
              <w:rPr>
                <w:b/>
                <w:i/>
              </w:rPr>
              <w:t>udvide forordningens anvendelsesområde til at omfatte alle EU's institutioner, kontorer, organer og agenturer;</w:t>
            </w:r>
            <w:r>
              <w:t xml:space="preserve"> </w:t>
            </w:r>
            <w:r>
              <w:rPr>
                <w:b/>
                <w:i/>
              </w:rPr>
              <w:t>øge den lovgivningsmæssige gennemsigtighed, herunder adgang til lovgivningsmæssige juridiske udtalelser, hvorved enhver anvendelse af undtagelser bør udgøre en undtagelse fra den generelle regel om gennemsigtighed;</w:t>
            </w:r>
            <w:r>
              <w:t xml:space="preserve"> </w:t>
            </w:r>
            <w:r>
              <w:rPr>
                <w:b/>
                <w:i/>
              </w:rPr>
              <w:t>medtage Århuskonventionen;</w:t>
            </w:r>
            <w:r>
              <w:t xml:space="preserve"> </w:t>
            </w:r>
            <w:r>
              <w:rPr>
                <w:b/>
                <w:i/>
              </w:rPr>
              <w:t>sikre gennemsigtighed og passende aktindsigt i forbindelse med internationale forhandlinger og aftaler;</w:t>
            </w:r>
            <w:r>
              <w:t xml:space="preserve"> </w:t>
            </w:r>
            <w:r>
              <w:rPr>
                <w:b/>
                <w:i/>
              </w:rPr>
              <w:t>tage højde for, at definitionen af "dokument" også udtrykkeligt henviser til tekst- og straksbeskeder samt e-mails vedrørende erhvervsmæssige aktiviteter;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tilslutter sig konklusionerne i Ombudsmandens særberetning</w:t>
            </w:r>
            <w:r>
              <w:rPr>
                <w:vertAlign w:val="superscript"/>
              </w:rPr>
              <w:t>4</w:t>
            </w:r>
            <w:r>
              <w:t>til Europa-Parlamentet om den tid, det tager Kommissionen at behandle anmodninger om aktindsigt</w:t>
            </w:r>
            <w:r>
              <w:rPr>
                <w:b/>
                <w:i/>
              </w:rPr>
              <w:t>, og er bekymret over Ombudsmandens vurdering af, at disse systemiske og betydelige forsinkelser i Kommissionens behandling af anmodninger om aktindsigt udgør fejl og forsømmelser</w:t>
            </w:r>
            <w:r>
              <w:t xml:space="preserve">; understreger, hvor vigtigt det er, at Kommissionen afsætter flere ressourcer til at behandle genfremsatte begæringer i henhold til forordning (EF) nr. 1049/2001, og </w:t>
            </w:r>
            <w:r>
              <w:rPr>
                <w:b/>
                <w:i/>
              </w:rPr>
              <w:t>opfordrer Kommissionen til som en prioritet at rette op på denne situationen og forbedre sin praksis med at behandle genfremsatte begæringer;</w:t>
            </w:r>
            <w:r>
              <w:t xml:space="preserve"> </w:t>
            </w:r>
            <w:r>
              <w:rPr>
                <w:b/>
                <w:i/>
              </w:rPr>
              <w:t>anerkender vigtigheden af, at alle institutionerne behandler anmodninger om aktindsigt rettidigt</w:t>
            </w:r>
            <w:r>
              <w:t>; minder Kommissionen om Parlamentets ret til at anlægge sag mod den ved Den Europæiske Unions Domstol for overtrædelse af traktaterne og forventer et klart og utvetydigt tilsagn fra det nye kommissærkollegium om at rette op på denne situation;</w:t>
            </w:r>
          </w:p>
        </w:tc>
        <w:tc>
          <w:tcPr>
            <w:tcW w:w="4876" w:type="dxa"/>
            <w:tcBorders>
              <w:top w:val="nil"/>
              <w:left w:val="nil"/>
              <w:bottom w:val="nil"/>
              <w:right w:val="nil"/>
            </w:tcBorders>
          </w:tcPr>
          <w:p>
            <w:pPr>
              <w:pStyle w:val="Normal6a"/>
            </w:pPr>
            <w:r>
              <w:t>7.</w:t>
            </w:r>
            <w:r>
              <w:tab/>
            </w:r>
            <w:r>
              <w:t>tilslutter sig konklusionerne i Ombudsmandens særberetning</w:t>
            </w:r>
            <w:r>
              <w:rPr>
                <w:vertAlign w:val="superscript"/>
              </w:rPr>
              <w:t>4</w:t>
            </w:r>
            <w:r>
              <w:t xml:space="preserve"> til Europa-Parlamentet om den tid, det tager Kommissionen at behandle anmodninger om aktindsigt; understreger, hvor vigtigt det er, at Kommissionen afsætter flere ressourcer til at behandle genfremsatte begæringer i henhold til forordning (EF) nr. 1049/2001, og </w:t>
            </w:r>
            <w:r>
              <w:rPr>
                <w:b/>
                <w:i/>
              </w:rPr>
              <w:t>at der er behov for mere proaktiv gennemsigtighed og en mere konstruktiv tilgang til de personer, der anmoder om aktindsigt;</w:t>
            </w:r>
            <w:r>
              <w:t xml:space="preserve"> </w:t>
            </w:r>
            <w:r>
              <w:rPr>
                <w:b/>
                <w:i/>
              </w:rPr>
              <w:t>opfordrer Kommissionen til at rette op på denne situation som en prioritet ved at reformere sin forvaltning af aktindsigt</w:t>
            </w:r>
            <w:r>
              <w:t>; minder Kommissionen om Parlamentets ret til at anlægge sag mod den ved Den Europæiske Unions Domstol for overtrædelse af traktaterne og forventer et klart og utvetydigt tilsagn fra det nye kommissærkollegium om at rette op på denne situation;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Særberetning fra Den Europæiske Ombudsmand i forbindelse med hendes strategiske undersøgelse af den tid, det tager Europa-Kommissionen at behandle begæringer om aktindsigt (OI/2/2022/OAM).</w:t>
            </w:r>
          </w:p>
        </w:tc>
        <w:tc>
          <w:tcPr>
            <w:tcW w:w="4876" w:type="dxa"/>
            <w:tcBorders>
              <w:top w:val="nil"/>
              <w:left w:val="nil"/>
              <w:bottom w:val="nil"/>
              <w:right w:val="nil"/>
            </w:tcBorders>
          </w:tcPr>
          <w:p>
            <w:pPr>
              <w:pStyle w:val="Normal6a"/>
            </w:pPr>
            <w:r>
              <w:rPr>
                <w:vertAlign w:val="superscript"/>
              </w:rPr>
              <w:t>4</w:t>
            </w:r>
            <w:r>
              <w:t xml:space="preserve"> </w:t>
            </w:r>
            <w:r>
              <w:t>Særberetning fra Den Europæiske Ombudsmand i forbindelse med hendes strategiske undersøgelse af den tid, det tager Europa-Kommissionen at behandle begæringer om aktindsigt (OI/2/2022/OAM).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tilslutter sig konklusionerne i Ombudsmandens særberetning</w:t>
            </w:r>
            <w:r>
              <w:rPr>
                <w:vertAlign w:val="superscript"/>
              </w:rPr>
              <w:t>4</w:t>
            </w:r>
            <w:r>
              <w:t xml:space="preserve">til Europa-Parlamentet om den tid, det tager Kommissionen at behandle anmodninger om aktindsigt, og er bekymret over Ombudsmandens vurdering af, at disse </w:t>
            </w:r>
            <w:r>
              <w:rPr>
                <w:b/>
                <w:i/>
              </w:rPr>
              <w:t>systemiske og betydelige</w:t>
            </w:r>
            <w:r>
              <w:t xml:space="preserve"> forsinkelser i Kommissionens behandling af anmodninger om aktindsigt udgør fejl og forsømmelser; understreger, hvor vigtigt det er, at Kommissionen afsætter flere ressourcer til at behandle genfremsatte begæringer i henhold til forordning (EF) nr. 1049/2001, og opfordrer Kommissionen til som en prioritet at rette op på denne situationen og forbedre sin praksis med at behandle genfremsatte begæringer; anerkender vigtigheden af, at alle institutionerne behandler anmodninger om aktindsigt rettidigt; </w:t>
            </w:r>
            <w:r>
              <w:rPr>
                <w:b/>
                <w:i/>
              </w:rPr>
              <w:t>minder Kommissionen om Parlamentets ret til at anlægge sag mod den ved Den Europæiske Unions Domstol for overtrædelse af traktaterne og</w:t>
            </w:r>
            <w:r>
              <w:t xml:space="preserve"> forventer et klart og utvetydigt tilsagn fra det nye kommissærkollegium om at rette op på denne situation;</w:t>
            </w:r>
          </w:p>
        </w:tc>
        <w:tc>
          <w:tcPr>
            <w:tcW w:w="4876" w:type="dxa"/>
            <w:tcBorders>
              <w:top w:val="nil"/>
              <w:left w:val="nil"/>
              <w:bottom w:val="nil"/>
              <w:right w:val="nil"/>
            </w:tcBorders>
          </w:tcPr>
          <w:p>
            <w:pPr>
              <w:pStyle w:val="Normal6a"/>
            </w:pPr>
            <w:r>
              <w:t>7.</w:t>
            </w:r>
            <w:r>
              <w:tab/>
            </w:r>
            <w:r>
              <w:t>tilslutter sig konklusionerne i Ombudsmandens særberetning</w:t>
            </w:r>
            <w:r>
              <w:rPr>
                <w:vertAlign w:val="superscript"/>
              </w:rPr>
              <w:t>4</w:t>
            </w:r>
            <w:r>
              <w:t xml:space="preserve"> til Europa-Parlamentet om den tid, det tager Kommissionen at behandle anmodninger om aktindsigt, og er bekymret over Ombudsmandens vurdering af, at disse forsinkelser i Kommissionens behandling af anmodninger om aktindsigt udgør fejl og forsømmelser; understreger, hvor vigtigt det er, at Kommissionen afsætter flere ressourcer til at behandle genfremsatte begæringer i henhold til forordning (EF) nr. 1049/2001, og opfordrer Kommissionen til som en prioritet at rette op på denne situationen og forbedre sin praksis med at behandle genfremsatte begæringer; anerkender vigtigheden af, at alle institutionerne behandler anmodninger om aktindsigt rettidigt; forventer et klart og utvetydigt tilsagn fra det nye kommissærkollegium om at rette op på denne situation;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Særberetning fra Den Europæiske Ombudsmand i forbindelse med hendes strategiske undersøgelse af den tid, det tager Europa-Kommissionen at behandle begæringer om aktindsigt (OI/2/2022/OAM).</w:t>
            </w:r>
          </w:p>
        </w:tc>
        <w:tc>
          <w:tcPr>
            <w:tcW w:w="4876" w:type="dxa"/>
            <w:tcBorders>
              <w:top w:val="nil"/>
              <w:left w:val="nil"/>
              <w:bottom w:val="nil"/>
              <w:right w:val="nil"/>
            </w:tcBorders>
          </w:tcPr>
          <w:p>
            <w:pPr>
              <w:pStyle w:val="Normal6a"/>
            </w:pPr>
            <w:r>
              <w:rPr>
                <w:vertAlign w:val="superscript"/>
              </w:rPr>
              <w:t>4</w:t>
            </w:r>
            <w:r>
              <w:t xml:space="preserve"> </w:t>
            </w:r>
            <w:r>
              <w:t>Særberetning fra Den Europæiske Ombudsmand i forbindelse med hendes strategiske undersøgelse af den tid, det tager Europa-Kommissionen at behandle begæringer om aktindsigt (OI/2/2022/OAM).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tilslutter sig konklusionerne i Ombudsmandens særberetning</w:t>
            </w:r>
            <w:r>
              <w:rPr>
                <w:vertAlign w:val="superscript"/>
              </w:rPr>
              <w:t>4</w:t>
            </w:r>
            <w:r>
              <w:t>til Europa-Parlamentet om den tid, det tager Kommissionen at behandle anmodninger om aktindsigt, og er bekymret over Ombudsmandens vurdering af, at disse systemiske og betydelige forsinkelser i Kommissionens behandling af anmodninger om aktindsigt udgør fejl og forsømmelser; understreger, hvor vigtigt det er, at Kommissionen afsætter flere ressourcer til at behandle genfremsatte begæringer i henhold til forordning (EF) nr. 1049/2001, og opfordrer Kommissionen til som en prioritet at rette op på denne situationen og forbedre sin praksis med at behandle genfremsatte begæringer; anerkender vigtigheden af, at alle institutionerne behandler anmodninger om aktindsigt rettidigt; minder Kommissionen om Parlamentets ret til at anlægge sag mod den ved Den Europæiske Unions Domstol for overtrædelse af traktaterne og forventer et klart og utvetydigt tilsagn fra det nye kommissærkollegium om at rette op på denne situation;</w:t>
            </w:r>
          </w:p>
        </w:tc>
        <w:tc>
          <w:tcPr>
            <w:tcW w:w="4876" w:type="dxa"/>
            <w:tcBorders>
              <w:top w:val="nil"/>
              <w:left w:val="nil"/>
              <w:bottom w:val="nil"/>
              <w:right w:val="nil"/>
            </w:tcBorders>
          </w:tcPr>
          <w:p>
            <w:pPr>
              <w:pStyle w:val="Normal6a"/>
            </w:pPr>
            <w:r>
              <w:t>7.</w:t>
            </w:r>
            <w:r>
              <w:tab/>
            </w:r>
            <w:r>
              <w:t>tilslutter sig konklusionerne i Ombudsmandens særberetning</w:t>
            </w:r>
            <w:r>
              <w:rPr>
                <w:vertAlign w:val="superscript"/>
              </w:rPr>
              <w:t>4</w:t>
            </w:r>
            <w:r>
              <w:t xml:space="preserve"> til Europa-Parlamentet om den tid, det tager Kommissionen at behandle anmodninger om aktindsigt, og er bekymret over Ombudsmandens vurdering af, at disse systemiske og betydelige forsinkelser i Kommissionens behandling af anmodninger om aktindsigt udgør fejl og forsømmelser; understreger, hvor vigtigt det er, at Kommissionen afsætter flere ressourcer til at behandle genfremsatte begæringer i henhold til forordning (EF) nr. 1049/2001, og opfordrer Kommissionen til som en prioritet at rette op på denne situationen og forbedre sin praksis med at behandle genfremsatte begæringer</w:t>
            </w:r>
            <w:r>
              <w:rPr>
                <w:b/>
                <w:i/>
              </w:rPr>
              <w:t>;</w:t>
            </w:r>
            <w:r>
              <w:t xml:space="preserve"> </w:t>
            </w:r>
            <w:r>
              <w:rPr>
                <w:b/>
                <w:i/>
              </w:rPr>
              <w:t>bemærker, at Ombudsmanden, hvis en klage ikke falder ind under Ombudsmandens ansvarsområde, kan foreslå klageren at henvise sagen til en anden myndighed eller til Udvalget for Andragender</w:t>
            </w:r>
            <w:r>
              <w:t>; anerkender vigtigheden af, at alle institutionerne behandler anmodninger om aktindsigt rettidigt; minder Kommissionen om Parlamentets ret til at anlægge sag mod den ved Den Europæiske Unions Domstol for overtrædelse af traktaterne og forventer et klart og utvetydigt tilsagn fra det nye kommissærkollegium om at rette op på denne situation;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Særberetning fra Den Europæiske Ombudsmand i forbindelse med hendes strategiske undersøgelse af den tid, det tager Europa-Kommissionen at behandle begæringer om aktindsigt (OI/2/2022/OAM).</w:t>
            </w:r>
          </w:p>
        </w:tc>
        <w:tc>
          <w:tcPr>
            <w:tcW w:w="4876" w:type="dxa"/>
            <w:tcBorders>
              <w:top w:val="nil"/>
              <w:left w:val="nil"/>
              <w:bottom w:val="nil"/>
              <w:right w:val="nil"/>
            </w:tcBorders>
          </w:tcPr>
          <w:p>
            <w:pPr>
              <w:pStyle w:val="Normal6a"/>
            </w:pPr>
            <w:r>
              <w:rPr>
                <w:vertAlign w:val="superscript"/>
              </w:rPr>
              <w:t>4</w:t>
            </w:r>
            <w:r>
              <w:t xml:space="preserve"> </w:t>
            </w:r>
            <w:r>
              <w:t>Særberetning fra Den Europæiske Ombudsmand i forbindelse med hendes strategiske undersøgelse af den tid, det tager Europa-Kommissionen at behandle begæringer om aktindsigt (OI/2/2022/OAM).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tilslutter sig konklusionerne i Ombudsmandens særberetning</w:t>
            </w:r>
            <w:r>
              <w:rPr>
                <w:b/>
                <w:i/>
                <w:vertAlign w:val="superscript"/>
              </w:rPr>
              <w:t>4</w:t>
            </w:r>
            <w:r>
              <w:t>til Europa-Parlamentet om den tid, det tager Kommissionen at behandle anmodninger om aktindsigt, og er bekymret over Ombudsmandens vurdering af, at disse systemiske og betydelige forsinkelser i Kommissionens behandling af anmodninger om aktindsigt udgør fejl og forsømmelser; understreger, hvor vigtigt det er, at Kommissionen afsætter flere ressourcer til at behandle genfremsatte begæringer i henhold til forordning (EF) nr. 1049/2001, og opfordrer Kommissionen til som en prioritet at rette op på denne situationen og forbedre sin praksis med at behandle genfremsatte begæringer; anerkender vigtigheden af, at alle institutionerne behandler anmodninger om aktindsigt rettidigt; minder Kommissionen om Parlamentets ret til at anlægge sag mod den ved Den Europæiske Unions Domstol for overtrædelse af traktaterne og forventer et klart og utvetydigt tilsagn fra det nye kommissærkollegium om at rette op på denne situation;</w:t>
            </w:r>
          </w:p>
        </w:tc>
        <w:tc>
          <w:tcPr>
            <w:tcW w:w="4876" w:type="dxa"/>
            <w:tcBorders>
              <w:top w:val="nil"/>
              <w:left w:val="nil"/>
              <w:bottom w:val="nil"/>
              <w:right w:val="nil"/>
            </w:tcBorders>
          </w:tcPr>
          <w:p>
            <w:pPr>
              <w:pStyle w:val="Normal6a"/>
            </w:pPr>
            <w:r>
              <w:t>7.</w:t>
            </w:r>
            <w:r>
              <w:tab/>
            </w:r>
            <w:r>
              <w:t>tilslutter sig konklusionerne i Ombudsmandens særberetning</w:t>
            </w:r>
            <w:r>
              <w:rPr>
                <w:b/>
                <w:i/>
              </w:rPr>
              <w:t>[1]</w:t>
            </w:r>
            <w:r>
              <w:t xml:space="preserve"> til Europa-Parlamentet om den tid, det tager Kommissionen at behandle anmodninger om aktindsigt, og er bekymret over Ombudsmandens vurdering af, at disse systemiske og betydelige forsinkelser i Kommissionens behandling af anmodninger om aktindsigt udgør fejl og forsømmelser; understreger, hvor vigtigt det er, at Kommissionen afsætter flere ressourcer til at behandle genfremsatte begæringer i henhold til forordning (EF) nr. 1049/2001, </w:t>
            </w:r>
            <w:r>
              <w:rPr>
                <w:b/>
                <w:i/>
              </w:rPr>
              <w:t>minder Kommissionen om, at der allerede er gået et år, siden Ombudsmanden i sin særberetning anbefalede, at Kommissionen prioriterer at rette op på denne situation,</w:t>
            </w:r>
            <w:r>
              <w:t xml:space="preserve"> og opfordrer Kommissionen til som en prioritet at rette op på denne situationen og </w:t>
            </w:r>
            <w:r>
              <w:rPr>
                <w:b/>
                <w:i/>
              </w:rPr>
              <w:t>hurtigst muligt</w:t>
            </w:r>
            <w:r>
              <w:t xml:space="preserve"> forbedre sin praksis med at behandle genfremsatte begæringer; anerkender vigtigheden af, at alle institutionerne behandler anmodninger om aktindsigt rettidigt; minder Kommissionen om Parlamentets ret til at anlægge sag mod den ved Den Europæiske Unions Domstol for overtrædelse af traktaterne og forventer et klart og utvetydigt tilsagn fra det nye kommissærkollegium om at rette op på denne situation; </w:t>
            </w:r>
            <w:r>
              <w:rPr>
                <w:b/>
                <w:i/>
              </w:rPr>
              <w:t>[1] Særberetning fra Den Europæiske Ombudsmand i forbindelse med hendes strategiske undersøgelse af den tid, det tager Europa-Kommissionen at behandle begæringer om aktindsigt (OI/2/2022/OAM).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Særberetning fra Den Europæiske Ombudsmand i forbindelse med hendes strategiske undersøgelse af den tid, det tager Europa-Kommissionen at behandle begæringer om aktindsigt (OI/2/2022/OAM).</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tilslutter sig konklusionerne i Ombudsmandens særberetning</w:t>
            </w:r>
            <w:r>
              <w:rPr>
                <w:vertAlign w:val="superscript"/>
              </w:rPr>
              <w:t>4</w:t>
            </w:r>
            <w:r>
              <w:t>til Europa-Parlamentet om den tid, det tager Kommissionen at behandle anmodninger om aktindsigt, og er bekymret over Ombudsmandens vurdering af, at disse systemiske og betydelige forsinkelser i Kommissionens behandling af anmodninger om aktindsigt udgør fejl og forsømmelser; understreger, hvor vigtigt det er, at Kommissionen afsætter flere ressourcer til at behandle genfremsatte begæringer i henhold til forordning (EF) nr. 1049/2001, og opfordrer Kommissionen til som en prioritet at rette op på denne situationen og forbedre sin praksis med at behandle genfremsatte begæringer; anerkender vigtigheden af, at alle institutionerne behandler anmodninger om aktindsigt rettidigt; minder Kommissionen om Parlamentets ret til at anlægge sag mod den ved Den Europæiske Unions Domstol for overtrædelse af traktaterne og forventer et klart og utvetydigt tilsagn fra det nye kommissærkollegium om at rette op på denne situation;</w:t>
            </w:r>
          </w:p>
        </w:tc>
        <w:tc>
          <w:tcPr>
            <w:tcW w:w="4876" w:type="dxa"/>
            <w:tcBorders>
              <w:top w:val="nil"/>
              <w:left w:val="nil"/>
              <w:bottom w:val="nil"/>
              <w:right w:val="nil"/>
            </w:tcBorders>
          </w:tcPr>
          <w:p>
            <w:pPr>
              <w:pStyle w:val="Normal6a"/>
            </w:pPr>
            <w:r>
              <w:t>7.</w:t>
            </w:r>
            <w:r>
              <w:tab/>
            </w:r>
            <w:r>
              <w:t>tilslutter sig konklusionerne i Ombudsmandens særberetning</w:t>
            </w:r>
            <w:r>
              <w:rPr>
                <w:vertAlign w:val="superscript"/>
              </w:rPr>
              <w:t>4</w:t>
            </w:r>
            <w:r>
              <w:t xml:space="preserve"> til Europa-Parlamentet om den tid, det tager Kommissionen at behandle anmodninger om aktindsigt, og er bekymret over Ombudsmandens vurdering af, at disse systemiske og betydelige forsinkelser i Kommissionens behandling af anmodninger om aktindsigt udgør fejl og forsømmelser; understreger, hvor vigtigt det er, at Kommissionen afsætter flere ressourcer til at behandle genfremsatte begæringer i henhold til forordning (EF) nr. 1049/2001, og opfordrer Kommissionen til som en prioritet at rette op på denne situationen og forbedre sin praksis med at behandle genfremsatte begæringer; anerkender vigtigheden af, at alle institutionerne behandler anmodninger om aktindsigt rettidigt; minder Kommissionen om Parlamentets ret til at anlægge sag mod den ved Den Europæiske Unions Domstol for overtrædelse af traktaterne og forventer et klart og utvetydigt tilsagn fra det nye kommissærkollegium </w:t>
            </w:r>
            <w:r>
              <w:rPr>
                <w:b/>
                <w:i/>
              </w:rPr>
              <w:t>og dets formand</w:t>
            </w:r>
            <w:r>
              <w:t xml:space="preserve"> om at rette op på denne situation;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Særberetning fra Den Europæiske Ombudsmand i forbindelse med hendes strategiske undersøgelse af den tid, det tager Europa-Kommissionen at behandle begæringer om aktindsigt (OI/2/2022/OAM).</w:t>
            </w:r>
          </w:p>
        </w:tc>
        <w:tc>
          <w:tcPr>
            <w:tcW w:w="4876" w:type="dxa"/>
            <w:tcBorders>
              <w:top w:val="nil"/>
              <w:left w:val="nil"/>
              <w:bottom w:val="nil"/>
              <w:right w:val="nil"/>
            </w:tcBorders>
          </w:tcPr>
          <w:p>
            <w:pPr>
              <w:pStyle w:val="Normal6a"/>
            </w:pPr>
            <w:r>
              <w:rPr>
                <w:vertAlign w:val="superscript"/>
              </w:rPr>
              <w:t>4</w:t>
            </w:r>
            <w:r>
              <w:t xml:space="preserve"> </w:t>
            </w:r>
            <w:r>
              <w:t>Særberetning fra Den Europæiske Ombudsmand i forbindelse med hendes strategiske undersøgelse af den tid, det tager Europa-Kommissionen at behandle begæringer om aktindsigt (OI/2/2022/OAM).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Maria Zacharia,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minder om Kommissionens afslag i 2002 og Ombudsmandens klage over fejl og forsømmelser i forbindelse med afslaget på at give fuld adgang til tekstbeskeder mellem Ursula von der Leyen, formand for Kommissionen, og Albert Bourla, administrerende direktør for lægemiddelgiganten Pfizer, vedrørende kontrakter om covid-19-vacciner;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tilslutter sig vurderingen i Ombudsmandens særberetning, som understreger, at medmindre og indtil Kommissionen på højeste niveau i praksis viser, at gennemsigtighed er reglen og en prioritet for institutionen, vil dens behandling af anmodninger fortsat blive forsinket;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noterer sig</w:t>
            </w:r>
            <w:r>
              <w:t xml:space="preserve"> Ombudsmandens undersøgelse af, i hvilket omfang Europa-Parlamentet, Rådet for Den Europæiske Union og Europa-Kommissionen anvender EU-retten, og Den Europæiske Unions Domstols afgørelser med hensyn til begæringer om aktindsigt i lovgivningsmæssige dokumenter, og hvori Ombudsmanden understregede, at det var nødvendigt at lette EU-borgernes deltagelse i EU's lovgivningsproces;</w:t>
            </w:r>
          </w:p>
        </w:tc>
        <w:tc>
          <w:tcPr>
            <w:tcW w:w="4876" w:type="dxa"/>
            <w:tcBorders>
              <w:top w:val="nil"/>
              <w:left w:val="nil"/>
              <w:bottom w:val="nil"/>
              <w:right w:val="nil"/>
            </w:tcBorders>
          </w:tcPr>
          <w:p>
            <w:pPr>
              <w:pStyle w:val="Normal6a"/>
            </w:pPr>
            <w:r>
              <w:t>8.</w:t>
            </w:r>
            <w:r>
              <w:tab/>
            </w:r>
            <w:r>
              <w:rPr>
                <w:b/>
                <w:i/>
              </w:rPr>
              <w:t>påskønner</w:t>
            </w:r>
            <w:r>
              <w:t xml:space="preserve"> Ombudsmandens undersøgelse af, i hvilket omfang Europa-Parlamentet, Rådet for Den Europæiske Union og Europa-Kommissionen anvender EU-retten, og Den Europæiske Unions Domstols afgørelser med hensyn til begæringer om aktindsigt i lovgivningsmæssige dokumenter, og hvori Ombudsmanden understregede, at det var nødvendigt at </w:t>
            </w:r>
            <w:r>
              <w:rPr>
                <w:b/>
                <w:i/>
              </w:rPr>
              <w:t>sikre rettidig aktindsigt i lovgivningsdokumenter og</w:t>
            </w:r>
            <w:r>
              <w:t xml:space="preserve"> lette EU-borgernes deltagelse i EU's lovgivningsproces; </w:t>
            </w:r>
            <w:r>
              <w:rPr>
                <w:b/>
                <w:i/>
              </w:rPr>
              <w:t>understreger, at Ombudsmanden med bekymring bemærkede, at tidligere undersøgelser vedrørende utilstrækkelig og forsinket aktindsigt tydede på, at disse institutioner ikke gav EU-retten og den tilhørende retspraksis fuld virkning;</w:t>
            </w:r>
            <w:r>
              <w:t xml:space="preserve"> </w:t>
            </w:r>
            <w:r>
              <w:rPr>
                <w:b/>
                <w:i/>
              </w:rPr>
              <w:t>beklager, at EU-institutionerne ved at nægte at offentliggøre lovgivningsmæssige dokumenter i nogle tilfælde kun fremlagde generelle argumenter eller endda de samme argumenter, som tidligere blev afvist af EU's retsinstanser;</w:t>
            </w:r>
            <w:r>
              <w:t xml:space="preserve"> </w:t>
            </w:r>
            <w:r>
              <w:rPr>
                <w:b/>
                <w:i/>
              </w:rPr>
              <w:t>minder om, at EU-institutionerne i henhold til EU's retspraksis kun kan nægte at offentliggøre lovgivningsmæssige dokumenter under ekstraordinære omstændigheder, og at deres begrundelse herfor skal være baseret på specifikke og håndgribelige kendsgerninger;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Jana Toom,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noterer sig Ombudsmandens undersøgelse af, i hvilket omfang Europa-Parlamentet, Rådet for Den Europæiske Union og Europa-Kommissionen anvender EU-retten, og Den Europæiske Unions Domstols afgørelser med hensyn til begæringer om aktindsigt i lovgivningsmæssige dokumenter, og hvori Ombudsmanden understregede, at det var nødvendigt at lette EU-borgernes deltagelse i EU's lovgivningsproces;</w:t>
            </w:r>
          </w:p>
        </w:tc>
        <w:tc>
          <w:tcPr>
            <w:tcW w:w="4876" w:type="dxa"/>
            <w:tcBorders>
              <w:top w:val="nil"/>
              <w:left w:val="nil"/>
              <w:bottom w:val="nil"/>
              <w:right w:val="nil"/>
            </w:tcBorders>
          </w:tcPr>
          <w:p>
            <w:pPr>
              <w:pStyle w:val="Normal6a"/>
            </w:pPr>
            <w:r>
              <w:t>8.</w:t>
            </w:r>
            <w:r>
              <w:tab/>
            </w:r>
            <w:r>
              <w:t xml:space="preserve">noterer sig Ombudsmandens undersøgelse af, i hvilket omfang Europa-Parlamentet, Rådet for Den Europæiske Union og Europa-Kommissionen anvender EU-retten, og Den Europæiske Unions Domstols afgørelser med hensyn til begæringer om aktindsigt i lovgivningsmæssige dokumenter, og hvori Ombudsmanden understregede, at det var nødvendigt at lette EU-borgernes deltagelse i EU's lovgivningsproces; </w:t>
            </w:r>
            <w:r>
              <w:rPr>
                <w:b/>
                <w:i/>
              </w:rPr>
              <w:t>anerkender betydningen af, at alle institutioner behandler begæringer om aktindsigt rettidigt for at fremme tilliden til europæisk lovgivning;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minder om, at offentlighed og gennemsigtighed er hovedprincipperne bag EU's lovgivningsproces, hvilket bekræftes af Domstolens retspraksis, som gav klare juridiske retningslinjer for, hvordan man sikrer, at disse principper respekteres fuldt ud og konsekvent;</w:t>
            </w:r>
            <w:r>
              <w:t xml:space="preserve"> </w:t>
            </w:r>
            <w:r>
              <w:rPr>
                <w:b/>
                <w:i/>
              </w:rPr>
              <w:t>minder om, at Domstolen også fastslog, at manglen på gennemsigtighed og information svækker borgernes tillid til legitimiteten af EU's lovgivningsproces som helhed;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er især bekymret over, at Ombudsmanden konstaterede fejl og forsømmelser i Kommissionens afslag på at give aktindsigt i dokumenter vedrørende den keramiske industris drivhusgasemissioner, der er indberettet inden for rammerne af EU's emissionshandelssystem; </w:t>
            </w:r>
            <w:r>
              <w:rPr>
                <w:b/>
                <w:i/>
              </w:rPr>
              <w:t>opfordrer</w:t>
            </w:r>
            <w:r>
              <w:t xml:space="preserve"> Kommissionen </w:t>
            </w:r>
            <w:r>
              <w:rPr>
                <w:b/>
                <w:i/>
              </w:rPr>
              <w:t>til at være særlig opmærksom på den tungtvejende offentlige interesse og til at være mere opmærksom herpå, når den vurderer muligheden for at offentliggøre dokumenter vedrørende emissioner til miljøet</w:t>
            </w:r>
            <w:r>
              <w:t>;</w:t>
            </w:r>
          </w:p>
        </w:tc>
        <w:tc>
          <w:tcPr>
            <w:tcW w:w="4876" w:type="dxa"/>
            <w:tcBorders>
              <w:top w:val="nil"/>
              <w:left w:val="nil"/>
              <w:bottom w:val="nil"/>
              <w:right w:val="nil"/>
            </w:tcBorders>
          </w:tcPr>
          <w:p>
            <w:pPr>
              <w:pStyle w:val="Normal6a"/>
            </w:pPr>
            <w:r>
              <w:t>9.</w:t>
            </w:r>
            <w:r>
              <w:tab/>
            </w:r>
            <w:r>
              <w:t xml:space="preserve">er især bekymret over, at Ombudsmanden konstaterede fejl og forsømmelser i Kommissionens afslag på at give aktindsigt i dokumenter vedrørende den keramiske industris drivhusgasemissioner, der er indberettet inden for rammerne af EU's emissionshandelssystem; </w:t>
            </w:r>
            <w:r>
              <w:rPr>
                <w:b/>
                <w:i/>
              </w:rPr>
              <w:t>beklager, at</w:t>
            </w:r>
            <w:r>
              <w:t xml:space="preserve"> Kommissionen </w:t>
            </w:r>
            <w:r>
              <w:rPr>
                <w:b/>
                <w:i/>
              </w:rPr>
              <w:t>afviste Ombudsmandens løsningsforslag og fastholdt den holdning, der blev vedtaget i dens bekræftende afgørelse, og dermed ikke sikrede den nødvendige gennemsigtighed og ikke gav EU's Århusforordning og Århuskonventionen fuld virkning;</w:t>
            </w:r>
            <w:r>
              <w:t xml:space="preserve"> </w:t>
            </w:r>
            <w:r>
              <w:rPr>
                <w:b/>
                <w:i/>
              </w:rPr>
              <w:t>opfordrer Kommissionen til at sikre fuld aktindsigt i miljøoplysninger og offentlig deltagelse i beslutningsprocesser på miljøområdet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er især bekymret over, at Ombudsmanden konstaterede fejl og forsømmelser i Kommissionens afslag på at give aktindsigt i dokumenter vedrørende den keramiske industris drivhusgasemissioner, der er indberettet inden for rammerne af EU's emissionshandelssystem; opfordrer Kommissionen til at være særlig opmærksom på den tungtvejende offentlige interesse og til at være mere opmærksom herpå, når den vurderer muligheden for at offentliggøre dokumenter vedrørende emissioner til miljøet;</w:t>
            </w:r>
          </w:p>
        </w:tc>
        <w:tc>
          <w:tcPr>
            <w:tcW w:w="4876" w:type="dxa"/>
            <w:tcBorders>
              <w:top w:val="nil"/>
              <w:left w:val="nil"/>
              <w:bottom w:val="nil"/>
              <w:right w:val="nil"/>
            </w:tcBorders>
          </w:tcPr>
          <w:p>
            <w:pPr>
              <w:pStyle w:val="Normal6a"/>
            </w:pPr>
            <w:r>
              <w:t>9.</w:t>
            </w:r>
            <w:r>
              <w:tab/>
            </w:r>
            <w:r>
              <w:t xml:space="preserve">er især bekymret over, at Ombudsmanden konstaterede fejl og forsømmelser i Kommissionens afslag på at give aktindsigt i dokumenter vedrørende den keramiske industris drivhusgasemissioner, der er indberettet inden for rammerne af EU's emissionshandelssystem; opfordrer </w:t>
            </w:r>
            <w:r>
              <w:rPr>
                <w:b/>
                <w:i/>
              </w:rPr>
              <w:t>Ombudsmanden til fortsat at øge bevidstheden om resultaterne af undersøgelser vedrørende EU's og tredjelandes handelsforhandlinger, som kan føre til øget gennemsigtighed i EU's handelsaftaler;</w:t>
            </w:r>
            <w:r>
              <w:t xml:space="preserve"> </w:t>
            </w:r>
            <w:r>
              <w:rPr>
                <w:b/>
                <w:i/>
              </w:rPr>
              <w:t>opfordrer</w:t>
            </w:r>
            <w:r>
              <w:t xml:space="preserve"> Kommissionen til at være særlig opmærksom på den tungtvejende offentlige interesse og til at være mere opmærksom herpå, når den vurderer muligheden for at offentliggøre dokumenter vedrørende emissioner til miljøet;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er især bekymret over, at Ombudsmanden konstaterede fejl og forsømmelser i Kommissionens afslag på at give aktindsigt i dokumenter vedrørende den keramiske industris drivhusgasemissioner, der er indberettet inden for rammerne af EU's emissionshandelssystem; opfordrer Kommissionen til at være særlig opmærksom på den tungtvejende offentlige interesse og til at være mere opmærksom herpå, når den vurderer muligheden for at offentliggøre dokumenter vedrørende emissioner til miljøet;</w:t>
            </w:r>
          </w:p>
        </w:tc>
        <w:tc>
          <w:tcPr>
            <w:tcW w:w="4876" w:type="dxa"/>
            <w:tcBorders>
              <w:top w:val="nil"/>
              <w:left w:val="nil"/>
              <w:bottom w:val="nil"/>
              <w:right w:val="nil"/>
            </w:tcBorders>
          </w:tcPr>
          <w:p>
            <w:pPr>
              <w:pStyle w:val="Normal6a"/>
            </w:pPr>
            <w:r>
              <w:t>9.</w:t>
            </w:r>
            <w:r>
              <w:tab/>
            </w:r>
            <w:r>
              <w:t>er især bekymret over, at Ombudsmanden konstaterede fejl og forsømmelser i Kommissionens afslag på at give aktindsigt i dokumenter vedrørende den keramiske industris drivhusgasemissioner, der er indberettet inden for rammerne af EU's emissionshandelssystem</w:t>
            </w:r>
            <w:r>
              <w:rPr>
                <w:b/>
                <w:i/>
              </w:rPr>
              <w:t>, som det er tilfældet for alle kontrakter, der er indgået med lægemiddelindustrien siden 2020</w:t>
            </w:r>
            <w:r>
              <w:t>; opfordrer Kommissionen til at være særlig opmærksom på den tungtvejende offentlige interesse og til at være mere opmærksom herpå, når den vurderer muligheden for at offentliggøre dokumenter vedrørende emissioner til miljøet;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Fidias Panayiotou, Maria Zacharia, 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er stærkt bekymret over, at Kommissionens afslag på at give aktindsigt i dokumenter vedrørende de drivhusgasemissioner, der rapporteres under EU's emissionshandelssystem, omfatter flere industrianlæg end den keramiske industri, og opfordrer Kommissionen til at sikre fuld offentlig adgang til miljøoplysninger;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beklager manglen på initiativer til støtte for borgere, der indgiver klager over vind- og solenergiselskabers grove misbrug af miljøet uden nogen væsentlig fordel for lokalsamfundene;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beklager, at der ikke er truffet foranstaltninger til støtte for den europæiske konkurrencelovgivning på energi-, fødevare-, transport- og telekommunikationsmarkederne, som er fuldstændig kontrolleret af monopolistiske praksisser;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beklager, at der ikke er truffet foranstaltninger til støtte for græske borgere, som gentagne gange er blevet udvist fra Istanbul, Imbros og Tenedos i strid med bestemmelserne i Lausannetraktaten;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støtter Ombudsmandens hensigt om at foretage en bredere undersøgelse af, hvordan Kommissionen fortolker begrebet miljøoplysninger og oplysninger vedrørende emissioner til miljøet;</w:t>
            </w:r>
            <w:r>
              <w:t xml:space="preserve"> roser Ombudsmanden for at understrege, at EU har en forpligtelse til at sikre en høj grad af offentlig adgang til miljøoplysninger og offentlig deltagelse i beslutningsprocesser vedrørende miljøet;</w:t>
            </w:r>
          </w:p>
        </w:tc>
        <w:tc>
          <w:tcPr>
            <w:tcW w:w="4876" w:type="dxa"/>
            <w:tcBorders>
              <w:top w:val="nil"/>
              <w:left w:val="nil"/>
              <w:bottom w:val="nil"/>
              <w:right w:val="nil"/>
            </w:tcBorders>
          </w:tcPr>
          <w:p>
            <w:pPr>
              <w:pStyle w:val="Normal6a"/>
            </w:pPr>
            <w:r>
              <w:t>10.</w:t>
            </w:r>
            <w:r>
              <w:tab/>
            </w:r>
            <w:r>
              <w:t>roser Ombudsmanden for at understrege, at EU har en forpligtelse til at sikre en høj grad af offentlig adgang til miljøoplysninger og offentlig deltagelse i beslutningsprocesser vedrørende miljøet;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Jana Toom,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støtter Ombudsmandens hensigt om at foretage en bredere undersøgelse af, hvordan Kommissionen fortolker begrebet miljøoplysninger og oplysninger vedrørende emissioner til miljøet; </w:t>
            </w:r>
            <w:r>
              <w:rPr>
                <w:b/>
                <w:i/>
              </w:rPr>
              <w:t>roser Ombudsmanden for at understrege</w:t>
            </w:r>
            <w:r>
              <w:t>, at EU har en forpligtelse til at sikre en høj grad af offentlig adgang til miljøoplysninger og offentlig deltagelse i beslutningsprocesser vedrørende miljøet;</w:t>
            </w:r>
          </w:p>
        </w:tc>
        <w:tc>
          <w:tcPr>
            <w:tcW w:w="4876" w:type="dxa"/>
            <w:tcBorders>
              <w:top w:val="nil"/>
              <w:left w:val="nil"/>
              <w:bottom w:val="nil"/>
              <w:right w:val="nil"/>
            </w:tcBorders>
          </w:tcPr>
          <w:p>
            <w:pPr>
              <w:pStyle w:val="Normal6a"/>
            </w:pPr>
            <w:r>
              <w:t>10.</w:t>
            </w:r>
            <w:r>
              <w:tab/>
            </w:r>
            <w:r>
              <w:t xml:space="preserve">støtter Ombudsmandens hensigt om at foretage en bredere undersøgelse af, hvordan Kommissionen fortolker begrebet miljøoplysninger og oplysninger vedrørende emissioner til miljøet; </w:t>
            </w:r>
            <w:r>
              <w:rPr>
                <w:b/>
                <w:i/>
              </w:rPr>
              <w:t>minder om, at et betydeligt antal andragender til Europa-Parlamentet vedrører manglende eller begrænset adgang til miljøoplysninger;</w:t>
            </w:r>
            <w:r>
              <w:t xml:space="preserve"> </w:t>
            </w:r>
            <w:r>
              <w:rPr>
                <w:b/>
                <w:i/>
              </w:rPr>
              <w:t>understreger</w:t>
            </w:r>
            <w:r>
              <w:t>, at EU har en forpligtelse til at sikre en høj grad af offentlig adgang til miljøoplysninger og offentlig deltagelse i beslutningsprocesser vedrørende miljøet;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støtter Ombudsmandens hensigt om at foretage en bredere undersøgelse af, hvordan Kommissionen fortolker begrebet miljøoplysninger og oplysninger vedrørende emissioner til miljøet; roser Ombudsmanden for at understrege, at EU har en forpligtelse til at sikre en høj grad af offentlig adgang til miljøoplysninger og offentlig deltagelse i beslutningsprocesser vedrørende miljøet;</w:t>
            </w:r>
          </w:p>
        </w:tc>
        <w:tc>
          <w:tcPr>
            <w:tcW w:w="4876" w:type="dxa"/>
            <w:tcBorders>
              <w:top w:val="nil"/>
              <w:left w:val="nil"/>
              <w:bottom w:val="nil"/>
              <w:right w:val="nil"/>
            </w:tcBorders>
          </w:tcPr>
          <w:p>
            <w:pPr>
              <w:pStyle w:val="Normal6a"/>
            </w:pPr>
            <w:r>
              <w:t>10.</w:t>
            </w:r>
            <w:r>
              <w:tab/>
            </w:r>
            <w:r>
              <w:t xml:space="preserve">støtter Ombudsmandens hensigt om at foretage en bredere undersøgelse af, hvordan Kommissionen fortolker begrebet miljøoplysninger og oplysninger vedrørende emissioner til miljøet; roser Ombudsmanden for at understrege, at EU </w:t>
            </w:r>
            <w:r>
              <w:rPr>
                <w:b/>
                <w:i/>
              </w:rPr>
              <w:t>og navnlig Kommissionen</w:t>
            </w:r>
            <w:r>
              <w:t xml:space="preserve"> har en forpligtelse til at sikre en høj grad af offentlig adgang til miljøoplysninger og offentlig deltagelse i beslutningsprocesser vedrørende miljøet;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Maria Zacharia,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opfordrer Rådet til at give fuld aktindsigt i den juridiske udtalelse om det foreslåede EU-direktiv om passende mindstelønninger i Den Europæiske Union som anbefalet af Ombudsmanden, der fandt bevis for fejl og forsømmelser i denne sag;</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opfordrer Ombudsmanden til at foretage en bredere undersøgelse af aktindsigt i dokumenter vedrørende de industrianlæg, der er omfattet af EU's emissionshandelssystem, og vedrørende mulige forvridninger af det europæiske CO</w:t>
            </w:r>
            <w:r>
              <w:rPr>
                <w:b/>
                <w:i/>
                <w:vertAlign w:val="subscript"/>
              </w:rPr>
              <w:t>2</w:t>
            </w:r>
            <w:r>
              <w:rPr>
                <w:b/>
                <w:i/>
              </w:rPr>
              <w:t>-marked som følge af manglende aktindsigt;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Kosma Złotowski, Ivaylo Valchev,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lykønsker Ombudsmanden med hendes bestræbelser på at bidrage yderligere til klarlæggelsen af, hvad der udgør et EU-dokument</w:t>
            </w:r>
            <w:r>
              <w:t xml:space="preserve">, </w:t>
            </w:r>
            <w:r>
              <w:rPr>
                <w:b/>
                <w:i/>
              </w:rPr>
              <w:t>og understreger, at det er afgørende, at EU-institutionerne følger Ombudsmandens henstillinger med henblik på at tilpasse deres administrative praksis til udviklingen inden for kommunikationsmidler</w:t>
            </w:r>
            <w:r>
              <w:t>;</w:t>
            </w:r>
          </w:p>
        </w:tc>
        <w:tc>
          <w:tcPr>
            <w:tcW w:w="4876" w:type="dxa"/>
            <w:tcBorders>
              <w:top w:val="nil"/>
              <w:left w:val="nil"/>
              <w:bottom w:val="nil"/>
              <w:right w:val="nil"/>
            </w:tcBorders>
          </w:tcPr>
          <w:p>
            <w:pPr>
              <w:pStyle w:val="Normal6a"/>
            </w:pPr>
            <w:r>
              <w:t>11.</w:t>
            </w:r>
            <w:r>
              <w:tab/>
            </w:r>
            <w:r>
              <w:rPr>
                <w:b/>
                <w:i/>
              </w:rPr>
              <w:t>beklager, at spørgsmålet om, hvad der udgør et EU-dokument, fortsat var et problem i 2023;</w:t>
            </w:r>
            <w:r>
              <w:t xml:space="preserve"> </w:t>
            </w:r>
            <w:r>
              <w:rPr>
                <w:b/>
                <w:i/>
              </w:rPr>
              <w:t>glæder sig over Ombudsmandens undersøgelse på eget initiativ vedrørende Kommissionens undladelse af at offentliggøre e-mails i forbindelse med en begæring om aktindsigt vedrørende udvekslinger om udkast til EU's jordbunds-</w:t>
            </w:r>
            <w:r>
              <w:t xml:space="preserve">, </w:t>
            </w:r>
            <w:r>
              <w:rPr>
                <w:b/>
                <w:i/>
              </w:rPr>
              <w:t>skov- og klimatilpasningsstrategier;</w:t>
            </w:r>
            <w:r>
              <w:t xml:space="preserve"> </w:t>
            </w:r>
            <w:r>
              <w:rPr>
                <w:b/>
                <w:i/>
              </w:rPr>
              <w:t>minder om, at arbejdsrelaterede tekst- og straksbeskeder udgør "dokumenter" som omhandlet i forordning (EF) nr. 1049/2001, og at det er særlig vigtigt, at dette princip respekteres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lykønsker Ombudsmanden med hendes bestræbelser på at bidrage yderligere til klarlæggelsen af, hvad der udgør et EU-dokument, og understreger, at det er afgørende, at EU-institutionerne følger Ombudsmandens henstillinger med henblik på at tilpasse deres administrative praksis til udviklingen inden for kommunikationsmidler;</w:t>
            </w:r>
          </w:p>
        </w:tc>
        <w:tc>
          <w:tcPr>
            <w:tcW w:w="4876" w:type="dxa"/>
            <w:tcBorders>
              <w:top w:val="nil"/>
              <w:left w:val="nil"/>
              <w:bottom w:val="nil"/>
              <w:right w:val="nil"/>
            </w:tcBorders>
          </w:tcPr>
          <w:p>
            <w:pPr>
              <w:pStyle w:val="Normal6a"/>
            </w:pPr>
            <w:r>
              <w:t>11.</w:t>
            </w:r>
            <w:r>
              <w:tab/>
            </w:r>
            <w:r>
              <w:t xml:space="preserve">lykønsker Ombudsmanden med hendes bestræbelser på at bidrage yderligere til klarlæggelsen af, hvad der udgør et EU-dokument, og understreger, at det er afgørende, at EU-institutionerne følger Ombudsmandens henstillinger med henblik på at tilpasse deres administrative praksis til udviklingen inden for kommunikationsmidler; </w:t>
            </w:r>
            <w:r>
              <w:rPr>
                <w:b/>
                <w:i/>
              </w:rPr>
              <w:t>minder med stor bekymring om, at Kommissionen i 2021 efter en begæring om aktindsigt i tekstbeskeder mellem Kommissionens formand og den administrerende direktør for en medicinalvirksomhed vedrørende Kommissionens indkøb af covid-19-vacciner nægtede at anerkende, at sådanne tekstbeskeder hører under definitionen af et "dokument" i henhold til forordning (EF) nr. 1049/2001;</w:t>
            </w:r>
            <w:r>
              <w:t xml:space="preserve"> </w:t>
            </w:r>
            <w:r>
              <w:rPr>
                <w:b/>
                <w:i/>
              </w:rPr>
              <w:t>bemærker, at Kommissionen, selv om den ville skulle registrere og søge efter sådanne tekstbeskeder, stadig kunne beslutte ikke at give fuld aktindsigt i dem, hvis undtagelserne i forordning (EF) nr. 1049/2001, f.eks. kommercielle interesser, fandt anvendelse;</w:t>
            </w:r>
            <w:r>
              <w:t xml:space="preserve"> </w:t>
            </w:r>
            <w:r>
              <w:rPr>
                <w:b/>
                <w:i/>
              </w:rPr>
              <w:t>minder om, at registrering af et dokument er en følge af eksistensen af et dokument og ikke en forudsætning for dets eksistens;</w:t>
            </w:r>
            <w:r>
              <w:t xml:space="preserve"> </w:t>
            </w:r>
            <w:r>
              <w:rPr>
                <w:b/>
                <w:i/>
              </w:rPr>
              <w:t>noterer sig Ombudsmandens konstatering af fejl eller forsømmelser fra Kommissionens side i denne sag; er bekymret over, at Kommissionen har undladt at følge op på Ombudsmandens anbefaling, efter hendes forespørgsel om at foretage en fornyet søgning efter relevante tekstbeskeder;</w:t>
            </w:r>
            <w:r>
              <w:t xml:space="preserve"> </w:t>
            </w:r>
            <w:r>
              <w:rPr>
                <w:b/>
                <w:i/>
              </w:rPr>
              <w:t>opfordrer Kommissionen til omgående at foretage en fuld søgning;</w:t>
            </w:r>
            <w:r>
              <w:t xml:space="preserve"> </w:t>
            </w:r>
            <w:r>
              <w:rPr>
                <w:b/>
                <w:i/>
              </w:rPr>
              <w:t>udtrykker dyb bekymring over den voksende afstand mellem borgerne og EU-institutionerne, som denne situation har forårsaget;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lykønsker</w:t>
            </w:r>
            <w:r>
              <w:t xml:space="preserve"> Ombudsmanden </w:t>
            </w:r>
            <w:r>
              <w:rPr>
                <w:b/>
                <w:i/>
              </w:rPr>
              <w:t>med</w:t>
            </w:r>
            <w:r>
              <w:t xml:space="preserve"> hendes </w:t>
            </w:r>
            <w:r>
              <w:rPr>
                <w:b/>
                <w:i/>
              </w:rPr>
              <w:t>bestræbelser på at bidrage yderligere til klarlæggelsen</w:t>
            </w:r>
            <w:r>
              <w:t xml:space="preserve"> af, hvad der udgør et EU-dokument, og understreger, at det er afgørende, at EU-institutionerne følger Ombudsmandens henstillinger med henblik på at tilpasse deres administrative praksis til udviklingen inden for kommunikationsmidler;</w:t>
            </w:r>
          </w:p>
        </w:tc>
        <w:tc>
          <w:tcPr>
            <w:tcW w:w="4876" w:type="dxa"/>
            <w:tcBorders>
              <w:top w:val="nil"/>
              <w:left w:val="nil"/>
              <w:bottom w:val="nil"/>
              <w:right w:val="nil"/>
            </w:tcBorders>
          </w:tcPr>
          <w:p>
            <w:pPr>
              <w:pStyle w:val="Normal6a"/>
            </w:pPr>
            <w:r>
              <w:t>11.</w:t>
            </w:r>
            <w:r>
              <w:tab/>
            </w:r>
            <w:r>
              <w:rPr>
                <w:b/>
                <w:i/>
              </w:rPr>
              <w:t>støtter</w:t>
            </w:r>
            <w:r>
              <w:t xml:space="preserve"> Ombudsmanden </w:t>
            </w:r>
            <w:r>
              <w:rPr>
                <w:b/>
                <w:i/>
              </w:rPr>
              <w:t>i</w:t>
            </w:r>
            <w:r>
              <w:t xml:space="preserve"> hendes </w:t>
            </w:r>
            <w:r>
              <w:rPr>
                <w:b/>
                <w:i/>
              </w:rPr>
              <w:t>præcisering</w:t>
            </w:r>
            <w:r>
              <w:t xml:space="preserve"> af, hvad der udgør et EU-dokument, og understreger, at det er afgørende, at EU-institutionerne følger Ombudsmandens henstillinger med henblik på at tilpasse deres administrative praksis til udviklingen inden for kommunikationsmidler</w:t>
            </w:r>
            <w:r>
              <w:rPr>
                <w:b/>
                <w:i/>
              </w:rPr>
              <w:t>, da borgere og juridiske personer, som er bosiddende eller etableret i EU, i henhold til traktaten om Den Europæiske Unions funktionsmåde har ret til aktindsigt i ethvert dokument, som næsten alle EU-institutioner er i besiddelse af;</w:t>
            </w:r>
            <w:r>
              <w:t xml:space="preserve"> </w:t>
            </w:r>
            <w:r>
              <w:rPr>
                <w:b/>
                <w:i/>
              </w:rPr>
              <w:t>understreger, at denne ret kun er underlagt et meget begrænset antal undtagelser og gælder for skriftlige fysiske og elektroniske dokumenter samt lyd- og audiovisuelle optagelser i forbindelse med institutionernes politikker, aktiviteter og beslutninger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lykønsker Ombudsmanden med hendes bestræbelser på at bidrage yderligere til klarlæggelsen af, hvad der udgør et EU-dokument, og </w:t>
            </w:r>
            <w:r>
              <w:rPr>
                <w:b/>
                <w:i/>
              </w:rPr>
              <w:t>understreger, at det er afgørende, at EU-institutionerne følger Ombudsmandens henstillinger med henblik på at tilpasse deres administrative praksis til udviklingen inden for kommunikationsmidler</w:t>
            </w:r>
            <w:r>
              <w:t>;</w:t>
            </w:r>
          </w:p>
        </w:tc>
        <w:tc>
          <w:tcPr>
            <w:tcW w:w="4876" w:type="dxa"/>
            <w:tcBorders>
              <w:top w:val="nil"/>
              <w:left w:val="nil"/>
              <w:bottom w:val="nil"/>
              <w:right w:val="nil"/>
            </w:tcBorders>
          </w:tcPr>
          <w:p>
            <w:pPr>
              <w:pStyle w:val="Normal6a"/>
            </w:pPr>
            <w:r>
              <w:t>11.</w:t>
            </w:r>
            <w:r>
              <w:tab/>
            </w:r>
            <w:r>
              <w:t xml:space="preserve">lykønsker Ombudsmanden med hendes bestræbelser på at bidrage yderligere til klarlæggelsen af, hvad der udgør et EU-dokument, og </w:t>
            </w:r>
            <w:r>
              <w:rPr>
                <w:b/>
                <w:i/>
              </w:rPr>
              <w:t>opfordrer den nye Kommission til hurtigst muligt at forelægge Europa-Parlamentet og Rådet et revideret forslag til forordning (EF) nr. 1049/2001, som ajourfører definitionen af et EU-dokument under hensyntagen til nye kommunikationsmidler såsom tekst- og straksbeskeder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lykønsker Ombudsmanden med hendes bestræbelser på at bidrage yderligere til klarlæggelsen af, hvad der udgør et EU-dokument, og understreger, at </w:t>
            </w:r>
            <w:r>
              <w:rPr>
                <w:b/>
                <w:i/>
              </w:rPr>
              <w:t>det er afgørende, at EU-institutionerne følger</w:t>
            </w:r>
            <w:r>
              <w:t xml:space="preserve"> Ombudsmandens henstillinger med henblik på at tilpasse deres administrative praksis til udviklingen inden for kommunikationsmidler;</w:t>
            </w:r>
          </w:p>
        </w:tc>
        <w:tc>
          <w:tcPr>
            <w:tcW w:w="4876" w:type="dxa"/>
            <w:tcBorders>
              <w:top w:val="nil"/>
              <w:left w:val="nil"/>
              <w:bottom w:val="nil"/>
              <w:right w:val="nil"/>
            </w:tcBorders>
          </w:tcPr>
          <w:p>
            <w:pPr>
              <w:pStyle w:val="Normal6a"/>
            </w:pPr>
            <w:r>
              <w:t>11.</w:t>
            </w:r>
            <w:r>
              <w:tab/>
            </w:r>
            <w:r>
              <w:t xml:space="preserve">lykønsker Ombudsmanden med hendes bestræbelser på at bidrage yderligere til klarlæggelsen af, hvad der udgør et EU-dokument, og understreger, at </w:t>
            </w:r>
            <w:r>
              <w:rPr>
                <w:b/>
                <w:i/>
              </w:rPr>
              <w:t>EU-institutionerne bør følge</w:t>
            </w:r>
            <w:r>
              <w:t xml:space="preserve"> Ombudsmandens henstillinger med henblik på at tilpasse deres administrative praksis til udviklingen inden for kommunikationsmidler;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påskønner Ombudsmandens tilsagn om at opretholde de grundlæggende rettigheder i EU-institutionernes grænseforvaltningsaktiviteter ved at iværksætte undersøgelser af Frontex' og Kommissionens foranstaltninger på dette område;</w:t>
            </w:r>
            <w:r>
              <w:t xml:space="preserve"> </w:t>
            </w:r>
            <w:r>
              <w:rPr>
                <w:b/>
                <w:i/>
              </w:rPr>
              <w:t>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w:t>
            </w:r>
            <w:r>
              <w:rPr>
                <w:b/>
                <w:i/>
              </w:rPr>
              <w:t>EU-institutionernes grænseforvaltningsaktiviteter ved at iværksætte undersøgelser af Frontex' og Kommissionens</w:t>
            </w:r>
            <w:r>
              <w:t xml:space="preserve"> foranstaltninger </w:t>
            </w:r>
            <w:r>
              <w:rPr>
                <w:b/>
                <w:i/>
              </w:rPr>
              <w:t>på dette område</w:t>
            </w:r>
            <w:r>
              <w:t>;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w:t>
            </w:r>
            <w:r>
              <w:rPr>
                <w:b/>
                <w:i/>
              </w:rPr>
              <w:t>migrationsrelaterede</w:t>
            </w:r>
            <w:r>
              <w:t xml:space="preserve"> foranstaltninger;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EU-institutionernes grænseforvaltningsaktiviteter </w:t>
            </w:r>
            <w:r>
              <w:rPr>
                <w:b/>
                <w:i/>
              </w:rPr>
              <w:t>ved at iværksætte undersøgelser af Frontex' og Kommissionens foranstaltninger på dette område</w:t>
            </w:r>
            <w:r>
              <w:t>;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c>
          <w:tcPr>
            <w:tcW w:w="4876" w:type="dxa"/>
            <w:tcBorders>
              <w:top w:val="nil"/>
              <w:left w:val="nil"/>
              <w:bottom w:val="nil"/>
              <w:right w:val="nil"/>
            </w:tcBorders>
          </w:tcPr>
          <w:p>
            <w:pPr>
              <w:pStyle w:val="Normal6a"/>
            </w:pPr>
            <w:r>
              <w:t>12.</w:t>
            </w:r>
            <w:r>
              <w:tab/>
            </w:r>
            <w:r>
              <w:t>påskønner Ombudsmandens tilsagn om at opretholde de grundlæggende rettigheder i EU-institutionernes grænseforvaltningsaktiviteter;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EU-institutionernes grænseforvaltningsaktiviteter ved at iværksætte undersøgelser af Frontex' og Kommissionens foranstaltninger på dette område; </w:t>
            </w:r>
            <w:r>
              <w:rPr>
                <w:b/>
                <w:i/>
              </w:rPr>
              <w:t>bemærker</w:t>
            </w:r>
            <w:r>
              <w:t>, at Ombudsmanden anmodede Kommissionen om yderligere præcisering af, hvordan den agter at sikre respekt for menneskerettighederne i forbindelse med aftalememorandummet mellem EU og Tunesien</w:t>
            </w:r>
            <w:r>
              <w:rPr>
                <w:b/>
                <w:i/>
              </w:rPr>
              <w:t>,</w:t>
            </w:r>
            <w:r>
              <w:t xml:space="preserve"> i et forsøg på at sikre, at EU overholder sine forpligtelser på menneskerettighedsområdet;</w:t>
            </w:r>
          </w:p>
        </w:tc>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EU-institutionernes grænseforvaltningsaktiviteter ved at iværksætte undersøgelser af Frontex' og Kommissionens foranstaltninger på dette område; </w:t>
            </w:r>
            <w:r>
              <w:rPr>
                <w:b/>
                <w:i/>
              </w:rPr>
              <w:t>glæder sig over</w:t>
            </w:r>
            <w:r>
              <w:t>,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r>
              <w:rPr>
                <w:b/>
                <w:i/>
              </w:rPr>
              <w:t>, og fremhæver bekymringerne over, at der ikke foreligger en forudgående konsekvensanalyse vedrørende menneskerettigheder, navnlig i forbindelse med søjlen "migration og mobilitet" i aftalememorandummet og de foranstaltninger, der er planlagt under denne søjle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påskønner</w:t>
            </w:r>
            <w:r>
              <w:t xml:space="preserve"> Ombudsmandens tilsagn om at opretholde de grundlæggende rettigheder i EU-institutionernes grænseforvaltningsaktiviteter ved at iværksætte undersøgelser af Frontex' og Kommissionens foranstaltninger på dette område;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c>
          <w:tcPr>
            <w:tcW w:w="4876" w:type="dxa"/>
            <w:tcBorders>
              <w:top w:val="nil"/>
              <w:left w:val="nil"/>
              <w:bottom w:val="nil"/>
              <w:right w:val="nil"/>
            </w:tcBorders>
          </w:tcPr>
          <w:p>
            <w:pPr>
              <w:pStyle w:val="Normal6a"/>
            </w:pPr>
            <w:r>
              <w:t>12.</w:t>
            </w:r>
            <w:r>
              <w:tab/>
            </w:r>
            <w:r>
              <w:rPr>
                <w:b/>
                <w:i/>
              </w:rPr>
              <w:t>noterer sig</w:t>
            </w:r>
            <w:r>
              <w:t xml:space="preserve"> Ombudsmandens tilsagn om at opretholde de grundlæggende rettigheder i EU-institutionernes grænseforvaltningsaktiviteter ved at iværksætte undersøgelser af Frontex' og Kommissionens foranstaltninger på dette område</w:t>
            </w:r>
            <w:r>
              <w:rPr>
                <w:b/>
                <w:i/>
              </w:rPr>
              <w:t>;</w:t>
            </w:r>
            <w:r>
              <w:t xml:space="preserve"> </w:t>
            </w:r>
            <w:r>
              <w:rPr>
                <w:b/>
                <w:i/>
              </w:rPr>
              <w:t>minder om, at Frontex står over for store udfordringer, der kræver en styrkelse af dets kapacitet og budget, således at agenturet kan udføre sit arbejde på de bedst mulige betingelser</w:t>
            </w:r>
            <w:r>
              <w:t>;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Kosma Złotowski, Ivaylo Valchev,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påskønner Ombudsmandens tilsagn om at opretholde de grundlæggende rettigheder i EU-institutionernes grænseforvaltningsaktiviteter ved at iværksætte undersøgelser af Frontex' og Kommissionens foranstaltninger på dette område;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EU-institutionernes grænseforvaltningsaktiviteter ved at iværksætte undersøgelser af Frontex' og Kommissionens foranstaltninger på dette område;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 </w:t>
            </w:r>
            <w:r>
              <w:rPr>
                <w:b/>
                <w:i/>
              </w:rPr>
              <w:t>bemærker i denne forbindelse de retlige begrænsninger i Frontex' mandat, som ikke omfatter koordinering af redningsoperationer, hvilket er de nationale redningskoordinationscentres ansvar;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Jana Toom,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påskønner Ombudsmandens tilsagn om at opretholde de grundlæggende rettigheder i EU-institutionernes grænseforvaltningsaktiviteter ved at iværksætte undersøgelser af Frontex' og Kommissionens foranstaltninger på dette område;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EU-institutionernes grænseforvaltningsaktiviteter ved at iværksætte undersøgelser af Frontex' og Kommissionens foranstaltninger på dette område;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 </w:t>
            </w:r>
            <w:r>
              <w:rPr>
                <w:b/>
                <w:i/>
              </w:rPr>
              <w:t>understreger, at alle EU's institutioner, organer og agenturer har en forpligtelse til at respektere menneskerettighederne og de grundlæggende frihedsrettigheder som fastsat i traktaterne og chartret om grundlæggende rettigheder;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Maria Zacharia,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EU-institutionernes grænseforvaltningsaktiviteter ved at iværksætte undersøgelser af Frontex' og Kommissionens foranstaltninger </w:t>
            </w:r>
            <w:r>
              <w:rPr>
                <w:b/>
                <w:i/>
              </w:rPr>
              <w:t>på dette område</w:t>
            </w:r>
            <w:r>
              <w:t>;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EU-institutionernes grænseforvaltningsaktiviteter ved at iværksætte undersøgelser af Frontex' og Kommissionens foranstaltninger </w:t>
            </w:r>
            <w:r>
              <w:rPr>
                <w:b/>
                <w:i/>
              </w:rPr>
              <w:t>efter drukningen af mere end 500 mennesker ud for den græske kyst den 14. juni 2023</w:t>
            </w:r>
            <w:r>
              <w:t>; bemærker, at Ombudsmanden anmodede Kommissionen om yderligere præcisering af, hvordan den agter at sikre respekt for menneskerettighederne i forbindelse med aftalememorandummet mellem EU og Tunesien, i et forsøg på at sikre, at EU overholder sine forpligtelser på menneskerettighedsområdet;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EU-institutionernes grænseforvaltningsaktiviteter ved at iværksætte undersøgelser af Frontex' og Kommissionens foranstaltninger på dette område; </w:t>
            </w:r>
            <w:r>
              <w:rPr>
                <w:b/>
                <w:i/>
              </w:rPr>
              <w:t>bemærker, at</w:t>
            </w:r>
            <w:r>
              <w:t xml:space="preserve"> Ombudsmanden </w:t>
            </w:r>
            <w:r>
              <w:rPr>
                <w:b/>
                <w:i/>
              </w:rPr>
              <w:t>anmodede</w:t>
            </w:r>
            <w:r>
              <w:t xml:space="preserve"> Kommissionen om </w:t>
            </w:r>
            <w:r>
              <w:rPr>
                <w:b/>
                <w:i/>
              </w:rPr>
              <w:t>yderligere</w:t>
            </w:r>
            <w:r>
              <w:t xml:space="preserve"> præcisering af, hvordan den agter at sikre respekt for </w:t>
            </w:r>
            <w:r>
              <w:rPr>
                <w:b/>
                <w:i/>
              </w:rPr>
              <w:t>menneskerettighederne i forbindelse med aftalememorandummet mellem EU og Tunesien,</w:t>
            </w:r>
            <w:r>
              <w:t xml:space="preserve"> i et forsøg på at </w:t>
            </w:r>
            <w:r>
              <w:rPr>
                <w:b/>
                <w:i/>
              </w:rPr>
              <w:t>sikre, at EU overholder sine forpligtelser på menneskerettighedsområdet</w:t>
            </w:r>
            <w:r>
              <w:t>;</w:t>
            </w:r>
          </w:p>
        </w:tc>
        <w:tc>
          <w:tcPr>
            <w:tcW w:w="4876" w:type="dxa"/>
            <w:tcBorders>
              <w:top w:val="nil"/>
              <w:left w:val="nil"/>
              <w:bottom w:val="nil"/>
              <w:right w:val="nil"/>
            </w:tcBorders>
          </w:tcPr>
          <w:p>
            <w:pPr>
              <w:pStyle w:val="Normal6a"/>
            </w:pPr>
            <w:r>
              <w:t>12.</w:t>
            </w:r>
            <w:r>
              <w:tab/>
            </w:r>
            <w:r>
              <w:t xml:space="preserve">påskønner Ombudsmandens tilsagn om at opretholde de grundlæggende rettigheder i EU-institutionernes grænseforvaltningsaktiviteter ved at iværksætte undersøgelser af Frontex' og Kommissionens foranstaltninger på dette område; </w:t>
            </w:r>
            <w:r>
              <w:rPr>
                <w:b/>
                <w:i/>
              </w:rPr>
              <w:t>opfordrer</w:t>
            </w:r>
            <w:r>
              <w:t xml:space="preserve"> Ombudsmanden </w:t>
            </w:r>
            <w:r>
              <w:rPr>
                <w:b/>
                <w:i/>
              </w:rPr>
              <w:t>til at anmode</w:t>
            </w:r>
            <w:r>
              <w:t xml:space="preserve"> Kommissionen om </w:t>
            </w:r>
            <w:r>
              <w:rPr>
                <w:b/>
                <w:i/>
              </w:rPr>
              <w:t>en</w:t>
            </w:r>
            <w:r>
              <w:t xml:space="preserve"> præcisering af, hvordan den agter at sikre respekt for </w:t>
            </w:r>
            <w:r>
              <w:rPr>
                <w:b/>
                <w:i/>
              </w:rPr>
              <w:t>de europæiske staters ret til bedre at kontrollere deres grænser</w:t>
            </w:r>
            <w:r>
              <w:t xml:space="preserve"> i et forsøg på at </w:t>
            </w:r>
            <w:r>
              <w:rPr>
                <w:b/>
                <w:i/>
              </w:rPr>
              <w:t>bekæmpe ukontrollerede migrationsstrømme, hvis omfang undergraver EU-medlemsstaternes og deres borgeres identitet, sikkerhed og velstand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er af den faste overbevisning, at Frontex fuldt ud skal overholde de grundlæggende rettigheder i alle sine aktiviteter, herunder i sit direkte eller indirekte engagement i eftersøgnings- og redningsaktioner;</w:t>
            </w:r>
            <w:r>
              <w:t xml:space="preserve"> </w:t>
            </w:r>
            <w:r>
              <w:rPr>
                <w:b/>
                <w:i/>
              </w:rPr>
              <w:t>understreger, at Frontex skal sikre fuld og konsekvent anvendelse af FN's havretskonvention samt den internationale konvention om maritim eftersøgning og redning (SAR-konventionen) og den internationale konvention om sikkerhed for menneskeliv på søen;</w:t>
            </w:r>
            <w:r>
              <w:t xml:space="preserve"> </w:t>
            </w:r>
            <w:r>
              <w:rPr>
                <w:b/>
                <w:i/>
              </w:rPr>
              <w:t>minder om, at Frontex' ansvar for at reagere på maritime nødsituationer i forbindelse med dets overvågningsaktiviteter også er defineret i EU-retten, og at medlemsstaterne i henhold til den overordnede gældende retlige ramme er forpligtet til at yde bistand til ethvert fartøj eller enhver person i havsnød og sikre, at deres myndigheder overholder denne forpligtelse i overensstemmelse med folkeretten og respekten for de grundlæggende rettigheder, uanset personernes nationalitet eller status;</w:t>
            </w:r>
            <w:r>
              <w:t xml:space="preserve"> </w:t>
            </w:r>
            <w:r>
              <w:rPr>
                <w:b/>
                <w:i/>
              </w:rPr>
              <w:t>minder om, at denne forpligtelse også gælder for Frontex, når det yder teknisk og operationel bistand i forbindelse med fælles operationer;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opfordrer i denne forbindelse Ombudsmanden til også at tage hensyn til lokale europæiske borgeres menneskerettigheder og interesser;</w:t>
            </w:r>
            <w:r>
              <w:t xml:space="preserve"> </w:t>
            </w:r>
            <w:r>
              <w:rPr>
                <w:b/>
                <w:i/>
              </w:rPr>
              <w:t>lokale beboere på øer i Grækenland, Spanien, Italien osv. med modtagelsescentre lider alvorlig skade med hensyn til sikkerhed, sundhed og økonomi som følge af massemigration;</w:t>
            </w:r>
            <w:r>
              <w:t xml:space="preserve"> </w:t>
            </w:r>
            <w:r>
              <w:rPr>
                <w:b/>
                <w:i/>
              </w:rPr>
              <w:t>Ombudsmanden har også til opgave at beskytte de europæiske borgeres interesser og menneskerettigheder;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tilslutter sig Ombudsmandens forslag om at sikre, at Det Europæiske Agentur for Grænse- og Kystbevogtning (Frontex) overholder sine forpligtelser vedrørende grundlæggende rettigheder med hensyn til eftersøgning og redning i forbindelse med sine maritime overvågningsaktiviteter;</w:t>
            </w:r>
            <w:r>
              <w:t xml:space="preserve"> </w:t>
            </w:r>
            <w:r>
              <w:rPr>
                <w:b/>
                <w:i/>
              </w:rPr>
              <w:t>opfordrer Rådet for Den Europæiske Union og Kommissionen til at samarbejde med Parlamentet om at nedsætte en uafhængig undersøgelseskommission, der skal vurdere årsagerne til det store antal dødsfald i Middelhavet og foretage de nødvendige ændringer for at forhindre, at tragiske tab af menneskeliv gentager sig;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glæder sig over, at Kommissionen har besluttet at samarbejde med de lokale myndigheder om at udarbejde en konsekvensanalyse vedrørende grundlæggende rettigheder af de EU-finansierede migrationsstyringsfaciliteter i Grækenland </w:t>
            </w:r>
            <w:r>
              <w:rPr>
                <w:b/>
                <w:i/>
              </w:rPr>
              <w:t>som følge af en undersøgelse på eget initiativ foretaget af Ombudsmanden af, hvordan Kommissionen sikrer respekt for de grundlæggende rettigheder i disse faciliteter</w:t>
            </w:r>
            <w:r>
              <w:t>;</w:t>
            </w:r>
          </w:p>
        </w:tc>
        <w:tc>
          <w:tcPr>
            <w:tcW w:w="4876" w:type="dxa"/>
            <w:tcBorders>
              <w:top w:val="nil"/>
              <w:left w:val="nil"/>
              <w:bottom w:val="nil"/>
              <w:right w:val="nil"/>
            </w:tcBorders>
          </w:tcPr>
          <w:p>
            <w:pPr>
              <w:pStyle w:val="Normal6a"/>
            </w:pPr>
            <w:r>
              <w:t>13.</w:t>
            </w:r>
            <w:r>
              <w:tab/>
            </w:r>
            <w:r>
              <w:rPr>
                <w:b/>
                <w:i/>
              </w:rPr>
              <w:t>lykønsker Ombudsmanden med hendes undersøgelse på eget initiativ af, hvordan Kommissionen sikrer, at EU-midler til græsk grænseforvaltning ikke bidrager til krænkelser af de grundlæggende rettigheder;</w:t>
            </w:r>
            <w:r>
              <w:t xml:space="preserve"> glæder sig over, at Kommissionen har besluttet at samarbejde med de lokale myndigheder om at udarbejde en konsekvensanalyse vedrørende grundlæggende rettigheder af de EU-finansierede migrationsstyringsfaciliteter i Grækenland;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glæder sig over, at Kommissionen har besluttet at samarbejde med </w:t>
            </w:r>
            <w:r>
              <w:rPr>
                <w:b/>
                <w:i/>
              </w:rPr>
              <w:t>de</w:t>
            </w:r>
            <w:r>
              <w:t xml:space="preserve"> lokale myndigheder om at udarbejde en konsekvensanalyse vedrørende grundlæggende rettigheder af </w:t>
            </w:r>
            <w:r>
              <w:rPr>
                <w:b/>
                <w:i/>
              </w:rPr>
              <w:t>de</w:t>
            </w:r>
            <w:r>
              <w:t xml:space="preserve"> EU-finansierede migrationsstyringsfaciliteter </w:t>
            </w:r>
            <w:r>
              <w:rPr>
                <w:b/>
                <w:i/>
              </w:rPr>
              <w:t>i Grækenland</w:t>
            </w:r>
            <w:r>
              <w:t xml:space="preserve"> som følge af en undersøgelse på eget initiativ foretaget af Ombudsmanden </w:t>
            </w:r>
            <w:r>
              <w:rPr>
                <w:b/>
                <w:i/>
              </w:rPr>
              <w:t>af, hvordan Kommissionen sikrer respekt for de grundlæggende rettigheder i disse faciliteter</w:t>
            </w:r>
            <w:r>
              <w:t>;</w:t>
            </w:r>
          </w:p>
        </w:tc>
        <w:tc>
          <w:tcPr>
            <w:tcW w:w="4876" w:type="dxa"/>
            <w:tcBorders>
              <w:top w:val="nil"/>
              <w:left w:val="nil"/>
              <w:bottom w:val="nil"/>
              <w:right w:val="nil"/>
            </w:tcBorders>
          </w:tcPr>
          <w:p>
            <w:pPr>
              <w:pStyle w:val="Normal6a"/>
            </w:pPr>
            <w:r>
              <w:t>13.</w:t>
            </w:r>
            <w:r>
              <w:tab/>
            </w:r>
            <w:r>
              <w:t xml:space="preserve">glæder sig over, at Kommissionen har besluttet at samarbejde med </w:t>
            </w:r>
            <w:r>
              <w:rPr>
                <w:b/>
                <w:i/>
              </w:rPr>
              <w:t>nationale og</w:t>
            </w:r>
            <w:r>
              <w:t xml:space="preserve"> lokale myndigheder om at udarbejde en konsekvensanalyse vedrørende grundlæggende rettigheder af EU-finansierede migrationsstyringsfaciliteter som følge af en </w:t>
            </w:r>
            <w:r>
              <w:rPr>
                <w:b/>
                <w:i/>
              </w:rPr>
              <w:t>relevant</w:t>
            </w:r>
            <w:r>
              <w:t xml:space="preserve"> undersøgelse på eget initiativ foretaget af Ombudsmanden;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glæder sig over, at Kommissionen har besluttet at samarbejde med </w:t>
            </w:r>
            <w:r>
              <w:rPr>
                <w:b/>
                <w:i/>
              </w:rPr>
              <w:t>de lokale</w:t>
            </w:r>
            <w:r>
              <w:t xml:space="preserve"> myndigheder om at udarbejde en konsekvensanalyse vedrørende grundlæggende rettigheder af de EU-finansierede migrationsstyringsfaciliteter </w:t>
            </w:r>
            <w:r>
              <w:rPr>
                <w:b/>
                <w:i/>
              </w:rPr>
              <w:t>i Grækenland</w:t>
            </w:r>
            <w:r>
              <w:t xml:space="preserve"> som følge af en undersøgelse på eget initiativ foretaget af Ombudsmanden af, hvordan Kommissionen sikrer respekt for de grundlæggende rettigheder i disse faciliteter;</w:t>
            </w:r>
          </w:p>
        </w:tc>
        <w:tc>
          <w:tcPr>
            <w:tcW w:w="4876" w:type="dxa"/>
            <w:tcBorders>
              <w:top w:val="nil"/>
              <w:left w:val="nil"/>
              <w:bottom w:val="nil"/>
              <w:right w:val="nil"/>
            </w:tcBorders>
          </w:tcPr>
          <w:p>
            <w:pPr>
              <w:pStyle w:val="Normal6a"/>
            </w:pPr>
            <w:r>
              <w:t>13.</w:t>
            </w:r>
            <w:r>
              <w:tab/>
            </w:r>
            <w:r>
              <w:t xml:space="preserve">glæder sig over, at Kommissionen har besluttet at samarbejde med </w:t>
            </w:r>
            <w:r>
              <w:rPr>
                <w:b/>
                <w:i/>
              </w:rPr>
              <w:t>lokale og nationale</w:t>
            </w:r>
            <w:r>
              <w:t xml:space="preserve"> myndigheder om at udarbejde en konsekvensanalyse vedrørende grundlæggende rettigheder af de EU-finansierede migrationsstyringsfaciliteter som følge af en undersøgelse på eget initiativ foretaget af Ombudsmanden af, hvordan Kommissionen sikrer respekt for de grundlæggende rettigheder i disse faciliteter;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glæder sig over, at Kommissionen har besluttet at samarbejde med de lokale myndigheder om at udarbejde en konsekvensanalyse vedrørende grundlæggende rettigheder af de EU-finansierede migrationsstyringsfaciliteter i Grækenland som følge af en undersøgelse på eget initiativ foretaget af Ombudsmanden af, hvordan Kommissionen sikrer respekt for de grundlæggende rettigheder i disse faciliteter;</w:t>
            </w:r>
          </w:p>
        </w:tc>
        <w:tc>
          <w:tcPr>
            <w:tcW w:w="4876" w:type="dxa"/>
            <w:tcBorders>
              <w:top w:val="nil"/>
              <w:left w:val="nil"/>
              <w:bottom w:val="nil"/>
              <w:right w:val="nil"/>
            </w:tcBorders>
          </w:tcPr>
          <w:p>
            <w:pPr>
              <w:pStyle w:val="Normal6a"/>
            </w:pPr>
            <w:r>
              <w:t>13.</w:t>
            </w:r>
            <w:r>
              <w:tab/>
            </w:r>
            <w:r>
              <w:t xml:space="preserve">glæder sig over, at Kommissionen har besluttet at samarbejde med de lokale myndigheder om at udarbejde en konsekvensanalyse vedrørende grundlæggende rettigheder af de EU-finansierede migrationsstyringsfaciliteter i Grækenland som følge af en undersøgelse på eget initiativ foretaget af Ombudsmanden af, hvordan Kommissionen sikrer respekt for de grundlæggende rettigheder </w:t>
            </w:r>
            <w:r>
              <w:rPr>
                <w:b/>
                <w:i/>
              </w:rPr>
              <w:t>og retsstatsprincippet </w:t>
            </w:r>
            <w:r>
              <w:t xml:space="preserve">i disse faciliteter; </w:t>
            </w:r>
            <w:r>
              <w:rPr>
                <w:b/>
                <w:i/>
              </w:rPr>
              <w:t>understreger, at respekt for retsstatsprincippet er en forudsætning for adgang til EU-finansiering;</w:t>
            </w:r>
            <w:r>
              <w:t xml:space="preserve"> </w:t>
            </w:r>
            <w:r>
              <w:rPr>
                <w:b/>
                <w:i/>
              </w:rPr>
              <w:t>mener, at dette krav om at opretholde retsstatsprincippet og Den Europæiske Unions urokkelige engagement i sine værdier bidrager til at styrke borgernes tillid til Unionen og vidner om EU's udtrykkelige tilsagn om at sikre kvaliteten af demokratiet på hele sit 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glæder sig over, at Kommissionen har besluttet at samarbejde med de lokale myndigheder om at udarbejde en konsekvensanalyse vedrørende grundlæggende rettigheder af de EU-finansierede migrationsstyringsfaciliteter i Grækenland som følge af en undersøgelse på eget initiativ foretaget af Ombudsmanden af, hvordan Kommissionen sikrer respekt for de grundlæggende rettigheder i disse faciliteter;</w:t>
            </w:r>
          </w:p>
        </w:tc>
        <w:tc>
          <w:tcPr>
            <w:tcW w:w="4876" w:type="dxa"/>
            <w:tcBorders>
              <w:top w:val="nil"/>
              <w:left w:val="nil"/>
              <w:bottom w:val="nil"/>
              <w:right w:val="nil"/>
            </w:tcBorders>
          </w:tcPr>
          <w:p>
            <w:pPr>
              <w:pStyle w:val="Normal6a"/>
            </w:pPr>
            <w:r>
              <w:t>13.</w:t>
            </w:r>
            <w:r>
              <w:tab/>
            </w:r>
            <w:r>
              <w:t xml:space="preserve">glæder sig over, at Kommissionen har besluttet at samarbejde med de lokale myndigheder om at udarbejde en konsekvensanalyse vedrørende grundlæggende rettigheder af de EU-finansierede migrationsstyringsfaciliteter i Grækenland som følge af en undersøgelse på eget initiativ foretaget af Ombudsmanden af, hvordan Kommissionen sikrer respekt for de grundlæggende rettigheder i disse faciliteter; </w:t>
            </w:r>
            <w:r>
              <w:rPr>
                <w:b/>
                <w:i/>
              </w:rPr>
              <w:t>påpeger Ombudsmandens opfordring til Kommissionen om at nedsætte en uafhængig undersøgelseskommission til at vurdere årsagerne til det store antal dødsfald i Middelhavet og til at lære af Adrianas forlis;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glæder sig over</w:t>
            </w:r>
            <w:r>
              <w:t>, at Kommissionen har besluttet at samarbejde med de lokale myndigheder om at udarbejde en konsekvensanalyse vedrørende grundlæggende rettigheder af de EU-finansierede migrationsstyringsfaciliteter i Grækenland som følge af en undersøgelse på eget initiativ foretaget af Ombudsmanden af, hvordan Kommissionen sikrer respekt for de grundlæggende rettigheder i disse faciliteter;</w:t>
            </w:r>
          </w:p>
        </w:tc>
        <w:tc>
          <w:tcPr>
            <w:tcW w:w="4876" w:type="dxa"/>
            <w:tcBorders>
              <w:top w:val="nil"/>
              <w:left w:val="nil"/>
              <w:bottom w:val="nil"/>
              <w:right w:val="nil"/>
            </w:tcBorders>
          </w:tcPr>
          <w:p>
            <w:pPr>
              <w:pStyle w:val="Normal6a"/>
            </w:pPr>
            <w:r>
              <w:t>13.</w:t>
            </w:r>
            <w:r>
              <w:tab/>
            </w:r>
            <w:r>
              <w:rPr>
                <w:b/>
                <w:i/>
              </w:rPr>
              <w:t>bemærker</w:t>
            </w:r>
            <w:r>
              <w:t xml:space="preserve">, at Kommissionen har besluttet at samarbejde med de lokale myndigheder om at udarbejde en konsekvensanalyse vedrørende grundlæggende rettigheder af de EU-finansierede migrationsstyringsfaciliteter i Grækenland som følge af en undersøgelse på eget initiativ foretaget af Ombudsmanden af, hvordan Kommissionen sikrer respekt for de grundlæggende rettigheder i disse faciliteter; </w:t>
            </w:r>
            <w:r>
              <w:rPr>
                <w:b/>
                <w:i/>
              </w:rPr>
              <w:t>understreger, at lokale beboere også har rettigheder;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glæder sig over</w:t>
            </w:r>
            <w:r>
              <w:t>, at Kommissionen har besluttet at samarbejde med de lokale myndigheder om at udarbejde en konsekvensanalyse vedrørende grundlæggende rettigheder af de EU-finansierede migrationsstyringsfaciliteter i Grækenland som følge af en undersøgelse på eget initiativ foretaget af Ombudsmanden af, hvordan Kommissionen sikrer respekt for de grundlæggende rettigheder i disse faciliteter;</w:t>
            </w:r>
          </w:p>
        </w:tc>
        <w:tc>
          <w:tcPr>
            <w:tcW w:w="4876" w:type="dxa"/>
            <w:tcBorders>
              <w:top w:val="nil"/>
              <w:left w:val="nil"/>
              <w:bottom w:val="nil"/>
              <w:right w:val="nil"/>
            </w:tcBorders>
          </w:tcPr>
          <w:p>
            <w:pPr>
              <w:pStyle w:val="Normal6a"/>
            </w:pPr>
            <w:r>
              <w:t>13.</w:t>
            </w:r>
            <w:r>
              <w:tab/>
            </w:r>
            <w:r>
              <w:rPr>
                <w:b/>
                <w:i/>
              </w:rPr>
              <w:t>bemærker</w:t>
            </w:r>
            <w:r>
              <w:t>, at Kommissionen har besluttet at samarbejde med de lokale myndigheder om at udarbejde en konsekvensanalyse vedrørende grundlæggende rettigheder af de EU-finansierede migrationsstyringsfaciliteter i Grækenland som følge af en undersøgelse på eget initiativ foretaget af Ombudsmanden af, hvordan Kommissionen sikrer respekt for de grundlæggende rettigheder i disse faciliteter;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Maria Zacharia,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støtter Ombudsmandens forslag til Tjenesten for EU's Optræden Udadtil om at vurdere menneskerettighedsrisici forud for ydelse af støtte til tredjelande;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Fidias Panayiotou, 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opfordrer Kommissionen til at udvide konsekvensanalysen vedrørende grundlæggende rettigheder af EU-finansierede migrationsstyringsfaciliteter til at omfatte andre medlemsstater såsom Spanien, Italien, Cypern og Malta;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beklager, at Kommissionen ikke har afholdt en offentlig høring om den treårige rapport om unionsborgerskab 2023 i henhold til artikel 25 i TEUF;</w:t>
            </w:r>
            <w:r>
              <w:t xml:space="preserve"> </w:t>
            </w:r>
            <w:r>
              <w:rPr>
                <w:b/>
                <w:i/>
              </w:rPr>
              <w:t>opfordrer Kommissionen til at træffe foranstaltninger til at sikre, at alle EU-borgere effektivt kan udøve deres rettigheder, og til at udarbejde klare retningslinjer for fremtidige rapporter med høringer om hver treårig rapport om unionsborgerskab og efterfølgende lovgivningsforslag;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støtter kraftigt Ombudsmandens konklusioner om, at EU's etiske regler og korruptionsbekæmpelsesregler skal overholdes og styrkes af EU-institutionerne, og at Parlamentets gennemførelse af reformer på dette område skal overvåges og håndhæves korrekt på alle niveauer; </w:t>
            </w:r>
            <w:r>
              <w:rPr>
                <w:b/>
                <w:i/>
              </w:rPr>
              <w:t>opfordrer indtrængende Ombudsmanden til at være særdeles opmærksom på direkte og indirekte lobbypraksis i Parlamentet, som kan øge risikoen for potentielle interessekonflikter;</w:t>
            </w:r>
            <w:r>
              <w:t xml:space="preserve"> </w:t>
            </w:r>
            <w:r>
              <w:rPr>
                <w:b/>
                <w:i/>
              </w:rPr>
              <w:t>opfordrer i den forbindelse Ombudsmanden til at foreslå forbedringer af den nuværende adfærdskodeks for Europa-Parlamentets medlemmer med hensyn til integritet og gennemsigtighed;</w:t>
            </w:r>
          </w:p>
        </w:tc>
        <w:tc>
          <w:tcPr>
            <w:tcW w:w="4876" w:type="dxa"/>
            <w:tcBorders>
              <w:top w:val="nil"/>
              <w:left w:val="nil"/>
              <w:bottom w:val="nil"/>
              <w:right w:val="nil"/>
            </w:tcBorders>
          </w:tcPr>
          <w:p>
            <w:pPr>
              <w:pStyle w:val="Normal6a"/>
            </w:pPr>
            <w:r>
              <w:t>14.</w:t>
            </w:r>
            <w:r>
              <w:tab/>
            </w:r>
            <w:r>
              <w:t>støtter kraftigt Ombudsmandens konklusioner om, at EU's etiske regler og korruptionsbekæmpelsesregler skal overholdes og styrkes af EU-institutionerne, og at Parlamentets gennemførelse af reformer på dette område skal overvåges og håndhæves korrekt på alle niveauer;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støtter kraftigt Ombudsmandens konklusioner om, at EU's etiske regler og korruptionsbekæmpelsesregler skal overholdes og styrkes af EU-institutionerne, og at Parlamentets gennemførelse af reformer på dette område skal overvåges og håndhæves korrekt på alle niveauer; </w:t>
            </w:r>
            <w:r>
              <w:rPr>
                <w:b/>
                <w:i/>
              </w:rPr>
              <w:t>opfordrer indtrængende Ombudsmanden til at være</w:t>
            </w:r>
            <w:r>
              <w:t xml:space="preserve"> særdeles opmærksom på direkte og indirekte lobbypraksis i Parlamentet, som kan øge risikoen for potentielle interessekonflikter; </w:t>
            </w:r>
            <w:r>
              <w:rPr>
                <w:b/>
                <w:i/>
              </w:rPr>
              <w:t>opfordrer i den forbindelse Ombudsmanden til at foreslå forbedringer af den nuværende adfærdskodeks for Europa-Parlamentets medlemmer med hensyn til integritet og gennemsigtighed;</w:t>
            </w:r>
          </w:p>
        </w:tc>
        <w:tc>
          <w:tcPr>
            <w:tcW w:w="4876" w:type="dxa"/>
            <w:tcBorders>
              <w:top w:val="nil"/>
              <w:left w:val="nil"/>
              <w:bottom w:val="nil"/>
              <w:right w:val="nil"/>
            </w:tcBorders>
          </w:tcPr>
          <w:p>
            <w:pPr>
              <w:pStyle w:val="Normal6a"/>
            </w:pPr>
            <w:r>
              <w:t>14.</w:t>
            </w:r>
            <w:r>
              <w:tab/>
            </w:r>
            <w:r>
              <w:t xml:space="preserve">støtter kraftigt Ombudsmandens konklusioner om, at EU's etiske regler og korruptionsbekæmpelsesregler skal overholdes og styrkes af EU-institutionerne, og at Parlamentets gennemførelse af reformer på dette område skal overvåges og håndhæves korrekt på alle niveauer; </w:t>
            </w:r>
            <w:r>
              <w:rPr>
                <w:b/>
                <w:i/>
              </w:rPr>
              <w:t>fremhæver behovet for, at Parlamentet altid er</w:t>
            </w:r>
            <w:r>
              <w:t xml:space="preserve"> særdeles opmærksom på direkte og indirekte lobbypraksis i Parlamentet, som kan øge risikoen for potentielle interessekonflikter;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Kosma Złotowski, Ivaylo Valchev,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støtter kraftigt Ombudsmandens konklusioner om, at EU's etiske regler og korruptionsbekæmpelsesregler skal overholdes og styrkes af EU-institutionerne, og at Parlamentets gennemførelse af reformer på dette område skal overvåges og håndhæves korrekt på alle niveauer; opfordrer indtrængende Ombudsmanden til at være særdeles opmærksom på direkte og indirekte lobbypraksis i Parlamentet, som kan øge risikoen for potentielle interessekonflikter; opfordrer i den forbindelse Ombudsmanden til at foreslå forbedringer af den nuværende adfærdskodeks for Europa-Parlamentets medlemmer med hensyn til integritet og gennemsigtighed;</w:t>
            </w:r>
          </w:p>
        </w:tc>
        <w:tc>
          <w:tcPr>
            <w:tcW w:w="4876" w:type="dxa"/>
            <w:tcBorders>
              <w:top w:val="nil"/>
              <w:left w:val="nil"/>
              <w:bottom w:val="nil"/>
              <w:right w:val="nil"/>
            </w:tcBorders>
          </w:tcPr>
          <w:p>
            <w:pPr>
              <w:pStyle w:val="Normal6a"/>
            </w:pPr>
            <w:r>
              <w:t>14.</w:t>
            </w:r>
            <w:r>
              <w:tab/>
            </w:r>
            <w:r>
              <w:rPr>
                <w:b/>
                <w:i/>
              </w:rPr>
              <w:t>glæder sig over Ombudsmandens aktiviteter efter Qatargate-skandalen i Europa-Parlamentet;</w:t>
            </w:r>
            <w:r>
              <w:t xml:space="preserve"> støtter kraftigt Ombudsmandens konklusioner om, at EU's etiske regler og korruptionsbekæmpelsesregler skal overholdes og styrkes af EU-institutionerne, og at Parlamentets gennemførelse af reformer på dette område skal overvåges og håndhæves korrekt på alle niveauer; opfordrer indtrængende Ombudsmanden til at være særdeles opmærksom på direkte og indirekte lobbypraksis i Parlamentet, som kan øge risikoen for potentielle interessekonflikter; opfordrer i den forbindelse Ombudsmanden til at foreslå forbedringer af den nuværende adfærdskodeks for Europa-Parlamentets medlemmer med hensyn til integritet og gennemsigtighed; </w:t>
            </w:r>
            <w:r>
              <w:rPr>
                <w:b/>
                <w:i/>
              </w:rPr>
              <w:t>understreger, at etiske regler skal følges nøje for at genoprette borgernes tillid til EU-institutionerne;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støtter kraftigt Ombudsmandens konklusioner om, at EU's etiske regler og korruptionsbekæmpelsesregler skal overholdes og styrkes af EU-institutionerne, og at Parlamentets gennemførelse af reformer på dette område skal overvåges og håndhæves korrekt på alle niveauer; opfordrer indtrængende Ombudsmanden til at være særdeles opmærksom på direkte og indirekte lobbypraksis i Parlamentet, som kan øge risikoen for potentielle interessekonflikter; opfordrer i den forbindelse Ombudsmanden til at foreslå forbedringer af den nuværende adfærdskodeks for Europa-Parlamentets medlemmer med hensyn til integritet og gennemsigtighed;</w:t>
            </w:r>
          </w:p>
        </w:tc>
        <w:tc>
          <w:tcPr>
            <w:tcW w:w="4876" w:type="dxa"/>
            <w:tcBorders>
              <w:top w:val="nil"/>
              <w:left w:val="nil"/>
              <w:bottom w:val="nil"/>
              <w:right w:val="nil"/>
            </w:tcBorders>
          </w:tcPr>
          <w:p>
            <w:pPr>
              <w:pStyle w:val="Normal6a"/>
            </w:pPr>
            <w:r>
              <w:t>14.</w:t>
            </w:r>
            <w:r>
              <w:tab/>
            </w:r>
            <w:r>
              <w:t>støtter kraftigt Ombudsmandens konklusioner om, at EU's etiske regler og korruptionsbekæmpelsesregler skal overholdes og styrkes af EU-institutionerne, og at Parlamentets gennemførelse af reformer på dette område skal overvåges og håndhæves korrekt på alle niveauer</w:t>
            </w:r>
            <w:r>
              <w:rPr>
                <w:b/>
                <w:i/>
              </w:rPr>
              <w:t>, begyndende med formandskabet</w:t>
            </w:r>
            <w:r>
              <w:t>; opfordrer indtrængende Ombudsmanden til at være særdeles opmærksom på direkte og indirekte lobbypraksis i Parlamentet, som kan øge risikoen for potentielle interessekonflikter; opfordrer i den forbindelse Ombudsmanden til at foreslå forbedringer af den nuværende adfærdskodeks for Europa-Parlamentets medlemmer med hensyn til integritet og gennemsigtighed;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støtter kraftigt Ombudsmandens konklusioner om, at EU's etiske regler og korruptionsbekæmpelsesregler skal overholdes og styrkes af EU-institutionerne, og at Parlamentets gennemførelse af reformer på dette område skal overvåges og håndhæves korrekt på alle niveauer; opfordrer indtrængende Ombudsmanden til at være særdeles opmærksom på direkte og indirekte lobbypraksis i Parlamentet, som kan øge risikoen for potentielle interessekonflikter; opfordrer i den forbindelse Ombudsmanden til at foreslå forbedringer af den nuværende adfærdskodeks for Europa-Parlamentets medlemmer med hensyn til integritet og gennemsigtighed;</w:t>
            </w:r>
          </w:p>
        </w:tc>
        <w:tc>
          <w:tcPr>
            <w:tcW w:w="4876" w:type="dxa"/>
            <w:tcBorders>
              <w:top w:val="nil"/>
              <w:left w:val="nil"/>
              <w:bottom w:val="nil"/>
              <w:right w:val="nil"/>
            </w:tcBorders>
          </w:tcPr>
          <w:p>
            <w:pPr>
              <w:pStyle w:val="Normal6a"/>
            </w:pPr>
            <w:r>
              <w:t>14.</w:t>
            </w:r>
            <w:r>
              <w:tab/>
            </w:r>
            <w:r>
              <w:t xml:space="preserve">støtter kraftigt Ombudsmandens konklusioner om, at EU's etiske regler og korruptionsbekæmpelsesregler skal overholdes og styrkes af EU-institutionerne, og at Parlamentets gennemførelse af reformer på dette område skal overvåges og håndhæves korrekt på alle niveauer; opfordrer indtrængende Ombudsmanden til at være særdeles opmærksom på direkte og indirekte lobbypraksis i Parlamentet </w:t>
            </w:r>
            <w:r>
              <w:rPr>
                <w:b/>
                <w:i/>
              </w:rPr>
              <w:t>og i Kommissionen</w:t>
            </w:r>
            <w:r>
              <w:t>, som kan øge risikoen for potentielle interessekonflikter; opfordrer i den forbindelse Ombudsmanden til at foreslå forbedringer af den nuværende adfærdskodeks for Europa-Parlamentets medlemmer med hensyn til integritet og gennemsigtighed;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støtter kraftigt Ombudsmandens konklusioner om, at EU's etiske regler og korruptionsbekæmpelsesregler skal overholdes og styrkes af EU-institutionerne, og at Parlamentets gennemførelse af reformer på dette område skal overvåges og håndhæves korrekt på alle niveauer; opfordrer indtrængende Ombudsmanden til at være særdeles opmærksom på direkte og indirekte lobbypraksis i Parlamentet, som kan øge risikoen for potentielle interessekonflikter; </w:t>
            </w:r>
            <w:r>
              <w:rPr>
                <w:b/>
                <w:i/>
              </w:rPr>
              <w:t>opfordrer i den forbindelse Ombudsmanden til at foreslå forbedringer af</w:t>
            </w:r>
            <w:r>
              <w:t xml:space="preserve"> den nuværende adfærdskodeks for Europa-Parlamentets medlemmer med hensyn til integritet og gennemsigtighed;</w:t>
            </w:r>
          </w:p>
        </w:tc>
        <w:tc>
          <w:tcPr>
            <w:tcW w:w="4876" w:type="dxa"/>
            <w:tcBorders>
              <w:top w:val="nil"/>
              <w:left w:val="nil"/>
              <w:bottom w:val="nil"/>
              <w:right w:val="nil"/>
            </w:tcBorders>
          </w:tcPr>
          <w:p>
            <w:pPr>
              <w:pStyle w:val="Normal6a"/>
            </w:pPr>
            <w:r>
              <w:t>14.</w:t>
            </w:r>
            <w:r>
              <w:tab/>
            </w:r>
            <w:r>
              <w:t xml:space="preserve">støtter kraftigt Ombudsmandens konklusioner om, at EU's etiske regler og korruptionsbekæmpelsesregler skal overholdes og styrkes af EU-institutionerne, og at Parlamentets gennemførelse af reformer på dette område skal overvåges og håndhæves korrekt på alle niveauer; opfordrer indtrængende Ombudsmanden til at være særdeles opmærksom på direkte og indirekte lobbypraksis i Parlamentet, som kan øge risikoen for potentielle interessekonflikter; </w:t>
            </w:r>
            <w:r>
              <w:rPr>
                <w:b/>
                <w:i/>
              </w:rPr>
              <w:t>glæder sig over de betydelige fremskridt, der er opnået i</w:t>
            </w:r>
            <w:r>
              <w:t xml:space="preserve"> den nuværende adfærdskodeks for Europa-Parlamentets medlemmer med hensyn til integritet og gennemsigtighed;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Jana Toom,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understreger den afgørende rolle, som gennemsigtighed, god forvaltningsskik og institutionelle kontrolmekanismer spiller i det arbejde, der udføres af EU's institutioner;</w:t>
            </w:r>
          </w:p>
        </w:tc>
        <w:tc>
          <w:tcPr>
            <w:tcW w:w="4876" w:type="dxa"/>
            <w:tcBorders>
              <w:top w:val="nil"/>
              <w:left w:val="nil"/>
              <w:bottom w:val="nil"/>
              <w:right w:val="nil"/>
            </w:tcBorders>
          </w:tcPr>
          <w:p>
            <w:pPr>
              <w:pStyle w:val="Normal6a"/>
            </w:pPr>
            <w:r>
              <w:t>15.</w:t>
            </w:r>
            <w:r>
              <w:tab/>
            </w:r>
            <w:r>
              <w:t xml:space="preserve">understreger den afgørende rolle, som gennemsigtighed, god forvaltningsskik og institutionelle kontrolmekanismer spiller i det arbejde, der udføres af EU's institutioner; </w:t>
            </w:r>
            <w:r>
              <w:rPr>
                <w:b/>
                <w:i/>
              </w:rPr>
              <w:t>glæder sig over vedtagelsen af en aftale om oprettelse af et interinstitutionelt etisk organ, men beklager, at forhandlingerne mellem de underskrivende institutioner ikke kunne resultere i en mere ambitiøs ramme, der ville oprette et ægte, uafhængigt etisk organ;</w:t>
            </w:r>
            <w:r>
              <w:t xml:space="preserve"> </w:t>
            </w:r>
            <w:r>
              <w:rPr>
                <w:b/>
                <w:i/>
              </w:rPr>
              <w:t>opfordrer indtrængende alle underskrivende institutioner til at gå videre end rammen, når de gennemfører deres respektive etiske krav og standarder;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Maria Zacharia,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glæder sig over, at Ombudsmanden efter Qatar-skandalen har til hensigt at iværksætte en undersøgelse af rejseudgifter betalt af tredjeparter siden 2021 og at fastslå, om Kommissionen har truffet passende foranstaltninger til at afbøde potentielle interessekonflikter i disse sager;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opfordrer Ombudsmanden til at føre strengere tilsyn med, hvordan Unionens midler og budget anvendes, og til at sikre, at EU's interesser ikke undergraves af krænkelser af retsstatsprincippet, overtrædelser af EU's principper og værdier, korruption eller interessekonflikter;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15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opfordrer Ombudsmanden til at undersøge den potentielle interessekonflikt vedrørende de udpegede kommissærers porteføljer ved begyndelsen af hver valgperiode;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glæder sig over</w:t>
            </w:r>
            <w:r>
              <w:t xml:space="preserve"> Ombudsmandens undersøgelser af risikoen for interessekonflikter i Kommissionen, navnlig inden for Den Europæiske Forsvarsfond; </w:t>
            </w:r>
            <w:r>
              <w:rPr>
                <w:b/>
                <w:i/>
              </w:rPr>
              <w:t>finder det problematisk, at Kommissionen ikke er forpligtet til at offentliggøre navnene på de eksperter, den hører om projekter vedrørende Den Europæiske Forsvarsfond, og opfordrer Kommissionen til at overveje, hvordan man kan øge gennemsigtigheden og den offentlige kontrol på dette følsomme politikområde;</w:t>
            </w:r>
          </w:p>
        </w:tc>
        <w:tc>
          <w:tcPr>
            <w:tcW w:w="4876" w:type="dxa"/>
            <w:tcBorders>
              <w:top w:val="nil"/>
              <w:left w:val="nil"/>
              <w:bottom w:val="nil"/>
              <w:right w:val="nil"/>
            </w:tcBorders>
          </w:tcPr>
          <w:p>
            <w:pPr>
              <w:pStyle w:val="Normal6a"/>
            </w:pPr>
            <w:r>
              <w:t>16.</w:t>
            </w:r>
            <w:r>
              <w:tab/>
            </w:r>
            <w:r>
              <w:rPr>
                <w:b/>
                <w:i/>
              </w:rPr>
              <w:t>noterer sig</w:t>
            </w:r>
            <w:r>
              <w:t xml:space="preserve"> Ombudsmandens undersøgelser af risikoen for interessekonflikter i Kommissionen, navnlig inden for Den Europæiske Forsvarsfond;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glæder sig over</w:t>
            </w:r>
            <w:r>
              <w:t xml:space="preserve"> Ombudsmandens undersøgelser af risikoen for interessekonflikter i Kommissionen, navnlig inden for Den Europæiske Forsvarsfond; </w:t>
            </w:r>
            <w:r>
              <w:rPr>
                <w:b/>
                <w:i/>
              </w:rPr>
              <w:t>finder det problematisk, at Kommissionen ikke er forpligtet til at offentliggøre navnene på de eksperter, den hører om projekter vedrørende Den Europæiske Forsvarsfond, og opfordrer Kommissionen til at overveje, hvordan man kan øge gennemsigtigheden og den offentlige kontrol på dette følsomme politikområde;</w:t>
            </w:r>
          </w:p>
        </w:tc>
        <w:tc>
          <w:tcPr>
            <w:tcW w:w="4876" w:type="dxa"/>
            <w:tcBorders>
              <w:top w:val="nil"/>
              <w:left w:val="nil"/>
              <w:bottom w:val="nil"/>
              <w:right w:val="nil"/>
            </w:tcBorders>
          </w:tcPr>
          <w:p>
            <w:pPr>
              <w:pStyle w:val="Normal6a"/>
            </w:pPr>
            <w:r>
              <w:t>16.</w:t>
            </w:r>
            <w:r>
              <w:tab/>
            </w:r>
            <w:r>
              <w:rPr>
                <w:b/>
                <w:i/>
              </w:rPr>
              <w:t>noterer sig</w:t>
            </w:r>
            <w:r>
              <w:t xml:space="preserve"> Ombudsmandens undersøgelser af risikoen for interessekonflikter i Kommissionen, navnlig inden for Den Europæiske Forsvarsfond;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glæder sig over Ombudsmandens undersøgelser af risikoen for interessekonflikter i Kommissionen, navnlig inden for Den Europæiske Forsvarsfond; finder det problematisk, at Kommissionen ikke er forpligtet til at offentliggøre navnene på de eksperter, den hører om projekter vedrørende Den Europæiske Forsvarsfond</w:t>
            </w:r>
            <w:r>
              <w:rPr>
                <w:b/>
                <w:i/>
              </w:rPr>
              <w:t>, og opfordrer</w:t>
            </w:r>
            <w:r>
              <w:t xml:space="preserve"> Kommissionen til at </w:t>
            </w:r>
            <w:r>
              <w:rPr>
                <w:b/>
                <w:i/>
              </w:rPr>
              <w:t>overveje, hvordan man kan</w:t>
            </w:r>
            <w:r>
              <w:t xml:space="preserve"> øge gennemsigtigheden og den offentlige kontrol på dette følsomme politikområde;</w:t>
            </w:r>
          </w:p>
        </w:tc>
        <w:tc>
          <w:tcPr>
            <w:tcW w:w="4876" w:type="dxa"/>
            <w:tcBorders>
              <w:top w:val="nil"/>
              <w:left w:val="nil"/>
              <w:bottom w:val="nil"/>
              <w:right w:val="nil"/>
            </w:tcBorders>
          </w:tcPr>
          <w:p>
            <w:pPr>
              <w:pStyle w:val="Normal6a"/>
            </w:pPr>
            <w:r>
              <w:t>16.</w:t>
            </w:r>
            <w:r>
              <w:tab/>
            </w:r>
            <w:r>
              <w:t>glæder sig over Ombudsmandens undersøgelser af risikoen for interessekonflikter i Kommissionen, navnlig inden for Den Europæiske Forsvarsfond; finder det problematisk, at Kommissionen ikke er forpligtet til at offentliggøre navnene på de eksperter, den hører om projekter vedrørende Den Europæiske Forsvarsfond</w:t>
            </w:r>
            <w:r>
              <w:rPr>
                <w:b/>
                <w:i/>
              </w:rPr>
              <w:t>;</w:t>
            </w:r>
            <w:r>
              <w:t xml:space="preserve"> </w:t>
            </w:r>
            <w:r>
              <w:rPr>
                <w:b/>
                <w:i/>
              </w:rPr>
              <w:t>opfordrer indtrængende</w:t>
            </w:r>
            <w:r>
              <w:t xml:space="preserve"> Kommissionen til at øge gennemsigtigheden og den offentlige kontrol på dette følsomme politikområde; </w:t>
            </w:r>
            <w:r>
              <w:rPr>
                <w:b/>
                <w:i/>
              </w:rPr>
              <w:t>opfordrer EU-institutionerne til at bevare og øge offentlighedens tillid til upartiskheden i administrative organer, der inddrager eksperter;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glæder sig over Ombudsmandens opfordring til Kommissionen om proaktivt at offentliggøre interesseerklæringerne fra medlemmerne af Udvalget for Forskriftskontrol, et organ, som spiller en afgørende rolle i udarbejdelsen af Kommissionens lovgivningsforslag, og om nødvendigt ændre de relevante regler for udvalget;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støtter</w:t>
            </w:r>
            <w:r>
              <w:t xml:space="preserve"> Ombudsmandens opfordring til Den Europæiske Investeringsbank (EIB) om at forbedre dens regler om interessekonflikter og styrke den tilsynsrolle, som dens udvalg vedrørende deontologi og compliance har, som følge af at dens næstformand er blevet administrerende direktør for en national erhvervsfremmende bank; opfordrer i den forbindelse Ombudsmanden til fortsat at fokusere på spørgsmålet om karensperioder og svingdørssituationer for ledende medarbejdere i alle EU's institutioner, agenturer og organer med henblik på at sikre de højeste etiske standarder for gennemsigtighed og offentlig ansvarlighed;</w:t>
            </w:r>
          </w:p>
        </w:tc>
        <w:tc>
          <w:tcPr>
            <w:tcW w:w="4876" w:type="dxa"/>
            <w:tcBorders>
              <w:top w:val="nil"/>
              <w:left w:val="nil"/>
              <w:bottom w:val="nil"/>
              <w:right w:val="nil"/>
            </w:tcBorders>
          </w:tcPr>
          <w:p>
            <w:pPr>
              <w:pStyle w:val="Normal6a"/>
            </w:pPr>
            <w:r>
              <w:t>17.</w:t>
            </w:r>
            <w:r>
              <w:tab/>
            </w:r>
            <w:r>
              <w:rPr>
                <w:b/>
                <w:i/>
              </w:rPr>
              <w:t>noterer sig</w:t>
            </w:r>
            <w:r>
              <w:t xml:space="preserve"> Ombudsmandens opfordring til Den Europæiske Investeringsbank (EIB) om at forbedre dens regler om interessekonflikter og styrke den tilsynsrolle, som dens udvalg vedrørende deontologi og compliance har, som følge af at dens næstformand er blevet administrerende direktør for en national erhvervsfremmende bank; opfordrer i den forbindelse Ombudsmanden til fortsat at fokusere på spørgsmålet om karensperioder og svingdørssituationer for ledende medarbejdere i alle EU's institutioner, agenturer og organer med henblik på at sikre de højeste etiske standarder for gennemsigtighed og offentlig ansvarlighed;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glæder sig over Kommissionens ændringer af dens interne vejledning om offentlige udbud, som er blevet vurderet positivt i Ombudsmandens undersøgelse, og som styrker dens håndtering af potentielle erhvervsmæssige interessekonflikter i forbindelse med udbud;</w:t>
            </w:r>
          </w:p>
        </w:tc>
        <w:tc>
          <w:tcPr>
            <w:tcW w:w="4876" w:type="dxa"/>
            <w:tcBorders>
              <w:top w:val="nil"/>
              <w:left w:val="nil"/>
              <w:bottom w:val="nil"/>
              <w:right w:val="nil"/>
            </w:tcBorders>
          </w:tcPr>
          <w:p>
            <w:pPr>
              <w:pStyle w:val="Normal6a"/>
            </w:pPr>
            <w:r>
              <w:t>18.</w:t>
            </w:r>
            <w:r>
              <w:tab/>
            </w:r>
            <w:r>
              <w:t xml:space="preserve">glæder sig over Kommissionens ændringer af dens interne vejledning om offentlige udbud, som er blevet vurderet positivt i Ombudsmandens undersøgelse, og som styrker dens håndtering af potentielle erhvervsmæssige interessekonflikter i forbindelse med udbud; </w:t>
            </w:r>
            <w:r>
              <w:rPr>
                <w:b/>
                <w:i/>
              </w:rPr>
              <w:t>beklager imidlertid, at betingelserne for tildeling af offentlige kontrakter, der er indgået med lægemiddelindustrien siden 2020 til en værdi af mere end 70 mia. EUR, og som vil have en langsigtet finansiel indvirkning på Unionens og dens medlemsstaters finanser, endnu ikke er blevet præciseret;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opfordrer Kommissionen til at intensivere sine bestræbelser på at øge gennemsigtigheden med hensyn til genopretnings- og resiliensfaciliteten og støtter Ombudsmandens opfordring til Kommissionen om at forbedre sin behandling af begæringer om aktindsigt i dokumenter vedrørende genopretnings- og resiliensfaciliteten og til fortsat at offentliggøre foreløbige vurderinger af medlemsstaternes betalingsanmodninger;</w:t>
            </w:r>
          </w:p>
        </w:tc>
        <w:tc>
          <w:tcPr>
            <w:tcW w:w="4876" w:type="dxa"/>
            <w:tcBorders>
              <w:top w:val="nil"/>
              <w:left w:val="nil"/>
              <w:bottom w:val="nil"/>
              <w:right w:val="nil"/>
            </w:tcBorders>
          </w:tcPr>
          <w:p>
            <w:pPr>
              <w:pStyle w:val="Normal6a"/>
            </w:pPr>
            <w:r>
              <w:t>19.</w:t>
            </w:r>
            <w:r>
              <w:tab/>
            </w:r>
            <w:r>
              <w:t xml:space="preserve">opfordrer Kommissionen til at intensivere sine bestræbelser på at øge gennemsigtigheden med hensyn til genopretnings- og resiliensfaciliteten og støtter Ombudsmandens opfordring til Kommissionen om at forbedre sin behandling af begæringer om aktindsigt i dokumenter vedrørende genopretnings- og resiliensfaciliteten og til fortsat at offentliggøre foreløbige vurderinger af medlemsstaternes betalingsanmodninger; </w:t>
            </w:r>
            <w:r>
              <w:rPr>
                <w:b/>
                <w:i/>
              </w:rPr>
              <w:t>anbefaler kraftigt, at Ombudsmanden undersøger Kommissionens aktiviteter inden for grænsebeskyttelse;</w:t>
            </w:r>
            <w:r>
              <w:t xml:space="preserve"> </w:t>
            </w:r>
            <w:r>
              <w:rPr>
                <w:b/>
                <w:i/>
              </w:rPr>
              <w:t>i stedet for at kritisere medlemsstaterne og grænsebeskyttelsesagenturerne bør Kommissionen snarere støtte medlemsstater, der forsvarer deres grænser, og ikke true dem og straffe dem med tilbagetrækning af ressourcer og bøder;</w:t>
            </w:r>
            <w:r>
              <w:t xml:space="preserve"> </w:t>
            </w:r>
            <w:r>
              <w:rPr>
                <w:b/>
                <w:i/>
              </w:rPr>
              <w:t>Den Europæiske Ombudsmands aktiviteter bør tage hensyn til de europæiske borgeres interesser;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Maria Zacharia,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opfordrer Kommissionen til at intensivere sine bestræbelser på at øge gennemsigtigheden med hensyn til genopretnings- og resiliensfaciliteten og støtter Ombudsmandens opfordring til Kommissionen om at forbedre sin behandling af begæringer om aktindsigt i dokumenter vedrørende genopretnings- og resiliensfaciliteten og til fortsat at offentliggøre foreløbige vurderinger af medlemsstaternes betalingsanmodninger;</w:t>
            </w:r>
          </w:p>
        </w:tc>
        <w:tc>
          <w:tcPr>
            <w:tcW w:w="4876" w:type="dxa"/>
            <w:tcBorders>
              <w:top w:val="nil"/>
              <w:left w:val="nil"/>
              <w:bottom w:val="nil"/>
              <w:right w:val="nil"/>
            </w:tcBorders>
          </w:tcPr>
          <w:p>
            <w:pPr>
              <w:pStyle w:val="Normal6a"/>
            </w:pPr>
            <w:r>
              <w:t>19.</w:t>
            </w:r>
            <w:r>
              <w:tab/>
            </w:r>
            <w:r>
              <w:t xml:space="preserve">opfordrer Kommissionen til at intensivere sine bestræbelser på at øge gennemsigtigheden med hensyn til genopretnings- og resiliensfaciliteten og støtter Ombudsmandens opfordring til Kommissionen om at forbedre sin behandling af begæringer om aktindsigt i dokumenter vedrørende genopretnings- og resiliensfaciliteten og til fortsat at offentliggøre foreløbige vurderinger af medlemsstaternes betalingsanmodninger; </w:t>
            </w:r>
            <w:r>
              <w:rPr>
                <w:b/>
                <w:i/>
              </w:rPr>
              <w:t>understreger behovet for, at alle medlemsstater opretter offentlige portaler, der informerer borgerne om alle modtagere af midler fra genopretnings- og resiliensfaciliteten;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opfordrer Kommissionen til at intensivere sine bestræbelser på at øge gennemsigtigheden med hensyn til genopretnings- og resiliensfaciliteten og </w:t>
            </w:r>
            <w:r>
              <w:rPr>
                <w:b/>
                <w:i/>
              </w:rPr>
              <w:t>støtter Ombudsmandens opfordring til</w:t>
            </w:r>
            <w:r>
              <w:t xml:space="preserve"> Kommissionen </w:t>
            </w:r>
            <w:r>
              <w:rPr>
                <w:b/>
                <w:i/>
              </w:rPr>
              <w:t>om</w:t>
            </w:r>
            <w:r>
              <w:t xml:space="preserve"> at forbedre sin behandling af begæringer om aktindsigt i dokumenter vedrørende genopretnings- og resiliensfaciliteten og til fortsat at offentliggøre foreløbige vurderinger af medlemsstaternes betalingsanmodninger;</w:t>
            </w:r>
          </w:p>
        </w:tc>
        <w:tc>
          <w:tcPr>
            <w:tcW w:w="4876" w:type="dxa"/>
            <w:tcBorders>
              <w:top w:val="nil"/>
              <w:left w:val="nil"/>
              <w:bottom w:val="nil"/>
              <w:right w:val="nil"/>
            </w:tcBorders>
          </w:tcPr>
          <w:p>
            <w:pPr>
              <w:pStyle w:val="Normal6a"/>
            </w:pPr>
            <w:r>
              <w:t>19.</w:t>
            </w:r>
            <w:r>
              <w:tab/>
            </w:r>
            <w:r>
              <w:t xml:space="preserve">opfordrer Kommissionen til at intensivere sine bestræbelser på at øge gennemsigtigheden med hensyn til genopretnings- og resiliensfaciliteten og </w:t>
            </w:r>
            <w:r>
              <w:rPr>
                <w:b/>
                <w:i/>
              </w:rPr>
              <w:t>opfordrer</w:t>
            </w:r>
            <w:r>
              <w:t xml:space="preserve"> Kommissionen </w:t>
            </w:r>
            <w:r>
              <w:rPr>
                <w:b/>
                <w:i/>
              </w:rPr>
              <w:t>til</w:t>
            </w:r>
            <w:r>
              <w:t xml:space="preserve"> at forbedre sin behandling af begæringer om aktindsigt i dokumenter vedrørende genopretnings- og resiliensfaciliteten og til fortsat at offentliggøre foreløbige vurderinger af medlemsstaternes betalingsanmodninger;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fremhæver, at EU i forbindelse med NextGenerationEU har planlagt investeringer på et hidtil uset niveau, der involverer både den offentlige og den private sektor, hvilket gør det endnu mere afgørende at have en beslutningsproces på EU-plan, der er baseret på fuld gennemsigtighed og de stærkeste etiske regler;</w:t>
            </w:r>
            <w:r>
              <w:t xml:space="preserve"> </w:t>
            </w:r>
            <w:r>
              <w:rPr>
                <w:b/>
                <w:i/>
              </w:rPr>
              <w:t>opfordrer Ombudsmanden til at vedtage et styrket tilsyn med gennemførelsen af reglerne og procedurerne for tildeling og anvendelse af EU-midler under NextGenerationEU med henblik på at sikre EU-institutionernes integritet, fulde gennemsigtighed og demokratiske ansvarlighed samt bidrage til at forhindre interessekonflikter, overtrædelser af retsstatsprincippet og korruptionssager;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opfordrer Kommissionen til at tage alle nødvendige skridt til at sikre, at alle medlemsstater har oprettet offentlige portaler med data om de vigtigste modtagere af finansiering og offentliggør alle støttemodtagere under genopretnings- og resiliensfaciliteten på disse offentlige portaler;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glæder sig over Ombudsmandens beslutning om at indlede en undersøgelse på eget initiativ af Kommissionens forsinkelser i forbindelse med risikostyring af farlige kemikalier, hvis formål er at undersøge forsinkelser i indførelsen af restriktioner for at mindske risiciene ved specifikke kemikalier og i opførelsen af kemikalier på listen over stoffer, hvis</w:t>
            </w:r>
            <w:r>
              <w:rPr>
                <w:b/>
                <w:i/>
              </w:rPr>
              <w:t xml:space="preserve">  </w:t>
            </w:r>
            <w:r>
              <w:t>anvendelse kræver forudgående godkendelse;</w:t>
            </w:r>
          </w:p>
        </w:tc>
        <w:tc>
          <w:tcPr>
            <w:tcW w:w="4876" w:type="dxa"/>
            <w:tcBorders>
              <w:top w:val="nil"/>
              <w:left w:val="nil"/>
              <w:bottom w:val="nil"/>
              <w:right w:val="nil"/>
            </w:tcBorders>
          </w:tcPr>
          <w:p>
            <w:pPr>
              <w:pStyle w:val="Normal6a"/>
            </w:pPr>
            <w:r>
              <w:t>20.</w:t>
            </w:r>
            <w:r>
              <w:tab/>
            </w:r>
            <w:r>
              <w:t xml:space="preserve">glæder sig over Ombudsmandens beslutning om at indlede en undersøgelse på eget initiativ af Kommissionens forsinkelser i forbindelse med risikostyring af farlige kemikalier, hvis formål er at undersøge forsinkelser i indførelsen af restriktioner for at mindske risiciene ved specifikke kemikalier og i opførelsen af kemikalier på listen over stoffer, hvis anvendelse kræver forudgående godkendelse; </w:t>
            </w:r>
            <w:r>
              <w:rPr>
                <w:b/>
                <w:i/>
              </w:rPr>
              <w:t>understreger, at der også blev udtrykt bekymring over den manglende gennemsigtighed i "komitologiprocedurerne", som Kommissionen skal følge i forbindelse med vedtagelsen af gennemførelsesforordninger og -afgørelser, da disse procedurer giver begrænsede offentlige oplysninger, hvilket gør det meget vanskeligt for offentligheden at drage Kommissionen og medlemsstaterne til ansvar for deres handlinger;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glæder sig over Ombudsmandens beslutning om at indlede en undersøgelse på eget initiativ af Kommissionens praksis med kun at indbyde repræsentanter for industrien til visse workshopper om pesticider;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er bekymret over, at Ombudsmanden har konstateret flere problemer med gennemsigtighed i Kommissionens interaktion med tobaksindustrien; bemærker imidlertid, at Kommissionen forpligtede sig til yderligere at vurdere dens tjenestegrenes eksponering for tobaksindustriens lobbyvirksomhed; minder Kommissionen om, at EU og alle dets medlemsstater har undertegnet Verdenssundhedsorganisationens rammekonvention om bekæmpelse af tobaksrygning, og at de derfor ved fastlæggelsen og gennemførelsen af deres folkesundhedspolitikker med hensyn til tobakskontrol er forpligtet til at træffe foranstaltninger til at beskytte disse politikker mod tobaksindustriens kommercielle interesser og andre særinteresser;</w:t>
            </w:r>
          </w:p>
        </w:tc>
        <w:tc>
          <w:tcPr>
            <w:tcW w:w="4876" w:type="dxa"/>
            <w:tcBorders>
              <w:top w:val="nil"/>
              <w:left w:val="nil"/>
              <w:bottom w:val="nil"/>
              <w:right w:val="nil"/>
            </w:tcBorders>
          </w:tcPr>
          <w:p>
            <w:pPr>
              <w:pStyle w:val="Normal6a"/>
            </w:pPr>
            <w:r>
              <w:t>21.</w:t>
            </w:r>
            <w:r>
              <w:tab/>
            </w:r>
            <w:r>
              <w:t>er bekymret over, at Ombudsmanden har konstateret flere problemer med gennemsigtighed i Kommissionens interaktion med tobaksindustrien</w:t>
            </w:r>
            <w:r>
              <w:rPr>
                <w:b/>
                <w:i/>
              </w:rPr>
              <w:t>, som det stadig er tilfældet med lægemiddelindustrien</w:t>
            </w:r>
            <w:r>
              <w:t>; bemærker imidlertid, at Kommissionen forpligtede sig til yderligere at vurdere dens tjenestegrenes eksponering for tobaksindustriens lobbyvirksomhed; minder Kommissionen om, at EU og alle dets medlemsstater har undertegnet Verdenssundhedsorganisationens rammekonvention om bekæmpelse af tobaksrygning, og at de derfor ved fastlæggelsen og gennemførelsen af deres folkesundhedspolitikker med hensyn til tobakskontrol er forpligtet til at træffe foranstaltninger til at beskytte disse politikker mod tobaksindustriens kommercielle interesser og andre særinteresser;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opfordrer Ombudsmanden til at overveje at undersøge graden af gennemsigtighed i Kommissionens interaktioner med lægemiddelindustrien;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påpeger, at Ombudsmanden gennemførte en undersøgelse af, hvordan </w:t>
            </w:r>
            <w:r>
              <w:rPr>
                <w:b/>
                <w:i/>
              </w:rPr>
              <w:t>EPSO</w:t>
            </w:r>
            <w:r>
              <w:t xml:space="preserve"> gennemførte "forhåndsudvælgelsesprøver" som led i en procedure for ansættelse af nyt personale i EU's offentlige tjeneste, og konstaterede problemer med tilrettelæggelsen af prøver, der udelukkende gennemføres på afstand; opfordrer EPSO til at forbedre sine ansættelsesprocedurer ved at sikre, at de tekniske krav ikke stiller visse ansøgere ringere, og til at give klare oplysninger til kandidaterne; er af den opfattelse, at kandidaterne, hvis de vælger det, bør have mulighed for at deltage i disse test, mens de er fysisk til stede i et testcenter, hvilket også var almindelig praksis forud for covid-19-pandemien;</w:t>
            </w:r>
          </w:p>
        </w:tc>
        <w:tc>
          <w:tcPr>
            <w:tcW w:w="4876" w:type="dxa"/>
            <w:tcBorders>
              <w:top w:val="nil"/>
              <w:left w:val="nil"/>
              <w:bottom w:val="nil"/>
              <w:right w:val="nil"/>
            </w:tcBorders>
          </w:tcPr>
          <w:p>
            <w:pPr>
              <w:pStyle w:val="Normal6a"/>
            </w:pPr>
            <w:r>
              <w:t>22.</w:t>
            </w:r>
            <w:r>
              <w:tab/>
            </w:r>
            <w:r>
              <w:rPr>
                <w:b/>
                <w:i/>
              </w:rPr>
              <w:t>minder om EU-institutionernes ufravigelige forpligtelse til at sikre uafhængige og velkvalificerede tjenestemænd, der rekrutteres på en åben måde og med en passende geografisk balance mellem nationaliteter og sprog;</w:t>
            </w:r>
            <w:r>
              <w:t xml:space="preserve"> påpeger, at Ombudsmanden gennemførte en undersøgelse af, hvordan </w:t>
            </w:r>
            <w:r>
              <w:rPr>
                <w:b/>
                <w:i/>
              </w:rPr>
              <w:t>Det Europæiske Personaleudvælgelseskontor (EPSO)</w:t>
            </w:r>
            <w:r>
              <w:t xml:space="preserve"> gennemførte "forhåndsudvælgelsesprøver" som led i en procedure for ansættelse af nyt personale i EU's offentlige tjeneste, og konstaterede problemer med tilrettelæggelsen af prøver, der udelukkende gennemføres på afstand; opfordrer EPSO til at forbedre sine ansættelsesprocedurer ved at sikre, at de tekniske krav ikke stiller visse ansøgere ringere, og til at give klare oplysninger til kandidaterne; er af den opfattelse, at kandidaterne, hvis de vælger det, bør have mulighed for at deltage i disse test, mens de er fysisk til stede i et testcenter, hvilket også var almindelig praksis forud for covid-19-pandemien;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påpeger manglen på tilstrækkelige initiativer til yderligere at undersøge skandalen med indkøb af vacciner uden behørig gennemsigtighed;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opfordrer til, at der gennemføres en Eurobarometerundersøgelse af EU-borgernes bevidsthed om retten til at indgive klager til Den Europæiske Ombudsmand med henblik på at indsamle data, der vil gøre det muligt at iværksætte en solid og tilgængelig oplysningskampagne;</w:t>
            </w:r>
            <w:r>
              <w:t xml:space="preserve"> </w:t>
            </w:r>
            <w:r>
              <w:rPr>
                <w:b/>
                <w:i/>
              </w:rPr>
              <w:t>mener, at regelmæssige EU-dækkende undersøgelser baseret på grænseoverskridende meningsmålinger bidrager til at øge bevidstheden om borgernes bekymringer i EU-institutionerne;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understreger, at "det europæiske tilgængelighedsdirektiv"</w:t>
            </w:r>
            <w:r>
              <w:rPr>
                <w:b/>
                <w:i/>
                <w:vertAlign w:val="superscript"/>
              </w:rPr>
              <w:t>1a</w:t>
            </w:r>
            <w:r>
              <w:t xml:space="preserve"> </w:t>
            </w:r>
            <w:r>
              <w:rPr>
                <w:b/>
                <w:i/>
              </w:rPr>
              <w:t>blev vedtaget den 17. april 2019, og at den deri fastsatte frist for medlemsstaternes gennemførelse heraf var den 28. juni 2022;</w:t>
            </w:r>
            <w:r>
              <w:t xml:space="preserve"> </w:t>
            </w:r>
            <w:r>
              <w:rPr>
                <w:b/>
                <w:i/>
              </w:rPr>
              <w:t>understreger, at hovedformålet med det europæiske tilgængelighedsdirektiv var at gøre livet lettere for mindst 87 millioner personer med handicap og lette deres adgang til bl.a. offentlig transport, banktjenester, computere, fjernsyn, e-bøger og onlinebutikker;</w:t>
            </w:r>
            <w:r>
              <w:t xml:space="preserve"> </w:t>
            </w:r>
            <w:r>
              <w:rPr>
                <w:b/>
                <w:i/>
              </w:rPr>
              <w:t>beklager dybt, at ingen medlemsstat endnu har været i stand til at sikre en fuldstændig og konsekvent gennemførelse af direktivet, og at medlemstaterne bliver ved med at akkumulere forsinkelser, hvilket bekræftes af de igangværende traktatbrudssager, som Kommissionen har indledt mod dem alle;</w:t>
            </w:r>
            <w:r>
              <w:t xml:space="preserve"> </w:t>
            </w:r>
            <w:r>
              <w:rPr>
                <w:b/>
                <w:i/>
              </w:rPr>
              <w:t>opfordrer Ombudsmanden til at gøre opmærksom på denne meget alvorlige overtrædelse af EU-retten, som i alvorlig grad undergraver rettighederne for personer med handicap, som led i de overordnede aktiviteter, der gennemføres inden for EU-rammen for FN's konvention om rettigheder for personer med handicap, med henblik på at bidrage til at løse problemet som en prioritet;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Europa-Parlamentets og Rådets direktiv (EU) 2019/882 af 17. april 2019 om tilgængelighedskrav for produkter og tjenester.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understreger, at selv om der er gjort fremskridt i EU-institutionerne med hensyn til gennemførelsen af bestemmelserne i FN's konvention om rettigheder for personer med handicap, er opfyldelsen af mange tilgængelighedsmål stadig forsinket og ikke tilstrækkelig effektiv;</w:t>
            </w:r>
            <w:r>
              <w:t xml:space="preserve"> </w:t>
            </w:r>
            <w:r>
              <w:rPr>
                <w:b/>
                <w:i/>
              </w:rPr>
              <w:t>anbefaler, at den næste ombudsmand griber ind for at undersøge og fremskynde tilgængelighedsforanstaltninger i EU-institutionerne og undersøge, om personer med handicap er forholdsmæssigt repræsenteret i institutionerne;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Virginie Joron, Pál Szekeres, Georg Mayer, Fabrice Leggeri, Mireia Borrás Pabón, Sebastian Kruis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opfordrer Ombudsmanden til at iværksætte en undersøgelse af sagen om Europaskolerne og undersøge, hvordan børn med handicap kan integreres i denne institution, således at deres forældre kan deltage i institutionernes arbejde på lige vilkår;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understreger, at det europæiske netværk af ombudsmænd og de årlige møder, som afholdes sammen med nationale og regionale ombudsmænd via det europæiske netværk af ombudsmænd, har stor betydning for at skabe opmærksomhed om, hvad Den Europæiske Ombudsmand kan gøre for de europæiske borgere; opfordrer Ombudsmanden til fortsat at deltage i udveksling af erfaringer og bedste praksis med nationale ombudsmænd gennem det europæiske netværk af ombudsmænd; noterer sig, at den årlige konference inden for rammerne af det europæiske netværk af ombudsmænd i 2023 fokuserede på beskyttelse af menneskerettighederne og på fordele og potentielle ulemper ved anvendelsen af AI i den offentlige forvaltning;</w:t>
            </w:r>
          </w:p>
        </w:tc>
        <w:tc>
          <w:tcPr>
            <w:tcW w:w="4876" w:type="dxa"/>
            <w:tcBorders>
              <w:top w:val="nil"/>
              <w:left w:val="nil"/>
              <w:bottom w:val="nil"/>
              <w:right w:val="nil"/>
            </w:tcBorders>
          </w:tcPr>
          <w:p>
            <w:pPr>
              <w:pStyle w:val="Normal6a"/>
            </w:pPr>
            <w:r>
              <w:t>26.</w:t>
            </w:r>
            <w:r>
              <w:tab/>
            </w:r>
            <w:r>
              <w:t xml:space="preserve">understreger, at det europæiske netværk af ombudsmænd og de årlige møder, som afholdes sammen med nationale og regionale ombudsmænd via det europæiske netværk af ombudsmænd, har stor betydning for at skabe opmærksomhed om, hvad Den Europæiske Ombudsmand kan gøre for de europæiske borgere; opfordrer Ombudsmanden til fortsat at deltage i udveksling af erfaringer og bedste praksis med nationale ombudsmænd gennem det europæiske netværk af ombudsmænd; noterer sig, at den årlige konference inden for rammerne af det europæiske netværk af ombudsmænd i 2023 fokuserede på beskyttelse af menneskerettighederne og på fordele og potentielle ulemper ved anvendelsen af AI i den offentlige forvaltning; </w:t>
            </w:r>
            <w:r>
              <w:rPr>
                <w:b/>
                <w:i/>
              </w:rPr>
              <w:t>glæder sig over, at ombudsmandsinstitutionen for menneskerettigheder i Bosnien-Hercegovina har tilsluttet sig det europæiske netværk af ombudsmænd;</w:t>
            </w:r>
            <w:r>
              <w:t xml:space="preserve"> </w:t>
            </w:r>
            <w:r>
              <w:rPr>
                <w:b/>
                <w:i/>
              </w:rPr>
              <w:t>opfordrer Ombudsmanden til at styrke samarbejdet med de nationale ombudsmandskontorer i EU-kandidatlandene med henblik på at styrke disse landes offentlige myndigheders evne til at tilpasse sig EU's standarder for god forvaltning, integritet og ansvarlighed;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understreger, at det europæiske netværk af ombudsmænd og de årlige møder, som afholdes sammen med nationale og regionale ombudsmænd via det europæiske netværk af ombudsmænd, har stor betydning for at skabe opmærksomhed om, hvad Den Europæiske Ombudsmand kan gøre for de europæiske borgere; opfordrer Ombudsmanden til fortsat at deltage i udveksling af erfaringer og bedste praksis med nationale ombudsmænd gennem det europæiske netværk af ombudsmænd; noterer sig, at den årlige konference inden for rammerne af det europæiske netværk af ombudsmænd i 2023 fokuserede på beskyttelse af menneskerettighederne og på fordele og potentielle ulemper ved anvendelsen af AI i den offentlige forvaltning;</w:t>
            </w:r>
          </w:p>
        </w:tc>
        <w:tc>
          <w:tcPr>
            <w:tcW w:w="4876" w:type="dxa"/>
            <w:tcBorders>
              <w:top w:val="nil"/>
              <w:left w:val="nil"/>
              <w:bottom w:val="nil"/>
              <w:right w:val="nil"/>
            </w:tcBorders>
          </w:tcPr>
          <w:p>
            <w:pPr>
              <w:pStyle w:val="Normal6a"/>
            </w:pPr>
            <w:r>
              <w:t>26.</w:t>
            </w:r>
            <w:r>
              <w:tab/>
            </w:r>
            <w:r>
              <w:t xml:space="preserve">understreger, at det europæiske netværk af ombudsmænd og de årlige møder, som afholdes sammen med nationale og regionale ombudsmænd via det europæiske netværk af ombudsmænd, har stor betydning for at skabe opmærksomhed om, hvad Den Europæiske Ombudsmand kan gøre for de europæiske borgere; opfordrer Ombudsmanden til fortsat at deltage i udveksling af erfaringer og bedste praksis med nationale ombudsmænd gennem det europæiske netværk af ombudsmænd; noterer sig, at den årlige konference inden for rammerne af det europæiske netværk af ombudsmænd i 2023 fokuserede på beskyttelse af menneskerettighederne og på fordele og potentielle ulemper ved anvendelsen af AI i den offentlige forvaltning; </w:t>
            </w:r>
            <w:r>
              <w:rPr>
                <w:b/>
                <w:i/>
              </w:rPr>
              <w:t>opfordrer civilsamfundsorganisationer til at gøre bedre brug af Den Europæiske Ombudsmands tjenester til kontrol af EU-institutionerne, garantier for gennemsigtighed og håndtering af tilfælde af manglende overholdelse af EU-retten;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opfordrer til en fortsættelse af det tætte samarbejde mellem Ombudsmanden og Europa-Parlamentets Udvalg for Andragender, som har den fælles opgave at bringe EU-institutionerne tættere på borgerne; udtrykker sin store påskønnelse af den opmærksomhed og opfølgning, som Ombudsmanden giver alle klager, herunder klager, der falder uden for </w:t>
            </w:r>
            <w:r>
              <w:rPr>
                <w:b/>
                <w:i/>
              </w:rPr>
              <w:t>Den Europæiske Ombudsmands</w:t>
            </w:r>
            <w:r>
              <w:t xml:space="preserve"> ansvarsområde</w:t>
            </w:r>
            <w:r>
              <w:rPr>
                <w:b/>
                <w:i/>
              </w:rPr>
              <w:t>, såsom borgernes klager over specifikke spørgsmål vedrørende</w:t>
            </w:r>
            <w:r>
              <w:t xml:space="preserve"> EU-lovgivningen, </w:t>
            </w:r>
            <w:r>
              <w:rPr>
                <w:b/>
                <w:i/>
              </w:rPr>
              <w:t>og støtter Ombudsmandens råd til disse klagere om at henvende sig til Parlamentets</w:t>
            </w:r>
            <w:r>
              <w:t xml:space="preserve"> Udvalg for Andragender;</w:t>
            </w:r>
          </w:p>
        </w:tc>
        <w:tc>
          <w:tcPr>
            <w:tcW w:w="4876" w:type="dxa"/>
            <w:tcBorders>
              <w:top w:val="nil"/>
              <w:left w:val="nil"/>
              <w:bottom w:val="nil"/>
              <w:right w:val="nil"/>
            </w:tcBorders>
          </w:tcPr>
          <w:p>
            <w:pPr>
              <w:pStyle w:val="Normal6a"/>
            </w:pPr>
            <w:r>
              <w:t>27.</w:t>
            </w:r>
            <w:r>
              <w:tab/>
            </w:r>
            <w:r>
              <w:t xml:space="preserve">opfordrer til en fortsættelse af det tætte samarbejde mellem Ombudsmanden og Europa-Parlamentets Udvalg for Andragender, som har den fælles opgave at bringe EU-institutionerne tættere på borgerne; udtrykker sin store påskønnelse af den opmærksomhed og opfølgning, som Ombudsmanden giver alle klager, herunder </w:t>
            </w:r>
            <w:r>
              <w:rPr>
                <w:b/>
                <w:i/>
              </w:rPr>
              <w:t>henvisning af</w:t>
            </w:r>
            <w:r>
              <w:t xml:space="preserve"> klager, der falder uden for </w:t>
            </w:r>
            <w:r>
              <w:rPr>
                <w:b/>
                <w:i/>
              </w:rPr>
              <w:t>hendes</w:t>
            </w:r>
            <w:r>
              <w:t xml:space="preserve"> ansvarsområde </w:t>
            </w:r>
            <w:r>
              <w:rPr>
                <w:b/>
                <w:i/>
              </w:rPr>
              <w:t>vedrørende gennemførelsen af</w:t>
            </w:r>
            <w:r>
              <w:t xml:space="preserve"> EU-lovgivningen, </w:t>
            </w:r>
            <w:r>
              <w:rPr>
                <w:b/>
                <w:i/>
              </w:rPr>
              <w:t>til Europa-Parlamentets</w:t>
            </w:r>
            <w:r>
              <w:t xml:space="preserve"> Udvalg for Andragender;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opfordrer til en fortsættelse af det tætte samarbejde mellem Ombudsmanden og Europa-Parlamentets Udvalg for Andragender, som har den fælles opgave at bringe EU-institutionerne tættere på borgerne; udtrykker sin store påskønnelse af den opmærksomhed og opfølgning, som Ombudsmanden giver alle klager, herunder klager, der falder uden for Den Europæiske Ombudsmands ansvarsområde, såsom borgernes klager over specifikke spørgsmål vedrørende EU-lovgivningen, og støtter Ombudsmandens råd til disse klagere om at henvende sig til Parlamentets Udvalg for Andragender;</w:t>
            </w:r>
          </w:p>
        </w:tc>
        <w:tc>
          <w:tcPr>
            <w:tcW w:w="4876" w:type="dxa"/>
            <w:tcBorders>
              <w:top w:val="nil"/>
              <w:left w:val="nil"/>
              <w:bottom w:val="nil"/>
              <w:right w:val="nil"/>
            </w:tcBorders>
          </w:tcPr>
          <w:p>
            <w:pPr>
              <w:pStyle w:val="Normal6a"/>
            </w:pPr>
            <w:r>
              <w:t>27.</w:t>
            </w:r>
            <w:r>
              <w:tab/>
            </w:r>
            <w:r>
              <w:t xml:space="preserve">opfordrer til en fortsættelse af det tætte samarbejde mellem Ombudsmanden og Europa-Parlamentets Udvalg for Andragender, som har den fælles opgave at bringe EU-institutionerne tættere på borgerne; udtrykker sin store påskønnelse af den opmærksomhed og opfølgning, som Ombudsmanden giver alle klager, herunder klager, der falder uden for Den Europæiske Ombudsmands ansvarsområde, såsom borgernes klager over specifikke spørgsmål vedrørende EU-lovgivningen, og støtter Ombudsmandens råd til disse klagere om at henvende sig til Parlamentets Udvalg for Andragender; </w:t>
            </w:r>
            <w:r>
              <w:rPr>
                <w:b/>
                <w:i/>
              </w:rPr>
              <w:t>opfordrer Ombudsmandens kontor til at fortsætte sine bestræbelser med henblik herpå, eftersom samarbejde med Udvalget for Andragender, rettidig information og aktindsigt på alle 24 officielle EU-sprog kan øge borgernes og civilsamfundets effektive deltagelse i beslutningsprocessen;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glæder sig over, at EU-institutionernes acceptprocent, dvs. procentdelen af positive svar på det samlede antal forslag fra Ombudsmanden om at korrigere eller forbedre deres administrative praksis, var på 81 %, hvilket er en forbedring i forhold til det foregående år;</w:t>
            </w:r>
            <w:r>
              <w:t xml:space="preserve"> </w:t>
            </w:r>
            <w:r>
              <w:rPr>
                <w:b/>
                <w:i/>
              </w:rPr>
              <w:t>er imidlertid af den faste overbevisning, at Unionens institutioner, agenturer, organer og kontorer fuldt ud og konsekvent skal følge alle Ombudsmandens løsninger, henstillinger og forslag;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Nikos Pappas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påskønner og glæder sig over Ombudsmandens og hendes kontors bestræbelser på konstant at forbedre deres interne procedurer for at sikre, at klagerne har en optimal oplevelse, og at klager behandles så effektivt som muligt; glæder sig over de forbedringer af Ombudsmandens onlineklagesystem, som har gjort det mere brugervenligt; glæder sig over Ombudsmandens flersprogede websted, som afspejler Ombudsmandens tilsagn om at tilbyde bistand på EU's 24 officielle sprog;</w:t>
            </w:r>
          </w:p>
        </w:tc>
        <w:tc>
          <w:tcPr>
            <w:tcW w:w="4876" w:type="dxa"/>
            <w:tcBorders>
              <w:top w:val="nil"/>
              <w:left w:val="nil"/>
              <w:bottom w:val="nil"/>
              <w:right w:val="nil"/>
            </w:tcBorders>
          </w:tcPr>
          <w:p>
            <w:pPr>
              <w:pStyle w:val="Normal6a"/>
            </w:pPr>
            <w:r>
              <w:t>29.</w:t>
            </w:r>
            <w:r>
              <w:tab/>
            </w:r>
            <w:r>
              <w:t xml:space="preserve">påskønner og glæder sig over Ombudsmandens og hendes kontors bestræbelser på konstant at forbedre deres interne procedurer for at sikre, at klagerne har en optimal oplevelse, og at klager behandles så effektivt som muligt; glæder sig over de forbedringer af Ombudsmandens onlineklagesystem, som har gjort det mere brugervenligt; glæder sig over Ombudsmandens flersprogede websted, som afspejler Ombudsmandens tilsagn om at tilbyde bistand på EU's 24 officielle sprog; </w:t>
            </w:r>
            <w:r>
              <w:rPr>
                <w:b/>
                <w:i/>
              </w:rPr>
              <w:t>understreger betydningen af at sikre personer med handicap fuld adgang til alle de ressourcer, som EU stiller til rådighed for borgerne, navnlig gennem systematisk oversættelse og tolkning på alle officielle sprog, herunder tegnsprog;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Peter Agius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påskønner og glæder sig over Ombudsmandens og hendes kontors bestræbelser på konstant at forbedre deres interne procedurer for at sikre, at klagerne har en optimal oplevelse, og at klager behandles så effektivt som muligt; glæder sig over de forbedringer af Ombudsmandens onlineklagesystem, som har gjort det mere brugervenligt; glæder sig over Ombudsmandens flersprogede websted, som afspejler Ombudsmandens tilsagn om at tilbyde bistand på EU's 24 officielle sprog;</w:t>
            </w:r>
          </w:p>
        </w:tc>
        <w:tc>
          <w:tcPr>
            <w:tcW w:w="4876" w:type="dxa"/>
            <w:tcBorders>
              <w:top w:val="nil"/>
              <w:left w:val="nil"/>
              <w:bottom w:val="nil"/>
              <w:right w:val="nil"/>
            </w:tcBorders>
          </w:tcPr>
          <w:p>
            <w:pPr>
              <w:pStyle w:val="Normal6a"/>
            </w:pPr>
            <w:r>
              <w:t>29.</w:t>
            </w:r>
            <w:r>
              <w:tab/>
            </w:r>
            <w:r>
              <w:t xml:space="preserve">påskønner og glæder sig over Ombudsmandens og hendes kontors bestræbelser på konstant at forbedre deres interne procedurer for at sikre, at klagerne har en optimal oplevelse, og at klager behandles så effektivt som muligt; </w:t>
            </w:r>
            <w:r>
              <w:rPr>
                <w:b/>
                <w:i/>
              </w:rPr>
              <w:t>støtter Ombudsmandens bestræbelser på yderligere at forbedre synligheden af sine aktiviteter og</w:t>
            </w:r>
            <w:r>
              <w:t xml:space="preserve"> glæder sig over de forbedringer af Ombudsmandens onlineklagesystem, som har gjort det mere brugervenligt; glæder sig over Ombudsmandens flersprogede websted, som afspejler Ombudsmandens tilsagn om at tilbyde bistand på EU's 24 officielle sprog;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opfordrer Kommissionen og Rådet til at reagere positivt på enhver anmodning om budgetforhøjelse vedrørende den finansielle tildeling til Den Europæiske Ombudsmand under hensyntagen til EU's stadig mere komplekse beslutningstagningsmiljø og Ombudsmandens rolle med hensyn til at sikre, at den europæiske forvaltning forbliver ansvarlig og gennemsigtig;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765.098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70</w:t>
    </w:r>
    <w:r>
      <w:fldChar w:fldCharType="end"/>
    </w:r>
    <w:r>
      <w:tab/>
    </w:r>
    <w:r>
      <w:rPr>
        <w:rStyle w:val="HideTWBExt"/>
      </w:rPr>
      <w:t>&lt;PathFdR&gt;</w:t>
    </w:r>
    <w:r>
      <w:t>AM\1308205DA.docx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AM\1308205DA.docx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70</w:t>
    </w:r>
    <w:r>
      <w:fldChar w:fldCharType="end"/>
    </w:r>
    <w:r>
      <w:tab/>
    </w:r>
    <w:r>
      <w:t>PE</w:t>
    </w:r>
    <w:r>
      <w:rPr>
        <w:rStyle w:val="HideTWBExt"/>
      </w:rPr>
      <w:t>&lt;NoPE&gt;</w:t>
    </w:r>
    <w:r>
      <w:t>765.098</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AM\1308205DA.docx</w:t>
    </w:r>
    <w:r>
      <w:rPr>
        <w:rStyle w:val="HideTWBExt"/>
      </w:rPr>
      <w:t>&lt;/PathFdR&gt;</w:t>
    </w:r>
    <w:r>
      <w:tab/>
    </w:r>
    <w:r>
      <w:tab/>
    </w:r>
    <w:r>
      <w:t>PE</w:t>
    </w:r>
    <w:r>
      <w:rPr>
        <w:rStyle w:val="HideTWBExt"/>
      </w:rPr>
      <w:t>&lt;NoPE&gt;</w:t>
    </w:r>
    <w:r>
      <w:t>765.098</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70</Pages>
  <Words>15454</Words>
  <Characters>100497</Characters>
  <Application>Microsoft Office Word</Application>
  <DocSecurity>0</DocSecurity>
  <Lines>1</Lines>
  <Paragraphs>1042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1308205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82291</vt:lpwstr>
  </property>
  <property fmtid="{D5CDD505-2E9C-101B-9397-08002B2CF9AE}" pid="7" name="dmxml.render.traceId">
    <vt:lpwstr>671a4b6ea9c423a3cb9178d9788f2f58</vt:lpwstr>
  </property>
  <property fmtid="{D5CDD505-2E9C-101B-9397-08002B2CF9AE}" pid="8" name="FooterPath">
    <vt:lpwstr>AM\1308205DA.docx</vt:lpwstr>
  </property>
  <property fmtid="{D5CDD505-2E9C-101B-9397-08002B2CF9AE}" pid="9" name="PE Number">
    <vt:lpwstr>765.098</vt:lpwstr>
  </property>
  <property fmtid="{D5CDD505-2E9C-101B-9397-08002B2CF9AE}" pid="10" name="UID">
    <vt:lpwstr>eu.europa.europarl-DIN1-2024-0000033304_01.00-da-01.00_text-xml</vt:lpwstr>
  </property>
</Properties>
</file>