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Evropský parlament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{PETI}</w:t>
      </w:r>
      <w:r>
        <w:t>Petiční výbor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2025/2027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(INI)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{28/03/2025}</w:t>
      </w:r>
      <w:r>
        <w:t>28.3.2025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KOMPROMISNÍ POZMĚŇOVACÍ NÁVRHY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1</w:t>
      </w:r>
      <w:r>
        <w:t xml:space="preserve"> - </w:t>
      </w:r>
      <w:r>
        <w:t>12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Návrh zprávy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Gheorghe Falcă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(PE768.068v01-00)</w:t>
      </w:r>
      <w:r>
        <w:rPr>
          <w:rStyle w:val="HideTWBExt"/>
        </w:rPr>
        <w:t>&lt;/DocRefPE&gt;</w:t>
      </w:r>
    </w:p>
    <w:p>
      <w:pPr>
        <w:pStyle w:val="CoverNormal"/>
      </w:pPr>
      <w:r>
        <w:rPr>
          <w:rStyle w:val="HideTWBExt"/>
        </w:rPr>
        <w:t>&lt;Titre&gt;</w:t>
      </w:r>
      <w:r>
        <w:t>Jednání Petičního výboru v roce 2023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(2025/2027(INI))</w:t>
      </w:r>
      <w:r>
        <w:rPr>
          <w:rStyle w:val="HideTWBExt"/>
        </w:rPr>
        <w:t>&lt;/DocRef&gt;</w:t>
      </w:r>
    </w:p>
    <w:p>
      <w:r>
        <w:br w:type="page"/>
      </w:r>
      <w:r>
        <w:t>AM_Com_NonLegCompr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Gheorghe Falcă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r>
        <w:rPr>
          <w:rStyle w:val="HideTWBExt"/>
        </w:rPr>
        <w:t>&lt;Compromise&gt;</w:t>
      </w:r>
      <w:r>
        <w:t>Kompromisní pozměňovací návrh, který nahrazuje pozměňovací návrhy: 4, 7, 8</w:t>
      </w:r>
      <w:r>
        <w:rPr>
          <w:rStyle w:val="HideTWBExt"/>
        </w:rPr>
        <w:t>&lt;/Compromise&gt;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H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H.</w:t>
            </w:r>
            <w:r>
              <w:tab/>
            </w:r>
            <w:r>
              <w:t xml:space="preserve">vzhledem k tomu, že Evropský parlament je jediným orgánem EU přímo voleným občany EU; vzhledem k tomu, že je v mezinárodním měřítku již dlouho čelným představitelem rozvoje petičního postupu a má nejotevřenější a nejtransparentnější petiční postup v Evropě, který umožňuje </w:t>
            </w:r>
            <w:r>
              <w:rPr>
                <w:b/>
                <w:i/>
              </w:rPr>
              <w:t>plné</w:t>
            </w:r>
            <w:r>
              <w:t xml:space="preserve"> zapojení předkladatelů petic do jeho činností;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H.</w:t>
            </w:r>
            <w:r>
              <w:tab/>
            </w:r>
            <w:r>
              <w:t xml:space="preserve">vzhledem k tomu, že Evropský parlament je jediným orgánem EU přímo voleným občany EU; </w:t>
            </w:r>
            <w:r>
              <w:rPr>
                <w:b/>
                <w:i/>
              </w:rPr>
              <w:t>že právo předložit petici Evropskému parlamentu je jedním ze základních práv občanů a rezidentů EU, které jim umožňuje obrátit se přímo na jejich volené zástupce;</w:t>
            </w:r>
            <w:r>
              <w:t xml:space="preserve"> vzhledem k tomu, že je v mezinárodním měřítku již dlouho čelným představitelem rozvoje petičního postupu a má nejotevřenější</w:t>
            </w:r>
            <w:r>
              <w:rPr>
                <w:b/>
                <w:i/>
              </w:rPr>
              <w:t>, nejdemokratičtější</w:t>
            </w:r>
            <w:r>
              <w:t xml:space="preserve"> a nejtransparentnější petiční postup v Evropě, který umožňuje </w:t>
            </w:r>
            <w:r>
              <w:rPr>
                <w:b/>
                <w:i/>
              </w:rPr>
              <w:t>aktivní a efektivní</w:t>
            </w:r>
            <w:r>
              <w:t xml:space="preserve"> zapojení předkladatelů petic do jeho činností; </w:t>
            </w:r>
            <w:r>
              <w:rPr>
                <w:b/>
                <w:i/>
              </w:rPr>
              <w:t>že při výkonu petičního práva občané očekávají, že Parlament vytvoří přidanou hodnotu tím, že na řešení jejich problémů bude spolupracovat s Komisí a orgány členských států;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Gheorghe Falcă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r>
        <w:rPr>
          <w:rStyle w:val="HideTWBExt"/>
        </w:rPr>
        <w:t>&lt;Compromise&gt;</w:t>
      </w:r>
      <w:r>
        <w:t>Kompromisní pozměňovací návrh, který nahrazuje pozměňovací návrhy: 9, 51</w:t>
      </w:r>
      <w:r>
        <w:rPr>
          <w:rStyle w:val="HideTWBExt"/>
        </w:rPr>
        <w:t>&lt;/Compromise&gt;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J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J.</w:t>
            </w:r>
            <w:r>
              <w:tab/>
            </w:r>
            <w:r>
              <w:t>vzhledem k tomu, že činnost Petičního výboru je založena na podnětech od předkladatelů petic, což Parlamentu umožňuje lépe reagovat na stížnosti a obavy týkající se dodržování základních práv EU a dodržování právních předpisů EU v členských státech; vzhledem k tomu, že petice jsou proto užitečným zdrojem informací o případech nesprávného uplatňování nebo porušování práva EU, což umožňuje posoudit a uplatňovat právo EU a jeho dopad na práva občanů a obyvatel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J.</w:t>
            </w:r>
            <w:r>
              <w:tab/>
            </w:r>
            <w:r>
              <w:t xml:space="preserve">vzhledem k tomu, že činnost Petičního výboru je založena na podnětech od předkladatelů petic, což Parlamentu umožňuje lépe reagovat na stížnosti a obavy týkající se dodržování základních práv EU a dodržování právních předpisů EU v členských státech; vzhledem k tomu, že </w:t>
            </w:r>
            <w:r>
              <w:rPr>
                <w:b/>
                <w:i/>
              </w:rPr>
              <w:t>prostřednictvím petic mohou občané EU upozorňovat na neprovádění právních předpisů EU a pomáhat odhalovat jejich porušování;</w:t>
            </w:r>
            <w:r>
              <w:t xml:space="preserve"> </w:t>
            </w:r>
            <w:r>
              <w:rPr>
                <w:b/>
                <w:i/>
              </w:rPr>
              <w:t>vzhledem k tomu, že</w:t>
            </w:r>
            <w:r>
              <w:t xml:space="preserve"> petice jsou proto užitečným zdrojem informací o případech nesprávného uplatňování nebo porušování práva EU, což umožňuje posoudit a uplatňovat právo EU a jeho dopad na práva občanů a obyvatel EU; </w:t>
            </w:r>
            <w:r>
              <w:rPr>
                <w:b/>
                <w:i/>
              </w:rPr>
              <w:t>že v roce 2023 byla základní práva jednou ze tří nejdůležitějších problematik, které se všichni předkladatelé petic věnovali;</w:t>
            </w:r>
            <w:r>
              <w:t xml:space="preserve"> </w:t>
            </w:r>
            <w:r>
              <w:rPr>
                <w:b/>
                <w:i/>
              </w:rPr>
              <w:t>že v rámci strukturovaného dialogu s Evropskou komisí vyzval Petiční výbor Komisi, aby bojovala proti diskriminaci v Evropské unii prostřednictvím iniciativ, které by zaručily rovná práva a posílily opatření proti všem formám diskriminace, včetně diskriminace na základě pohlaví, rasového nebo etnického původu, zdravotního postižení, věku, náboženského vyznání, přesvědčení nebo sexuální orientace;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Gheorghe Falcă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r>
        <w:rPr>
          <w:rStyle w:val="HideTWBExt"/>
        </w:rPr>
        <w:t>&lt;Compromise&gt;</w:t>
      </w:r>
      <w:r>
        <w:t>Kompromisní pozměňovací návrh, který nahrazuje pozměňovací návrhy: 13, 14</w:t>
      </w:r>
      <w:r>
        <w:rPr>
          <w:rStyle w:val="HideTWBExt"/>
        </w:rPr>
        <w:t>&lt;/Compromise&gt;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K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K.</w:t>
            </w:r>
            <w:r>
              <w:tab/>
            </w:r>
            <w:r>
              <w:t xml:space="preserve">vzhledem k tomu, že každá petice </w:t>
            </w:r>
            <w:r>
              <w:rPr>
                <w:b/>
                <w:i/>
              </w:rPr>
              <w:t>je</w:t>
            </w:r>
            <w:r>
              <w:t xml:space="preserve"> pečlivě, účinně a transparentně posuzována a zkoumána; vzhledem k tomu, že každý předkladatel má právo obdržet odpověď – ve svém jazyce nebo v jazyce, který byl použit v petici, – v níž je informován o rozhodnutí o přípustnosti a následných opatřeních, které výbor přijme v přiměřené lhůtě;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K.</w:t>
            </w:r>
            <w:r>
              <w:tab/>
            </w:r>
            <w:r>
              <w:t xml:space="preserve">vzhledem k tomu, že každá petice </w:t>
            </w:r>
            <w:r>
              <w:rPr>
                <w:b/>
                <w:i/>
              </w:rPr>
              <w:t>musí být</w:t>
            </w:r>
            <w:r>
              <w:t xml:space="preserve"> pečlivě, účinně</w:t>
            </w:r>
            <w:r>
              <w:rPr>
                <w:b/>
                <w:i/>
              </w:rPr>
              <w:t>, nestranně, spravedlivě</w:t>
            </w:r>
            <w:r>
              <w:t xml:space="preserve"> a transparentně posuzována a zkoumána </w:t>
            </w:r>
            <w:r>
              <w:rPr>
                <w:b/>
                <w:i/>
              </w:rPr>
              <w:t>v souladu s normami stanovenými v článku 41 Listiny základních práv Evropské unie v souvislosti s právem na řádnou správu</w:t>
            </w:r>
            <w:r>
              <w:t xml:space="preserve">; vzhledem k tomu, že každý předkladatel má právo obdržet odpověď – ve svém jazyce nebo v jazyce, který byl použit v petici, – v níž je informován o rozhodnutí o přípustnosti a následných opatřeních, které výbor přijme v přiměřené lhůtě; </w:t>
            </w:r>
            <w:r>
              <w:rPr>
                <w:b/>
                <w:i/>
              </w:rPr>
              <w:t>že včasné a efektivní odpovědi Komise a členských států na záležitosti, které byly předmětem petic, spolu s případnými řešeními za účelem nápravy přispívají k posílení důvěry občanů v Unii a její politiky;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Gheorghe Falcă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r>
        <w:rPr>
          <w:rStyle w:val="HideTWBExt"/>
        </w:rPr>
        <w:t>&lt;Compromise&gt;</w:t>
      </w:r>
      <w:r>
        <w:t>Kompromisní pozměňovací návrh, který nahrazuje pozměňovací návrhy: 27, 28, 29, 31</w:t>
      </w:r>
      <w:r>
        <w:rPr>
          <w:rStyle w:val="HideTWBExt"/>
        </w:rPr>
        <w:t>&lt;/Compromise&gt;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opětovně zdůrazňuje, že je důležité, aby neustále probíhala veřejná diskuse o oblastech činnosti EU s cílem zajistit, aby byli občané řádně informováni o rozsahu pravomocí Unie a o různých úrovních rozhodování; </w:t>
            </w:r>
            <w:r>
              <w:rPr>
                <w:b/>
                <w:i/>
              </w:rPr>
              <w:t>znovu v této souvislosti vyzývá k zavedení širších osvětových kampaní, do kterých</w:t>
            </w:r>
            <w:r>
              <w:t xml:space="preserve"> by se </w:t>
            </w:r>
            <w:r>
              <w:rPr>
                <w:b/>
                <w:i/>
              </w:rPr>
              <w:t>měly aktivně zapojit komunikační služby a</w:t>
            </w:r>
            <w:r>
              <w:t xml:space="preserve"> které by pomohly zvýšit </w:t>
            </w:r>
            <w:r>
              <w:rPr>
                <w:b/>
                <w:i/>
              </w:rPr>
              <w:t>povědomí</w:t>
            </w:r>
            <w:r>
              <w:t xml:space="preserve"> občanů o jejich petičním právu a o rozsahu </w:t>
            </w:r>
            <w:r>
              <w:rPr>
                <w:b/>
                <w:i/>
              </w:rPr>
              <w:t>odpovědnosti</w:t>
            </w:r>
            <w:r>
              <w:t xml:space="preserve"> EU a pravomocí Petičního výboru</w:t>
            </w:r>
            <w:r>
              <w:rPr>
                <w:b/>
                <w:i/>
              </w:rPr>
              <w:t>, aby se snížil</w:t>
            </w:r>
            <w:r>
              <w:t xml:space="preserve"> počet nepřípustných petic;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opětovně zdůrazňuje, že je důležité, aby neustále probíhala veřejná diskuse o oblastech činnosti EU s cílem zajistit, aby byli občané řádně informováni o rozsahu pravomocí Unie a o různých úrovních rozhodování; </w:t>
            </w:r>
            <w:r>
              <w:rPr>
                <w:b/>
                <w:i/>
              </w:rPr>
              <w:t>vyzývá k posílené strukturované informační a komunikační kampani na úrovni EU ve všech jejích úředních jazycích ve spolupráci s národními a regionálními veřejnými ochránci práv, nevládními organizacemi a vzdělávacími zařízeními s cílem zvýšit povědomí občanů všech členských států o jejich petičním právu, která</w:t>
            </w:r>
            <w:r>
              <w:t xml:space="preserve"> by se </w:t>
            </w:r>
            <w:r>
              <w:rPr>
                <w:b/>
                <w:i/>
              </w:rPr>
              <w:t>zaměřila rovněž na venkovské a znevýhodněné komunity a marginalizované skupiny, jakož i na odlehlé ostrovy a regiony;</w:t>
            </w:r>
            <w:r>
              <w:t xml:space="preserve"> </w:t>
            </w:r>
            <w:r>
              <w:rPr>
                <w:b/>
                <w:i/>
              </w:rPr>
              <w:t>navrhuje posílit informační činnost prostřednictvím sociálních sítí a akcí místních komunit;</w:t>
            </w:r>
            <w:r>
              <w:t xml:space="preserve"> </w:t>
            </w:r>
            <w:r>
              <w:rPr>
                <w:b/>
                <w:i/>
              </w:rPr>
              <w:t>zdůrazňuje, že jsou třeba rozsáhlejší informační kampaně s aktivním zapojením komunikačních služeb,</w:t>
            </w:r>
            <w:r>
              <w:t xml:space="preserve"> které by pomohly zvýšit </w:t>
            </w:r>
            <w:r>
              <w:rPr>
                <w:b/>
                <w:i/>
              </w:rPr>
              <w:t>informovanost</w:t>
            </w:r>
            <w:r>
              <w:t xml:space="preserve"> občanů o jejich petičním právu a o rozsahu </w:t>
            </w:r>
            <w:r>
              <w:rPr>
                <w:b/>
                <w:i/>
              </w:rPr>
              <w:t>působnosti</w:t>
            </w:r>
            <w:r>
              <w:t xml:space="preserve"> EU a pravomocí </w:t>
            </w:r>
            <w:r>
              <w:rPr>
                <w:b/>
                <w:i/>
              </w:rPr>
              <w:t>a působnosti</w:t>
            </w:r>
            <w:r>
              <w:t xml:space="preserve"> Petičního výboru </w:t>
            </w:r>
            <w:r>
              <w:rPr>
                <w:b/>
                <w:i/>
              </w:rPr>
              <w:t>s cílem snížit</w:t>
            </w:r>
            <w:r>
              <w:t xml:space="preserve"> počet nepřípustných petic </w:t>
            </w:r>
            <w:r>
              <w:rPr>
                <w:b/>
                <w:i/>
              </w:rPr>
              <w:t>a posílit angažovanost občanů v souvislosti s rozhodovacím procesem;</w:t>
            </w:r>
            <w:r>
              <w:t xml:space="preserve"> </w:t>
            </w:r>
            <w:r>
              <w:rPr>
                <w:b/>
                <w:i/>
              </w:rPr>
              <w:t>doporučuje zlepšit digitální přístupnost portálu pro předkládání petic, včetně jeho přizpůsobení osobám se zdravotním postižením a efektivnějších překladů do všech úředních jazyků EU;</w:t>
            </w:r>
            <w:r>
              <w:t xml:space="preserve"> </w:t>
            </w:r>
            <w:r>
              <w:rPr>
                <w:b/>
                <w:i/>
              </w:rPr>
              <w:t>doporučuje prozkoumat možnosti existujících nástrojů IT s cílem zvýšit podporu, která je na portálu nabízena občanům, včetně možností přesměrování na odpovídající mechanismy pro podávání stížností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Gheorghe Falcă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r>
        <w:rPr>
          <w:rStyle w:val="HideTWBExt"/>
        </w:rPr>
        <w:t>&lt;Compromise&gt;</w:t>
      </w:r>
      <w:r>
        <w:t>Kompromisní pozměňovací návrh, který nahrazuje pozměňovací návrhy: 36, 37, 39, 40, 80</w:t>
      </w:r>
      <w:r>
        <w:rPr>
          <w:rStyle w:val="HideTWBExt"/>
        </w:rPr>
        <w:t>&lt;/Compromise&gt;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opakuje svou výzvu, aby Komise poskytovala Petičnímu výboru pravidelné aktuální informace o průběhu řízení o nesplnění povinnosti a zaručila Petičnímu výboru přístup </w:t>
            </w:r>
            <w:r>
              <w:rPr>
                <w:b/>
                <w:i/>
              </w:rPr>
              <w:t>k</w:t>
            </w:r>
            <w:r>
              <w:t xml:space="preserve"> příslušným </w:t>
            </w:r>
            <w:r>
              <w:rPr>
                <w:b/>
                <w:i/>
              </w:rPr>
              <w:t>informacím</w:t>
            </w:r>
            <w:r>
              <w:t xml:space="preserve"> týkajícím se řízení o </w:t>
            </w:r>
            <w:r>
              <w:rPr>
                <w:b/>
                <w:i/>
              </w:rPr>
              <w:t>neplnění</w:t>
            </w:r>
            <w:r>
              <w:t xml:space="preserve"> povinnosti</w:t>
            </w:r>
            <w:r>
              <w:rPr>
                <w:b/>
                <w:i/>
              </w:rPr>
              <w:t>, která byla zahájena</w:t>
            </w:r>
            <w:r>
              <w:t xml:space="preserve"> na základě obdržených petic</w:t>
            </w:r>
            <w:r>
              <w:rPr>
                <w:b/>
                <w:i/>
              </w:rPr>
              <w:t>, a postupů v systému EU Pilot</w:t>
            </w:r>
            <w:r>
              <w:t xml:space="preserve">; je toho názoru, že vyšší transparentnost a pravidelná zpětná vazba ohledně toho, jak Komise řeší probíhající řízení o </w:t>
            </w:r>
            <w:r>
              <w:rPr>
                <w:b/>
                <w:i/>
              </w:rPr>
              <w:t>neplnění</w:t>
            </w:r>
            <w:r>
              <w:t xml:space="preserve"> povinnosti, by byly prospěšné pro další kroky výboru ohledně petic s otevřeným projednáváním; vítá nedávnou iniciativu Komise zařadit petice do vyhledávacího systému registru Komise obsahujícího případy nesplnění povinnosti;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opakuje svou výzvu, aby Komise poskytovala Petičnímu výboru </w:t>
            </w:r>
            <w:r>
              <w:rPr>
                <w:b/>
                <w:i/>
              </w:rPr>
              <w:t>právní vyjasnění klíčových kritérií, o která se opírá její strategický přístup při prosazování práva EU, a</w:t>
            </w:r>
            <w:r>
              <w:t xml:space="preserve"> pravidelné aktuální informace o průběhu řízení o nesplnění povinnosti a zaručila Petičnímu výboru přístup </w:t>
            </w:r>
            <w:r>
              <w:rPr>
                <w:b/>
                <w:i/>
              </w:rPr>
              <w:t>ke všem</w:t>
            </w:r>
            <w:r>
              <w:t xml:space="preserve"> příslušným </w:t>
            </w:r>
            <w:r>
              <w:rPr>
                <w:b/>
                <w:i/>
              </w:rPr>
              <w:t>dokumentům</w:t>
            </w:r>
            <w:r>
              <w:t xml:space="preserve"> týkajícím se </w:t>
            </w:r>
            <w:r>
              <w:rPr>
                <w:b/>
                <w:i/>
              </w:rPr>
              <w:t>systému EU Pilot a</w:t>
            </w:r>
            <w:r>
              <w:t xml:space="preserve"> řízení o </w:t>
            </w:r>
            <w:r>
              <w:rPr>
                <w:b/>
                <w:i/>
              </w:rPr>
              <w:t>nesplnění</w:t>
            </w:r>
            <w:r>
              <w:t xml:space="preserve"> povinnosti </w:t>
            </w:r>
            <w:r>
              <w:rPr>
                <w:b/>
                <w:i/>
              </w:rPr>
              <w:t>a legislativních iniciativ, které byly zahájeny</w:t>
            </w:r>
            <w:r>
              <w:t xml:space="preserve"> na základě obdržených petic; je toho názoru, že vyšší transparentnost a pravidelná zpětná vazba ohledně toho, jak Komise řeší probíhající řízení o </w:t>
            </w:r>
            <w:r>
              <w:rPr>
                <w:b/>
                <w:i/>
              </w:rPr>
              <w:t>nesplnění</w:t>
            </w:r>
            <w:r>
              <w:t xml:space="preserve"> povinnosti, by byly prospěšné pro další kroky výboru ohledně petic s otevřeným projednáváním; vítá nedávnou iniciativu Komise zařadit petice do vyhledávacího systému registru Komise obsahujícího případy nesplnění povinnosti; </w:t>
            </w:r>
            <w:r>
              <w:rPr>
                <w:b/>
                <w:i/>
              </w:rPr>
              <w:t>zdůrazňuje, že je důležité, aby Komise v souvislosti s peticemi zahájila včasná šetření, přičemž zdůrazňuje porušování práv, která se dotýkají velkého počtu občanů a rezidentů v EU, a aby případně konzultovala s příslušným národním veřejným ochráncem práv;</w:t>
            </w:r>
            <w:r>
              <w:t xml:space="preserve"> </w:t>
            </w:r>
            <w:r>
              <w:rPr>
                <w:b/>
                <w:i/>
              </w:rPr>
              <w:t>vyjadřuje znepokojení nad způsobem, jakým Komise vede některá řízení o nesplnění povinnosti zahájená proti členským státům, včetně těch, která se týkají záležitostí, které byly předmětem mnoha petic;</w:t>
            </w:r>
            <w:r>
              <w:t xml:space="preserve"> </w:t>
            </w:r>
            <w:r>
              <w:rPr>
                <w:b/>
                <w:i/>
              </w:rPr>
              <w:t>vybízí Komisi, aby zavedla veškerá nezbytná opatření s cílem zlepšit transparentnost a efektivitu vedení řízení o nesplnění povinností, které se občanům může jevit jako netransparentní;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Gheorghe Falcă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r>
        <w:rPr>
          <w:rStyle w:val="HideTWBExt"/>
        </w:rPr>
        <w:t>&lt;Compromise&gt;</w:t>
      </w:r>
      <w:r>
        <w:t>Kompromisní pozměňovací návrh, který nahrazuje pozměňovací návrhy: 44, 45, 46, 47</w:t>
      </w:r>
      <w:r>
        <w:rPr>
          <w:rStyle w:val="HideTWBExt"/>
        </w:rPr>
        <w:t>&lt;/Compromise&gt;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rPr>
                <w:b/>
                <w:i/>
              </w:rPr>
              <w:t>má za to</w:t>
            </w:r>
            <w:r>
              <w:t>, že je zapotřebí aktivnější spolupráce mezi členskými státy a Komisí v souvislosti s peticemi, aby se odblokovaly petice, které si žádají rychlou odpověď a reakci od vnitrostátních orgánů;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rPr>
                <w:b/>
                <w:i/>
              </w:rPr>
              <w:t>zdůrazňuje</w:t>
            </w:r>
            <w:r>
              <w:t xml:space="preserve">, že je zapotřebí </w:t>
            </w:r>
            <w:r>
              <w:rPr>
                <w:b/>
                <w:i/>
              </w:rPr>
              <w:t>posílené a</w:t>
            </w:r>
            <w:r>
              <w:t xml:space="preserve"> aktivnější spolupráce mezi členskými státy a Komisí v souvislosti s peticemi, aby se odblokovaly petice, které si žádají rychlou odpověď a reakci od vnitrostátních orgánů; </w:t>
            </w:r>
            <w:r>
              <w:rPr>
                <w:b/>
                <w:i/>
              </w:rPr>
              <w:t>připomíná, že zpožděné odpovědi členských států mohou mít dopad na včasné vyřešení záležitostí, na které občané upozorňují, a negativní důsledky pro řešení porušení právní předpisů EU;</w:t>
            </w:r>
            <w:r>
              <w:t xml:space="preserve"> </w:t>
            </w:r>
            <w:r>
              <w:rPr>
                <w:b/>
                <w:i/>
              </w:rPr>
              <w:t>konstatuje, že členské státy by na petice měly odpovědět ve stanovené tříměsíční lhůtě;</w:t>
            </w:r>
            <w:r>
              <w:t xml:space="preserve"> </w:t>
            </w:r>
            <w:r>
              <w:rPr>
                <w:b/>
                <w:i/>
              </w:rPr>
              <w:t>zdůrazňuje, že lepší koordinace a dialog by usnadnily účinější řešení záležitostí, které občany znepokojují, umožnily předcházet zbytečným prodlevám a posílit efektivitu petičního procesu;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Gheorghe Falcă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r>
        <w:rPr>
          <w:rStyle w:val="HideTWBExt"/>
        </w:rPr>
        <w:t>&lt;Compromise&gt;</w:t>
      </w:r>
      <w:r>
        <w:t>Kompromisní pozměňovací návrh, který nahrazuje pozměňovací návrhy: 55, 56, 57</w:t>
      </w:r>
      <w:r>
        <w:rPr>
          <w:rStyle w:val="HideTWBExt"/>
        </w:rPr>
        <w:t>&lt;/Compromise&gt;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upozorňuje na značný počet petic předložených a projednávaných v souvislosti s obavami občanů ze znovuzavedení hraničních kontrol mezi některými členskými státy, které upozorňují na problematický aspekt omezení volného pohybu osob v rámci EU a na další aspekty, jako jsou silné a slabé stránky rozšíření schengenského prostoru, jakož i náklady spojené se zrušením Schengenu; </w:t>
            </w:r>
            <w:r>
              <w:rPr>
                <w:b/>
                <w:i/>
              </w:rPr>
              <w:t>v této souvislosti bere na vědomí, že Petiční výbor přijal</w:t>
            </w:r>
            <w:r>
              <w:t xml:space="preserve"> dne 27. června 2023 </w:t>
            </w:r>
            <w:r>
              <w:rPr>
                <w:b/>
                <w:i/>
              </w:rPr>
              <w:t>stručný návrh</w:t>
            </w:r>
            <w:r>
              <w:t xml:space="preserve"> usnesení </w:t>
            </w:r>
            <w:r>
              <w:rPr>
                <w:b/>
                <w:i/>
              </w:rPr>
              <w:t>o přistoupení k schengenskému</w:t>
            </w:r>
            <w:r>
              <w:t xml:space="preserve"> prostoru </w:t>
            </w:r>
            <w:r>
              <w:rPr>
                <w:b/>
                <w:i/>
              </w:rPr>
              <w:t>a uspořádal veřejné slyšení o schengenských hranicích, což byly otázky, které vznesli předkladatelé petic</w:t>
            </w:r>
            <w:r>
              <w:t xml:space="preserve"> dne 18. července 2023 společně s Výborem pro občanské svobody, spravedlnost a vnitřní věci;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upozorňuje na značný počet petic předložených a projednávaných v souvislosti s obavami občanů ze znovuzavedení hraničních kontrol mezi některými členskými státy, které upozorňují na problematický aspekt omezení volného pohybu osob v rámci EU a na další aspekty, jako jsou silné a slabé stránky rozšíření schengenského prostoru, jakož i náklady spojené se zrušením Schengenu; </w:t>
            </w:r>
            <w:r>
              <w:rPr>
                <w:b/>
                <w:i/>
              </w:rPr>
              <w:t>oceňuje významnou úlohu Petičního výboru, zejména řadu prováděných činností, přijetí stručného návrhu usnesení o přistoupení k schengenskému prostoru</w:t>
            </w:r>
            <w:r>
              <w:t xml:space="preserve"> dne 27. června 2023 </w:t>
            </w:r>
            <w:r>
              <w:rPr>
                <w:b/>
                <w:i/>
              </w:rPr>
              <w:t>a souvisejícího</w:t>
            </w:r>
            <w:r>
              <w:t xml:space="preserve"> usnesení </w:t>
            </w:r>
            <w:r>
              <w:rPr>
                <w:b/>
                <w:i/>
              </w:rPr>
              <w:t>Parlamentu výborem, silnou podporu rozšíření schengenského</w:t>
            </w:r>
            <w:r>
              <w:t xml:space="preserve"> prostoru </w:t>
            </w:r>
            <w:r>
              <w:rPr>
                <w:b/>
                <w:i/>
              </w:rPr>
              <w:t>s cílem zahrnout Rumunsko a Bulharsko, uspořádání veřejného slyšení o schengenských hranicích</w:t>
            </w:r>
            <w:r>
              <w:t xml:space="preserve"> dne 18. července 2023 společně s Výborem pro občanské svobody, spravedlnost a vnitřní věci; </w:t>
            </w:r>
            <w:r>
              <w:rPr>
                <w:b/>
                <w:i/>
              </w:rPr>
              <w:t>vítá jednomyslné rozhodnutí Rady o plném přistoupení obou zemí k sechngenskému prostoru s platností od 1. ledna 2025, což umožňuje plně vykonávat základní svobody jednotného trhu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Gheorghe Falcă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r>
        <w:rPr>
          <w:rStyle w:val="HideTWBExt"/>
        </w:rPr>
        <w:t>&lt;Compromise&gt;</w:t>
      </w:r>
      <w:r>
        <w:t>Kompromisní pozměňovací návrh, který nahrazuje pozměňovací návrhy: 61, 63</w:t>
      </w:r>
      <w:r>
        <w:rPr>
          <w:rStyle w:val="HideTWBExt"/>
        </w:rPr>
        <w:t>&lt;/Compromise&gt;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>zdůrazňuje, že je důležité naplnit očekávání občanů EU ohledně ochrany životního prostředí, a naléhavě vyzývá Komisi, aby spolu s členskými státy zajistila řádné provádění unijních právních předpisů v oblasti životního prostředí;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zdůrazňuje, že je důležité naplnit očekávání občanů EU ohledně ochrany životního prostředí, a naléhavě vyzývá Komisi, aby spolu s členskými státy zajistila řádné provádění unijních právních předpisů v oblasti životního prostředí; </w:t>
            </w:r>
            <w:r>
              <w:rPr>
                <w:b/>
                <w:i/>
              </w:rPr>
              <w:t>poukazuje na petice týkající se záležitostí v oblasti životního prostředí, které odráží rostoucí obavy veřejnosti v souvislosti s dopady změny klimatu a vyžadují, aby Komise a členské státy prosazovaly stávající právní předpisy v oblasti životního prostředí jednotným způsobem;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Gheorghe Falcă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r>
        <w:rPr>
          <w:rStyle w:val="HideTWBExt"/>
        </w:rPr>
        <w:t>&lt;Compromise&gt;</w:t>
      </w:r>
      <w:r>
        <w:t>Kompromisní pozměňovací návrh, který nahrazuje pozměňovací návrhy: 69, 73</w:t>
      </w:r>
      <w:r>
        <w:rPr>
          <w:rStyle w:val="HideTWBExt"/>
        </w:rPr>
        <w:t>&lt;/Compromise&gt;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>zdůrazňuje</w:t>
            </w:r>
            <w:r>
              <w:rPr>
                <w:b/>
                <w:i/>
              </w:rPr>
              <w:t>, že Petiční výbor významně přispívá k ochraně práv</w:t>
            </w:r>
            <w:r>
              <w:t xml:space="preserve"> osob se zdravotním postižením</w:t>
            </w:r>
            <w:r>
              <w:rPr>
                <w:b/>
                <w:i/>
              </w:rPr>
              <w:t>, jak dokládá vyřízení celé řady petic týkajících se tohoto citlivého tématu</w:t>
            </w:r>
            <w:r>
              <w:t>; připomíná každoroční seminář o právech osob se zdravotním postižením, který se konal 29. listopadu 2023 a který uspořádal Petiční výbor; připomíná, že jeho první část se zaměřila na to, jak se osoby se zdravotním postižením vypořádaly s nedávnými krizemi (náklady na energie, válka, vysoká inflace) a jak opatření EU pomohla tyto překážky překonat, zatímco druhá část se zabývala otázkou, jak evropské orgány navázaly inkluzivní komunikaci s občany se zdravotním postižením; v této souvislosti rovněž zdůrazňuje, že výbor přijal stanovisko ve formě dopisu k zavedení evropského průkazu osob se zdravotním postižením a evropské parkovací karty pro osoby se zdravotním postižením dne 29. listopadu 2023;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zdůrazňuje </w:t>
            </w:r>
            <w:r>
              <w:rPr>
                <w:b/>
                <w:i/>
              </w:rPr>
              <w:t>závazek Petičního výboru chránit práva</w:t>
            </w:r>
            <w:r>
              <w:t xml:space="preserve"> osob se zdravotním postižením; připomíná každoroční seminář o právech osob se zdravotním postižením, který se konal 29. listopadu 2023 a který uspořádal Petiční výbor; připomíná, že jeho první část se zaměřila na to, jak se osoby se zdravotním postižením vypořádaly s nedávnými krizemi (náklady na energie, válka, vysoká inflace) a jak opatření EU pomohla tyto překážky překonat, zatímco druhá část se zabývala otázkou, jak evropské orgány navázaly inkluzivní komunikaci s občany se zdravotním postižením; v této souvislosti rovněž zdůrazňuje, že výbor přijal stanovisko ve formě dopisu k zavedení evropského průkazu osob se zdravotním postižením a evropské parkovací karty pro osoby se zdravotním postižením dne 29. listopadu 2023; </w:t>
            </w:r>
            <w:r>
              <w:rPr>
                <w:b/>
                <w:i/>
              </w:rPr>
              <w:t>opakuje, že Komise by se měla zabývat případy, kdy vnitrostátní orgány odmítají uznat práva osob se zdravotním postižením na dávky sociálního zabezpečení, a ponechávají je tak bez nezbytných prostředků na pokrytí jejich základních potřeb;</w:t>
            </w:r>
            <w:r>
              <w:t xml:space="preserve"> </w:t>
            </w:r>
            <w:r>
              <w:rPr>
                <w:b/>
                <w:i/>
              </w:rPr>
              <w:t>zdůrazňuje v této souvislosti, že je nezbytně nutné úplně a důsledně provést evropský akt o přístupnosti, a vyzývá členské státy, aby zabránily dalším prodlevám, které ohrožují práva osob se zdravotním postižením;</w:t>
            </w:r>
            <w:r>
              <w:t xml:space="preserve"> </w:t>
            </w:r>
            <w:r>
              <w:rPr>
                <w:b/>
                <w:i/>
              </w:rPr>
              <w:t>připomíná, že akt o přístupnosti má za cíl zlepšit život nejméně 87 milionů osob se zdravotním postižením tím, že jim usnadní přístup mimo jiné k veřejné dopravě, bankovním službám, počítačovým a televizním zařízením, elektronickým knihám, internetovým obchodům;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Gheorghe Falcă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r>
        <w:rPr>
          <w:rStyle w:val="HideTWBExt"/>
        </w:rPr>
        <w:t>&lt;Compromise&gt;</w:t>
      </w:r>
      <w:r>
        <w:t>Kompromisní pozměňovací návrh, který nahrazuje pozměňovací návrhy: 70, 71, 75</w:t>
      </w:r>
      <w:r>
        <w:rPr>
          <w:rStyle w:val="HideTWBExt"/>
        </w:rPr>
        <w:t>&lt;/Compromise&gt;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>zdůrazňuje zvláštní ochrannou úlohu, kterou v EU Petiční výbor zastává v rámci Úmluvy OSN o právech osob se zdravotním postižením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upozorňuje na</w:t>
            </w:r>
            <w:r>
              <w:t xml:space="preserve"> důležitou probíhající činnost výboru </w:t>
            </w:r>
            <w:r>
              <w:rPr>
                <w:b/>
                <w:i/>
              </w:rPr>
              <w:t>spojenou</w:t>
            </w:r>
            <w:r>
              <w:t xml:space="preserve"> s peticemi, které se týkají problematiky zdravotního postižení; </w:t>
            </w:r>
            <w:r>
              <w:rPr>
                <w:b/>
                <w:i/>
              </w:rPr>
              <w:t>poukazuje na mírný pokles počtu petic</w:t>
            </w:r>
            <w:r>
              <w:t xml:space="preserve"> v roce 2023 v oblasti zdravotního postižení ve srovnání s </w:t>
            </w:r>
            <w:r>
              <w:rPr>
                <w:b/>
                <w:i/>
              </w:rPr>
              <w:t>předchozími roky, zejména s rokem 2022</w:t>
            </w:r>
            <w:r>
              <w:t xml:space="preserve">, </w:t>
            </w:r>
            <w:r>
              <w:rPr>
                <w:b/>
                <w:i/>
              </w:rPr>
              <w:t>nicméně</w:t>
            </w:r>
            <w:r>
              <w:t xml:space="preserve"> zdůrazňuje, že ve srovnání s rokem 2021 se téměř zdvojnásobil; </w:t>
            </w:r>
            <w:r>
              <w:rPr>
                <w:b/>
                <w:i/>
              </w:rPr>
              <w:t>konstatuje</w:t>
            </w:r>
            <w:r>
              <w:t>, že mezi hlavní výzvy, jimž čelí osoby se zdravotním postižením, patří i nadále diskriminace a přístup k veřejné dopravě a zaměstnání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poukazuje na to, že Petiční výbor věnoval zvláštní pozornost</w:t>
            </w:r>
            <w:r>
              <w:t xml:space="preserve"> požadavku, aby Evropský statut osob se zdravotním postižením uznal práva osob s autismem; vítá přijetí stručného návrhu usnesení o harmonizaci práv osob s autismem, který zdůrazňuje potřebu zlepšit přístup k diagnostice, zdravotní péči, vzdělávání, zaměstnání, přístupnosti a poskytování přiměřeného ubytování, právní způsobilosti a celoživotní podpory </w:t>
            </w:r>
            <w:r>
              <w:rPr>
                <w:b/>
                <w:i/>
              </w:rPr>
              <w:t>ve společnosti, kultuře a sportu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 xml:space="preserve">zdůrazňuje </w:t>
            </w:r>
            <w:r>
              <w:rPr>
                <w:b/>
                <w:i/>
              </w:rPr>
              <w:t>dále </w:t>
            </w:r>
            <w:r>
              <w:t>zvláštní ochrannou úlohu, kterou v EU Petiční výbor zastává v rámci Úmluvy OSN o právech osob se zdravotním postižením</w:t>
            </w:r>
            <w:r>
              <w:rPr>
                <w:b/>
                <w:i/>
              </w:rPr>
              <w:t> díky jeho způsobilosti projednávat petice, a zdůrazňuje</w:t>
            </w:r>
            <w:r>
              <w:t xml:space="preserve"> důležitou probíhající činnost výboru </w:t>
            </w:r>
            <w:r>
              <w:rPr>
                <w:b/>
                <w:i/>
              </w:rPr>
              <w:t>v souvislosti</w:t>
            </w:r>
            <w:r>
              <w:t xml:space="preserve"> s peticemi, které se týkají problematiky zdravotního postižení; </w:t>
            </w:r>
            <w:r>
              <w:rPr>
                <w:b/>
                <w:i/>
              </w:rPr>
              <w:t>zatímco</w:t>
            </w:r>
            <w:r>
              <w:t xml:space="preserve"> v roce 2023 </w:t>
            </w:r>
            <w:r>
              <w:rPr>
                <w:b/>
                <w:i/>
              </w:rPr>
              <w:t>počet petic</w:t>
            </w:r>
            <w:r>
              <w:t xml:space="preserve"> v oblasti zdravotního postižení ve srovnání s </w:t>
            </w:r>
            <w:r>
              <w:rPr>
                <w:b/>
                <w:i/>
              </w:rPr>
              <w:t>rokem 2022 mírně poklesl</w:t>
            </w:r>
            <w:r>
              <w:t xml:space="preserve">, zdůrazňuje, že ve srovnání s rokem 2021 se </w:t>
            </w:r>
            <w:r>
              <w:rPr>
                <w:b/>
                <w:i/>
              </w:rPr>
              <w:t>jejich počet</w:t>
            </w:r>
            <w:r>
              <w:t xml:space="preserve"> téměř zdvojnásobil; </w:t>
            </w:r>
            <w:r>
              <w:rPr>
                <w:b/>
                <w:i/>
              </w:rPr>
              <w:t>dále zdůrazňuje</w:t>
            </w:r>
            <w:r>
              <w:t xml:space="preserve">, že mezi hlavní výzvy, jimž čelí osoby se zdravotním postižením, patří i nadále diskriminace a přístup k veřejné dopravě a zaměstnání </w:t>
            </w:r>
            <w:r>
              <w:rPr>
                <w:b/>
                <w:i/>
              </w:rPr>
              <w:t>a zdůrazňuje zvláštní pozornost věnovanou výborem</w:t>
            </w:r>
            <w:r>
              <w:t xml:space="preserve"> požadavku, aby Evropský statut osob se zdravotním postižením uznal práva osob s autismem; vítá přijetí stručného návrhu usnesení o harmonizaci práv osob s autismem, který zdůrazňuje potřebu zlepšit přístup k diagnostice, zdravotní péči, vzdělávání, zaměstnání, přístupnosti a poskytování přiměřeného ubytování, právní způsobilosti a celoživotní </w:t>
            </w:r>
            <w:r>
              <w:rPr>
                <w:b/>
                <w:i/>
              </w:rPr>
              <w:t>komunitní</w:t>
            </w:r>
            <w:r>
              <w:t xml:space="preserve"> podpory</w:t>
            </w:r>
            <w:r>
              <w:rPr>
                <w:b/>
                <w:i/>
              </w:rPr>
              <w:t>, pokud jde o kulturu a sport;</w:t>
            </w:r>
            <w:r>
              <w:t xml:space="preserve"> </w:t>
            </w:r>
            <w:r>
              <w:rPr>
                <w:b/>
                <w:i/>
              </w:rPr>
              <w:t>dále upozorňuje na specifickou úlohu Petičního výboru při ochraně práv dětí a jejich rodičů a bere na vědomí řadu petic obdržených v souvislosti s právy dětí, které vyžadují zvláštní pozornost a opatření;</w:t>
            </w:r>
            <w:r>
              <w:t xml:space="preserve"> </w:t>
            </w:r>
            <w:r>
              <w:rPr>
                <w:b/>
                <w:i/>
              </w:rPr>
              <w:t>připomíná v této souvislosti ustanovení Listiny základních práv EU, a zejména článek 24 této listiny týkající se práv dítěte, podle kterého má každé dítě právo udržovat pravidelné osobní vztahy a přímý styk s oběma rodiči, ledaže by to bylo v rozporu s jeho zájmy;</w:t>
            </w:r>
            <w:r>
              <w:t xml:space="preserve"> </w:t>
            </w:r>
            <w:r>
              <w:rPr>
                <w:b/>
                <w:i/>
              </w:rPr>
              <w:t>znovu upozorňuje na nebezpečí související s tím, že rodinám s autistickými dětmi jsou nabízeny neprokázané a potenciálně škodlivé a nezákonné terapie a intervence, které mohou způsobit závažné fyzické zneužívání dětí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Gheorghe Falcă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r>
        <w:rPr>
          <w:rStyle w:val="HideTWBExt"/>
        </w:rPr>
        <w:t>&lt;Compromise&gt;</w:t>
      </w:r>
      <w:r>
        <w:t>Kompromisní pozměňovací návrh, který nahrazuje pozměňovací návrhy: 20, 76, 78</w:t>
      </w:r>
      <w:r>
        <w:rPr>
          <w:rStyle w:val="HideTWBExt"/>
        </w:rPr>
        <w:t>&lt;/Compromise&gt;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23a.</w:t>
            </w:r>
            <w:r>
              <w:tab/>
            </w:r>
            <w:r>
              <w:rPr>
                <w:b/>
                <w:i/>
              </w:rPr>
              <w:t>zdůrazňuje klíčovou činnost Petičního výboru v souvislosti s ochranou práv pracovníků;</w:t>
            </w:r>
            <w:r>
              <w:t xml:space="preserve"> </w:t>
            </w:r>
            <w:r>
              <w:rPr>
                <w:b/>
                <w:i/>
              </w:rPr>
              <w:t>zdůrazňuje, že na několik peticí, které byly v této souvislosti předloženy, navázala další opatření, jako byla rozprava o využívání smluv na dobu určitou nebo rozprava o petici o evropské občanské iniciativě „Kvalitní oblečení, důstojné mzdy“, která se zaměřila na znepokojivou situaci pracovníků v oděvním a obuvnickém průmyslu na celosvětové úrovni, nebo otázka k ústnímu zodpovězení s rozpravou o pracovních podmínkách učitelů v Evropské unii, která se rovněž zakládala na petici obdržené na toto téma;</w:t>
            </w:r>
            <w:r>
              <w:t xml:space="preserve"> </w:t>
            </w:r>
            <w:r>
              <w:rPr>
                <w:b/>
                <w:i/>
              </w:rPr>
              <w:t>opakuje, že je důležité zajistit spravedlivé pracovní podmínky a vyšší ochranu pracovníků v EU, a vyzývá členské státy a Komisi, aby efektivním způsobem řešily obavy vyjádřené v peticích týkajících se pracovních práv a odborových svazů;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Gheorghe Falcă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r>
        <w:rPr>
          <w:rStyle w:val="HideTWBExt"/>
        </w:rPr>
        <w:t>&lt;Compromise&gt;</w:t>
      </w:r>
      <w:r>
        <w:t>Kompromisní pozměňovací návrh, který nahrazuje pozměňovací návrhy: 15, 32, 53, 86</w:t>
      </w:r>
      <w:r>
        <w:rPr>
          <w:rStyle w:val="HideTWBExt"/>
        </w:rPr>
        <w:t>&lt;/Compromise&gt;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26a.</w:t>
            </w:r>
            <w:r>
              <w:tab/>
            </w:r>
            <w:r>
              <w:rPr>
                <w:b/>
                <w:i/>
              </w:rPr>
              <w:t>připomíná evropský rozměr Petičního výboru, na který se mohou obracet občané ze všech 27 členských států v otázkách, které spadají do oblasti působnosti činnosti Unie;</w:t>
            </w:r>
            <w:r>
              <w:t xml:space="preserve"> </w:t>
            </w:r>
            <w:r>
              <w:rPr>
                <w:b/>
                <w:i/>
              </w:rPr>
              <w:t>domnívá se, že je zvláštní odpovědností výboru tento evropský rozměr prosazovat a ukázat občanům přidanou hodnotu evropské jednoty a integrace a dále řešit záležitosti týkající se porušování práva EU, jakož i mezery a nedostatky v ustanoveních stávajících právních předpisů EU;</w:t>
            </w:r>
            <w:r>
              <w:t xml:space="preserve"> </w:t>
            </w:r>
            <w:r>
              <w:rPr>
                <w:b/>
                <w:i/>
              </w:rPr>
              <w:t>domnívá se, že včasné předcházení peticím, které jsou jasně v pravomoci členských států, a případné vyčerpávající informace a pokyny týkající se alternativních postupů by mohly přispět ke konstruktivnějšímu přístupu a větší angažovanosti občanů; v této souvislosti se domnívá, že by Evropský parlament měl zintenzivnit své úsilí, pokud jde o propagaci úlohy a činnosti Petičního výboru a zvýšit povědomí občanů EU o možnosti předložit Evropskému parlamentu petici;</w:t>
            </w:r>
            <w:r>
              <w:t xml:space="preserve"> </w:t>
            </w:r>
            <w:r>
              <w:rPr>
                <w:b/>
                <w:i/>
              </w:rPr>
              <w:t>připomíná, že s ohledem na omezenou dobu vyhrazenou pro schůze výboru je většina petic projednávána písemným postupem;</w:t>
            </w:r>
            <w:r>
              <w:t xml:space="preserve"> </w:t>
            </w:r>
            <w:r>
              <w:rPr>
                <w:b/>
                <w:i/>
              </w:rPr>
              <w:t>v této souvislosti připomíná, že všechny přípustné petice, včetně petic týkajících se oblasti mezinárodních záležitostí, by měly být projednávány nezbytně transparentním a nestranným způsobem;</w:t>
            </w:r>
            <w:r>
              <w:t xml:space="preserve"> </w:t>
            </w:r>
            <w:r>
              <w:rPr>
                <w:b/>
                <w:i/>
              </w:rPr>
              <w:t>domnívá se, že petice vybrané pro projednání ve výboru by měly odrážet zeměpisnou a politickou rovnováhu předložených petic;</w:t>
            </w:r>
            <w:r>
              <w:t xml:space="preserve"> </w:t>
            </w:r>
            <w:r>
              <w:rPr>
                <w:b/>
                <w:i/>
              </w:rPr>
              <w:t>domnívá se dále, že zeměpisná rovnováha by rovněž měla být zohledněna při organizaci cest výboru ke zjištění potřebných údajů, a to jak v rámci kalendářního roku, tak i volebního období;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770.291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12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13</w:t>
    </w:r>
    <w:r>
      <w:fldChar w:fldCharType="end"/>
    </w:r>
    <w:r>
      <w:tab/>
    </w:r>
    <w:r>
      <w:rPr>
        <w:rStyle w:val="HideTWBExt"/>
      </w:rPr>
      <w:t>&lt;PathFdR&gt;</w:t>
    </w:r>
    <w:r>
      <w:t>AM\1317369CS.docx</w:t>
    </w:r>
    <w:r>
      <w:rPr>
        <w:rStyle w:val="HideTWBExt"/>
      </w:rPr>
      <w:t>&lt;/PathFdR&gt;</w:t>
    </w:r>
  </w:p>
  <w:p>
    <w:pPr>
      <w:pStyle w:val="EPFooter2"/>
    </w:pPr>
    <w:r>
      <w:t>CS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AM\1317369CS.docx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13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13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770.291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CS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AM\1317369CS.docx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770.291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CS</w:t>
    </w:r>
    <w:r>
      <w:tab/>
    </w:r>
    <w:r>
      <w:rPr>
        <w:rStyle w:val="EPFooter2Motto"/>
      </w:rPr>
      <w:t>Jednotná v rozmanitosti</w:t>
    </w:r>
    <w:r>
      <w:tab/>
    </w:r>
    <w:r>
      <w:t>CS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941567 HideTWBExt;}{\s16\qr \li0\ri0\sb240\sa240\nowidctlpar\wrapdefault\aspalpha\aspnum\faauto\adjustright\rin0\lin0\itap0 \rtlch\fcs1 \af0\afs20\alang1025 \ltrch\fcs0 &#13;_x000a_\fs24\lang2057\langfe2057\cgrid\langnp2057\langfenp2057 \sbasedon0 \snext16 \spriority0 \styrsid941567 AmOrLang;}{\s17\ql \li0\ri0\sa120\nowidctlpar\wrapdefault\aspalpha\aspnum\faauto\adjustright\rin0\lin0\itap0 \rtlch\fcs1 \af0\afs20\alang1025 &#13;_x000a_\ltrch\fcs0 \fs24\lang2057\langfe2057\cgrid\langnp2057\langfenp2057 \sbasedon0 \snext17 \spriority0 \styrsid941567 Normal6a;}{\s18\ql \li0\ri0\nowidctlpar\wrapdefault\aspalpha\aspnum\faauto\adjustright\rin0\lin0\itap0 \rtlch\fcs1 \af0\afs20\alang1025 &#13;_x000a_\ltrch\fcs0 \b\fs24\lang2057\langfe2057\cgrid\langnp2057\langfenp2057 \sbasedon0 \snext18 \spriority0 \styrsid941567 NormalBold;}{\s19\qc \li0\ri0\sa240\nowidctlpar\wrapdefault\aspalpha\aspnum\faauto\adjustright\rin0\lin0\itap0 \rtlch\fcs1 &#13;_x000a_\af0\afs20\alang1025 \ltrch\fcs0 \i\fs24\lang2057\langfe2057\cgrid\langnp2057\langfenp2057 \sbasedon0 \snext19 \spriority0 \styrsid941567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941567 AmNumberTabs;}{\s21\ql \li0\ri0\sb240\nowidctlpar\wrapdefault\aspalpha\aspnum\faauto\adjustright\rin0\lin0\itap0 \rtlch\fcs1 &#13;_x000a_\af0\afs20\alang1025 \ltrch\fcs0 \b\fs24\lang2057\langfe2057\cgrid\langnp2057\langfenp2057 \sbasedon0 \snext21 \spriority0 \styrsid941567 NormalBold12b;}}{\*\rsidtbl \rsid24658\rsid358857\rsid735077\rsid787282\rsid941567\rsid1730233\rsid2892074&#13;_x000a_\rsid3622648\rsid4666813\rsid5708216\rsid6641733\rsid7553164\rsid8465581\rsid8681905\rsid8724649\rsid9636012\rsid9862312\rsid11215221\rsid11370291\rsid11434737\rsid11607138\rsid11824949\rsid12154954\rsid14424199\rsid15204470\rsid15285974\rsid15535219&#13;_x000a_\rsid15950462\rsid16324206\rsid16662270}{\mmathPr\mmathFont34\mbrkBin0\mbrkBinSub0\msmallFrac0\mdispDef1\mlMargin0\mrMargin0\mdefJc1\mwrapIndent1440\mintLim0\mnaryLim1}{\info{\author FELIX Karina}{\operator FELIX Karina}&#13;_x000a_{\creatim\yr2019\mo7\dy3\hr16\min13}{\revtim\yr2019\mo7\dy3\hr16\min13}{\version1}{\edmins0}{\nofpages1}{\nofwords28}{\nofchars326}{\*\company European Parliament}{\nofcharsws329}{\vern97}}{\*\xmlnstbl {\xmlns1 http://schemas.microsoft.com/office/word/200&#13;_x000a_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941567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73023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73023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73023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73023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941567 \rtlch\fcs1 \af0\afs20\alang1025 \ltrch\fcs0 \b\fs24\lang2057\langfe2057\cgrid\langnp2057\langfenp2057 {\rtlch\fcs1 \af0 \ltrch\fcs0 \cs15\b0\v\f1\fs20\cf9\lang1024\langfe1024\noproof\insrsid941567\charrsid4417459 &#13;_x000a_{\*\bkmkstart restart}&lt;Amend&gt;}{\rtlch\fcs1 \af0 \ltrch\fcs0 \insrsid941567\charrsid1799708 [ZAMENDMENT]}{\rtlch\fcs1 \af0 \ltrch\fcs0 \insrsid941567 \tab \tab }{\rtlch\fcs1 \af0 \ltrch\fcs0 &#13;_x000a_\cs15\b0\v\f1\fs20\cf9\lang1024\langfe1024\noproof\insrsid941567\charrsid4417459 &lt;NumAm&gt;}{\rtlch\fcs1 \af0 \ltrch\fcs0 \insrsid941567\charrsid1799708 [ZNRAM]}{\rtlch\fcs1 \af0 \ltrch\fcs0 &#13;_x000a_\cs15\b0\v\f1\fs20\cf9\lang1024\langfe1024\noproof\insrsid941567\charrsid4417459 &lt;/NumAm&gt;}{\rtlch\fcs1 \af0 \ltrch\fcs0 \insrsid941567\charrsid4080556 &#13;_x000a_\par }\pard\plain \ltrpar\s18\ql \li0\ri0\nowidctlpar\wrapdefault\aspalpha\aspnum\faauto\adjustright\rin0\lin0\itap0\pararsid941567 \rtlch\fcs1 \af0\afs20\alang1025 \ltrch\fcs0 \b\fs24\lang2057\langfe2057\cgrid\langnp2057\langfenp2057 {\rtlch\fcs1 \af0 &#13;_x000a_\ltrch\fcs0 \cs15\b0\v\f1\fs20\cf9\lang1024\langfe1024\noproof\insrsid941567\charrsid14699840 &lt;RepeatBlock-By&gt;}{\rtlch\fcs1 \af0 \ltrch\fcs0 \lang1024\langfe1024\noproof\insrsid941567\charrsid14699840 [RepeatMembers]}{\rtlch\fcs1 \af0 \ltrch\fcs0 &#13;_x000a_\cs15\b0\v\f1\fs20\cf9\lang1024\langfe1024\noproof\insrsid941567\charrsid14699840 &lt;Members&gt;}{\rtlch\fcs1 \af0 \ltrch\fcs0 \insrsid941567\charrsid14699840 [ZMEMBERS]}{\rtlch\fcs1 \af0 \ltrch\fcs0 &#13;_x000a_\cs15\b0\v\f1\fs20\cf9\lang1024\langfe1024\noproof\insrsid941567\charrsid14699840 &lt;/Members&gt;}{\rtlch\fcs1 \af0 \ltrch\fcs0 \insrsid941567\charrsid14699840 &#13;_x000a_\par }\pard\plain \ltrpar\ql \li0\ri0\widctlpar\wrapdefault\aspalpha\aspnum\faauto\adjustright\rin0\lin0\itap0\pararsid941567 \rtlch\fcs1 \af0\afs20\alang1025 \ltrch\fcs0 \fs24\lang2057\langfe2057\cgrid\langnp2057\langfenp2057 {\rtlch\fcs1 \af0 \ltrch\fcs0 &#13;_x000a_\cs15\v\f1\fs20\cf9\lang1024\langfe1024\noproof\langnp1043\insrsid941567\charrsid11627753 &lt;AuNomDe&gt;&lt;OptDel&gt;}{\rtlch\fcs1 \af0 \ltrch\fcs0 \lang1043\langfe2057\langnp1043\insrsid941567\charrsid11627753 [ZONBEHALF]}{\rtlch\fcs1 \af0 \ltrch\fcs0 &#13;_x000a_\cs15\v\f1\fs20\cf9\lang1024\langfe1024\noproof\langnp1043\insrsid941567\charrsid11627753 &lt;/OptDel&gt;&lt;/AuNomDe&gt;}{\rtlch\fcs1 \af0 \ltrch\fcs0 \lang1043\langfe2057\langnp1043\insrsid941567\charrsid11627753 &#13;_x000a_\par }{\rtlch\fcs1 \af0 \ltrch\fcs0 \insrsid941567\charrsid14699840 &lt;&lt;&lt;}{\rtlch\fcs1 \af0 \ltrch\fcs0 \cs15\v\f1\fs20\cf9\lang1024\langfe1024\noproof\insrsid941567\charrsid14699840 &lt;/RepeatBlock-By&gt;}{\rtlch\fcs1 \af0 \ltrch\fcs0 &#13;_x000a_\cs15\v\f1\fs20\cf9\lang1024\langfe1024\noproof\insrsid941567 &lt;Compromise}{\rtlch\fcs1 \af0 \ltrch\fcs0 \cs15\v\f1\fs20\cf9\lang1024\langfe1024\noproof\insrsid941567\charrsid1799708 &gt;}{\rtlch\fcs1 \af0 \ltrch\fcs0 \insrsid941567 [ZCOMPROMISE]}{&#13;_x000a_\rtlch\fcs1 \af0 \ltrch\fcs0 \cs15\v\f1\fs20\cf9\lang1024\langfe1024\noproof\insrsid941567 &lt;/Compromise}{\rtlch\fcs1 \af0 \ltrch\fcs0 \cs15\v\f1\fs20\cf9\lang1024\langfe1024\noproof\insrsid941567\charrsid1799708 &gt;}{\rtlch\fcs1 \af0 \ltrch\fcs0 &#13;_x000a_\insrsid941567\charrsid1799708 &#13;_x000a_\par }\pard\plain \ltrpar\s21\ql \li0\ri0\sb240\keepn\nowidctlpar\wrapdefault\aspalpha\aspnum\faauto\adjustright\rin0\lin0\itap0\pararsid941567 \rtlch\fcs1 \af0\afs20\alang1025 \ltrch\fcs0 \b\fs24\lang2057\langfe2057\cgrid\langnp2057\langfenp2057 {\rtlch\fcs1 &#13;_x000a_\af0 \ltrch\fcs0 \cs15\b0\v\f1\fs20\cf9\lang1024\langfe1024\noproof\langnp1036\insrsid941567\charrsid11627753 &lt;DocAmend&gt;}{\rtlch\fcs1 \af0 \ltrch\fcs0 \lang1036\langfe2057\langnp1036\insrsid941567\charrsid11627753 [ZAMDOC]}{\rtlch\fcs1 \af0 \ltrch\fcs0 &#13;_x000a_\cs15\b0\v\f1\fs20\cf9\lang1024\langfe1024\noproof\langnp1036\insrsid941567\charrsid11627753 &lt;/DocAmend&gt;}{\rtlch\fcs1 \af0 \ltrch\fcs0 \lang1036\langfe2057\langnp1036\insrsid941567\charrsid11627753 &#13;_x000a_\par }\pard\plain \ltrpar\s18\ql \li0\ri0\nowidctlpar\wrapdefault\aspalpha\aspnum\faauto\adjustright\rin0\lin0\itap0\pararsid941567 \rtlch\fcs1 \af0\afs20\alang1025 \ltrch\fcs0 \b\fs24\lang2057\langfe2057\cgrid\langnp2057\langfenp2057 {\rtlch\fcs1 \af0 &#13;_x000a_\ltrch\fcs0 \cs15\b0\v\f1\fs20\cf9\lang1024\langfe1024\noproof\langnp1036\insrsid941567\charrsid11627753 &lt;Article&gt;}{\rtlch\fcs1 \af0 \ltrch\fcs0 \lang1036\langfe2057\langnp1036\insrsid941567\charrsid11627753 [ZAMPART]}{\rtlch\fcs1 \af0 \ltrch\fcs0 &#13;_x000a_\cs15\b0\v\f1\fs20\cf9\lang1024\langfe1024\noproof\langnp1036\insrsid941567\charrsid11627753 &lt;/Article&gt;}{\rtlch\fcs1 \af0 \ltrch\fcs0 \lang1036\langfe2057\langnp1036\insrsid941567\charrsid11627753 &#13;_x000a_\par \ltrrow}\trowd \irow0\irowband0\ltrrow\ts11\trqc\trgaph340\trleft-340\trftsWidth3\trwWidth9752\trftsWidthB3\trpaddl340\trpaddr340\trpaddfl3\trpaddft3\trpaddfb3\trpaddfr3\tblrsid14055546\tblind0\tblindtype3 \clvertalt\clbrdrt\brdrtbl \clbrdrl\brdrtbl &#13;_x000a_\clbrdrb\brdrtbl \clbrdrr\brdrtbl \cltxlrtb\clftsWidth3\clwWidth9752\clshdrawnil \cellx9412\pard\plain \ltrpar\ql \li0\ri0\keepn\widctlpar\intbl\wrapdefault\aspalpha\aspnum\faauto\adjustright\rin0\lin0\pararsid9206962 \rtlch\fcs1 \af0\afs20\alang1025 &#13;_x000a_\ltrch\fcs0 \fs24\lang2057\langfe2057\cgrid\langnp2057\langfenp2057 {\rtlch\fcs1 \af0 \ltrch\fcs0 \lang1036\langfe2057\langnp1036\insrsid941567\charrsid11627753 \cell }\pard\plain \ltrpar&#13;_x000a_\ql \li0\ri0\widctlpar\intbl\wrapdefault\aspalpha\aspnum\faauto\adjustright\rin0\lin0 \rtlch\fcs1 \af0\afs20\alang1025 \ltrch\fcs0 \fs24\lang2057\langfe2057\cgrid\langnp2057\langfenp2057 {\rtlch\fcs1 \af0 \ltrch\fcs0 \insrsid941567\charrsid11627753 &#13;_x000a_\trowd \irow0\irowband0\ltrrow\ts11\trqc\trgaph340\trleft-340\trftsWidth3\trwWidth9752\trftsWidthB3\trpaddl340\trpaddr340\trpaddfl3\trpaddft3\trpaddfb3\trpaddfr3\tblrsid14055546\tblind0\tblindtype3 \clvertalt\clbrdrt\brdrtbl \clbrdrl\brdrtbl \clbrdrb&#13;_x000a_\brdrtbl \clbrdrr\brdrtbl \cltxlrtb\clftsWidth3\clwWidth9752\clshdrawnil \cellx9412\row \ltrrow}\trowd \irow1\irowband1\ltrrow&#13;_x000a_\ts11\trqc\trgaph340\trleft-340\trftsWidth3\trwWidth9752\trftsWidthB3\trpaddl340\trpaddr340\trpaddfl3\trpaddft3\trpaddfb3\trpaddfr3\tblrsid14055546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19\qc \li0\ri0\sa240\keepn\nowidctlpar\intbl\wrapdefault\aspalpha\aspnum\faauto\adjustright\rin0\lin0\pararsid9206962 \rtlch\fcs1 \af0\afs20\alang1025 \ltrch\fcs0 \i\fs24\lang2057\langfe2057\cgrid\langnp2057\langfenp2057 {\rtlch\fcs1 \af0 \ltrch\fcs0 &#13;_x000a_\insrsid941567\charrsid1799708 [ZLEFT]\cell [ZRIGHT]\cell }\pard\plain \ltrpar\ql \li0\ri0\widctlpar\intbl\wrapdefault\aspalpha\aspnum\faauto\adjustright\rin0\lin0 \rtlch\fcs1 \af0\afs20\alang1025 \ltrch\fcs0 &#13;_x000a_\fs24\lang2057\langfe2057\cgrid\langnp2057\langfenp2057 {\rtlch\fcs1 \af0 \ltrch\fcs0 \insrsid941567\charrsid1799708 \trowd \irow1\irowband1\ltrrow&#13;_x000a_\ts11\trqc\trgaph340\trleft-340\trftsWidth3\trwWidth9752\trftsWidthB3\trpaddl340\trpaddr340\trpaddfl3\trpaddft3\trpaddfb3\trpaddfr3\tblrsid14055546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7\ql \li0\ri0\sa120\nowidctlpar\intbl\wrapdefault\aspalpha\aspnum\faauto\adjustright\rin0\lin0\pararsid14055546 \rtlch\fcs1 \af0\afs20\alang1025 \ltrch\fcs0 \fs24\lang2057\langfe2057\cgrid\langnp2057\langfenp2057 {\rtlch\fcs1 \af0 \ltrch\fcs0 &#13;_x000a_\insrsid941567\charrsid1799708 [ZTEXTL]\cell [ZTEXTR]}{\rtlch\fcs1 \af0\afs24 \ltrch\fcs0 \insrsid941567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941567\charrsid1799708 \trowd \irow2\irowband2\lastrow \ltrrow&#13;_x000a_\ts11\trqc\trgaph340\trleft-340\trftsWidth3\trwWidth9752\trftsWidthB3\trpaddl340\trpaddr340\trpaddfl3\trpaddft3\trpaddfb3\trpaddfr3\tblrsid14055546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6\qr \li0\ri0\sb240\sa240\nowidctlpar\wrapdefault\aspalpha\aspnum\faauto\adjustright\rin0\lin0\itap0\pararsid941567 \rtlch\fcs1 \af0\afs20\alang1025 \ltrch\fcs0 \fs24\lang2057\langfe2057\cgrid\langnp2057\langfenp2057 {\rtlch\fcs1 \af0 \ltrch\fcs0 &#13;_x000a_\insrsid941567\charrsid1799708 Or. }{\rtlch\fcs1 \af0 \ltrch\fcs0 \cs15\v\f1\fs20\cf9\lang1024\langfe1024\noproof\insrsid941567\charrsid1799708 &lt;Original&gt;}{\rtlch\fcs1 \af0 \ltrch\fcs0 \insrsid941567\charrsid1799708 [ZORLANG]}{\rtlch\fcs1 \af0 &#13;_x000a_\ltrch\fcs0 \cs15\v\f1\fs20\cf9\lang1024\langfe1024\noproof\insrsid941567\charrsid1799708 &lt;/Original&gt;}{\rtlch\fcs1 \af0 \ltrch\fcs0 \insrsid941567\charrsid1799708 &#13;_x000a_\par }\pard\plain \ltrpar\ql \li0\ri0\widctlpar\wrapdefault\aspalpha\aspnum\faauto\adjustright\rin0\lin0\itap0\pararsid941567 \rtlch\fcs1 \af0\afs20\alang1025 \ltrch\fcs0 \fs24\lang2057\langfe2057\cgrid\langnp2057\langfenp2057 {\rtlch\fcs1 \af0 \ltrch\fcs0 &#13;_x000a_\cs15\v\f1\fs20\cf9\lang1024\langfe1024\noproof\insrsid941567\charrsid1799708 &lt;/Amend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9066&#13;_x000a_596ca9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EPName">
    <w:name w:val="EPName"/>
    <w:basedOn w:val="Normal"/>
    <w:pPr>
      <w:widowControl w:val="0"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 w:val="0"/>
      <w:spacing w:after="480"/>
      <w:ind w:left="1416"/>
    </w:pPr>
  </w:style>
  <w:style w:type="paragraph" w:customStyle="1" w:styleId="CoverNormal">
    <w:name w:val="CoverNormal"/>
    <w:basedOn w:val="Normal"/>
    <w:pPr>
      <w:widowControl w:val="0"/>
      <w:ind w:left="1418"/>
    </w:pPr>
  </w:style>
  <w:style w:type="paragraph" w:customStyle="1" w:styleId="CoverReference">
    <w:name w:val="CoverReference"/>
    <w:basedOn w:val="Normal"/>
    <w:pPr>
      <w:widowControl w:val="0"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 w:val="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 w:val="0"/>
      <w:spacing w:before="240" w:after="1200"/>
    </w:pPr>
  </w:style>
  <w:style w:type="paragraph" w:customStyle="1" w:styleId="CoverDocType24a">
    <w:name w:val="CoverDocType24a"/>
    <w:basedOn w:val="Normal"/>
    <w:pPr>
      <w:widowControl w:val="0"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 w:val="0"/>
      <w:ind w:left="1416"/>
    </w:pPr>
    <w:rPr>
      <w:b/>
    </w:rPr>
  </w:style>
  <w:style w:type="paragraph" w:customStyle="1" w:styleId="NormalBold12b">
    <w:name w:val="NormalBold12b"/>
    <w:basedOn w:val="Normal"/>
    <w:pPr>
      <w:widowControl w:val="0"/>
      <w:spacing w:before="240"/>
    </w:pPr>
    <w:rPr>
      <w:b/>
    </w:rPr>
  </w:style>
  <w:style w:type="paragraph" w:customStyle="1" w:styleId="EPBody">
    <w:name w:val="EPBody"/>
    <w:basedOn w:val="Normal"/>
    <w:pPr>
      <w:widowControl w:val="0"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 w:val="0"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 w:val="0"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 w:val="0"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 w:val="0"/>
      <w:jc w:val="right"/>
    </w:p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 w:val="0"/>
    </w:pPr>
    <w:rPr>
      <w:b/>
    </w:rPr>
  </w:style>
  <w:style w:type="paragraph" w:customStyle="1" w:styleId="AmOrLang">
    <w:name w:val="AmOrLang"/>
    <w:basedOn w:val="Normal"/>
    <w:pPr>
      <w:widowControl w:val="0"/>
      <w:spacing w:before="240" w:after="240"/>
      <w:jc w:val="right"/>
    </w:pPr>
  </w:style>
  <w:style w:type="paragraph" w:customStyle="1" w:styleId="Normal6a">
    <w:name w:val="Normal6a"/>
    <w:basedOn w:val="Normal"/>
    <w:pPr>
      <w:widowControl w:val="0"/>
      <w:spacing w:after="120"/>
    </w:pPr>
  </w:style>
  <w:style w:type="paragraph" w:customStyle="1" w:styleId="AmColumnHeading">
    <w:name w:val="AmColumnHeading"/>
    <w:basedOn w:val="Normal"/>
    <w:pPr>
      <w:widowControl w:val="0"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 w:val="0"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 w:val="0"/>
      <w:tabs>
        <w:tab w:val="center" w:pos="4534"/>
        <w:tab w:val="right" w:pos="9070"/>
      </w:tabs>
      <w:spacing w:before="240" w:after="240"/>
    </w:pPr>
    <w:rPr>
      <w:sz w:val="22"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NormalBold12b12a">
    <w:name w:val="NormalBold12b12a"/>
    <w:basedOn w:val="Normal"/>
    <w:next w:val="NormalBold"/>
    <w:pPr>
      <w:widowControl w:val="0"/>
      <w:spacing w:before="240" w:after="240"/>
    </w:pPr>
    <w:rPr>
      <w:b/>
    </w:rPr>
  </w:style>
  <w:style w:type="paragraph" w:customStyle="1" w:styleId="NormalBold12a">
    <w:name w:val="NormalBold12a"/>
    <w:basedOn w:val="Normal"/>
    <w:pPr>
      <w:widowControl w:val="0"/>
      <w:spacing w:after="240"/>
    </w:pPr>
    <w:rPr>
      <w:b/>
    </w:rPr>
  </w:style>
  <w:style w:type="paragraph" w:customStyle="1" w:styleId="AmCrossRef">
    <w:name w:val="AmCrossRef"/>
    <w:basedOn w:val="Normal"/>
    <w:pPr>
      <w:widowControl w:val="0"/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widowControl w:val="0"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 w:val="0"/>
      <w:spacing w:after="240"/>
    </w:pPr>
    <w:rPr>
      <w:i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 w:val="0"/>
    </w:pPr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 w:val="0"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 w:val="0"/>
      <w:spacing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13</Pages>
  <Words>3013</Words>
  <Characters>18034</Characters>
  <Application>Microsoft Office Word</Application>
  <DocSecurity>0</DocSecurity>
  <Lines>1</Lines>
  <Paragraphs>131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AM_Com_NonLegCompr</dc:title>
  <dc:creator>European Parliament</dc:creator>
  <cp:lastModifiedBy>European Parliament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1317369</vt:lpwstr>
  </property>
  <property fmtid="{D5CDD505-2E9C-101B-9397-08002B2CF9AE}" pid="4" name="&lt;Model&gt;">
    <vt:lpwstr>AM_Com_NonLegCompr</vt:lpwstr>
  </property>
  <property fmtid="{D5CDD505-2E9C-101B-9397-08002B2CF9AE}" pid="5" name="&lt;Type&gt;">
    <vt:lpwstr>AM</vt:lpwstr>
  </property>
  <property fmtid="{D5CDD505-2E9C-101B-9397-08002B2CF9AE}" pid="6" name="dmxml.render.id">
    <vt:lpwstr>157466</vt:lpwstr>
  </property>
  <property fmtid="{D5CDD505-2E9C-101B-9397-08002B2CF9AE}" pid="7" name="dmxml.render.traceId">
    <vt:lpwstr>67ee39f055ba91c1e7e4d75f01917339</vt:lpwstr>
  </property>
  <property fmtid="{D5CDD505-2E9C-101B-9397-08002B2CF9AE}" pid="8" name="FooterPath">
    <vt:lpwstr>AM\1317369CS.docx</vt:lpwstr>
  </property>
  <property fmtid="{D5CDD505-2E9C-101B-9397-08002B2CF9AE}" pid="9" name="PE Number">
    <vt:lpwstr>770.291</vt:lpwstr>
  </property>
  <property fmtid="{D5CDD505-2E9C-101B-9397-08002B2CF9AE}" pid="10" name="UID">
    <vt:lpwstr>eu.europa.europarl-DIN1-2025-0000065462_01.00-cs-01.00_text-xml</vt:lpwstr>
  </property>
</Properties>
</file>