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{PETI}</w:t>
      </w:r>
      <w:r>
        <w:t>Udvalget for Andragender</w:t>
      </w:r>
      <w:r>
        <w:rPr>
          <w:rStyle w:val="HideTWBExt"/>
        </w:rPr>
        <w:t>&lt;/Commission&gt;</w:t>
      </w:r>
    </w:p>
    <w:p>
      <w:pPr>
        <w:pStyle w:val="LineBottom"/>
      </w:pPr>
      <w:r>
        <w:t xml:space="preserve"> </w:t>
      </w:r>
    </w:p>
    <w:p>
      <w:pPr>
        <w:pStyle w:val="CoverReference"/>
      </w:pPr>
      <w:r>
        <w:rPr>
          <w:rStyle w:val="HideTWBExt"/>
        </w:rPr>
        <w:t>&lt;RefProc&gt;</w:t>
      </w:r>
      <w:r>
        <w:t>2025/2114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{07/07/2025}</w:t>
      </w:r>
      <w:r>
        <w:t>7.7.2025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102</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Fredis Beleris</w:t>
      </w:r>
      <w:r>
        <w:rPr>
          <w:rStyle w:val="HideTWBExt"/>
        </w:rPr>
        <w:t>&lt;/Rapporteur&gt;</w:t>
      </w:r>
    </w:p>
    <w:p>
      <w:pPr>
        <w:pStyle w:val="CoverNormal24a"/>
      </w:pPr>
      <w:r>
        <w:rPr>
          <w:rStyle w:val="HideTWBExt"/>
        </w:rPr>
        <w:t>&lt;DocRefPE&gt;</w:t>
      </w:r>
      <w:r>
        <w:t>(PE773.363v01-00)</w:t>
      </w:r>
      <w:r>
        <w:rPr>
          <w:rStyle w:val="HideTWBExt"/>
        </w:rPr>
        <w:t>&lt;/DocRefPE&gt;</w:t>
      </w:r>
    </w:p>
    <w:p>
      <w:pPr>
        <w:pStyle w:val="CoverNormal"/>
      </w:pPr>
      <w:r>
        <w:rPr>
          <w:rStyle w:val="HideTWBExt"/>
        </w:rPr>
        <w:t>&lt;Titre&gt;</w:t>
      </w:r>
      <w:r>
        <w:t>Drøftelser i Udvalget for Andragender i 2024</w:t>
      </w:r>
      <w:r>
        <w:rPr>
          <w:rStyle w:val="HideTWBExt"/>
        </w:rPr>
        <w:t>&lt;/Titre&gt;</w:t>
      </w:r>
    </w:p>
    <w:p>
      <w:pPr>
        <w:pStyle w:val="CoverNormal24a"/>
      </w:pPr>
      <w:r>
        <w:rPr>
          <w:rStyle w:val="HideTWBExt"/>
        </w:rPr>
        <w:t>&lt;DocRef&gt;</w:t>
      </w:r>
      <w:r>
        <w:t>(2025/2114(INI))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der henviser til artikel 24 og 227 i traktaten om Den Europæiske Unions funktionsmåde (TEUF) om EU-borgeres og personer med bopæl i EU's ret til at indgive andragender til Europa-Parlamentet,</w:t>
            </w:r>
          </w:p>
        </w:tc>
        <w:tc>
          <w:tcPr>
            <w:tcW w:w="4876" w:type="dxa"/>
            <w:tcBorders>
              <w:top w:val="nil"/>
              <w:left w:val="nil"/>
              <w:bottom w:val="nil"/>
              <w:right w:val="nil"/>
            </w:tcBorders>
          </w:tcPr>
          <w:p>
            <w:pPr>
              <w:pStyle w:val="Normal6a"/>
            </w:pPr>
            <w:r>
              <w:rPr>
                <w:b/>
                <w:i/>
              </w:rPr>
              <w:t>–</w:t>
            </w:r>
            <w:r>
              <w:tab/>
            </w:r>
            <w:r>
              <w:t xml:space="preserve">der henviser til artikel </w:t>
            </w:r>
            <w:r>
              <w:rPr>
                <w:b/>
                <w:i/>
              </w:rPr>
              <w:t>20,</w:t>
            </w:r>
            <w:r>
              <w:t xml:space="preserve"> 24 og 227 i traktaten om Den Europæiske Unions funktionsmåde (TEUF) om EU-borgeres og personer med bopæl i EU's ret til at indgive andragender til Europa-Parlamentet,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Udvalget for Andragender efter valget til Europa-Parlamentet den 6.-9. juni 2024 og konstitueringen af det nye Parlament den 16. juli 2024 </w:t>
            </w:r>
            <w:r>
              <w:rPr>
                <w:b/>
                <w:i/>
              </w:rPr>
              <w:t>holdt</w:t>
            </w:r>
            <w:r>
              <w:t xml:space="preserve"> sit konstituerende møde den 23. juli 2024;</w:t>
            </w:r>
          </w:p>
        </w:tc>
        <w:tc>
          <w:tcPr>
            <w:tcW w:w="4876" w:type="dxa"/>
            <w:tcBorders>
              <w:top w:val="nil"/>
              <w:left w:val="nil"/>
              <w:bottom w:val="nil"/>
              <w:right w:val="nil"/>
            </w:tcBorders>
          </w:tcPr>
          <w:p>
            <w:pPr>
              <w:pStyle w:val="Normal6a"/>
            </w:pPr>
            <w:r>
              <w:t>A.</w:t>
            </w:r>
            <w:r>
              <w:tab/>
            </w:r>
            <w:r>
              <w:t xml:space="preserve">der henviser til, at Udvalget for Andragender efter valget til Europa-Parlamentet den 6.-9. juni 2024 og konstitueringen af det nye Parlament den 16. juli 2024 </w:t>
            </w:r>
            <w:r>
              <w:rPr>
                <w:b/>
                <w:i/>
              </w:rPr>
              <w:t>afholdt</w:t>
            </w:r>
            <w:r>
              <w:t xml:space="preserve"> sit konstituerende møde den 23. juli 2024; </w:t>
            </w:r>
            <w:r>
              <w:rPr>
                <w:b/>
                <w:i/>
              </w:rPr>
              <w:t>beklager, at flertallet af medlemmerne af det udvalg, der er ansvarligt for at vurdere borgernes erfaringer med, at den europæiske forvaltning fungerer korrekt, ikke overholdt Europa-Parlamentets forretningsorden, navnlig artikel 229, for at forhindre, at den tredjestørste gruppe i Europa-Parlamentet fik tildelt den næstformand, som den var berettiget til;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der henviser til, at Europa-Parlamentet i 2024 modtog </w:t>
            </w:r>
            <w:r>
              <w:rPr>
                <w:b/>
                <w:i/>
              </w:rPr>
              <w:t>1 518</w:t>
            </w:r>
            <w:r>
              <w:t xml:space="preserve"> andragender, hvilket udgør en stigning på 4,3 % sammenlignet med de </w:t>
            </w:r>
            <w:r>
              <w:rPr>
                <w:b/>
                <w:i/>
              </w:rPr>
              <w:t>1 452</w:t>
            </w:r>
            <w:r>
              <w:t xml:space="preserve"> andragender, det modtog i 2023, og en stigning på 19,8 % sammenlignet med de </w:t>
            </w:r>
            <w:r>
              <w:rPr>
                <w:b/>
                <w:i/>
              </w:rPr>
              <w:t>1 217</w:t>
            </w:r>
            <w:r>
              <w:t xml:space="preserve"> andragender, det modtog i 2022;</w:t>
            </w:r>
          </w:p>
        </w:tc>
        <w:tc>
          <w:tcPr>
            <w:tcW w:w="4876" w:type="dxa"/>
            <w:tcBorders>
              <w:top w:val="nil"/>
              <w:left w:val="nil"/>
              <w:bottom w:val="nil"/>
              <w:right w:val="nil"/>
            </w:tcBorders>
          </w:tcPr>
          <w:p>
            <w:pPr>
              <w:pStyle w:val="Normal6a"/>
            </w:pPr>
            <w:r>
              <w:t>C.</w:t>
            </w:r>
            <w:r>
              <w:tab/>
            </w:r>
            <w:r>
              <w:t xml:space="preserve">der henviser til, at Europa-Parlamentet i 2024 modtog </w:t>
            </w:r>
            <w:r>
              <w:rPr>
                <w:b/>
                <w:i/>
              </w:rPr>
              <w:t>1 518</w:t>
            </w:r>
            <w:r>
              <w:t xml:space="preserve"> andragender, hvilket udgør en stigning på 4,3 % sammenlignet med de </w:t>
            </w:r>
            <w:r>
              <w:rPr>
                <w:b/>
                <w:i/>
              </w:rPr>
              <w:t>1 452</w:t>
            </w:r>
            <w:r>
              <w:t xml:space="preserve"> andragender, det modtog i 2023, og en stigning på 19,8 % sammenlignet med de </w:t>
            </w:r>
            <w:r>
              <w:rPr>
                <w:b/>
                <w:i/>
              </w:rPr>
              <w:t>1 217</w:t>
            </w:r>
            <w:r>
              <w:t xml:space="preserve"> andragender, det modtog i 2022; </w:t>
            </w:r>
            <w:r>
              <w:rPr>
                <w:b/>
                <w:i/>
              </w:rPr>
              <w:t>der henviser til, at det samlede antal modtagne andragender fortsat er markant lavere, end da antallet toppede i årene 2013 og 2014, hvor Parlamentet modtog henholdsvis 2 891 og 2 715 andragender;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w:t>
            </w:r>
            <w:r>
              <w:rPr>
                <w:b/>
                <w:i/>
              </w:rPr>
              <w:t>15 661</w:t>
            </w:r>
            <w:r>
              <w:t xml:space="preserve"> brugere i 2024 støttede andragender på Parlamentets webportal for andragender, hvilket er et betydeligt fald sammenlignet med </w:t>
            </w:r>
            <w:r>
              <w:rPr>
                <w:b/>
                <w:i/>
              </w:rPr>
              <w:t>26 331</w:t>
            </w:r>
            <w:r>
              <w:t xml:space="preserve"> i 2023 og </w:t>
            </w:r>
            <w:r>
              <w:rPr>
                <w:b/>
                <w:i/>
              </w:rPr>
              <w:t>22 441</w:t>
            </w:r>
            <w:r>
              <w:t xml:space="preserve"> i 2022; der henviser til, at antallet af støtteklik også faldt til </w:t>
            </w:r>
            <w:r>
              <w:rPr>
                <w:b/>
                <w:i/>
              </w:rPr>
              <w:t>17 745</w:t>
            </w:r>
            <w:r>
              <w:t xml:space="preserve"> i 2024 sammenlignet med </w:t>
            </w:r>
            <w:r>
              <w:rPr>
                <w:b/>
                <w:i/>
              </w:rPr>
              <w:t>29 287</w:t>
            </w:r>
            <w:r>
              <w:t xml:space="preserve"> i 2023 og </w:t>
            </w:r>
            <w:r>
              <w:rPr>
                <w:b/>
                <w:i/>
              </w:rPr>
              <w:t>27 927</w:t>
            </w:r>
            <w:r>
              <w:t xml:space="preserve"> i 2022;</w:t>
            </w:r>
          </w:p>
        </w:tc>
        <w:tc>
          <w:tcPr>
            <w:tcW w:w="4876" w:type="dxa"/>
            <w:tcBorders>
              <w:top w:val="nil"/>
              <w:left w:val="nil"/>
              <w:bottom w:val="nil"/>
              <w:right w:val="nil"/>
            </w:tcBorders>
          </w:tcPr>
          <w:p>
            <w:pPr>
              <w:pStyle w:val="Normal6a"/>
            </w:pPr>
            <w:r>
              <w:t>D.</w:t>
            </w:r>
            <w:r>
              <w:tab/>
            </w:r>
            <w:r>
              <w:t xml:space="preserve">der henviser til, at </w:t>
            </w:r>
            <w:r>
              <w:rPr>
                <w:b/>
                <w:i/>
              </w:rPr>
              <w:t>15 661</w:t>
            </w:r>
            <w:r>
              <w:t xml:space="preserve"> brugere i 2024 støttede andragender på Parlamentets webportal for andragender, hvilket er et betydeligt fald sammenlignet med </w:t>
            </w:r>
            <w:r>
              <w:rPr>
                <w:b/>
                <w:i/>
              </w:rPr>
              <w:t>26 331</w:t>
            </w:r>
            <w:r>
              <w:t xml:space="preserve"> i 2023 og </w:t>
            </w:r>
            <w:r>
              <w:rPr>
                <w:b/>
                <w:i/>
              </w:rPr>
              <w:t>22 441</w:t>
            </w:r>
            <w:r>
              <w:t xml:space="preserve"> i 2022; der henviser til, at antallet af støtteklik også faldt til </w:t>
            </w:r>
            <w:r>
              <w:rPr>
                <w:b/>
                <w:i/>
              </w:rPr>
              <w:t>17 745</w:t>
            </w:r>
            <w:r>
              <w:t xml:space="preserve"> i 2024 sammenlignet med </w:t>
            </w:r>
            <w:r>
              <w:rPr>
                <w:b/>
                <w:i/>
              </w:rPr>
              <w:t>29 287</w:t>
            </w:r>
            <w:r>
              <w:t xml:space="preserve"> i 2023 og </w:t>
            </w:r>
            <w:r>
              <w:rPr>
                <w:b/>
                <w:i/>
              </w:rPr>
              <w:t>27 927</w:t>
            </w:r>
            <w:r>
              <w:t xml:space="preserve"> i 2022; </w:t>
            </w:r>
            <w:r>
              <w:rPr>
                <w:b/>
                <w:i/>
              </w:rPr>
              <w:t>der henviser til, at behandlingen af mange andragender blev afsluttet direkte i det sammenfattende dokument, som er en forvaltningsakt, men ikke indeholder nogen begrundelse;</w:t>
            </w:r>
            <w:r>
              <w:t xml:space="preserve"> </w:t>
            </w:r>
            <w:r>
              <w:rPr>
                <w:b/>
                <w:i/>
              </w:rPr>
              <w:t>der henviser til, at disse andragender aldrig fik mulighed for at blive hørt i udvalget, efter at det var blevet fastslået, at de opfyldte betingelserne for 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Pál Szekeres, Jean-Paul Garraud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der henviser til, at det samlede antal andragender fortsat er beskedent i forhold til EU's samlede befolkning, hvilket viser, at det stadig er nødvendigt at gøre en større indsats for at øge borgernes kendskab til deres ret til at indgive andragender og den potentielle nytte af andragender som et middel til at henlede EU-institutionernes og medlemsstaternes opmærksomhed på forhold, der påvirker og berører borgerne direkte; der henviser til, at borgerne ved udøvelsen af deres ret til at indgive andragender forventer, at EU-institutionerne leverer en merværdi ved at finde en løsning på deres problemer;</w:t>
            </w:r>
          </w:p>
        </w:tc>
        <w:tc>
          <w:tcPr>
            <w:tcW w:w="4876" w:type="dxa"/>
            <w:tcBorders>
              <w:top w:val="nil"/>
              <w:left w:val="nil"/>
              <w:bottom w:val="nil"/>
              <w:right w:val="nil"/>
            </w:tcBorders>
          </w:tcPr>
          <w:p>
            <w:pPr>
              <w:pStyle w:val="Normal6a"/>
            </w:pPr>
            <w:r>
              <w:t>E.</w:t>
            </w:r>
            <w:r>
              <w:tab/>
            </w:r>
            <w:r>
              <w:t xml:space="preserve">der henviser til, at det samlede antal andragender fortsat er beskedent i forhold til EU's samlede befolkning, hvilket viser, at det stadig er nødvendigt at gøre en større indsats for at øge borgernes kendskab til deres ret til at indgive andragender og den potentielle nytte af andragender som et middel til at henlede EU-institutionernes og medlemsstaternes opmærksomhed på forhold, der påvirker og berører borgerne direkte; der henviser til, at </w:t>
            </w:r>
            <w:r>
              <w:rPr>
                <w:b/>
                <w:i/>
              </w:rPr>
              <w:t>Udvalget for Andragender, som er meget populært blandt unge ved arrangementer som Det Europæiske Ungdomsarrangement (EYE) i Strasbourg, er et effektivt middel til at fremme denne rettighed og udbrede kendskabet til dens betydning blandt borgerne, navnlig blandt unge;</w:t>
            </w:r>
            <w:r>
              <w:t xml:space="preserve"> </w:t>
            </w:r>
            <w:r>
              <w:rPr>
                <w:b/>
                <w:i/>
              </w:rPr>
              <w:t>der henviser til, at det derfor er afgørende at sikre en aktiv og systematisk deltagelse af Udvalget for Andragender ved samtlige afviklinger af Det Europæiske Ungdomsarrangement for at øge dets synlighed og tilgængelighed;</w:t>
            </w:r>
            <w:r>
              <w:t xml:space="preserve"> </w:t>
            </w:r>
            <w:r>
              <w:rPr>
                <w:b/>
                <w:i/>
              </w:rPr>
              <w:t>der henviser til, at</w:t>
            </w:r>
            <w:r>
              <w:t xml:space="preserve"> borgerne ved udøvelsen af deres ret til at indgive andragender forventer, at EU-institutionerne leverer en merværdi ved at finde en løsning på deres problemer; </w:t>
            </w:r>
            <w:r>
              <w:rPr>
                <w:b/>
                <w:i/>
              </w:rPr>
              <w:t>der henviser til, at denne ret til at indgive andragender også skal fremme grundlæggende principper såsom god forvaltningsskik i EU's institutioner, ytringsfrihed og respekt for de demokratiske værdier;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der henviser til, at kriterierne for andragenders opfyldelse af betingelserne for behandling er fastsat i artikel 227 i TEUF og artikel 232, stk. 1, i Europa-Parlamentets forretningsorden, i henhold til hvilke andragender skal indgives af en EU-borger eller </w:t>
            </w:r>
            <w:r>
              <w:rPr>
                <w:b/>
                <w:i/>
              </w:rPr>
              <w:t>af</w:t>
            </w:r>
            <w:r>
              <w:t xml:space="preserve"> en fysisk eller juridisk person, som har bopæl eller hjemsted i en medlemsstat, om forhold, der henhører under </w:t>
            </w:r>
            <w:r>
              <w:rPr>
                <w:b/>
                <w:i/>
              </w:rPr>
              <w:t>områder, som EU beskæftiger sig med, og som</w:t>
            </w:r>
            <w:r>
              <w:t xml:space="preserve"> vedrører </w:t>
            </w:r>
            <w:r>
              <w:rPr>
                <w:b/>
                <w:i/>
              </w:rPr>
              <w:t>den pågældende</w:t>
            </w:r>
            <w:r>
              <w:t xml:space="preserve"> direkte;</w:t>
            </w:r>
          </w:p>
        </w:tc>
        <w:tc>
          <w:tcPr>
            <w:tcW w:w="4876" w:type="dxa"/>
            <w:tcBorders>
              <w:top w:val="nil"/>
              <w:left w:val="nil"/>
              <w:bottom w:val="nil"/>
              <w:right w:val="nil"/>
            </w:tcBorders>
          </w:tcPr>
          <w:p>
            <w:pPr>
              <w:pStyle w:val="Normal6a"/>
            </w:pPr>
            <w:r>
              <w:t>F.</w:t>
            </w:r>
            <w:r>
              <w:tab/>
            </w:r>
            <w:r>
              <w:t>der henviser til, at kriterierne for andragenders opfyldelse af betingelserne for behandling er fastsat i artikel 227 i TEUF og artikel 232, stk. 1, i Europa-Parlamentets forretningsorden, i henhold til hvilke andragender skal indgives af en EU-borger eller en fysisk eller juridisk person</w:t>
            </w:r>
            <w:r>
              <w:rPr>
                <w:b/>
                <w:i/>
              </w:rPr>
              <w:t>, enten på egen hånd eller i samvirke med andre</w:t>
            </w:r>
            <w:r>
              <w:t xml:space="preserve">, som har bopæl eller hjemsted i en medlemsstat, </w:t>
            </w:r>
            <w:r>
              <w:rPr>
                <w:b/>
                <w:i/>
              </w:rPr>
              <w:t>og dreje sig</w:t>
            </w:r>
            <w:r>
              <w:t xml:space="preserve"> om forhold, der henhører under </w:t>
            </w:r>
            <w:r>
              <w:rPr>
                <w:b/>
                <w:i/>
              </w:rPr>
              <w:t>EU's virksomhedsområde og</w:t>
            </w:r>
            <w:r>
              <w:t xml:space="preserve"> vedrører </w:t>
            </w:r>
            <w:r>
              <w:rPr>
                <w:b/>
                <w:i/>
              </w:rPr>
              <w:t>andragerne</w:t>
            </w:r>
            <w:r>
              <w:t xml:space="preserve"> direkte</w:t>
            </w:r>
            <w:r>
              <w:rPr>
                <w:b/>
                <w:i/>
              </w:rPr>
              <w:t>, idet sidstnævnte betingelse fortolkes meget bredt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611 af de </w:t>
            </w:r>
            <w:r>
              <w:rPr>
                <w:b/>
                <w:i/>
              </w:rPr>
              <w:t>1 518</w:t>
            </w:r>
            <w:r>
              <w:t xml:space="preserve"> andragender, der blev indgivet i 2024, ikke opfyldte betingelserne for behandling, og at 31 blev trukket tilbage; der henviser til, at den høje og stigende procentandel af andragender i 2024, der ikke opfyldte betingelserne for behandling (40,25 %), bekræfter, at der stadig hersker en udbredt manglende forståelse om omfanget af EU's ansvarsområder; der henviser til, at der for at reducere antallet af andragender, </w:t>
            </w:r>
            <w:r>
              <w:rPr>
                <w:b/>
                <w:i/>
              </w:rPr>
              <w:t>som</w:t>
            </w:r>
            <w:r>
              <w:t xml:space="preserve"> ikke opfylder betingelserne for behandling, stadig skal gøres en indsats for </w:t>
            </w:r>
            <w:r>
              <w:rPr>
                <w:b/>
                <w:i/>
              </w:rPr>
              <w:t>at skabe</w:t>
            </w:r>
            <w:r>
              <w:t xml:space="preserve"> yderligere </w:t>
            </w:r>
            <w:r>
              <w:rPr>
                <w:b/>
                <w:i/>
              </w:rPr>
              <w:t>klarhed om de områder, som EU beskæftiger sig med</w:t>
            </w:r>
            <w:r>
              <w:t>;</w:t>
            </w:r>
          </w:p>
        </w:tc>
        <w:tc>
          <w:tcPr>
            <w:tcW w:w="4876" w:type="dxa"/>
            <w:tcBorders>
              <w:top w:val="nil"/>
              <w:left w:val="nil"/>
              <w:bottom w:val="nil"/>
              <w:right w:val="nil"/>
            </w:tcBorders>
          </w:tcPr>
          <w:p>
            <w:pPr>
              <w:pStyle w:val="Normal6a"/>
            </w:pPr>
            <w:r>
              <w:t>G.</w:t>
            </w:r>
            <w:r>
              <w:tab/>
            </w:r>
            <w:r>
              <w:t xml:space="preserve">der henviser til, at 611 af de </w:t>
            </w:r>
            <w:r>
              <w:rPr>
                <w:b/>
                <w:i/>
              </w:rPr>
              <w:t>1 518</w:t>
            </w:r>
            <w:r>
              <w:t xml:space="preserve"> andragender, der blev indgivet i 2024, ikke opfyldte betingelserne for behandling, og at 31 blev trukket tilbage; der henviser til, at den høje og stigende procentandel af andragender i 2024, der ikke opfyldte betingelserne for behandling (40,25 %), bekræfter, at der stadig hersker en udbredt manglende forståelse om omfanget af EU's ansvarsområder; der henviser til, at der for at reducere antallet af andragender, </w:t>
            </w:r>
            <w:r>
              <w:rPr>
                <w:b/>
                <w:i/>
              </w:rPr>
              <w:t>der</w:t>
            </w:r>
            <w:r>
              <w:t xml:space="preserve"> ikke opfylder betingelserne for behandling, stadig skal gøres en indsats for yderligere </w:t>
            </w:r>
            <w:r>
              <w:rPr>
                <w:b/>
                <w:i/>
              </w:rPr>
              <w:t>at præcisere anvendelsesområdet for EU's aktivitetsområder, samtidig med at Kommissionen fortsætter med at udvide sine beføjelser ud over, hvad den er tilagt ved traktaterne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Pál Szekeres, Jean-Paul Garraud, Sebastian Kruis,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der henviser til, at retten til at indgive andragender til Parlamentet for EU-borgere udgør en grundlæggende rettighed, som giver både borgere og personer med bopæl i EU en åben, demokratisk og gennemsigtig måde, hvorpå de kan henvende sig direkte til deres valgte repræsentanter; der henviser til, at dette vigtige redskab sætter borgerne i stand til aktivt og effektivt at deltage i Unionens liv; der henviser til, at EU-borgerne via andragender kan klage over fejl i gennemførelsen af EU-retten og bidrage til at afsløre tilsidesættelser af den;</w:t>
            </w:r>
          </w:p>
        </w:tc>
        <w:tc>
          <w:tcPr>
            <w:tcW w:w="4876" w:type="dxa"/>
            <w:tcBorders>
              <w:top w:val="nil"/>
              <w:left w:val="nil"/>
              <w:bottom w:val="nil"/>
              <w:right w:val="nil"/>
            </w:tcBorders>
          </w:tcPr>
          <w:p>
            <w:pPr>
              <w:pStyle w:val="Normal6a"/>
            </w:pPr>
            <w:r>
              <w:t>H.</w:t>
            </w:r>
            <w:r>
              <w:tab/>
            </w:r>
            <w:r>
              <w:t xml:space="preserve">der henviser til, at retten til at indgive andragender til Parlamentet for EU-borgere udgør en grundlæggende rettighed, som giver både borgere og personer med bopæl i EU en åben, demokratisk og gennemsigtig måde, hvorpå de kan henvende sig direkte til deres valgte repræsentanter; der henviser til, at </w:t>
            </w:r>
            <w:r>
              <w:rPr>
                <w:b/>
                <w:i/>
              </w:rPr>
              <w:t>mange personer med handicap mangler lige adgang til information og kommunikation på grund af den begrænsede tilgængelighed af tilgængelige formater, og grundet den omstændighed, at nationale tegnsprog ikke er anerkendt som en del af EU's flersprogethed;</w:t>
            </w:r>
            <w:r>
              <w:t xml:space="preserve"> </w:t>
            </w:r>
            <w:r>
              <w:rPr>
                <w:b/>
                <w:i/>
              </w:rPr>
              <w:t>der henviser til, at</w:t>
            </w:r>
            <w:r>
              <w:t xml:space="preserve"> dette vigtige redskab sætter borgerne i stand til aktivt og effektivt at deltage i Unionens liv; der henviser til, at EU-borgerne via andragender kan klage over fejl i gennemførelsen af EU-retten og bidrage til at afsløre tilsidesættelser af 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retten til at indgive andragender til </w:t>
            </w:r>
            <w:r>
              <w:rPr>
                <w:b/>
                <w:i/>
              </w:rPr>
              <w:t>Parlamentet for EU-borgere udgør en</w:t>
            </w:r>
            <w:r>
              <w:t xml:space="preserve"> grundlæggende </w:t>
            </w:r>
            <w:r>
              <w:rPr>
                <w:b/>
                <w:i/>
              </w:rPr>
              <w:t>rettighed, som</w:t>
            </w:r>
            <w:r>
              <w:t xml:space="preserve"> giver </w:t>
            </w:r>
            <w:r>
              <w:rPr>
                <w:b/>
                <w:i/>
              </w:rPr>
              <w:t>både borgere</w:t>
            </w:r>
            <w:r>
              <w:t xml:space="preserve"> og personer med bopæl i EU en åben, demokratisk og gennemsigtig </w:t>
            </w:r>
            <w:r>
              <w:rPr>
                <w:b/>
                <w:i/>
              </w:rPr>
              <w:t>måde, hvorpå de kan henvende sig</w:t>
            </w:r>
            <w:r>
              <w:t xml:space="preserve"> direkte til deres valgte repræsentanter</w:t>
            </w:r>
            <w:r>
              <w:rPr>
                <w:b/>
                <w:i/>
              </w:rPr>
              <w:t>;</w:t>
            </w:r>
            <w:r>
              <w:t xml:space="preserve"> </w:t>
            </w:r>
            <w:r>
              <w:rPr>
                <w:b/>
                <w:i/>
              </w:rPr>
              <w:t>der henviser til, at dette vigtige redskab sætter</w:t>
            </w:r>
            <w:r>
              <w:t xml:space="preserve"> borgerne </w:t>
            </w:r>
            <w:r>
              <w:rPr>
                <w:b/>
                <w:i/>
              </w:rPr>
              <w:t>i stand til</w:t>
            </w:r>
            <w:r>
              <w:t xml:space="preserve"> aktivt og effektivt </w:t>
            </w:r>
            <w:r>
              <w:rPr>
                <w:b/>
                <w:i/>
              </w:rPr>
              <w:t>at deltage</w:t>
            </w:r>
            <w:r>
              <w:t xml:space="preserve"> i Unionens liv; der henviser til, at EU-borgerne via andragender kan klage over fejl i gennemførelsen af EU-retten og bidrage til at afsløre tilsidesættelser af </w:t>
            </w:r>
            <w:r>
              <w:rPr>
                <w:b/>
                <w:i/>
              </w:rPr>
              <w:t>den</w:t>
            </w:r>
            <w:r>
              <w:t>;</w:t>
            </w:r>
          </w:p>
        </w:tc>
        <w:tc>
          <w:tcPr>
            <w:tcW w:w="4876" w:type="dxa"/>
            <w:tcBorders>
              <w:top w:val="nil"/>
              <w:left w:val="nil"/>
              <w:bottom w:val="nil"/>
              <w:right w:val="nil"/>
            </w:tcBorders>
          </w:tcPr>
          <w:p>
            <w:pPr>
              <w:pStyle w:val="Normal6a"/>
            </w:pPr>
            <w:r>
              <w:t>H.</w:t>
            </w:r>
            <w:r>
              <w:tab/>
            </w:r>
            <w:r>
              <w:t xml:space="preserve">der henviser til, at retten til at indgive andragender til </w:t>
            </w:r>
            <w:r>
              <w:rPr>
                <w:b/>
                <w:i/>
              </w:rPr>
              <w:t>Europa-Parlamentet er en af EU-borgernes</w:t>
            </w:r>
            <w:r>
              <w:t xml:space="preserve"> grundlæggende </w:t>
            </w:r>
            <w:r>
              <w:rPr>
                <w:b/>
                <w:i/>
              </w:rPr>
              <w:t>rettigheder;</w:t>
            </w:r>
            <w:r>
              <w:t xml:space="preserve"> </w:t>
            </w:r>
            <w:r>
              <w:rPr>
                <w:b/>
                <w:i/>
              </w:rPr>
              <w:t>der henviser til, at retten til at indgive andragender</w:t>
            </w:r>
            <w:r>
              <w:t xml:space="preserve"> giver </w:t>
            </w:r>
            <w:r>
              <w:rPr>
                <w:b/>
                <w:i/>
              </w:rPr>
              <w:t>EU-borgere</w:t>
            </w:r>
            <w:r>
              <w:t xml:space="preserve"> og personer med bopæl i EU en åben, demokratisk og gennemsigtig </w:t>
            </w:r>
            <w:r>
              <w:rPr>
                <w:b/>
                <w:i/>
              </w:rPr>
              <w:t>mekanisme til</w:t>
            </w:r>
            <w:r>
              <w:t xml:space="preserve"> direkte </w:t>
            </w:r>
            <w:r>
              <w:rPr>
                <w:b/>
                <w:i/>
              </w:rPr>
              <w:t>henvendelse</w:t>
            </w:r>
            <w:r>
              <w:t xml:space="preserve"> til deres valgte repræsentanter </w:t>
            </w:r>
            <w:r>
              <w:rPr>
                <w:b/>
                <w:i/>
              </w:rPr>
              <w:t>og derfor er afgørende for, at</w:t>
            </w:r>
            <w:r>
              <w:t xml:space="preserve"> borgerne </w:t>
            </w:r>
            <w:r>
              <w:rPr>
                <w:b/>
                <w:i/>
              </w:rPr>
              <w:t>kan deltage</w:t>
            </w:r>
            <w:r>
              <w:t xml:space="preserve"> aktivt og effektivt i Unionens liv; der henviser til, at EU-borgerne via andragender kan klage over fejl i gennemførelsen af EU-retten og bidrage til at afsløre tilsidesættelser af </w:t>
            </w:r>
            <w:r>
              <w:rPr>
                <w:b/>
                <w:i/>
              </w:rPr>
              <w:t>EU-retten under hensyntagen til medlemsstaternes suverænitet og anvendelsen af EU-traktaterne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der henviser til, at Parlamentet længe har været forløber i udviklingen af processen for andragender internationalt og har den mest åbne og gennemsigtige proces for andragender i Europa, hvilket giver andragerne mulighed for i fuldt omfang at tage del i dets virksomhed;</w:t>
            </w:r>
          </w:p>
        </w:tc>
        <w:tc>
          <w:tcPr>
            <w:tcW w:w="4876" w:type="dxa"/>
            <w:tcBorders>
              <w:top w:val="nil"/>
              <w:left w:val="nil"/>
              <w:bottom w:val="nil"/>
              <w:right w:val="nil"/>
            </w:tcBorders>
          </w:tcPr>
          <w:p>
            <w:pPr>
              <w:pStyle w:val="Normal6a"/>
            </w:pPr>
            <w:r>
              <w:t>I.</w:t>
            </w:r>
            <w:r>
              <w:tab/>
            </w:r>
            <w:r>
              <w:t xml:space="preserve">der henviser til, at Parlamentet længe har været forløber i udviklingen af processen for andragender internationalt og har den mest åbne og gennemsigtige proces for andragender i Europa, hvilket giver andragerne mulighed for i fuldt omfang at tage del i dets virksomhed; </w:t>
            </w:r>
            <w:r>
              <w:rPr>
                <w:b/>
                <w:i/>
              </w:rPr>
              <w:t>der henviser til, at onlineplatformen for andragender kunne gøres mere brugervenlig for at gøre det lettere for brugerne at navigere rundt på den;</w:t>
            </w:r>
            <w:r>
              <w:t xml:space="preserve"> </w:t>
            </w:r>
            <w:r>
              <w:rPr>
                <w:b/>
                <w:i/>
              </w:rPr>
              <w:t>der henviser til, at indarbejdelse af kunstig intelligens vil kunne forenkle søgemulighederne og forbedre adgangen til andragender ved at tilbyde mere avancerede funktioner end i det nuværende format;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der henviser til, at Parlamentet længe har </w:t>
            </w:r>
            <w:r>
              <w:rPr>
                <w:b/>
                <w:i/>
              </w:rPr>
              <w:t>været forløber</w:t>
            </w:r>
            <w:r>
              <w:t xml:space="preserve"> i udviklingen af processen for andragender internationalt og har den mest åbne og gennemsigtige proces for andragender i Europa, hvilket giver andragerne mulighed for i fuldt omfang at tage del i dets virksomhed;</w:t>
            </w:r>
          </w:p>
        </w:tc>
        <w:tc>
          <w:tcPr>
            <w:tcW w:w="4876" w:type="dxa"/>
            <w:tcBorders>
              <w:top w:val="nil"/>
              <w:left w:val="nil"/>
              <w:bottom w:val="nil"/>
              <w:right w:val="nil"/>
            </w:tcBorders>
          </w:tcPr>
          <w:p>
            <w:pPr>
              <w:pStyle w:val="Normal6a"/>
            </w:pPr>
            <w:r>
              <w:t>I.</w:t>
            </w:r>
            <w:r>
              <w:tab/>
            </w:r>
            <w:r>
              <w:t xml:space="preserve">der henviser til, at Parlamentet længe har </w:t>
            </w:r>
            <w:r>
              <w:rPr>
                <w:b/>
                <w:i/>
              </w:rPr>
              <w:t>søgt at bevare sin førerposition</w:t>
            </w:r>
            <w:r>
              <w:t xml:space="preserve"> i udviklingen af processen for andragender internationalt og har </w:t>
            </w:r>
            <w:r>
              <w:rPr>
                <w:b/>
                <w:i/>
              </w:rPr>
              <w:t>bestræbt sig på at have</w:t>
            </w:r>
            <w:r>
              <w:t xml:space="preserve"> den mest åbne og gennemsigtige proces for andragender i Europa, hvilket giver andragerne mulighed for i fuldt omfang at tage del i dets virksomhed; </w:t>
            </w:r>
            <w:r>
              <w:rPr>
                <w:b/>
                <w:i/>
              </w:rPr>
              <w:t>den seneste udvikling har imidlertid vist, at disse bestræbelser ikke fuldt ud har formået at sikre meningsfuld deltagelse;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der henviser til, at udvalget understreger betydningen af øget gennemsigtighed i behandlingen af andragender, herunder systematisk feedback til andragerne i vigtige faser af proceduren og en klar tidsplan for EU-institutionernes opfølgende foranstaltninger;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der henviser til, at </w:t>
            </w:r>
            <w:r>
              <w:rPr>
                <w:b/>
                <w:i/>
              </w:rPr>
              <w:t>arbejdet</w:t>
            </w:r>
            <w:r>
              <w:t xml:space="preserve"> i Udvalget for Andragender er baseret på input fra andragere </w:t>
            </w:r>
            <w:r>
              <w:rPr>
                <w:b/>
                <w:i/>
              </w:rPr>
              <w:t>og de</w:t>
            </w:r>
            <w:r>
              <w:t xml:space="preserve"> oplysninger</w:t>
            </w:r>
            <w:r>
              <w:rPr>
                <w:b/>
                <w:i/>
              </w:rPr>
              <w:t>, som de indgiver</w:t>
            </w:r>
            <w:r>
              <w:t xml:space="preserve">; der henviser til, at disse </w:t>
            </w:r>
            <w:r>
              <w:rPr>
                <w:b/>
                <w:i/>
              </w:rPr>
              <w:t>oplysninger</w:t>
            </w:r>
            <w:r>
              <w:t xml:space="preserve"> sammen med den ekspertise, som Kommissionen, medlemsstaterne og andre organer </w:t>
            </w:r>
            <w:r>
              <w:rPr>
                <w:b/>
                <w:i/>
              </w:rPr>
              <w:t>stiller til rådighed</w:t>
            </w:r>
            <w:r>
              <w:t xml:space="preserve">, er afgørende for </w:t>
            </w:r>
            <w:r>
              <w:rPr>
                <w:b/>
                <w:i/>
              </w:rPr>
              <w:t>Udvalget for Andragenders</w:t>
            </w:r>
            <w:r>
              <w:t xml:space="preserve"> arbejde; der henviser til, at andragender, der opfylder betingelserne for behandling, </w:t>
            </w:r>
            <w:r>
              <w:rPr>
                <w:b/>
                <w:i/>
              </w:rPr>
              <w:t>ofte giver input, der er værdifuldt for</w:t>
            </w:r>
            <w:r>
              <w:t xml:space="preserve"> arbejdet i </w:t>
            </w:r>
            <w:r>
              <w:rPr>
                <w:b/>
                <w:i/>
              </w:rPr>
              <w:t>de</w:t>
            </w:r>
            <w:r>
              <w:t xml:space="preserve"> andre parlamentariske udvalg; der henviser til, at andragender </w:t>
            </w:r>
            <w:r>
              <w:rPr>
                <w:b/>
                <w:i/>
              </w:rPr>
              <w:t>derfor</w:t>
            </w:r>
            <w:r>
              <w:t xml:space="preserve"> også kan spille en rolle i lovgivningsprocessen ved at levere konkret feedback om virkningen af EU's politikker og </w:t>
            </w:r>
            <w:r>
              <w:rPr>
                <w:b/>
                <w:i/>
              </w:rPr>
              <w:t>gøre det muligt med politikkerne at adressere</w:t>
            </w:r>
            <w:r>
              <w:t xml:space="preserve"> nye behov;</w:t>
            </w:r>
          </w:p>
        </w:tc>
        <w:tc>
          <w:tcPr>
            <w:tcW w:w="4876" w:type="dxa"/>
            <w:tcBorders>
              <w:top w:val="nil"/>
              <w:left w:val="nil"/>
              <w:bottom w:val="nil"/>
              <w:right w:val="nil"/>
            </w:tcBorders>
          </w:tcPr>
          <w:p>
            <w:pPr>
              <w:pStyle w:val="Normal6a"/>
            </w:pPr>
            <w:r>
              <w:t>J.</w:t>
            </w:r>
            <w:r>
              <w:tab/>
            </w:r>
            <w:r>
              <w:t xml:space="preserve">der henviser til, at </w:t>
            </w:r>
            <w:r>
              <w:rPr>
                <w:b/>
                <w:i/>
              </w:rPr>
              <w:t>aktiviteterne</w:t>
            </w:r>
            <w:r>
              <w:t xml:space="preserve"> i Udvalget for Andragender er baseret på input fra andragere</w:t>
            </w:r>
            <w:r>
              <w:rPr>
                <w:b/>
                <w:i/>
              </w:rPr>
              <w:t>, hvis andragender ikke straks afsluttes, og på</w:t>
            </w:r>
            <w:r>
              <w:t xml:space="preserve"> oplysninger </w:t>
            </w:r>
            <w:r>
              <w:rPr>
                <w:b/>
                <w:i/>
              </w:rPr>
              <w:t>og udtalelser fra disse andragere</w:t>
            </w:r>
            <w:r>
              <w:t xml:space="preserve">; der henviser til, at disse </w:t>
            </w:r>
            <w:r>
              <w:rPr>
                <w:b/>
                <w:i/>
              </w:rPr>
              <w:t>input</w:t>
            </w:r>
            <w:r>
              <w:t xml:space="preserve"> sammen med den ekspertise, som </w:t>
            </w:r>
            <w:r>
              <w:rPr>
                <w:b/>
                <w:i/>
              </w:rPr>
              <w:t>tilbydes af</w:t>
            </w:r>
            <w:r>
              <w:t xml:space="preserve"> Kommissionen, medlemsstaterne og andre organer, er afgørende for </w:t>
            </w:r>
            <w:r>
              <w:rPr>
                <w:b/>
                <w:i/>
              </w:rPr>
              <w:t>udvalgets</w:t>
            </w:r>
            <w:r>
              <w:t xml:space="preserve"> arbejde; der henviser til, at andragender, der opfylder betingelserne for behandling, </w:t>
            </w:r>
            <w:r>
              <w:rPr>
                <w:b/>
                <w:i/>
              </w:rPr>
              <w:t>og som således bliver godkendt til at gennemgå behandlingsproceduren, ofte bidrager med værdifuld indsigt i</w:t>
            </w:r>
            <w:r>
              <w:t xml:space="preserve"> arbejdet i andre parlamentariske udvalg; der henviser til, at andragender</w:t>
            </w:r>
            <w:r>
              <w:rPr>
                <w:b/>
                <w:i/>
              </w:rPr>
              <w:t>, hvis behandling straks afsluttes, derimod udelukkes fra denne proces og fra muligheden for at præge politikken;</w:t>
            </w:r>
            <w:r>
              <w:t xml:space="preserve"> </w:t>
            </w:r>
            <w:r>
              <w:rPr>
                <w:b/>
                <w:i/>
              </w:rPr>
              <w:t>der henviser til, at andragender således</w:t>
            </w:r>
            <w:r>
              <w:t xml:space="preserve"> også kan spille en rolle i lovgivningsprocessen ved at levere konkret feedback om virkningen af EU's politikker og </w:t>
            </w:r>
            <w:r>
              <w:rPr>
                <w:b/>
                <w:i/>
              </w:rPr>
              <w:t>ved at bidrage til udviklingen af politikker, som adresserer</w:t>
            </w:r>
            <w:r>
              <w:t xml:space="preserve"> nye 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der henviser til, at retten til at indgive andragender styrker Parlamentets lydhørhed over for klager og bekymringer vedrørende overholdelse af EU's grundlæggende rettigheder og overholdelse af EU-lovgivningen i medlemsstaterne; der henviser til, at andragender </w:t>
            </w:r>
            <w:r>
              <w:rPr>
                <w:b/>
                <w:i/>
              </w:rPr>
              <w:t>derfor er</w:t>
            </w:r>
            <w:r>
              <w:t xml:space="preserve"> en nyttig kilde til information om tilfælde af forkert anvendelse eller </w:t>
            </w:r>
            <w:r>
              <w:rPr>
                <w:b/>
                <w:i/>
              </w:rPr>
              <w:t>tilsidesættelser</w:t>
            </w:r>
            <w:r>
              <w:t xml:space="preserve"> af EU-retten og </w:t>
            </w:r>
            <w:r>
              <w:rPr>
                <w:b/>
                <w:i/>
              </w:rPr>
              <w:t>sætter</w:t>
            </w:r>
            <w:r>
              <w:t xml:space="preserve"> Parlamentet og andre institutioner i stand til at vurdere gennemførelsen og anvendelsen af EU-retten og dens indvirkning på rettighederne for EU-borgere og personer med bopæl i EU;</w:t>
            </w:r>
          </w:p>
        </w:tc>
        <w:tc>
          <w:tcPr>
            <w:tcW w:w="4876" w:type="dxa"/>
            <w:tcBorders>
              <w:top w:val="nil"/>
              <w:left w:val="nil"/>
              <w:bottom w:val="nil"/>
              <w:right w:val="nil"/>
            </w:tcBorders>
          </w:tcPr>
          <w:p>
            <w:pPr>
              <w:pStyle w:val="Normal6a"/>
            </w:pPr>
            <w:r>
              <w:t>K.</w:t>
            </w:r>
            <w:r>
              <w:tab/>
            </w:r>
            <w:r>
              <w:t xml:space="preserve">der henviser til, at retten til at indgive andragender styrker Parlamentets lydhørhed over for klager og bekymringer vedrørende overholdelse af EU's grundlæggende rettigheder og overholdelse af EU-lovgivningen i medlemsstaterne; der henviser til, at andragender </w:t>
            </w:r>
            <w:r>
              <w:rPr>
                <w:b/>
                <w:i/>
              </w:rPr>
              <w:t>kan udgøre</w:t>
            </w:r>
            <w:r>
              <w:t xml:space="preserve"> en nyttig kilde til information om tilfælde af forkert anvendelse eller </w:t>
            </w:r>
            <w:r>
              <w:rPr>
                <w:b/>
                <w:i/>
              </w:rPr>
              <w:t>tilsidesættelse</w:t>
            </w:r>
            <w:r>
              <w:t xml:space="preserve"> af EU-retten og </w:t>
            </w:r>
            <w:r>
              <w:rPr>
                <w:b/>
                <w:i/>
              </w:rPr>
              <w:t>sætte</w:t>
            </w:r>
            <w:r>
              <w:t xml:space="preserve"> Parlamentet og andre institutioner i stand til at vurdere gennemførelsen og anvendelsen af EU-retten og dens indvirkning på rettighederne for EU-borgere og personer med bopæl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Pál Szekeres, Sebastian Kruis, Jean-Paul Garraud,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der henviser til, at hvert enkelt andragende undersøges og behandles omhyggeligt, effektivt og gennemsigtigt; der henviser til, at alle andragere har ret til at modtage et svar med oplysninger om udvalgets afgørelse om, hvorvidt andragendet opfylder betingelserne for behandling, og om de opfølgende foranstaltninger inden for en rimelig frist og på deres eget sprog eller på det sprog, der anvendes i andragendet;</w:t>
            </w:r>
          </w:p>
        </w:tc>
        <w:tc>
          <w:tcPr>
            <w:tcW w:w="4876" w:type="dxa"/>
            <w:tcBorders>
              <w:top w:val="nil"/>
              <w:left w:val="nil"/>
              <w:bottom w:val="nil"/>
              <w:right w:val="nil"/>
            </w:tcBorders>
          </w:tcPr>
          <w:p>
            <w:pPr>
              <w:pStyle w:val="Normal6a"/>
            </w:pPr>
            <w:r>
              <w:t>L.</w:t>
            </w:r>
            <w:r>
              <w:tab/>
            </w:r>
            <w:r>
              <w:t xml:space="preserve">der henviser til, at hvert enkelt andragende undersøges og behandles omhyggeligt, effektivt og gennemsigtigt; der henviser til, at alle andragere har ret til at modtage et svar med oplysninger om udvalgets afgørelse om, hvorvidt andragendet opfylder betingelserne for behandling, og om de opfølgende foranstaltninger inden for en rimelig frist og på deres eget sprog eller på det sprog, der anvendes i andragendet; </w:t>
            </w:r>
            <w:r>
              <w:rPr>
                <w:b/>
                <w:i/>
              </w:rPr>
              <w:t>der henviser til, at der i andragende nr. 1056/2016, som blev drøftet den 19. marts 2024, anmodes om Europa-Parlamentets tilladelse til at indgive andragender på nationale tegnsprog, der er i brug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rPr>
                <w:b/>
                <w:i/>
              </w:rPr>
              <w:t>der henviser til, at hvert enkelt andragende undersøges og behandles omhyggeligt, effektivt og gennemsigtigt;</w:t>
            </w:r>
            <w:r>
              <w:t xml:space="preserve"> der henviser til, at alle andragere har ret til at modtage et svar med oplysninger om udvalgets afgørelse om, hvorvidt andragendet opfylder betingelserne for behandling, og om de opfølgende foranstaltninger inden for en rimelig frist og på deres eget sprog eller på det sprog, der anvendes i andragendet;</w:t>
            </w:r>
          </w:p>
        </w:tc>
        <w:tc>
          <w:tcPr>
            <w:tcW w:w="4876" w:type="dxa"/>
            <w:tcBorders>
              <w:top w:val="nil"/>
              <w:left w:val="nil"/>
              <w:bottom w:val="nil"/>
              <w:right w:val="nil"/>
            </w:tcBorders>
          </w:tcPr>
          <w:p>
            <w:pPr>
              <w:pStyle w:val="Normal6a"/>
            </w:pPr>
            <w:r>
              <w:t>L.</w:t>
            </w:r>
            <w:r>
              <w:tab/>
            </w:r>
            <w:r>
              <w:t>der henviser til, at alle andragere har ret til at modtage et svar med oplysninger om udvalgets afgørelse om, hvorvidt andragendet opfylder betingelserne for behandling, og om de opfølgende foranstaltninger inden for en rimelig frist og på deres eget sprog eller på det sprog, der anvendes i andragendet;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der henviser til, at Udvalget for Andragender tillægger det den allerstørste vigtighed at behandle andragender og drøfte dem offentligt på sine møder; der henviser til, at andragerne har ret til selv at fremlægge deres andragender og hyppigt deltager i drøftelserne, hvorved de bidrager aktivt til udvalgets arbejde; der henviser til, at Udvalget for Andragender i 2024 afholdt otte udvalgsmøder i tillæg til dets konstituerende møde, hvor 106 andragender blev drøftet, og 106 andragere var til stede og deltog aktivt ved at tage ordet;</w:t>
            </w:r>
          </w:p>
        </w:tc>
        <w:tc>
          <w:tcPr>
            <w:tcW w:w="4876" w:type="dxa"/>
            <w:tcBorders>
              <w:top w:val="nil"/>
              <w:left w:val="nil"/>
              <w:bottom w:val="nil"/>
              <w:right w:val="nil"/>
            </w:tcBorders>
          </w:tcPr>
          <w:p>
            <w:pPr>
              <w:pStyle w:val="Normal6a"/>
            </w:pPr>
            <w:r>
              <w:t>M.</w:t>
            </w:r>
            <w:r>
              <w:tab/>
            </w:r>
            <w:r>
              <w:t xml:space="preserve">der henviser til, at Udvalget for Andragender tillægger det den allerstørste vigtighed at behandle andragender og drøfte dem offentligt på sine møder; der henviser til, at andragerne har ret til selv at fremlægge deres andragender og hyppigt deltager i drøftelserne, hvorved de bidrager aktivt til udvalgets arbejde; der henviser til, at Udvalget for Andragender i 2024 afholdt otte udvalgsmøder i tillæg til dets konstituerende møde, hvor 106 andragender blev drøftet, og 106 andragere var til stede og deltog aktivt ved at tage ordet; </w:t>
            </w:r>
            <w:r>
              <w:rPr>
                <w:b/>
                <w:i/>
              </w:rPr>
              <w:t>der imidlertid henviser til, at godtgørelse af </w:t>
            </w:r>
            <w:r>
              <w:rPr>
                <w:b/>
                <w:i/>
              </w:rPr>
              <w:t>andrageres </w:t>
            </w:r>
            <w:r>
              <w:rPr>
                <w:b/>
                <w:i/>
              </w:rPr>
              <w:t>rejseudgifter fortsat er yderst sjældent og underlagt komplekse og besværlige bureaukratiske procedurer, som kan hindre lige adgang til deltagelse;</w:t>
            </w:r>
            <w:r>
              <w:t xml:space="preserve"> </w:t>
            </w:r>
            <w:r>
              <w:rPr>
                <w:b/>
                <w:i/>
              </w:rPr>
              <w:t>der henviser til, at det samlede antal andragere, der deltog ved personligt fremmøde i Udvalget for Andragender, angiveligt var 120</w:t>
            </w:r>
            <w:r>
              <w:rPr>
                <w:b/>
                <w:i/>
              </w:rPr>
              <w:t> i 2024</w:t>
            </w:r>
            <w:r>
              <w:rPr>
                <w:b/>
                <w:i/>
              </w:rPr>
              <w:t>;</w:t>
            </w:r>
            <w:r>
              <w:t xml:space="preserve"> </w:t>
            </w:r>
            <w:r>
              <w:rPr>
                <w:b/>
                <w:i/>
              </w:rPr>
              <w:t>der henviser til, at kun seks andragere modtog godtgørelse;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der henviser til, at de vigtigste </w:t>
            </w:r>
            <w:r>
              <w:rPr>
                <w:b/>
                <w:i/>
              </w:rPr>
              <w:t>bekymringer, der blev rejst</w:t>
            </w:r>
            <w:r>
              <w:t xml:space="preserve"> i de andragender, der blev indgivet i 2024, vedrørte </w:t>
            </w:r>
            <w:r>
              <w:rPr>
                <w:b/>
                <w:i/>
              </w:rPr>
              <w:t>miljøet</w:t>
            </w:r>
            <w:r>
              <w:t xml:space="preserve">, grundlæggende rettigheder, det indre marked, </w:t>
            </w:r>
            <w:r>
              <w:rPr>
                <w:b/>
                <w:i/>
              </w:rPr>
              <w:t>retlige anliggender</w:t>
            </w:r>
            <w:r>
              <w:t>, forbrugerrettigheder og sundhed;</w:t>
            </w:r>
          </w:p>
        </w:tc>
        <w:tc>
          <w:tcPr>
            <w:tcW w:w="4876" w:type="dxa"/>
            <w:tcBorders>
              <w:top w:val="nil"/>
              <w:left w:val="nil"/>
              <w:bottom w:val="nil"/>
              <w:right w:val="nil"/>
            </w:tcBorders>
          </w:tcPr>
          <w:p>
            <w:pPr>
              <w:pStyle w:val="Normal6a"/>
            </w:pPr>
            <w:r>
              <w:t>N.</w:t>
            </w:r>
            <w:r>
              <w:tab/>
            </w:r>
            <w:r>
              <w:t xml:space="preserve">der henviser til, at de vigtigste </w:t>
            </w:r>
            <w:r>
              <w:rPr>
                <w:b/>
                <w:i/>
              </w:rPr>
              <w:t>emner, der gav anledning til bekymring</w:t>
            </w:r>
            <w:r>
              <w:t xml:space="preserve"> i de andragender, der blev indgivet i 2024, vedrørte </w:t>
            </w:r>
            <w:r>
              <w:rPr>
                <w:b/>
                <w:i/>
              </w:rPr>
              <w:t>miljø</w:t>
            </w:r>
            <w:r>
              <w:t xml:space="preserve">, grundlæggende rettigheder </w:t>
            </w:r>
            <w:r>
              <w:rPr>
                <w:b/>
                <w:i/>
              </w:rPr>
              <w:t>(herunder retten til god forvaltning, retten til aktindsigt, ytrings- og informationsfrihed)</w:t>
            </w:r>
            <w:r>
              <w:t xml:space="preserve">, det indre marked, </w:t>
            </w:r>
            <w:r>
              <w:rPr>
                <w:b/>
                <w:i/>
              </w:rPr>
              <w:t>retspleje</w:t>
            </w:r>
            <w:r>
              <w:t>, forbrugerrettigheder og sundhed;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der henviser til, at de vigtigste bekymringer, der blev rejst i de andragender, der blev indgivet i 2024, vedrørte miljøet, grundlæggende rettigheder, det indre marked, </w:t>
            </w:r>
            <w:r>
              <w:rPr>
                <w:b/>
                <w:i/>
              </w:rPr>
              <w:t>retlige anliggender</w:t>
            </w:r>
            <w:r>
              <w:t>, forbrugerrettigheder og sundhed;</w:t>
            </w:r>
          </w:p>
        </w:tc>
        <w:tc>
          <w:tcPr>
            <w:tcW w:w="4876" w:type="dxa"/>
            <w:tcBorders>
              <w:top w:val="nil"/>
              <w:left w:val="nil"/>
              <w:bottom w:val="nil"/>
              <w:right w:val="nil"/>
            </w:tcBorders>
          </w:tcPr>
          <w:p>
            <w:pPr>
              <w:pStyle w:val="Normal6a"/>
            </w:pPr>
            <w:r>
              <w:t>N.</w:t>
            </w:r>
            <w:r>
              <w:tab/>
            </w:r>
            <w:r>
              <w:t xml:space="preserve">der henviser til, at de vigtigste bekymringer, der blev rejst i de andragender, der blev indgivet i 2024, vedrørte </w:t>
            </w:r>
            <w:r>
              <w:rPr>
                <w:b/>
                <w:i/>
              </w:rPr>
              <w:t>retten til aktindsigt,</w:t>
            </w:r>
            <w:r>
              <w:t xml:space="preserve"> miljøet, grundlæggende rettigheder, det indre marked, </w:t>
            </w:r>
            <w:r>
              <w:rPr>
                <w:b/>
                <w:i/>
              </w:rPr>
              <w:t>retspleje</w:t>
            </w:r>
            <w:r>
              <w:t>, forbrugerrettigheder og sundhed;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der henviser til, at de vigtigste bekymringer, der blev rejst i de andragender, der blev indgivet i 2024, vedrørte miljøet, grundlæggende rettigheder, det indre marked, </w:t>
            </w:r>
            <w:r>
              <w:rPr>
                <w:b/>
                <w:i/>
              </w:rPr>
              <w:t>retlige anliggender</w:t>
            </w:r>
            <w:r>
              <w:t>, forbrugerrettigheder og sundhed;</w:t>
            </w:r>
          </w:p>
        </w:tc>
        <w:tc>
          <w:tcPr>
            <w:tcW w:w="4876" w:type="dxa"/>
            <w:tcBorders>
              <w:top w:val="nil"/>
              <w:left w:val="nil"/>
              <w:bottom w:val="nil"/>
              <w:right w:val="nil"/>
            </w:tcBorders>
          </w:tcPr>
          <w:p>
            <w:pPr>
              <w:pStyle w:val="Normal6a"/>
            </w:pPr>
            <w:r>
              <w:t>N.</w:t>
            </w:r>
            <w:r>
              <w:tab/>
            </w:r>
            <w:r>
              <w:t xml:space="preserve">der henviser til, at de vigtigste bekymringer, der blev rejst i de andragender, der blev indgivet i 2024, vedrørte </w:t>
            </w:r>
            <w:r>
              <w:rPr>
                <w:b/>
                <w:i/>
              </w:rPr>
              <w:t>retsstatsprincippet,</w:t>
            </w:r>
            <w:r>
              <w:t xml:space="preserve"> miljøet, grundlæggende rettigheder, det indre marked, </w:t>
            </w:r>
            <w:r>
              <w:rPr>
                <w:b/>
                <w:i/>
              </w:rPr>
              <w:t>retspleje</w:t>
            </w:r>
            <w:r>
              <w:t>, forbrugerrettigheder og sundhed;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der henviser til, at Udvalget for Andragender behandlede ulvens beskyttelsesstatus i EU og vurderede data og oplysninger efter indgivelsen af et andragende, hvori andrageren klagede over Kommissionens planlagte tiltag med henblik på at nedgradere ulvens beskyttelsesstatus i EU og kritiserede en påstået påvirkning fra jægere;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der henviser til, at Udvalget for Andragender ved vedtagelsen af sin mødedagsorden tager hensyn til andragender og emner med en høj grad af relevans for drøftelser på EU-plan og til behovet for at fastholde en afbalanceret geografisk dækning af emner i overensstemmelse med de andragender, der modtages;</w:t>
            </w:r>
          </w:p>
        </w:tc>
        <w:tc>
          <w:tcPr>
            <w:tcW w:w="4876" w:type="dxa"/>
            <w:tcBorders>
              <w:top w:val="nil"/>
              <w:left w:val="nil"/>
              <w:bottom w:val="nil"/>
              <w:right w:val="nil"/>
            </w:tcBorders>
          </w:tcPr>
          <w:p>
            <w:pPr>
              <w:pStyle w:val="Normal6a"/>
            </w:pPr>
            <w:r>
              <w:t>O.</w:t>
            </w:r>
            <w:r>
              <w:tab/>
            </w:r>
            <w:r>
              <w:t xml:space="preserve">der henviser til, at Udvalget for Andragender ved vedtagelsen af sin mødedagsorden tager hensyn til andragender og emner med en høj grad af relevans for drøftelser på EU-plan og til behovet for at fastholde en afbalanceret geografisk dækning af emner i overensstemmelse med de andragender, der modtages; </w:t>
            </w:r>
            <w:r>
              <w:rPr>
                <w:b/>
                <w:i/>
              </w:rPr>
              <w:t>der henviser til, at betænkeligheder vedrørende migration og krigen i Ukraine og EU's finansielle støtte hertil var emner med en høj grad af relevans 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der henviser til, at Udvalget for Andragender ved vedtagelsen af sin mødedagsorden tager hensyn til andragender og emner med en høj grad af relevans for drøftelser på EU-plan </w:t>
            </w:r>
            <w:r>
              <w:rPr>
                <w:b/>
                <w:i/>
              </w:rPr>
              <w:t>og til behovet for at fastholde en afbalanceret geografisk dækning af emner i overensstemmelse med de andragender, der modtages</w:t>
            </w:r>
            <w:r>
              <w:t>;</w:t>
            </w:r>
          </w:p>
        </w:tc>
        <w:tc>
          <w:tcPr>
            <w:tcW w:w="4876" w:type="dxa"/>
            <w:tcBorders>
              <w:top w:val="nil"/>
              <w:left w:val="nil"/>
              <w:bottom w:val="nil"/>
              <w:right w:val="nil"/>
            </w:tcBorders>
          </w:tcPr>
          <w:p>
            <w:pPr>
              <w:pStyle w:val="Normal6a"/>
            </w:pPr>
            <w:r>
              <w:t>O.</w:t>
            </w:r>
            <w:r>
              <w:tab/>
            </w:r>
            <w:r>
              <w:t>der henviser til, at Udvalget for Andragender ved vedtagelsen af sin mødedagsorden tager hensyn til andragender og emner med en høj grad af relevans for drøftelser på EU-plan;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der henviser til, at Udvalget for Andragender ved vedtagelsen af sin mødedagsorden </w:t>
            </w:r>
            <w:r>
              <w:rPr>
                <w:b/>
                <w:i/>
              </w:rPr>
              <w:t>tager</w:t>
            </w:r>
            <w:r>
              <w:t xml:space="preserve"> hensyn til andragender og emner med en høj grad af relevans for drøftelser på EU-plan og til behovet for at fastholde en afbalanceret geografisk dækning af emner i overensstemmelse med de andragender, der modtages;</w:t>
            </w:r>
          </w:p>
        </w:tc>
        <w:tc>
          <w:tcPr>
            <w:tcW w:w="4876" w:type="dxa"/>
            <w:tcBorders>
              <w:top w:val="nil"/>
              <w:left w:val="nil"/>
              <w:bottom w:val="nil"/>
              <w:right w:val="nil"/>
            </w:tcBorders>
          </w:tcPr>
          <w:p>
            <w:pPr>
              <w:pStyle w:val="Normal6a"/>
            </w:pPr>
            <w:r>
              <w:t>O.</w:t>
            </w:r>
            <w:r>
              <w:tab/>
            </w:r>
            <w:r>
              <w:t xml:space="preserve">der henviser til, at Udvalget for Andragender ved vedtagelsen af sin mødedagsorden </w:t>
            </w:r>
            <w:r>
              <w:rPr>
                <w:b/>
                <w:i/>
              </w:rPr>
              <w:t>bør tage</w:t>
            </w:r>
            <w:r>
              <w:t xml:space="preserve"> hensyn til andragender og emner med en høj grad af relevans for drøftelser på EU-plan og til behovet for at fastholde en afbalanceret geografisk dækning af emner i overensstemmelse med de andragender, der modtages;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Sebastian Kruis, Jean-Paul Garraud,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der henviser til, at der ikke fandt nogen undersøgelsesrejser sted i 2024 for andragender, for hvilke der var en undersøgelse i gang, hvilket skyldtes Parlamentets pause på grund af valget; der henviser til, at udvalget gennemførte den opfølgende vurdering og vedtog to betænkninger om tidligere undersøgelsesrejser, der fandt sted i 2023; der henviser til, at der blev planlagt en række undersøgelsesrejser for den første halvdel af 2025;</w:t>
            </w:r>
          </w:p>
        </w:tc>
        <w:tc>
          <w:tcPr>
            <w:tcW w:w="4876" w:type="dxa"/>
            <w:tcBorders>
              <w:top w:val="nil"/>
              <w:left w:val="nil"/>
              <w:bottom w:val="nil"/>
              <w:right w:val="nil"/>
            </w:tcBorders>
          </w:tcPr>
          <w:p>
            <w:pPr>
              <w:pStyle w:val="Normal6a"/>
            </w:pPr>
            <w:r>
              <w:t>R.</w:t>
            </w:r>
            <w:r>
              <w:tab/>
            </w:r>
            <w:r>
              <w:t xml:space="preserve">der henviser til, at der ikke fandt nogen undersøgelsesrejser sted i 2024 for andragender, for hvilke der var en undersøgelse i gang, hvilket skyldtes Parlamentets pause på grund af valget; der henviser til, at udvalget gennemførte den opfølgende vurdering og vedtog to betænkninger om tidligere undersøgelsesrejser, der fandt sted i 2023; der henviser til, at der blev planlagt en række undersøgelsesrejser for den første halvdel af 2025; </w:t>
            </w:r>
            <w:r>
              <w:rPr>
                <w:b/>
                <w:i/>
              </w:rPr>
              <w:t>der henviser til, at PETI-udvalget på sit møde i januar drøftede undersøgelsen "Sproglig og kulturel mangfoldighed – minoritets- og mindretalssprog som en del af den europæiske sproglige og kulturelle mangfoldighed", Europa-Parlamentets Temaafdeling for Borgernes Rettigheder og Konstitutionelle Anliggender </w:t>
            </w:r>
            <w:r>
              <w:rPr>
                <w:b/>
                <w:i/>
              </w:rPr>
              <w:t>havde bestilt </w:t>
            </w:r>
            <w:r>
              <w:rPr>
                <w:b/>
                <w:i/>
              </w:rPr>
              <w:t>efter anmodning fra PETI-udvalget;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Kosma Złotowski,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der henviser til, at der ikke fandt nogen undersøgelsesrejser sted i 2024 for andragender, for hvilke der var en undersøgelse i gang, hvilket skyldtes Parlamentets pause på grund af valget; der henviser til, at udvalget </w:t>
            </w:r>
            <w:r>
              <w:rPr>
                <w:b/>
                <w:i/>
              </w:rPr>
              <w:t>gennemførte</w:t>
            </w:r>
            <w:r>
              <w:t xml:space="preserve"> den opfølgende vurdering og vedtog to betænkninger om tidligere undersøgelsesrejser, der fandt sted i 2023; der henviser til, at der </w:t>
            </w:r>
            <w:r>
              <w:rPr>
                <w:b/>
                <w:i/>
              </w:rPr>
              <w:t>blev</w:t>
            </w:r>
            <w:r>
              <w:t xml:space="preserve"> planlagt </w:t>
            </w:r>
            <w:r>
              <w:rPr>
                <w:b/>
                <w:i/>
              </w:rPr>
              <w:t>en række</w:t>
            </w:r>
            <w:r>
              <w:t xml:space="preserve"> undersøgelsesrejser for den første halvdel af 2025;</w:t>
            </w:r>
          </w:p>
        </w:tc>
        <w:tc>
          <w:tcPr>
            <w:tcW w:w="4876" w:type="dxa"/>
            <w:tcBorders>
              <w:top w:val="nil"/>
              <w:left w:val="nil"/>
              <w:bottom w:val="nil"/>
              <w:right w:val="nil"/>
            </w:tcBorders>
          </w:tcPr>
          <w:p>
            <w:pPr>
              <w:pStyle w:val="Normal6a"/>
            </w:pPr>
            <w:r>
              <w:t>R.</w:t>
            </w:r>
            <w:r>
              <w:tab/>
            </w:r>
            <w:r>
              <w:t xml:space="preserve">der henviser til, at der ikke fandt nogen undersøgelsesrejser sted i 2024 for andragender, for hvilke der var en undersøgelse i gang, hvilket skyldtes Parlamentets pause på grund af valget; der henviser til, at udvalget </w:t>
            </w:r>
            <w:r>
              <w:rPr>
                <w:b/>
                <w:i/>
              </w:rPr>
              <w:t>foretog</w:t>
            </w:r>
            <w:r>
              <w:t xml:space="preserve"> den opfølgende vurdering </w:t>
            </w:r>
            <w:r>
              <w:rPr>
                <w:b/>
                <w:i/>
              </w:rPr>
              <w:t>af</w:t>
            </w:r>
            <w:r>
              <w:t xml:space="preserve"> og vedtog to betænkninger om tidligere undersøgelsesrejser, der fandt sted i 2023; der henviser til, at der </w:t>
            </w:r>
            <w:r>
              <w:rPr>
                <w:b/>
                <w:i/>
              </w:rPr>
              <w:t>var</w:t>
            </w:r>
            <w:r>
              <w:t xml:space="preserve"> planlagt </w:t>
            </w:r>
            <w:r>
              <w:rPr>
                <w:b/>
                <w:i/>
              </w:rPr>
              <w:t>to</w:t>
            </w:r>
            <w:r>
              <w:t xml:space="preserve"> undersøgelsesrejser for den første halvdel af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minder om Udvalget for Andragenders vigtige rolle i at beskytte og fremme rettighederne for EU-borgere og personer med bopæl i EU ved at sikre, at andragernes bekymringer og klager behandles på en rettidig, effektiv og passende måde, og at andragerne oplyses om de foranstaltninger, som træffes, og om de fremskridt, der gøres, med hensyn til deres andragender; minder om, at alle andragender behandles gennem en åben, demokratisk og gennemsigtig procedure for andragender;</w:t>
            </w:r>
          </w:p>
        </w:tc>
        <w:tc>
          <w:tcPr>
            <w:tcW w:w="4876" w:type="dxa"/>
            <w:tcBorders>
              <w:top w:val="nil"/>
              <w:left w:val="nil"/>
              <w:bottom w:val="nil"/>
              <w:right w:val="nil"/>
            </w:tcBorders>
          </w:tcPr>
          <w:p>
            <w:pPr>
              <w:pStyle w:val="Normal6a"/>
            </w:pPr>
            <w:r>
              <w:t>1.</w:t>
            </w:r>
            <w:r>
              <w:tab/>
            </w:r>
            <w:r>
              <w:t xml:space="preserve">minder om Udvalget for Andragenders vigtige rolle i at beskytte og fremme rettighederne for EU-borgere og personer med bopæl i EU ved at sikre, at andragernes bekymringer og klager behandles på en rettidig, effektiv og passende måde, og at andragerne oplyses om de foranstaltninger, som træffes, og om de fremskridt, der gøres, med hensyn til deres andragender; minder om, at alle andragender behandles gennem en åben, demokratisk og gennemsigtig procedure for andragender; </w:t>
            </w:r>
            <w:r>
              <w:rPr>
                <w:b/>
                <w:i/>
              </w:rPr>
              <w:t>anbefaler at foretage en revidering af de interne procedurer for at sikre, at lignende eller gentagne andragender bliver</w:t>
            </w:r>
            <w:r>
              <w:t xml:space="preserve"> </w:t>
            </w:r>
            <w:r>
              <w:rPr>
                <w:b/>
                <w:i/>
              </w:rPr>
              <w:t>behandlet </w:t>
            </w:r>
            <w:r>
              <w:rPr>
                <w:b/>
                <w:i/>
              </w:rPr>
              <w:t>samlet og mere effektivt, samtidig med at den enkelte andragers ret til at blive hørt individuelt garanteres;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minder om </w:t>
            </w:r>
            <w:r>
              <w:rPr>
                <w:b/>
                <w:i/>
              </w:rPr>
              <w:t>Udvalget for Andragenders</w:t>
            </w:r>
            <w:r>
              <w:t xml:space="preserve"> vigtige rolle </w:t>
            </w:r>
            <w:r>
              <w:rPr>
                <w:b/>
                <w:i/>
              </w:rPr>
              <w:t>i</w:t>
            </w:r>
            <w:r>
              <w:t xml:space="preserve"> at beskytte og fremme rettighederne for EU-borgere og personer med bopæl i EU </w:t>
            </w:r>
            <w:r>
              <w:rPr>
                <w:b/>
                <w:i/>
              </w:rPr>
              <w:t>ved at</w:t>
            </w:r>
            <w:r>
              <w:t xml:space="preserve"> sikre, at andragernes bekymringer og klager behandles på en rettidig, effektiv og passende måde, og at andragerne oplyses om de foranstaltninger, som træffes, og om de fremskridt, der gøres, med hensyn til deres andragender; minder om, at alle andragender behandles gennem en åben, demokratisk og gennemsigtig procedure for andragender;</w:t>
            </w:r>
          </w:p>
        </w:tc>
        <w:tc>
          <w:tcPr>
            <w:tcW w:w="4876" w:type="dxa"/>
            <w:tcBorders>
              <w:top w:val="nil"/>
              <w:left w:val="nil"/>
              <w:bottom w:val="nil"/>
              <w:right w:val="nil"/>
            </w:tcBorders>
          </w:tcPr>
          <w:p>
            <w:pPr>
              <w:pStyle w:val="Normal6a"/>
            </w:pPr>
            <w:r>
              <w:t>1.</w:t>
            </w:r>
            <w:r>
              <w:tab/>
            </w:r>
            <w:r>
              <w:t xml:space="preserve">minder om </w:t>
            </w:r>
            <w:r>
              <w:rPr>
                <w:b/>
                <w:i/>
              </w:rPr>
              <w:t>den</w:t>
            </w:r>
            <w:r>
              <w:t xml:space="preserve"> vigtige rolle </w:t>
            </w:r>
            <w:r>
              <w:rPr>
                <w:b/>
                <w:i/>
              </w:rPr>
              <w:t>for Udvalget for Andragender med hensyn til</w:t>
            </w:r>
            <w:r>
              <w:t xml:space="preserve"> at beskytte og fremme rettighederne for EU-borgere og personer med bopæl i EU </w:t>
            </w:r>
            <w:r>
              <w:rPr>
                <w:b/>
                <w:i/>
              </w:rPr>
              <w:t>og understreger, at udvalget skal</w:t>
            </w:r>
            <w:r>
              <w:t xml:space="preserve"> sikre, at andragernes bekymringer og klager behandles på en rettidig, effektiv og passende måde, og at andragerne oplyses </w:t>
            </w:r>
            <w:r>
              <w:rPr>
                <w:b/>
                <w:i/>
              </w:rPr>
              <w:t>behørigt</w:t>
            </w:r>
            <w:r>
              <w:t xml:space="preserve"> om de foranstaltninger, som træffes, og om de fremskridt, der gøres, med hensyn til deres andragender; </w:t>
            </w:r>
            <w:r>
              <w:rPr>
                <w:b/>
                <w:i/>
              </w:rPr>
              <w:t>beklager imidlertid, at dette ikke altid er tilfældet i praksis;</w:t>
            </w:r>
            <w:r>
              <w:t xml:space="preserve"> minder om, at alle andragender </w:t>
            </w:r>
            <w:r>
              <w:rPr>
                <w:b/>
                <w:i/>
              </w:rPr>
              <w:t>skal</w:t>
            </w:r>
            <w:r>
              <w:t xml:space="preserve"> behandles gennem en åben, demokratisk og gennemsigtig procedure for andragender</w:t>
            </w:r>
            <w:r>
              <w:rPr>
                <w:b/>
                <w:i/>
              </w:rPr>
              <w:t>, som udvalget forventes at følge konsekvent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Pál Szekeres, Sebastian Kruis, Jean-Paul Garraud, Virginie Joron,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minder om </w:t>
            </w:r>
            <w:r>
              <w:rPr>
                <w:b/>
                <w:i/>
              </w:rPr>
              <w:t>Udvalget for Andragenders</w:t>
            </w:r>
            <w:r>
              <w:t xml:space="preserve"> vigtige rolle </w:t>
            </w:r>
            <w:r>
              <w:rPr>
                <w:b/>
                <w:i/>
              </w:rPr>
              <w:t>i</w:t>
            </w:r>
            <w:r>
              <w:t xml:space="preserve"> at beskytte og fremme rettighederne for EU-borgere og personer med bopæl i EU ved at sikre, at andragernes bekymringer og klager behandles på en rettidig, effektiv og passende måde, og at andragerne oplyses om de foranstaltninger, som træffes, og om de fremskridt, der gøres, med hensyn til deres andragender; minder om, at alle andragender behandles gennem en åben, demokratisk og gennemsigtig procedure for andragender;</w:t>
            </w:r>
          </w:p>
        </w:tc>
        <w:tc>
          <w:tcPr>
            <w:tcW w:w="4876" w:type="dxa"/>
            <w:tcBorders>
              <w:top w:val="nil"/>
              <w:left w:val="nil"/>
              <w:bottom w:val="nil"/>
              <w:right w:val="nil"/>
            </w:tcBorders>
          </w:tcPr>
          <w:p>
            <w:pPr>
              <w:pStyle w:val="Normal6a"/>
            </w:pPr>
            <w:r>
              <w:t>1.</w:t>
            </w:r>
            <w:r>
              <w:tab/>
            </w:r>
            <w:r>
              <w:t>minder om </w:t>
            </w:r>
            <w:r>
              <w:rPr>
                <w:b/>
                <w:i/>
              </w:rPr>
              <w:t>den</w:t>
            </w:r>
            <w:r>
              <w:t> vigtige rolle </w:t>
            </w:r>
            <w:r>
              <w:rPr>
                <w:b/>
                <w:i/>
              </w:rPr>
              <w:t>for Udvalget for Andragender med hensyn til</w:t>
            </w:r>
            <w:r>
              <w:t> at beskytte og fremme rettighederne for EU-borgere og personer med bopæl i EU ved at sikre, at andragernes bekymringer og klager behandles på en rettidig, effektiv</w:t>
            </w:r>
            <w:r>
              <w:rPr>
                <w:b/>
                <w:i/>
              </w:rPr>
              <w:t>, tilgængelig</w:t>
            </w:r>
            <w:r>
              <w:t xml:space="preserve"> og passende måde, og at andragerne oplyses om de foranstaltninger, som træffes, og om de fremskridt, der gøres, med hensyn til deres andragender; minder om, at alle andragender behandles gennem en åben, demokratisk og gennemsigtig procedure for andragender;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beklager, at Udvalget for Andragender beslutter at afslutte behandlingen af langt de fleste af de indkomne andragender uden opfølgning og ikke længere tillader, at de automatisk fjernes fra listen over B-punkter, når der fremkommer nye oplysninger;</w:t>
            </w:r>
            <w:r>
              <w:t xml:space="preserve"> </w:t>
            </w:r>
            <w:r>
              <w:rPr>
                <w:b/>
                <w:i/>
              </w:rPr>
              <w:t>bemærker, at denne praksis ikke giver andragerne anden mulighed end at ty til administrative eller retslige procedurer for at afhjælpe tilsidesættelser af EU-retten, hvilket undergraver udvalgets formål og effektivitet;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påskønner, at Udvalget for Andragender konsekvent efterlever de demokratiske principper og har givet tilsagn om at værne om rettighederne for alle medlemmer af Europa-Parlamentet, uanset politisk tilhørsforhold;</w:t>
            </w:r>
            <w:r>
              <w:t xml:space="preserve"> </w:t>
            </w:r>
            <w:r>
              <w:rPr>
                <w:b/>
                <w:i/>
              </w:rPr>
              <w:t>understreger, at denne upartiskhed styrker troværdigheden og samarbejdet i forbindelse med proceduren for andragender, hvilket øger borgernes tillid til Unionens institutionelle rammer;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i den forbindelse sin opfordring til bredere oplysningskampagner gennem aktiv inddragelse af de eksisterende EU-kommunikationstjenester i Unionen med henblik på at bidrage til at øge borgernes kendskab til deres ret til at indgive andragender og til omfanget af EU's ansvarsområder og Udvalget for Andragenders kompetencer;</w:t>
            </w:r>
          </w:p>
        </w:tc>
        <w:tc>
          <w:tcPr>
            <w:tcW w:w="4876" w:type="dxa"/>
            <w:tcBorders>
              <w:top w:val="nil"/>
              <w:left w:val="nil"/>
              <w:bottom w:val="nil"/>
              <w:right w:val="nil"/>
            </w:tcBorders>
          </w:tcPr>
          <w:p>
            <w:pPr>
              <w:pStyle w:val="Normal6a"/>
            </w:pPr>
            <w:r>
              <w:t>2.</w:t>
            </w:r>
            <w:r>
              <w:tab/>
            </w:r>
            <w:r>
              <w:t xml:space="preserve">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i den forbindelse sin opfordring til bredere oplysningskampagner gennem aktiv inddragelse af de eksisterende EU-kommunikationstjenester i Unionen med henblik på at bidrage til at øge borgernes kendskab til deres ret til at indgive andragender og til omfanget af EU's ansvarsområder og Udvalget for Andragenders kompetencer; </w:t>
            </w:r>
            <w:r>
              <w:rPr>
                <w:b/>
                <w:i/>
              </w:rPr>
              <w:t>opfordrer til klarere, jargon-fri kommunikation til andragerne og til, at offentligheden gives en bedre forklaring af PETI-udvalgets rolle og begrænsninger, navnlig til sårbare brugere eller førstegangsbrugere;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i den forbindelse sin opfordring til bredere oplysningskampagner gennem aktiv inddragelse af de eksisterende EU-kommunikationstjenester i Unionen med henblik på at bidrage til at øge borgernes kendskab til deres ret til at indgive andragender og til omfanget af EU's ansvarsområder og Udvalget for Andragenders kompetencer;</w:t>
            </w:r>
          </w:p>
        </w:tc>
        <w:tc>
          <w:tcPr>
            <w:tcW w:w="4876" w:type="dxa"/>
            <w:tcBorders>
              <w:top w:val="nil"/>
              <w:left w:val="nil"/>
              <w:bottom w:val="nil"/>
              <w:right w:val="nil"/>
            </w:tcBorders>
          </w:tcPr>
          <w:p>
            <w:pPr>
              <w:pStyle w:val="Normal6a"/>
            </w:pPr>
            <w:r>
              <w:t>2.</w:t>
            </w:r>
            <w:r>
              <w:tab/>
            </w:r>
            <w:r>
              <w:t xml:space="preserve">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i den forbindelse sin opfordring til bredere oplysningskampagner gennem aktiv inddragelse af de eksisterende EU-kommunikationstjenester i Unionen med henblik på at bidrage til at øge borgernes kendskab til deres ret til at indgive andragender og til omfanget af EU's ansvarsområder og Udvalget for Andragenders kompetencer; </w:t>
            </w:r>
            <w:r>
              <w:rPr>
                <w:b/>
                <w:i/>
              </w:rPr>
              <w:t>understreger behovet for oplysningskampagner om retten til at indgive andragender rettet mod navnlig fjerntliggende regioner og øregioner samt marginaliserede samfundsgrupper med henblik på at øge borgerinddragelsen;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i den forbindelse sin opfordring til bredere oplysningskampagner gennem aktiv inddragelse af </w:t>
            </w:r>
            <w:r>
              <w:rPr>
                <w:b/>
                <w:i/>
              </w:rPr>
              <w:t>de eksisterende</w:t>
            </w:r>
            <w:r>
              <w:t xml:space="preserve"> EU-kommunikationstjenester i Unionen med henblik på at bidrage til at øge borgernes kendskab til deres ret til at indgive andragender og til omfanget af EU's ansvarsområder og Udvalget for Andragenders kompetencer;</w:t>
            </w:r>
          </w:p>
        </w:tc>
        <w:tc>
          <w:tcPr>
            <w:tcW w:w="4876" w:type="dxa"/>
            <w:tcBorders>
              <w:top w:val="nil"/>
              <w:left w:val="nil"/>
              <w:bottom w:val="nil"/>
              <w:right w:val="nil"/>
            </w:tcBorders>
          </w:tcPr>
          <w:p>
            <w:pPr>
              <w:pStyle w:val="Normal6a"/>
            </w:pPr>
            <w:r>
              <w:t>2.</w:t>
            </w:r>
            <w:r>
              <w:tab/>
            </w:r>
            <w:r>
              <w:t xml:space="preserve">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i den forbindelse sin opfordring til bredere oplysningskampagner </w:t>
            </w:r>
            <w:r>
              <w:rPr>
                <w:b/>
                <w:i/>
              </w:rPr>
              <w:t>udelukkende</w:t>
            </w:r>
            <w:r>
              <w:t xml:space="preserve"> gennem aktiv inddragelse af EU-kommunikationstjenester i Unionen </w:t>
            </w:r>
            <w:r>
              <w:rPr>
                <w:b/>
                <w:i/>
              </w:rPr>
              <w:t>uden at øge udgifterne</w:t>
            </w:r>
            <w:r>
              <w:t xml:space="preserve"> med henblik på at bidrage til at øge borgernes kendskab til deres ret til at indgive andragender og til omfanget af EU's ansvarsområder og Udvalget for Andragenders kompetencer;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opfordrer indtrængende Udvalget for Andragender til aktivt at fremme en strategi for at øge kendskabet til retten til at indgive andragender med fokus på at give øget medindflydelse til kvinder, underrepræsenterede samfundsgrupper, landbefolkninger og unge ved hjælp af digitale værktøjer, skoler og platforme i nærmiljøet;</w:t>
            </w:r>
            <w:r>
              <w:t xml:space="preserve"> </w:t>
            </w:r>
            <w:r>
              <w:rPr>
                <w:b/>
                <w:i/>
              </w:rPr>
              <w:t>opfordrer til at afholde regelmæssige workshopper i medlemsstaterne i samarbejde med de nationale parlamenter og civilsamfundet;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beklager, at samfundsdebatten om andragender alt for ofte bliver påvirket af nationale partipolitiske interesser, hvilket forhindrer reelle borgerandragender i at blive hørt korrekt i udvalget og undergraver den gennemsigtighed og upartiskhed, som udvalget er forpligtet til at garantere;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beklager, at andragender indgivet af EU-borgere vedrørende påståede krænkelser af den humanitære folkeret og de grundlæggende rettigheder i forbindelse med konflikten i Gaza og Ukraine blev afvist med den begrundelse, at de ikke opfyldt betingelserne for behandling;</w:t>
            </w:r>
            <w:r>
              <w:t xml:space="preserve"> </w:t>
            </w:r>
            <w:r>
              <w:rPr>
                <w:b/>
                <w:i/>
              </w:rPr>
              <w:t>understreger, at retten til at indgive andragender til Europa-Parlamentet udgør et vigtigt demokratisk instrument, hvorigennem borgerne kan ytre betænkeligheder ved EU's optræden udadtil og respekten for folkeretten;</w:t>
            </w:r>
            <w:r>
              <w:t xml:space="preserve"> </w:t>
            </w:r>
            <w:r>
              <w:rPr>
                <w:b/>
                <w:i/>
              </w:rPr>
              <w:t>understreger, at afvisning af sådanne andragender uden nærmere undersøgelse risikerer at undergrave borgernes tillid til Unionens engagement i menneskerettighederne og de værdier, der er nedfældet i artikel 2 i traktaten om Den Europæiske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minder om den europæiske dimension af Udvalget for Andragender, som borgere fra alle 27 medlemsstater kan henvende sig til med spørgsmål, der ligger inden for EU-traktaternes og EU-rettens anvendelsesområde;</w:t>
            </w:r>
            <w:r>
              <w:t xml:space="preserve"> </w:t>
            </w:r>
            <w:r>
              <w:rPr>
                <w:b/>
                <w:i/>
              </w:rPr>
              <w:t>mener, at udvalget har et særligt ansvar for at værne om denne europæiske dimension og vise borgerne merværdien af den europæiske enhed og integration;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minder om den europæiske dimension af Udvalget for Andragender, som borgere fra alle 27 medlemsstater kan henvende sig til med spørgsmål, der ligger inden for EU-traktaternes og EU-rettens anvendelsesområde; mener, at udvalget har et særligt ansvar for at værne om denne europæiske dimension og vise borgerne merværdien af den europæiske enhed og integration;</w:t>
            </w:r>
          </w:p>
        </w:tc>
        <w:tc>
          <w:tcPr>
            <w:tcW w:w="4876" w:type="dxa"/>
            <w:tcBorders>
              <w:top w:val="nil"/>
              <w:left w:val="nil"/>
              <w:bottom w:val="nil"/>
              <w:right w:val="nil"/>
            </w:tcBorders>
          </w:tcPr>
          <w:p>
            <w:pPr>
              <w:pStyle w:val="Normal6a"/>
            </w:pPr>
            <w:r>
              <w:t>3.</w:t>
            </w:r>
            <w:r>
              <w:tab/>
            </w:r>
            <w:r>
              <w:t>minder om den europæiske dimension af Udvalget for Andragender, som borgere fra alle 27 medlemsstater kan henvende sig til med spørgsmål, der ligger inden for EU-traktaternes og EU-rettens anvendelsesområde; mener, at udvalget</w:t>
            </w:r>
            <w:r>
              <w:rPr>
                <w:b/>
                <w:i/>
              </w:rPr>
              <w:t>, uden at tilsidesætte national suverænitet og særlige nationale forhold,</w:t>
            </w:r>
            <w:r>
              <w:t> har et særligt ansvar for at værne om denne europæiske dimension og vise borgerne merværdien af den europæiske enhed og integration;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understreger, at Udvalget for Andragender er forpligtet til at efterleve principperne om lighed og ikkeforskelsbehandling;</w:t>
            </w:r>
            <w:r>
              <w:t xml:space="preserve"> </w:t>
            </w:r>
            <w:r>
              <w:rPr>
                <w:b/>
                <w:i/>
              </w:rPr>
              <w:t>beklager det forsvindende lille antal andragender indgivet til udvalget, som vedrører forskelsbehandling på grund af køn, race, hudfarve, etnisk eller social oprindelse, genetiske anlæg, religion eller tro, politiske eller andre anskuelser, tilhørsforhold til et nationalt mindretal, fødsel, alder eller seksuel orientering;</w:t>
            </w:r>
            <w:r>
              <w:t xml:space="preserve"> </w:t>
            </w:r>
            <w:r>
              <w:rPr>
                <w:b/>
                <w:i/>
              </w:rPr>
              <w:t>understreger endvidere, at ca. 50 millioner kvinder i alderen 18-74 år i EU har været udsat for fysisk vold (herunder trusler om vold) eller seksuel vold i voksenlivet;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påpeger, at andragender udgør en unik mulighed for Parlamentet og de øvrige EU-institutioner til at kommunikere direkte med EU-borgerne og føre en løbende dialog med dem, især i tilfælde hvor de er påvirket af en forkert anvendelse eller en tilsidesættelse af EU-retten; understreger behovet for øget samarbejde mellem EU-institutionerne og de nationale, regionale og lokale myndigheder om undersøgelser vedrørende gennemførelsen og overholdelsen af EU-retten; mener, at et sådant samarbejde er afgørende for at behandle og afhjælpe borgernes bekymringer over anvendelsen af EU-retten og bidrager til at styrke EU's demokratiske legitimitet og ansvarlighed; opfordrer </w:t>
            </w:r>
            <w:r>
              <w:rPr>
                <w:b/>
                <w:i/>
              </w:rPr>
              <w:t>derfor til, at</w:t>
            </w:r>
            <w:r>
              <w:t xml:space="preserve"> medlemsstaternes repræsentanter </w:t>
            </w:r>
            <w:r>
              <w:rPr>
                <w:b/>
                <w:i/>
              </w:rPr>
              <w:t>deltager</w:t>
            </w:r>
            <w:r>
              <w:t xml:space="preserve"> i udvalgsmøder, </w:t>
            </w:r>
            <w:r>
              <w:rPr>
                <w:b/>
                <w:i/>
              </w:rPr>
              <w:t>og slår til lyd for rettidige og detaljerede svar på anmodninger om præcisering eller oplysninger</w:t>
            </w:r>
            <w:r>
              <w:t xml:space="preserve">, </w:t>
            </w:r>
            <w:r>
              <w:rPr>
                <w:b/>
                <w:i/>
              </w:rPr>
              <w:t>som Udvalget for Andragender sender til de nationale myndigheder</w:t>
            </w:r>
            <w:r>
              <w:t>;</w:t>
            </w:r>
          </w:p>
        </w:tc>
        <w:tc>
          <w:tcPr>
            <w:tcW w:w="4876" w:type="dxa"/>
            <w:tcBorders>
              <w:top w:val="nil"/>
              <w:left w:val="nil"/>
              <w:bottom w:val="nil"/>
              <w:right w:val="nil"/>
            </w:tcBorders>
          </w:tcPr>
          <w:p>
            <w:pPr>
              <w:pStyle w:val="Normal6a"/>
            </w:pPr>
            <w:r>
              <w:t>4.</w:t>
            </w:r>
            <w:r>
              <w:tab/>
            </w:r>
            <w:r>
              <w:t xml:space="preserve">påpeger, at andragender udgør en unik mulighed for Parlamentet og de øvrige EU-institutioner til at kommunikere direkte med EU-borgerne og føre en løbende dialog med dem, især i tilfælde hvor de er påvirket af en forkert anvendelse eller en tilsidesættelse af EU-retten; understreger behovet for øget samarbejde mellem EU-institutionerne og de nationale, regionale og lokale myndigheder om undersøgelser vedrørende gennemførelsen og overholdelsen af EU-retten; mener, at et sådant samarbejde er afgørende for at behandle og afhjælpe borgernes bekymringer over anvendelsen af EU-retten og bidrager til at styrke EU's demokratiske legitimitet og ansvarlighed; opfordrer </w:t>
            </w:r>
            <w:r>
              <w:rPr>
                <w:b/>
                <w:i/>
              </w:rPr>
              <w:t>til obligatorisk og regelmæssig deltagelse af</w:t>
            </w:r>
            <w:r>
              <w:t xml:space="preserve"> medlemsstaternes repræsentanter i udvalgsmøder, </w:t>
            </w:r>
            <w:r>
              <w:rPr>
                <w:b/>
                <w:i/>
              </w:rPr>
              <w:t>der involverer deres jurisdiktion, med sanktioner for gentagne fravær</w:t>
            </w:r>
            <w:r>
              <w:t xml:space="preserve">, </w:t>
            </w:r>
            <w:r>
              <w:rPr>
                <w:b/>
                <w:i/>
              </w:rPr>
              <w:t>for at sikre en korrekt opfølgning på andragernes bekymringer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påpeger, at andragender udgør en unik mulighed for Parlamentet og de øvrige EU-institutioner til at kommunikere direkte med EU-borgerne og føre en løbende dialog med dem, især i tilfælde hvor de er påvirket af en forkert anvendelse eller en tilsidesættelse af EU-retten; understreger behovet for øget samarbejde mellem EU-institutionerne og de nationale, regionale og lokale myndigheder om undersøgelser vedrørende gennemførelsen og overholdelsen af EU-retten; mener, at et sådant samarbejde er afgørende for at behandle og afhjælpe borgernes bekymringer over anvendelsen af EU-retten og bidrager til at styrke EU's demokratiske legitimitet og ansvarlighed; opfordrer derfor til</w:t>
            </w:r>
            <w:r>
              <w:rPr>
                <w:b/>
                <w:i/>
              </w:rPr>
              <w:t>, at</w:t>
            </w:r>
            <w:r>
              <w:t xml:space="preserve"> medlemsstaternes repræsentanter </w:t>
            </w:r>
            <w:r>
              <w:rPr>
                <w:b/>
                <w:i/>
              </w:rPr>
              <w:t>deltager</w:t>
            </w:r>
            <w:r>
              <w:t xml:space="preserve"> i udvalgsmøder</w:t>
            </w:r>
            <w:r>
              <w:rPr>
                <w:b/>
                <w:i/>
              </w:rPr>
              <w:t>, og slår til lyd for</w:t>
            </w:r>
            <w:r>
              <w:t xml:space="preserve"> rettidige og detaljerede svar på anmodninger om præcisering eller oplysninger, som Udvalget for Andragender sender til de nationale myndigheder;</w:t>
            </w:r>
          </w:p>
        </w:tc>
        <w:tc>
          <w:tcPr>
            <w:tcW w:w="4876" w:type="dxa"/>
            <w:tcBorders>
              <w:top w:val="nil"/>
              <w:left w:val="nil"/>
              <w:bottom w:val="nil"/>
              <w:right w:val="nil"/>
            </w:tcBorders>
          </w:tcPr>
          <w:p>
            <w:pPr>
              <w:pStyle w:val="Normal6a"/>
            </w:pPr>
            <w:r>
              <w:t>4.</w:t>
            </w:r>
            <w:r>
              <w:tab/>
            </w:r>
            <w:r>
              <w:t xml:space="preserve">påpeger, at andragender udgør en unik mulighed for Parlamentet og de øvrige EU-institutioner til at kommunikere direkte med EU-borgerne og føre en løbende dialog med dem, især i tilfælde hvor de er påvirket af en forkert anvendelse eller en tilsidesættelse af EU-retten; understreger behovet for øget samarbejde mellem EU-institutionerne og de nationale, regionale og lokale myndigheder om undersøgelser vedrørende gennemførelsen og overholdelsen af EU-retten; mener, at et sådant samarbejde er afgørende for at behandle og afhjælpe borgernes bekymringer over anvendelsen af EU-retten og bidrager til at styrke EU's demokratiske legitimitet og ansvarlighed; opfordrer derfor til </w:t>
            </w:r>
            <w:r>
              <w:rPr>
                <w:b/>
                <w:i/>
              </w:rPr>
              <w:t>frivillig, ikkeobligatorisk deltagelse af</w:t>
            </w:r>
            <w:r>
              <w:t xml:space="preserve"> medlemsstaternes repræsentanter i udvalgsmøder </w:t>
            </w:r>
            <w:r>
              <w:rPr>
                <w:b/>
                <w:i/>
              </w:rPr>
              <w:t>og til</w:t>
            </w:r>
            <w:r>
              <w:t xml:space="preserve"> rettidige og detaljerede svar på anmodninger om præcisering eller oplysninger, som Udvalget for Andragender sender til de nationale myndigheder;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påpeger, at andragerne har ret til</w:t>
            </w:r>
            <w:r>
              <w:rPr>
                <w:b/>
                <w:i/>
              </w:rPr>
              <w:t> på en gennemsigtig måde</w:t>
            </w:r>
            <w:r>
              <w:rPr>
                <w:b/>
                <w:i/>
              </w:rPr>
              <w:t> at blive informeret om de gældende regler og betingelser for godtgørelse af deres udgifter i forbindelse med personligt fremmøde ved PETI-møder;</w:t>
            </w:r>
            <w:r>
              <w:t xml:space="preserve"> </w:t>
            </w:r>
            <w:r>
              <w:rPr>
                <w:b/>
                <w:i/>
              </w:rPr>
              <w:t>minder om, at andragernes deltagelse i PETI-udvalgets møder er reguleret ved artikel 9 i Præsidiets afgørelse af 24. juni 2024 om fastsættelse af regler for offentlige høringer, hvori det er fastsat, at det eneste krav til andragerne er, at deres oprindelsessted ligger inden for Unionen;</w:t>
            </w:r>
            <w:r>
              <w:t xml:space="preserve"> </w:t>
            </w:r>
            <w:r>
              <w:rPr>
                <w:b/>
                <w:i/>
              </w:rPr>
              <w:t>henleder opmærksomheden på, at adskillige andragere er blevet pålagt at opgive oplysninger om deres økonomiske forhold som betingelse for at kunne forelægge deres andragende for udvalget og få godtgjort deres udgifter;</w:t>
            </w:r>
            <w:r>
              <w:t xml:space="preserve"> </w:t>
            </w:r>
            <w:r>
              <w:rPr>
                <w:b/>
                <w:i/>
              </w:rPr>
              <w:t>gentager, at det er vigtigt at leve op til andragerens forventninger, hvad angår ligebehandling og beskyttelse af deres ret til at forelægge deres andragende for udvalget og få godtgjort udgifterne, jf. artikel 9 ovenfor, uanset deres økonomiske forhold og under overholdelse af gældende regler, herunder at følsomme personoplysninger ikke må videregives uden retshjemmel;</w:t>
            </w:r>
            <w:r>
              <w:t xml:space="preserve"> </w:t>
            </w:r>
            <w:r>
              <w:rPr>
                <w:b/>
                <w:i/>
              </w:rPr>
              <w:t>understreger, at hensigten med at yde en sådan bistand er at fjerne eksisterende hindringer, sikre gennemsigtighed, øge retfærdigheden og garantere udøvelsen af retten til at indgive andragender;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understreger, at der er behov for et struktureret samarbejde mellem Udvalget for Andragender og medlemsstaternes nationale parlamenter, navnlig med deres parlamentariske organer med ansvar for borgernes andragender, for bedre at kunne reagere på borgernes betænkeligheder og sikre en koordineret opfølgning på spørgsmål, der rejses i andragender, som henhører under delt kompetence;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erindrer om, at Udvalget for Andragender modtog et enormt antal andragender vedrørende angreb på retsstatsprincippet i Spanien i begyndelsen af 2024;</w:t>
            </w:r>
            <w:r>
              <w:t xml:space="preserve"> </w:t>
            </w:r>
            <w:r>
              <w:rPr>
                <w:b/>
                <w:i/>
              </w:rPr>
              <w:t>anerkender, at spanske medborgere i Udvalget for Andragender øjnede en mulighed for at standse den socialistiske regerings stormløb mod landets gældende lov og standse krænkelserne af deres rettigheder;</w:t>
            </w:r>
            <w:r>
              <w:t xml:space="preserve"> </w:t>
            </w:r>
            <w:r>
              <w:rPr>
                <w:b/>
                <w:i/>
              </w:rPr>
              <w:t>beklager manglen på en klar og direkte indsats fra Kommissionens side som reaktion på det folkelige ramaskrig imod den spanske regerings ulovligheder;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glæder sig over, at der</w:t>
            </w:r>
            <w:r>
              <w:rPr>
                <w:b/>
                <w:i/>
              </w:rPr>
              <w:t> i januar 2024</w:t>
            </w:r>
            <w:r>
              <w:t xml:space="preserve"> </w:t>
            </w:r>
            <w:r>
              <w:rPr>
                <w:b/>
                <w:i/>
              </w:rPr>
              <w:t>blev afholdt en samlet drøftelse af op til otte andragender vedrørende forværringen af retsstatsprincippet i Spanien som følge af Pedro Sánchez' regerings planer om at godkende en ulovlig amnesti i strid med både spansk ret og EU-retten</w:t>
            </w:r>
            <w:r>
              <w:rPr>
                <w:b/>
                <w:i/>
              </w:rPr>
              <w:t> til gengæld for de separatistiske mindretals stemmer,</w:t>
            </w:r>
            <w:r>
              <w:rPr>
                <w:b/>
                <w:i/>
              </w:rPr>
              <w:t> udelukkende for at kunne beholde posten som premierminister;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beklager, at Europa-Kommissionen ikke vil tage den risiko til efterretning, som de fremmødte andrager klagede over under den samlede drøftelse, der blev afholdt i januar 2024, vedrørende Pedro Sánchez' socialistpartis angreb på retsstatsprincippet i Spanien, og ikke vil agere herefter for at forhindre krænkelser af spanske borgeres rettigheder;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henleder opmærksomheden på det forhold, at der mangler et klart og tilgængeligt retsmiddel for EU-borgere, der ønsker at anfægte EU-institutionernes beslutninger, som berører dem direkte;</w:t>
            </w:r>
            <w:r>
              <w:t xml:space="preserve"> </w:t>
            </w:r>
            <w:r>
              <w:rPr>
                <w:b/>
                <w:i/>
              </w:rPr>
              <w:t>opfordrer til, at der indføres en mere effektiv og borgervenlig klage- og appelmekanisme;</w:t>
            </w:r>
            <w:r>
              <w:t xml:space="preserve"> </w:t>
            </w:r>
            <w:r>
              <w:rPr>
                <w:b/>
                <w:i/>
              </w:rPr>
              <w:t>indskærper, at de demokratiske værdier og retsstatsprincippet skal anvendes ens på samtlige medlemsstater og politiske aktører, uanset ideologisk ståsted;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berømmer PETI-udvalget for at behandle andragende nr. 1168/2023, indgivet af Mihai Igna på vegne af foreningen "Sammen bringer vi velstand", hvori der rejses krav om tilbagelevering af rumænske nationalskatte og historiske arkiver, som i øjeblikket er i Ruslands besiddelse;</w:t>
            </w:r>
            <w:r>
              <w:t xml:space="preserve"> </w:t>
            </w:r>
            <w:r>
              <w:rPr>
                <w:b/>
                <w:i/>
              </w:rPr>
              <w:t>understreger den dybtgående historiske betydning af denne debat for alle medlemsstater, der historisk set er blevet påvirket af Ruslands plyndringer, navnlig i forbindelse med den igangværende krig i Ukraine, da den fremhæver de bredere udfordringer i forbindelse med kulturbevarelse og beskyttelse af den nationale kulturarv i tider med geopolitiske konflikter; fremhæver, at PETI-udvalgets beskæftigelse med dette spørgsmål viser dets engagement i at værne om EU-borgernes og medlemsstaternes rettigheder og i at beskytte Rumæniens historiske arv og støtte dets retmæssige fordringer på den internationale scene;</w:t>
            </w:r>
            <w:r>
              <w:t xml:space="preserve"> </w:t>
            </w:r>
            <w:r>
              <w:rPr>
                <w:b/>
                <w:i/>
              </w:rPr>
              <w:t>minder om den efterfølgende plenarbeslutning om tilbagelevering af rumænske nationalskatte, som Rusland uretmæssigt har tilegnet sig</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EUT C C/2024/6559 af 12.11.2024, ELI:</w:t>
            </w:r>
            <w:r>
              <w:t xml:space="preserve"> </w:t>
            </w:r>
            <w:r>
              <w:rPr>
                <w:b/>
                <w:i/>
              </w:rPr>
              <w:t>http://data.europa.eu/eli/C/2024/6559/oj.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opfordrer Kommissionen til snarest muligt at revidere sin strategiske tilgang til håndhævelse af EU-retten og dermed sætte Parlamentet i stand til fuldt ud at udnytte potentialet i retten til at indgive andragender, der er nedfældet i EU-traktaterne og i EU's charter om grundlæggende rettigheder;</w:t>
            </w:r>
            <w:r>
              <w:t xml:space="preserve"> </w:t>
            </w:r>
            <w:r>
              <w:rPr>
                <w:b/>
                <w:i/>
              </w:rPr>
              <w:t>mener, at Kommissionen skal sikre gennemsigtighed og adgang til dokumenter, der udveksles mellem dens tjenestegrene og medlemsstaternes myndigheder i forbindelse med traktatbrudsprocedurer og EU Pilot-procedurer, og at den drastisk skal reducere den tid, det tager at udsætte traktatbrudssager ved EU-Domstolen;</w:t>
            </w:r>
            <w:r>
              <w:t xml:space="preserve"> </w:t>
            </w:r>
            <w:r>
              <w:rPr>
                <w:b/>
                <w:i/>
              </w:rPr>
              <w:t>gentager sin opfordring til Kommissionen om at skabe juridisk klarhed om de kriterier, der ligger til grund for dens strategiske tilgang til håndhævelse af EU-retten, og som anvendes til at træffe formelle foranstaltninger over for medlemsstaterne i tilfælde af overtrædelser af EU-retten;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minder om, hvor vigtigt det er at sikre de højeste standarder for gennemsigtighed i Kommissionens handlinger, navnlig i lyset af Den Europæiske Ombudsmands nyligt fremsatte betænkeligheder ved den manglende adgang til kommunikation mellem Kommissionens formand og eksterne aktører, herunder sms-beskeder med medicinalvirksomheder;</w:t>
            </w:r>
            <w:r>
              <w:t xml:space="preserve"> </w:t>
            </w:r>
            <w:r>
              <w:rPr>
                <w:b/>
                <w:i/>
              </w:rPr>
              <w:t>opfordrer Kommissionen til at forbedre adgangen til institutionernes korrespondance og til at styrke det demokratiske tilsyn i sådanne tilfælde;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efterlyser en uafhængig, periodisk evaluering af kvaliteten og klarheden i Kommissionens besvarelser af andragender, navnlig med fokus på læsbarhed, relevans og følsomhed over for andragernes kontekst, for at sikre, at borgerne får en hensigtsmæssig og respektfuld interaktion;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mener, at </w:t>
            </w:r>
            <w:r>
              <w:rPr>
                <w:b/>
                <w:i/>
              </w:rPr>
              <w:t>der</w:t>
            </w:r>
            <w:r>
              <w:t xml:space="preserve"> for at fjerne blokeringen af de andragender, der kræver hurtige svar og reaktioner fra de nationale myndigheders side, </w:t>
            </w:r>
            <w:r>
              <w:rPr>
                <w:b/>
                <w:i/>
              </w:rPr>
              <w:t>er behov for</w:t>
            </w:r>
            <w:r>
              <w:t xml:space="preserve"> et mere aktivt samarbejde mellem medlemsstaterne og Udvalget for Andragender;</w:t>
            </w:r>
          </w:p>
        </w:tc>
        <w:tc>
          <w:tcPr>
            <w:tcW w:w="4876" w:type="dxa"/>
            <w:tcBorders>
              <w:top w:val="nil"/>
              <w:left w:val="nil"/>
              <w:bottom w:val="nil"/>
              <w:right w:val="nil"/>
            </w:tcBorders>
          </w:tcPr>
          <w:p>
            <w:pPr>
              <w:pStyle w:val="Normal6a"/>
            </w:pPr>
            <w:r>
              <w:t>7.</w:t>
            </w:r>
            <w:r>
              <w:tab/>
            </w:r>
            <w:r>
              <w:t xml:space="preserve">mener, at </w:t>
            </w:r>
            <w:r>
              <w:rPr>
                <w:b/>
                <w:i/>
              </w:rPr>
              <w:t>det</w:t>
            </w:r>
            <w:r>
              <w:t xml:space="preserve"> for at fjerne blokeringen af de andragender, der kræver hurtige svar og reaktioner fra de nationale myndigheders side, </w:t>
            </w:r>
            <w:r>
              <w:rPr>
                <w:b/>
                <w:i/>
              </w:rPr>
              <w:t>kan være nyttigt med</w:t>
            </w:r>
            <w:r>
              <w:t xml:space="preserve"> et mere aktivt samarbejde mellem medlemsstaterne og Udvalget for Andragender;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beklager, at medlemsstaterne og de nationale myndigheder i mange tilfælde undlader at besvare skrivelser fra Udvalget for Andragender med anmodning om præciseringer eller oplysninger vedrørende et givet andragende;</w:t>
            </w:r>
            <w:r>
              <w:t xml:space="preserve"> </w:t>
            </w:r>
            <w:r>
              <w:rPr>
                <w:b/>
                <w:i/>
              </w:rPr>
              <w:t>opfordrer Udvalget for Andragender til regelmæssigt, eksempelvis én gang om året, at offentliggøre antallet af skrivelser, som medlemsstaterne ikke har besvaret, samt emnerne for de pågældende andragender;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beklager manglen på fremskridt med hensyn til migrationskontrol ved Unionens ydre grænser, hvilket bevirker, at borgere, der bor i disse områder, lider direkte under konsekvenserne af massiv og ukontrolleret ulovlig indvandring, hvilket indbyggerne på De Kanariske Øer klagede over til Udvalget for Andragender i april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fremhæver behovet for at modernisere PETI's digitale værktøjer, bl.a. ved at indføre en brugervenlig og flersproget portal for andragender, hvor andragerne kan følge status for deres sag i realtid og læse relevante opdateringer;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opfordrer sekretariatet og de relevante tjenestegrene til at undersøge mulighederne for forsvarlig brug af kunstig intelligens til at forbedre kategoriseringen, oversættelsen og prioriteringen af andragender, samtidig med at det sikres, at</w:t>
            </w:r>
            <w:r>
              <w:t xml:space="preserve"> </w:t>
            </w:r>
            <w:r>
              <w:rPr>
                <w:b/>
                <w:i/>
              </w:rPr>
              <w:t>standarderne</w:t>
            </w:r>
            <w:r>
              <w:rPr>
                <w:b/>
                <w:i/>
              </w:rPr>
              <w:t> for databeskyttelse og gennemsigtighed efterleves fuldt 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minder om Kommissionens tilsagn om at oprette et interinstitutionelt IT-værktøj mellem Kommissionen og Parlamentet, der sigter mod deling af oplysninger og dokumenter vedrørende alle opfølgende tiltag, der træffes i relation til andragender, såsom traktatbrudsprocedurer, lovgivningsforslag og svar fra nationale myndigheder, og herigennem at øge gennemsigtigheden og effektiviteten i behandlingen af andragender, hvilket mere overordnet vil bidrage til at øge borgernes tillid til EU-institutionerne og det europæiske projekt;</w:t>
            </w:r>
          </w:p>
        </w:tc>
        <w:tc>
          <w:tcPr>
            <w:tcW w:w="4876" w:type="dxa"/>
            <w:tcBorders>
              <w:top w:val="nil"/>
              <w:left w:val="nil"/>
              <w:bottom w:val="nil"/>
              <w:right w:val="nil"/>
            </w:tcBorders>
          </w:tcPr>
          <w:p>
            <w:pPr>
              <w:pStyle w:val="Normal6a"/>
            </w:pPr>
            <w:r>
              <w:t>9.</w:t>
            </w:r>
            <w:r>
              <w:tab/>
            </w:r>
            <w:r>
              <w:t>minder om Kommissionens tilsagn om at oprette et interinstitutionelt IT-værktøj mellem Kommissionen og Parlamentet, der sigter mod deling af oplysninger og dokumenter vedrørende alle opfølgende tiltag, der træffes i relation til andragender, såsom traktatbrudsprocedurer, lovgivningsforslag og svar fra nationale myndigheder, og herigennem at øge gennemsigtigheden og effektiviteten i behandlingen af andragender, hvilket mere overordnet vil bidrage til at øge borgernes tillid til EU-institutionerne og det europæiske projekt</w:t>
            </w:r>
            <w:r>
              <w:rPr>
                <w:b/>
                <w:i/>
              </w:rPr>
              <w:t>, især i tider, hvor nogle af dem, der hævder at være fortalere for dette, kræver stadigt mere censur og endog ugyldiggørelse af afholdte valg, når resultatet ikke behager dem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minder om Kommissionens tilsagn om at oprette et interinstitutionelt IT-værktøj mellem Kommissionen og Parlamentet, der sigter mod deling af oplysninger og dokumenter vedrørende alle opfølgende tiltag, der træffes i relation til andragender, såsom traktatbrudsprocedurer, lovgivningsforslag og svar fra nationale myndigheder, og herigennem at øge gennemsigtigheden og effektiviteten i behandlingen af andragender, hvilket </w:t>
            </w:r>
            <w:r>
              <w:rPr>
                <w:b/>
                <w:i/>
              </w:rPr>
              <w:t>mere overordnet vil bidrage til at</w:t>
            </w:r>
            <w:r>
              <w:t xml:space="preserve"> øge borgernes tillid til EU-institutionerne og det europæiske projekt;</w:t>
            </w:r>
          </w:p>
        </w:tc>
        <w:tc>
          <w:tcPr>
            <w:tcW w:w="4876" w:type="dxa"/>
            <w:tcBorders>
              <w:top w:val="nil"/>
              <w:left w:val="nil"/>
              <w:bottom w:val="nil"/>
              <w:right w:val="nil"/>
            </w:tcBorders>
          </w:tcPr>
          <w:p>
            <w:pPr>
              <w:pStyle w:val="Normal6a"/>
            </w:pPr>
            <w:r>
              <w:t>9.</w:t>
            </w:r>
            <w:r>
              <w:tab/>
            </w:r>
            <w:r>
              <w:t xml:space="preserve">minder om Kommissionens tilsagn om at oprette et interinstitutionelt IT-værktøj mellem Kommissionen og Parlamentet, der sigter mod deling af oplysninger og dokumenter vedrørende alle opfølgende tiltag, der træffes i relation til andragender, såsom traktatbrudsprocedurer, lovgivningsforslag og svar fra nationale myndigheder, og herigennem at øge gennemsigtigheden og effektiviteten i behandlingen af andragender, </w:t>
            </w:r>
            <w:r>
              <w:rPr>
                <w:b/>
                <w:i/>
              </w:rPr>
              <w:t>og opfordrer til hurtigt at implementere det og gøre det tilgængeligt for offentligheden, herunder opdateringer i realtid og flersprogede funktioner,</w:t>
            </w:r>
            <w:r>
              <w:t xml:space="preserve"> hvilket </w:t>
            </w:r>
            <w:r>
              <w:rPr>
                <w:b/>
                <w:i/>
              </w:rPr>
              <w:t>vil skabe øget gennemsigtighed og effektivitet og</w:t>
            </w:r>
            <w:r>
              <w:t xml:space="preserve"> øge borgernes tillid til EU-institutionerne og det europæiske projekt;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Nils Ušakovs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minder om, at Udvalget for Andragender indgår i forskellige interne parlamentariske netværk, f.eks. om budgetter eller kønsmainstreaming, og mener, at udvalgets unikke borgernære status i kraft af proceduren for andragender som et redskab til udøvelse af nærdemokrati udgør en vigtig merværdi for Parlamentets beslutnings- og lovgivningsprocedurer;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noterer sig, at miljøet fortsat var det område, der bekymrede flest andragere i 2024, hvor over 20 % af andragenderne rejste miljøspørgsmål;</w:t>
            </w:r>
            <w:r>
              <w:t xml:space="preserve"> </w:t>
            </w:r>
            <w:r>
              <w:rPr>
                <w:b/>
                <w:i/>
              </w:rPr>
              <w:t>understreger vigtigheden af at opfylde EU-borgernes forventninger til miljøbeskyttelse og opfordrer derfor indtrængende Kommissionen til sammen med medlemsstaterne at sikre en korrekt gennemførelse af EU-lovgivningen på miljøområdet;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Pál Szekeres, Sebastian Kruis, Jean-Paul Garraud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noterer sig, at miljøet fortsat var det område, der </w:t>
            </w:r>
            <w:r>
              <w:rPr>
                <w:b/>
                <w:i/>
              </w:rPr>
              <w:t>bekymrede</w:t>
            </w:r>
            <w:r>
              <w:t xml:space="preserve"> flest andragere i 2024, hvor over 20 % af andragenderne rejste miljøspørgsmål; understreger vigtigheden af at opfylde EU-borgernes forventninger til miljøbeskyttelse og opfordrer derfor indtrængende Kommissionen til sammen med medlemsstaterne at sikre en korrekt gennemførelse af EU-lovgivningen på miljøområdet;</w:t>
            </w:r>
          </w:p>
        </w:tc>
        <w:tc>
          <w:tcPr>
            <w:tcW w:w="4876" w:type="dxa"/>
            <w:tcBorders>
              <w:top w:val="nil"/>
              <w:left w:val="nil"/>
              <w:bottom w:val="nil"/>
              <w:right w:val="nil"/>
            </w:tcBorders>
          </w:tcPr>
          <w:p>
            <w:pPr>
              <w:pStyle w:val="Normal6a"/>
            </w:pPr>
            <w:r>
              <w:t>12.</w:t>
            </w:r>
            <w:r>
              <w:tab/>
            </w:r>
            <w:r>
              <w:t xml:space="preserve">noterer sig, at miljøet fortsat var det område, der </w:t>
            </w:r>
            <w:r>
              <w:rPr>
                <w:b/>
                <w:i/>
              </w:rPr>
              <w:t>optog</w:t>
            </w:r>
            <w:r>
              <w:t xml:space="preserve"> flest andragere i 2024, hvor over 20 % af andragenderne rejste miljøspørgsmål; understreger vigtigheden af at opfylde EU-borgernes forventninger til miljøbeskyttelse og opfordrer derfor indtrængende Kommissionen til sammen med medlemsstaterne at sikre en korrekt gennemførelse af EU-lovgivningen på miljøområdet; </w:t>
            </w:r>
            <w:r>
              <w:rPr>
                <w:b/>
                <w:i/>
              </w:rPr>
              <w:t>beklager imidlertid, at andragende nr. 1464/2024 og 1466/2024 trods den store relevans af bekymringerne i forbindelse med krigen i Ukraine ikke blev sat på PETI-udvalgets dagsorden;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beklager dybt, at Kommissionen har citeret en rapport fra ekspertgruppen Large Carnivore Initiative for Europe (LCIE) for at retfærdiggøre nedgraderingen af ulvens beskyttelsesstatus i EU, til trods for at den tidligere havde anvendt selv samme rapport som begrundelse for at modsætte sig et lignende forslag, og selv om der ikke var konstateret nogen væsentlig ændring i ulvebestandenes størrelse;</w:t>
            </w:r>
            <w:r>
              <w:t xml:space="preserve"> </w:t>
            </w:r>
            <w:r>
              <w:rPr>
                <w:b/>
                <w:i/>
              </w:rPr>
              <w:t>er dybt bekymret over, at nedgraderede beskyttelsesstatus for ulve i EU vil undergrave ulvebestandenes bevaringsstatus i strid med de eksisterende bevaringsmål, som påpeget af andragerne;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minder om, at Udvalget for Andragender på sit møde i november 2024 opfordrede Kommissionen til at gribe ind for at forhindre ødelæggelse af flora, fauna og økosystemet i naturparken Cabañeros, som er et fredet område i henhold til habitatdirektivet;</w:t>
            </w:r>
            <w:r>
              <w:t xml:space="preserve"> </w:t>
            </w:r>
            <w:r>
              <w:rPr>
                <w:b/>
                <w:i/>
              </w:rPr>
              <w:t>opfordrer Kommissionen til at foretage en vurdering af forholdene i naturparken ved selvsyn og at sikre, at de kompetente nationale myndigheder giver ejerne mulighed for at kontrollere de hovdyrbestande, der ødelægger naturparkens økosystem, men uden at krænke deres rettigheder;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Nils Ušakovs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fremhæver den vellykkede offentlige høring om de fossile brændstofvirksomheders ansvar i forbindelse med leveomkostningskrisen på baggrund af de talrige andragender om dette emne;</w:t>
            </w:r>
            <w:r>
              <w:t xml:space="preserve"> </w:t>
            </w:r>
            <w:r>
              <w:rPr>
                <w:b/>
                <w:i/>
              </w:rPr>
              <w:t>understreger, at disse virksomheders utilbørlige indflydelse på EU's beslutnings- og lovgivningsproces kan give anledning til bekymring, og anmoder Kommissionen om fuld gennemsigtighed, når den beskæftiger sig med forskellige interesserepræsentanter, for at undgå eventuelle risici for interessekonflikter og for at bevare den højeste grad af institutionel integritet og offentlighedens tillid;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bemærker det stigende antal andragender om beskyttelse af børns rettigheder, herunder deres</w:t>
            </w:r>
            <w:r>
              <w:t xml:space="preserve"> </w:t>
            </w:r>
            <w:r>
              <w:rPr>
                <w:b/>
                <w:i/>
              </w:rPr>
              <w:t>sikkerhed</w:t>
            </w:r>
            <w:r>
              <w:t xml:space="preserve"> </w:t>
            </w:r>
            <w:r>
              <w:rPr>
                <w:b/>
                <w:i/>
              </w:rPr>
              <w:t>online, muligheder for skolegang, beskyttelse mod misbrug og privatlivets fred i digitale miljøer;</w:t>
            </w:r>
            <w:r>
              <w:t xml:space="preserve"> </w:t>
            </w:r>
            <w:r>
              <w:rPr>
                <w:b/>
                <w:i/>
              </w:rPr>
              <w:t>opfordrer til øget samarbejde mellem EU-institutionerne, medlemsstaterne og civilsamfundet for hurtigst muligt at afhjælpe de brister i beskyttelsen af børn, som andragenderne har bragt for dagen;</w:t>
            </w:r>
            <w:r>
              <w:t xml:space="preserve"> </w:t>
            </w:r>
            <w:r>
              <w:rPr>
                <w:b/>
                <w:i/>
              </w:rPr>
              <w:t>understreger nødvendigheden af, at konklusionerne fra andragender integreres i EU's strategier for børns rettigheder, og behovet for om</w:t>
            </w:r>
            <w:r>
              <w:t xml:space="preserve"> </w:t>
            </w:r>
            <w:r>
              <w:rPr>
                <w:b/>
                <w:i/>
              </w:rPr>
              <w:t>nødvendigt</w:t>
            </w:r>
            <w:r>
              <w:t xml:space="preserve"> </w:t>
            </w:r>
            <w:r>
              <w:rPr>
                <w:b/>
                <w:i/>
              </w:rPr>
              <w:t>at undersøge mulighederne for nye lovgivningsinitiativer;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bemærker med bekymring det vedvarende høje antal andragender vedrørende det indre marked og forbrugerbeskyttelse;</w:t>
            </w:r>
            <w:r>
              <w:t xml:space="preserve"> </w:t>
            </w:r>
            <w:r>
              <w:rPr>
                <w:b/>
                <w:i/>
              </w:rPr>
              <w:t>mener, at den stadigt større regeloverholdelsesbyrde på EU-plan har en negativ indvirkning på markedets funktion og forbrugernes rettigheder;</w:t>
            </w:r>
            <w:r>
              <w:t xml:space="preserve"> </w:t>
            </w:r>
            <w:r>
              <w:rPr>
                <w:b/>
                <w:i/>
              </w:rPr>
              <w:t>opfordrer Kommissionen til at sikre, at fremtidig lovgivning omfatter grundige konsekvensanalyser vedrørende borgernes hverdagsoplevelser;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påpeger, at et stort antal andragender vedrører spørgsmål om medlemsstaternes overtrædelser af retsstatsprincippet; bemærker, at det er nødvendigt at beskytte borgernes grundlæggende rettigheder, og anerkender, at Udvalget for Andragender spiller en vigtig rolle i den henseende;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understreger, at et andet vigtigt spørgsmål, som borgerne har rejst, er Europa-Kommissionens tilsidesættelse af retten til aktindsigt;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fremhæver det konstruktive arbejde, som Udvalget for Andragender har gjort for at forbedre dyrevelfærden efter vurderingen af og opfølgningen på et andragende underskrevet af 309 911 borgere med anmodning om en EU-kommissær for dyrevelfærd;</w:t>
            </w:r>
            <w:r>
              <w:t xml:space="preserve"> </w:t>
            </w:r>
            <w:r>
              <w:rPr>
                <w:b/>
                <w:i/>
              </w:rPr>
              <w:t>ser positivt på kommissionsformand Ursula von der Leyens beslutning om at give en kommissær ansvar for dyrevelfærd med udgangspunkt i One Health-tilgangen, som anerkender forbindelsen mellem mennesker, dyr, planter og disses fælles miljø;</w:t>
            </w:r>
            <w:r>
              <w:t xml:space="preserve"> </w:t>
            </w:r>
            <w:r>
              <w:rPr>
                <w:b/>
                <w:i/>
              </w:rPr>
              <w:t>mener, at Kommissionen bør leve op til sit tilsagn om at nå målene om at tilpasse dyrevelfærdslovgivningen til den seneste videnskabelige dokumentation, udvide dens anvendelsesområde, gøre håndhævelsen af den lettere og i sidste ende sikre et højere dyrevelfærdsniveau;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fremhæver det stigende antal andragender om boligkrisen på tværs af medlemsstaterne, herunder bekymringer over uoverkommelige huslejer, udelukkelse fra boligmarkedet, hjemløshed og manglen på passende almennyttige boliger;</w:t>
            </w:r>
            <w:r>
              <w:t xml:space="preserve"> </w:t>
            </w:r>
            <w:r>
              <w:rPr>
                <w:b/>
                <w:i/>
              </w:rPr>
              <w:t>opfordrer udvalget til systematisk at analysere disse andragender for at identificere strukturelle tendenser og videreformidle konklusionerne heraf til relevante EU-institutioner og nationale regeringer;</w:t>
            </w:r>
            <w:r>
              <w:t xml:space="preserve"> </w:t>
            </w:r>
            <w:r>
              <w:rPr>
                <w:b/>
                <w:i/>
              </w:rPr>
              <w:t>opfordrer indtrængende Kommissionen til at overveje en omfattende europæisk ramme for økonomisk overkommelige boliger og adgang til anstændige levevilkår som en grundlæggende social rettighed;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Nils Ušakovs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understreger, at det haster med at bekæmpe forskelsbehandling i Den Europæiske Union, bl.a. gennem initiativer til at sikre lige rettigheder for par af samme køn og for regnbuefamilier;</w:t>
            </w:r>
            <w:r>
              <w:t xml:space="preserve"> </w:t>
            </w:r>
            <w:r>
              <w:rPr>
                <w:b/>
                <w:i/>
              </w:rPr>
              <w:t>opfordrer Kommissionen og medlemsstaterne til at skærpe foranstaltningerne til bekæmpelse af al form for forskelsbehandling, herunder på grund af køn, etnisk oprindelse, handicap og religion;</w:t>
            </w:r>
            <w:r>
              <w:t xml:space="preserve"> </w:t>
            </w:r>
            <w:r>
              <w:rPr>
                <w:b/>
                <w:i/>
              </w:rPr>
              <w:t>ønsker derudover en detaljeret opfølgning på andragender, hvori der meldes om tilfælde af forskelsbehandling, og bedre håndhævelse af lovgivningen om bekæmpelse af forskelsbehandling i hele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bemærker den markante stigning i antallet af andragender fra græske statsborgere i 2024, bl.a. om retsstatssituationen i landet, kriminelle handlinger i forbindelse med togulykken ved Tempi samt krænkelser af kommunikationshemmeligheden;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beklager dybt den udviste dobbeltmoral med hensyn til at følge op på andragender, som steg eksponentielt i 2024;</w:t>
            </w:r>
            <w:r>
              <w:t xml:space="preserve"> </w:t>
            </w:r>
            <w:r>
              <w:rPr>
                <w:b/>
                <w:i/>
              </w:rPr>
              <w:t>kritiserer det forhold, at </w:t>
            </w:r>
            <w:r>
              <w:rPr>
                <w:b/>
                <w:i/>
              </w:rPr>
              <w:t>Udvalget for Andragender</w:t>
            </w:r>
            <w:r>
              <w:t xml:space="preserve"> </w:t>
            </w:r>
            <w:r>
              <w:rPr>
                <w:b/>
                <w:i/>
              </w:rPr>
              <w:t>har valgt at afslutte behandlingen af visse andragender eller ikke at drøfte dem, til trods for at de var underbygget med tungtvejende, højprofilerede juridiske og analytiske argumenter suppleret med dokumentation, som tydeligt forklarer data og fakta om de mange overtrædelser af EU-retten, som tusindvis af borgere har været udsat for, som eksempelvis andragendet om de miljømæssige konsekvenser af at opføre et cellulosebehandlingsanlæg i Galicien, hvilket ville være til stor skade for folkesundheden, miljøet og økonomien i det berørte område, samtidig med at visse andre andragender, som klart falder uden for EU's lovgivningsområde, ikke kun blev antaget til behandling, men også blev drøftet ud fra de foreliggende kendsgerninger;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henleder opmærksomheden på andragender, der påpeger krænkelser af passagererrettighederne, navnlig i forbindelse med flyforsinkelser, flyaflysninger og manglende overholdelse af forordning (EF) nr. 261/2004;</w:t>
            </w:r>
            <w:r>
              <w:t xml:space="preserve"> </w:t>
            </w:r>
            <w:r>
              <w:rPr>
                <w:b/>
                <w:i/>
              </w:rPr>
              <w:t>efterlyser strengere håndhævelsesmekanismer og bedre koordinering mellem nationale myndigheder, transportvirksomheder og Kommissionen;</w:t>
            </w:r>
            <w:r>
              <w:t xml:space="preserve"> </w:t>
            </w:r>
            <w:r>
              <w:rPr>
                <w:b/>
                <w:i/>
              </w:rPr>
              <w:t>opfordrer indtrængende Kommissionen til at foreslå lovgivningsmæssige ajourføringer for at styrke kompensations- og informationsrettighederne for alle passagerer, herunder passagerer med nedsat mobilitet;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Nils Ušakovs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minder om, at Udvalget for Andragender i 2024 drøftede adskillige andragender om annullering af</w:t>
            </w:r>
            <w:r>
              <w:rPr>
                <w:b/>
                <w:i/>
              </w:rPr>
              <w:t> russiske statsborgeres</w:t>
            </w:r>
            <w:r>
              <w:rPr>
                <w:b/>
                <w:i/>
              </w:rPr>
              <w:t> permanente opholdstilladelse i Letland, hvilket har negative følger for tusindvis af ældre indbyggere;</w:t>
            </w:r>
            <w:r>
              <w:t xml:space="preserve"> </w:t>
            </w:r>
            <w:r>
              <w:rPr>
                <w:b/>
                <w:i/>
              </w:rPr>
              <w:t>bemærker i den forbindelse Kommissionens tilsagn om at følge denne sag nøje for at sikre, at</w:t>
            </w:r>
            <w:r>
              <w:rPr>
                <w:b/>
                <w:i/>
              </w:rPr>
              <w:t> EU-retten</w:t>
            </w:r>
            <w:r>
              <w:rPr>
                <w:b/>
                <w:i/>
              </w:rPr>
              <w:t> ikke tilsidesættes, og forventer ajourførte oplysninger om den seneste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påskønner det arbejde, som Udvalget for Andragender har udført ved at opfordre Kommissionen til at træffe foranstaltninger i lyset af EU-Domstolens praksis, som har bekræftet, at de nuværende primitive test af pesticider, som fastsat i den relevante EU-lovgivning, er utilstrækkelige til at vurdere og sikre, at der ikke forekommer langsigtede toksiske virkninger for hverken menneskers sundhed eller miljøet, herunder for blandingen af pesticidernes aktivstoffer, der er angivet som hjælpestoffer, eftersom denne blanding generelt er mere toksisk end noget aktivstof alene;</w:t>
            </w:r>
            <w:r>
              <w:t xml:space="preserve"> </w:t>
            </w:r>
            <w:r>
              <w:rPr>
                <w:b/>
                <w:i/>
              </w:rPr>
              <w:t>understreger, at Den Europæiske Fødevaresikkerhedsautoritet (EFSA) har anerkendt, at den ikke har nogen udtømmende metoder til at evaluere effekterne af vekselvirkningen mellem forskellige pesticidforbindelser, hvilket andragerne havde anmodet om i deres andragender til Parlamentet;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minder om de andragender, der omhandler den tragiske togulykke ved Tempi i Grækenland, hvori der gives udtryk for alvorlig bekymring med hensyn til jernbanesikkerhed, infrastrukturforvaltning,</w:t>
            </w:r>
            <w:r>
              <w:t xml:space="preserve"> </w:t>
            </w:r>
            <w:r>
              <w:rPr>
                <w:b/>
                <w:i/>
              </w:rPr>
              <w:t>embedsmænds og regeringsmedlemmers</w:t>
            </w:r>
            <w:r>
              <w:t xml:space="preserve"> </w:t>
            </w:r>
            <w:r>
              <w:rPr>
                <w:b/>
                <w:i/>
              </w:rPr>
              <w:t>ansvar i forbindelse med transportvirksomhed, retsstatsprincippet samt misbrug af EU-midler;</w:t>
            </w:r>
            <w:r>
              <w:t xml:space="preserve"> </w:t>
            </w:r>
            <w:r>
              <w:rPr>
                <w:b/>
                <w:i/>
              </w:rPr>
              <w:t>opfordrer Kommissionen og de nationale myndigheder til at granske systemiske brister i jernbanetilsynet og i korrekt tildeling af EU-midler, sikre fuld gennemsigtighed i undersøgelserne og skærpe sikkerhedsstandarderne på EU-plan;</w:t>
            </w:r>
            <w:r>
              <w:t xml:space="preserve"> </w:t>
            </w:r>
            <w:r>
              <w:rPr>
                <w:b/>
                <w:i/>
              </w:rPr>
              <w:t>opfordrer indtrængende til at medtage andragernes feedback i politiske drøftelser om grænseoverskridende jernbaneinfrastruktur, beskyttelse af whistleblowere og ansvarsplacering inden for transportforvaltningen;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12e.</w:t>
            </w:r>
            <w:r>
              <w:tab/>
            </w:r>
            <w:r>
              <w:rPr>
                <w:b/>
                <w:i/>
              </w:rPr>
              <w:t>mener, at der er behov for en hurtigere og mere effektiv indsats på EU-plan for at garantere arbejdstagernes rettigheder i Grækenland, navnlig ved at vurdere </w:t>
            </w:r>
            <w:r>
              <w:rPr>
                <w:b/>
                <w:i/>
              </w:rPr>
              <w:t>arbejdstagernes</w:t>
            </w:r>
            <w:r>
              <w:rPr>
                <w:b/>
                <w:i/>
              </w:rPr>
              <w:t> reelle arbejdsvilkår, med henblik på at sætte en stopper for urimelige kontraktvilkår i ansættelseskontrakter og ved at tackle alle former for misligheder og smuthuller;</w:t>
            </w:r>
            <w:r>
              <w:t xml:space="preserve"> </w:t>
            </w:r>
            <w:r>
              <w:rPr>
                <w:b/>
                <w:i/>
              </w:rPr>
              <w:t>understreger, at dette spørgsmål er blevet behandlet indgående i Udvalget for Andragender i forbindelse med drøftelserne om og opfølgningen på et vigtigt andragende, hvori der klages over overtrædelser i Grækenland af arbejdstidsdirektivet (2003/88/EF) og af direktiv (EU) 2019/1152 om gennemsigtige og forudsigelige arbejdsvilkår;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12e.</w:t>
            </w:r>
            <w:r>
              <w:tab/>
            </w:r>
            <w:r>
              <w:rPr>
                <w:b/>
                <w:i/>
              </w:rPr>
              <w:t>fremhæver de andragender, der er indgivet af eller på vegne af asylansøgere og indvandrere, hvori der klages over krænkelser af grundlæggende rettigheder, manglende adgang til basale tjenester og systemiske forhalinger i asylprocedurerne;</w:t>
            </w:r>
            <w:r>
              <w:t xml:space="preserve"> </w:t>
            </w:r>
            <w:r>
              <w:rPr>
                <w:b/>
                <w:i/>
              </w:rPr>
              <w:t>understreger, hvor vigtigt det er at værne om EU's værdier og folkeretlige forpligtelser i forbindelse med behandlingen af migranter og asylansøgere;</w:t>
            </w:r>
            <w:r>
              <w:t xml:space="preserve"> </w:t>
            </w:r>
            <w:r>
              <w:rPr>
                <w:b/>
                <w:i/>
              </w:rPr>
              <w:t>opfordrer Kommissionen og medlemsstaterne til at sikre gennemsigtige, humane og rettighedsbaserede asylsystemer og opfordrer indtrængende til, at der systematisk følges op på de klager, der rejses i andragender, for at afhjælpe juridiske brister og forbedre forholdene i modtagecentre i hele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f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12f.</w:t>
            </w:r>
            <w:r>
              <w:tab/>
            </w:r>
            <w:r>
              <w:rPr>
                <w:b/>
                <w:i/>
              </w:rPr>
              <w:t>kritiserer på det kraftigste Kommissionen for dens langsommelig behandling af traktatbrudssagen mod Italien på grund af alvorlige tilsidesættelser af EU-retten, navnlig af direktivet om industrielle emissioner, som følge af driften af ILVA-stålværket i Taranto;</w:t>
            </w:r>
            <w:r>
              <w:t xml:space="preserve"> </w:t>
            </w:r>
            <w:r>
              <w:rPr>
                <w:b/>
                <w:i/>
              </w:rPr>
              <w:t>beklager, at Kommissionen i 2013 indledte den pågældende traktatbrudssag (INFR(2013)2177), men igennem mere end et årti endnu ikke har indbragt sagen for EU-Domstolen, hvilket andragerne gentagne gange har fordømt, til trods for at der i det berørte område vedvarende er blevet registreret forhøjede forekomster af hjerte-kar-sygdomme, luftvejssygdomme og kræft, herunder hos børn, i mange tilfælde med dødelig udgang, og meget forhøjede forekomster af luftforurenende stoffer;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f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12f.</w:t>
            </w:r>
            <w:r>
              <w:tab/>
            </w:r>
            <w:r>
              <w:rPr>
                <w:b/>
                <w:i/>
              </w:rPr>
              <w:t>bemærker det betydelige antal andragender, hvori der klages over overtrædelser af EU's miljølovgivning i flere medlemsstater, herunder betænkeligheder ved ulovlig skovrydning, forurening i fredede områder og manglende efterlevelse af direktiver såsom habitatdirektivet, vandrammedirektivet og luftkvalitetsdirektivet (direktiv 2008/50/EF) for så vidt angår luftforurening;</w:t>
            </w:r>
            <w:r>
              <w:t xml:space="preserve"> </w:t>
            </w:r>
            <w:r>
              <w:rPr>
                <w:b/>
                <w:i/>
              </w:rPr>
              <w:t>opfordrer Kommissionen til om</w:t>
            </w:r>
            <w:r>
              <w:t xml:space="preserve"> </w:t>
            </w:r>
            <w:r>
              <w:rPr>
                <w:b/>
                <w:i/>
              </w:rPr>
              <w:t>nødvendigt</w:t>
            </w:r>
            <w:r>
              <w:t xml:space="preserve"> </w:t>
            </w:r>
            <w:r>
              <w:rPr>
                <w:b/>
                <w:i/>
              </w:rPr>
              <w:t>at fremskynde traktatbrudsprocedurer og til at styrke overvågningsmekanismerne;</w:t>
            </w:r>
            <w:r>
              <w:t xml:space="preserve"> </w:t>
            </w:r>
            <w:r>
              <w:rPr>
                <w:b/>
                <w:i/>
              </w:rPr>
              <w:t>opfordrer indtrængende medlemsstaterne til at afgive rettidige og gennemsigtige besvarelser på miljøklager og sikre fuld overholdelse af EU's miljøstandarder i praksis;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g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12g.</w:t>
            </w:r>
            <w:r>
              <w:tab/>
            </w:r>
            <w:r>
              <w:rPr>
                <w:b/>
                <w:i/>
              </w:rPr>
              <w:t>fremhæver de vigtige aktiviteter i Udvalget for Andragender i 2024 i forbindelse med behandlingen af andragender indgivet af sammenslutningen Fossil Free Politics, hvori der opfordres til, at industrien for fossile brændstoffer drages til ansvar for sin rolle i energi- og leveomkostningskrisen, og til at sætte en stopper for fossile brændstoffers indflydelse på EU's beslutningstagning i betragtning af de talrige ubestridelige beviser, der er blevet lagt for dagen, som dokumenterer, at industrien for fossile brændstoffer igennem en årrække har været fuldt bekendt med den klimafare, som dens produkter udgør, og at den i stedet for at støtte en overgang til en fremtid baseret på vedvarende energi har valgt at sprede klimabenægtelse og desinformation;</w:t>
            </w:r>
            <w:r>
              <w:t xml:space="preserve"> </w:t>
            </w:r>
            <w:r>
              <w:rPr>
                <w:b/>
                <w:i/>
              </w:rPr>
              <w:t>understreger, at FN's særlige rapportør om fremme og beskyttelse af menneskerettighederne i forbindelse med klimaforandringerne i en ny rapport fra maj 2025 til FN's Generalforsamling opfordrede til strafferetlige sanktioner mod enhver, der spreder desinformation om klimakrisen, og til et totalforbud mod lobby- og reklamevirksomhed fra industrien for fossile brændstoffer, således at der kan tilvejebringes en tilstrækkelig grad af beskyttelse af menneskerettighederne og planeten mod katastrofale konsekvenser som følge af klimaforandringerne;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g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12g.</w:t>
            </w:r>
            <w:r>
              <w:tab/>
            </w:r>
            <w:r>
              <w:rPr>
                <w:b/>
                <w:i/>
              </w:rPr>
              <w:t>minder om, at Kommissionen i henhold til artikel 17 i TEU har til opgave at sikre en korrekt anvendelse af EU-retten, herunder den generelle forordning om databeskyttelse (databeskyttelsesforordningen);</w:t>
            </w:r>
            <w:r>
              <w:t xml:space="preserve"> </w:t>
            </w:r>
            <w:r>
              <w:rPr>
                <w:b/>
                <w:i/>
              </w:rPr>
              <w:t>beklager, at der i talrige andragender udtrykkes bekymring over uensartet eller utilstrækkelig håndhævelse af databeskyttelsesforordningen på tværs af medlemsstaterne;</w:t>
            </w:r>
            <w:r>
              <w:t xml:space="preserve"> </w:t>
            </w:r>
            <w:r>
              <w:rPr>
                <w:b/>
                <w:i/>
              </w:rPr>
              <w:t>opfordrer Kommissionen til systematisk at følge op på sådanne andragender og til at skabe juridisk klarhed og fuld gennemsigtighed med hensyn til, hvordan den vurderer og håndterer gentagne krænkelser af databeskyttelsesrettighederne;</w:t>
            </w:r>
            <w:r>
              <w:t xml:space="preserve"> </w:t>
            </w:r>
            <w:r>
              <w:rPr>
                <w:b/>
                <w:i/>
              </w:rPr>
              <w:t>opfordrer indtrængende til et tættere samarbejde mellem Det Europæiske Databeskyttelsesråd og Udvalget for Andragender med henblik på at tilgodese borgernes bekymringer;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h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12h.</w:t>
            </w:r>
            <w:r>
              <w:tab/>
            </w:r>
            <w:r>
              <w:rPr>
                <w:b/>
                <w:i/>
              </w:rPr>
              <w:t>kritiserer på det kraftigste den måde, hvorpå Udvalget for Andragender har behandlet et andragende indgivet på vegne af Plataforma Ulloa Viva, hvori der klages over de alvorlige </w:t>
            </w:r>
            <w:r>
              <w:rPr>
                <w:b/>
                <w:i/>
              </w:rPr>
              <w:t>miljømæssige </w:t>
            </w:r>
            <w:r>
              <w:rPr>
                <w:b/>
                <w:i/>
              </w:rPr>
              <w:t>skadevirkninger af et projekt om opførelse af et celluloseforarbejdningsanlæg i Galicien;</w:t>
            </w:r>
            <w:r>
              <w:t xml:space="preserve"> </w:t>
            </w:r>
            <w:r>
              <w:rPr>
                <w:b/>
                <w:i/>
              </w:rPr>
              <w:t>beklager dybt den tilsidesættelse af procedurereglerne, hvorved behandlingen af det pågældende andragende blev afsluttet, selv om andragerne med opbakning fra flere forskellige sammenslutninger og lokale myndigheder fremlagde særdeles detaljerede juridiske og videnskabelige analyser, som dokumenterede, at projektet ikke opfylder kriterierne i forordning (EU) 2021/241 om oprettelse af genopretnings- og resiliensfaciliteten, hvori det er fastsat, at projekter skal bidrage til at skabe mere bæredygtige økonomier, der er bedre forberedt på den økologiske omstilling, og at projektet vil indebære et meget højt forbrug af naturressourcer, massiv forurening, ødelæggelse af et område af ekstraordinær værdi for biodiversiteten samt forringelse af vigtige økosystemtjenester, som er afgørende for at afhjælpe klimaforandringernes virkninger;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Pál Szekeres, Sebastian Kruis, Jean-Paul Garraud,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understreger det vigtige bidrag, som Udvalget for Andragender har ydet til beskyttelsen af rettighederne for personer med handicap, således som det fremgår af dets behandling af en række andragender om dette emne, herunder behandlingen af andragende 1056/2016 om indgivelse af andragender på nationale tegnsprog; minder om den årlige workshop om rettigheder for personer med handicap </w:t>
            </w:r>
            <w:r>
              <w:rPr>
                <w:b/>
                <w:i/>
              </w:rPr>
              <w:t>af 2. december 2024</w:t>
            </w:r>
            <w:r>
              <w:t>, som Udvalget for Andragender afholdt</w:t>
            </w:r>
            <w:r>
              <w:rPr>
                <w:b/>
                <w:i/>
              </w:rPr>
              <w:t>, og som havde</w:t>
            </w:r>
            <w:r>
              <w:t xml:space="preserve"> fokus på </w:t>
            </w:r>
            <w:r>
              <w:rPr>
                <w:b/>
                <w:i/>
              </w:rPr>
              <w:t>status</w:t>
            </w:r>
            <w:r>
              <w:t xml:space="preserve"> for strategien for rettigheder for personer med handicap 2021-2030;</w:t>
            </w:r>
          </w:p>
        </w:tc>
        <w:tc>
          <w:tcPr>
            <w:tcW w:w="4876" w:type="dxa"/>
            <w:tcBorders>
              <w:top w:val="nil"/>
              <w:left w:val="nil"/>
              <w:bottom w:val="nil"/>
              <w:right w:val="nil"/>
            </w:tcBorders>
          </w:tcPr>
          <w:p>
            <w:pPr>
              <w:pStyle w:val="Normal6a"/>
            </w:pPr>
            <w:r>
              <w:t>13.</w:t>
            </w:r>
            <w:r>
              <w:tab/>
            </w:r>
            <w:r>
              <w:t xml:space="preserve">understreger det vigtige bidrag, som Udvalget for Andragender har ydet til beskyttelsen af rettighederne for personer med handicap, således som det fremgår af dets behandling af en række andragender om dette emne, herunder behandlingen af andragende 1056/2016 om indgivelse af andragender på nationale tegnsprog; </w:t>
            </w:r>
            <w:r>
              <w:rPr>
                <w:b/>
                <w:i/>
              </w:rPr>
              <w:t>anerkender i den sammenhæng</w:t>
            </w:r>
            <w:r>
              <w:t xml:space="preserve"> </w:t>
            </w:r>
            <w:r>
              <w:rPr>
                <w:b/>
                <w:i/>
              </w:rPr>
              <w:t>indsatsen fra </w:t>
            </w:r>
            <w:r>
              <w:rPr>
                <w:b/>
                <w:i/>
              </w:rPr>
              <w:t>Parlamentets tjenestegrene og bemærker, at der skal findes en</w:t>
            </w:r>
            <w:r>
              <w:t xml:space="preserve"> </w:t>
            </w:r>
            <w:r>
              <w:rPr>
                <w:b/>
                <w:i/>
              </w:rPr>
              <w:t>løsning,</w:t>
            </w:r>
            <w:r>
              <w:t xml:space="preserve"> </w:t>
            </w:r>
            <w:r>
              <w:rPr>
                <w:b/>
                <w:i/>
              </w:rPr>
              <w:t>som ikke blot er den teknisk bedste, men også den mest tilgængelige, for at muliggøre kommunikation med døve borgere på deres eget modersmål ved brug af de nationale tegnsprog;</w:t>
            </w:r>
            <w:r>
              <w:t xml:space="preserve"> </w:t>
            </w:r>
            <w:r>
              <w:rPr>
                <w:b/>
                <w:i/>
              </w:rPr>
              <w:t>ønsker en ændring af forretningsordenen i tæt samarbejde med Udvalget om Konstitutionelle Anliggender (AFCO) med henblik på at afskaffe kravet om udelukkende at</w:t>
            </w:r>
            <w:r>
              <w:t xml:space="preserve"> </w:t>
            </w:r>
            <w:r>
              <w:rPr>
                <w:b/>
                <w:i/>
              </w:rPr>
              <w:t>kommunikere</w:t>
            </w:r>
            <w:r>
              <w:rPr>
                <w:b/>
                <w:i/>
              </w:rPr>
              <w:t> skriftligt med borgere, der er tegnsprogbrugere, døve eller hørehæmmede, således at de efter anmodning kan bruge deres tegnsprog under proceduren;</w:t>
            </w:r>
            <w:r>
              <w:t xml:space="preserve"> </w:t>
            </w:r>
            <w:r>
              <w:rPr>
                <w:b/>
                <w:i/>
              </w:rPr>
              <w:t>bemærker, at betænkeligheder ved skolegang for elever med handicap, nægtelse af sundhedsydelser til patienter med handicap og tilgængeligheden af offentlige rum og tjenester har affødt endnu flere andragender i 2024;</w:t>
            </w:r>
            <w:r>
              <w:t xml:space="preserve"> minder om den årlige workshop om rettigheder for personer med handicap, som Udvalget for Andragender afholdt </w:t>
            </w:r>
            <w:r>
              <w:rPr>
                <w:b/>
                <w:i/>
              </w:rPr>
              <w:t>den 2. december 2024, med</w:t>
            </w:r>
            <w:r>
              <w:t xml:space="preserve"> fokus på </w:t>
            </w:r>
            <w:r>
              <w:rPr>
                <w:b/>
                <w:i/>
              </w:rPr>
              <w:t>den aktuelle situation</w:t>
            </w:r>
            <w:r>
              <w:t xml:space="preserve"> for strategien for rettigheder for personer med handicap </w:t>
            </w:r>
            <w:r>
              <w:rPr>
                <w:b/>
                <w:i/>
              </w:rPr>
              <w:t>for</w:t>
            </w:r>
            <w:r>
              <w:t xml:space="preserve">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understreger det vigtige bidrag, som Udvalget for Andragender har ydet til beskyttelsen af rettighederne for personer med handicap, således som det fremgår af dets behandling af en række andragender om dette emne, herunder behandlingen af andragende 1056/2016 om indgivelse af andragender på nationale tegnsprog; minder om den årlige workshop om rettigheder for personer med handicap </w:t>
            </w:r>
            <w:r>
              <w:rPr>
                <w:b/>
                <w:i/>
              </w:rPr>
              <w:t>af 2. december 2024</w:t>
            </w:r>
            <w:r>
              <w:t>, som Udvalget for Andragender afholdt</w:t>
            </w:r>
            <w:r>
              <w:rPr>
                <w:b/>
                <w:i/>
              </w:rPr>
              <w:t>, og som havde</w:t>
            </w:r>
            <w:r>
              <w:t xml:space="preserve"> fokus på </w:t>
            </w:r>
            <w:r>
              <w:rPr>
                <w:b/>
                <w:i/>
              </w:rPr>
              <w:t>status</w:t>
            </w:r>
            <w:r>
              <w:t xml:space="preserve"> for strategien for rettigheder for personer med handicap </w:t>
            </w:r>
            <w:r>
              <w:rPr>
                <w:b/>
                <w:i/>
              </w:rPr>
              <w:t>2021-2030</w:t>
            </w:r>
            <w:r>
              <w:t>;</w:t>
            </w:r>
          </w:p>
        </w:tc>
        <w:tc>
          <w:tcPr>
            <w:tcW w:w="4876" w:type="dxa"/>
            <w:tcBorders>
              <w:top w:val="nil"/>
              <w:left w:val="nil"/>
              <w:bottom w:val="nil"/>
              <w:right w:val="nil"/>
            </w:tcBorders>
          </w:tcPr>
          <w:p>
            <w:pPr>
              <w:pStyle w:val="Normal6a"/>
            </w:pPr>
            <w:r>
              <w:t>13.</w:t>
            </w:r>
            <w:r>
              <w:tab/>
            </w:r>
            <w:r>
              <w:t>understreger det vigtige bidrag, som Udvalget for Andragender har ydet til beskyttelsen af rettighederne for personer med handicap, således som det fremgår af dets behandling af en række andragender om dette emne, herunder behandlingen af andragende 1056/2016 om indgivelse af andragender på nationale tegnsprog; minder om den årlige workshop om rettigheder for personer med handicap, som Udvalget for Andragender afholdt</w:t>
            </w:r>
            <w:r>
              <w:rPr>
                <w:b/>
                <w:i/>
              </w:rPr>
              <w:t> den 2. december 2024, med</w:t>
            </w:r>
            <w:r>
              <w:t> fokus på </w:t>
            </w:r>
            <w:r>
              <w:rPr>
                <w:b/>
                <w:i/>
              </w:rPr>
              <w:t>den aktuelle situation</w:t>
            </w:r>
            <w:r>
              <w:t> for strategien for rettigheder for personer med handicap </w:t>
            </w:r>
            <w:r>
              <w:rPr>
                <w:b/>
                <w:i/>
              </w:rPr>
              <w:t>for 2021-2030, og opfordrer indtrængende til, at konklusionerne fra andragender hurtigt bliver indarbejdet i midtvejsevalueringen af strategien for rettigheder for personer med handicap for 2021-2030 med målbare delmål og budgetmæssige forpligtelser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Jean-Paul Garraud, Sebastian Kruis, Virginie Joron,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fremhæver den specifikke beskyttelsesrolle, som Udvalget for Andragender har varetaget i EU inden for rammerne af FN's konvention om rettigheder for personer med handicap; henviser til udvalgets vigtige igangværende arbejde i forbindelse med andragender om spørgsmål vedrørende handicap;</w:t>
            </w:r>
          </w:p>
        </w:tc>
        <w:tc>
          <w:tcPr>
            <w:tcW w:w="4876" w:type="dxa"/>
            <w:tcBorders>
              <w:top w:val="nil"/>
              <w:left w:val="nil"/>
              <w:bottom w:val="nil"/>
              <w:right w:val="nil"/>
            </w:tcBorders>
          </w:tcPr>
          <w:p>
            <w:pPr>
              <w:pStyle w:val="Normal6a"/>
            </w:pPr>
            <w:r>
              <w:t>14.</w:t>
            </w:r>
            <w:r>
              <w:tab/>
            </w:r>
            <w:r>
              <w:t xml:space="preserve">fremhæver den specifikke beskyttelsesrolle, som Udvalget for Andragender har varetaget i EU inden for rammerne af FN's konvention om rettigheder for personer med handicap; henviser til udvalgets vigtige igangværende arbejde i forbindelse med andragender om spørgsmål vedrørende handicap; </w:t>
            </w:r>
            <w:r>
              <w:rPr>
                <w:b/>
                <w:i/>
              </w:rPr>
              <w:t>opfordrer indtrængende PETI-udvalget til i forbindelse med de forestående valg at prioritere inddragelsen af </w:t>
            </w:r>
            <w:r>
              <w:rPr>
                <w:b/>
                <w:i/>
              </w:rPr>
              <w:t>Europa-Parlamentets </w:t>
            </w:r>
            <w:r>
              <w:rPr>
                <w:b/>
                <w:i/>
              </w:rPr>
              <w:t>medlemmer med handicap, som ønsker at medvirke i arbejdet inden for denne ramme, i overensstemmelse med princippet om "intet om os uden 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Kosma Złotowski,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fremhæver den specifikke beskyttelsesrolle, som Udvalget for Andragender har varetaget i EU inden for rammerne af FN's konvention om rettigheder for personer med handicap; henviser til udvalgets vigtige igangværende arbejde i forbindelse med andragender om spørgsmål vedrørende handicap;</w:t>
            </w:r>
          </w:p>
        </w:tc>
        <w:tc>
          <w:tcPr>
            <w:tcW w:w="4876" w:type="dxa"/>
            <w:tcBorders>
              <w:top w:val="nil"/>
              <w:left w:val="nil"/>
              <w:bottom w:val="nil"/>
              <w:right w:val="nil"/>
            </w:tcBorders>
          </w:tcPr>
          <w:p>
            <w:pPr>
              <w:pStyle w:val="Normal6a"/>
            </w:pPr>
            <w:r>
              <w:t>14.</w:t>
            </w:r>
            <w:r>
              <w:tab/>
            </w:r>
            <w:r>
              <w:t xml:space="preserve">fremhæver den specifikke beskyttelsesrolle, som Udvalget for Andragender har varetaget i EU inden for rammerne af FN's konvention om rettigheder for personer med handicap; henviser til udvalgets vigtige igangværende arbejde i forbindelse med andragender om spørgsmål vedrørende handicap; </w:t>
            </w:r>
            <w:r>
              <w:rPr>
                <w:b/>
                <w:i/>
              </w:rPr>
              <w:t>minder om, at der er medtaget en henvisning til andragender vedrørende behovet for et EU-dækkende handicapkort i direktiv 2024/2841 om indførelse af EU-handicapkortet og EU-parkeringskortet;</w:t>
            </w:r>
            <w:r>
              <w:t xml:space="preserve"> </w:t>
            </w:r>
            <w:r>
              <w:rPr>
                <w:b/>
                <w:i/>
              </w:rPr>
              <w:t>påpeger, at andragender kan bidrage væsentligt til lovgivningsprocessen;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Pál Szekeres, Jean-Paul Garraud, Sebastian Kruis,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glæder sig over konklusionerne i undersøgelsen "Linguistic and cultural diversity – Minority and minoritised languages as part of European linguistic and cultural diversity", hvori det understreges, at situationen for Europas mindretalssprog og marginaliserede sprog kan tjene som barometer for den aktuelle situation for Europas sproglige og kulturelle mangfoldighed;</w:t>
            </w:r>
            <w:r>
              <w:t xml:space="preserve"> </w:t>
            </w:r>
            <w:r>
              <w:rPr>
                <w:b/>
                <w:i/>
              </w:rPr>
              <w:t>bemærker med beklagelse, at over to tredjedele af de sproglige mindretal i Den Europæiske Union er faldet betydeligt i antallet i de seneste årtier (1991-2011), og at der må antages en lignende tendens med hensyn til brugen af de sprog, som disse mindretal taler;</w:t>
            </w:r>
            <w:r>
              <w:t xml:space="preserve"> </w:t>
            </w:r>
            <w:r>
              <w:rPr>
                <w:b/>
                <w:i/>
              </w:rPr>
              <w:t>understreger imidlertid, at nogle positive eksempler – som alle er fra Den Europæiske Union – viser, at der er undtagelser fra denne generelle tendens, og at der som beskrevet i undersøgelsen findes holdbare muligheder for en vellykket beskyttelse og fremme af mindretal og deres sprog, hvilket styrker Europas sproglige og kulturelle mangfoldighed;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Virginie Joron, Pál Szekeres, Sebastian Kruis, Jean-Paul Garraud,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minder om, at forbindelserne med Den Europæiske Ombudsmand er et af de ansvarsområder, som i Parlamentets forretningsorden tillægges Udvalget for Andragender; glæder sig over Parlamentets konstruktive samarbejde med Den Europæiske Ombudsmand, med hvem Udvalget for Andragender deler målene om at sikre EU-institutionernes gennemsigtighed, professionalisme og integritet over for EU-borgerne, og over dets inddragelse i det europæiske netværk af ombudsmænd;</w:t>
            </w:r>
          </w:p>
        </w:tc>
        <w:tc>
          <w:tcPr>
            <w:tcW w:w="4876" w:type="dxa"/>
            <w:tcBorders>
              <w:top w:val="nil"/>
              <w:left w:val="nil"/>
              <w:bottom w:val="nil"/>
              <w:right w:val="nil"/>
            </w:tcBorders>
          </w:tcPr>
          <w:p>
            <w:pPr>
              <w:pStyle w:val="Normal6a"/>
            </w:pPr>
            <w:r>
              <w:t>15.</w:t>
            </w:r>
            <w:r>
              <w:tab/>
            </w:r>
            <w:r>
              <w:t xml:space="preserve">minder om, at forbindelserne med Den Europæiske Ombudsmand er et af de ansvarsområder, som i Parlamentets forretningsorden tillægges Udvalget for Andragender; glæder sig over Parlamentets konstruktive samarbejde med Den Europæiske Ombudsmand, med hvem Udvalget for Andragender deler målene om at sikre EU-institutionernes gennemsigtighed, professionalisme og integritet over for EU-borgerne </w:t>
            </w:r>
            <w:r>
              <w:rPr>
                <w:b/>
                <w:i/>
              </w:rPr>
              <w:t>i en tid præget af skandaler (Pfizergate, Qatargate, Huaweigate, m.v.)</w:t>
            </w:r>
            <w:r>
              <w:t>, og over dets inddragelse i det europæiske netværk af ombudsmænd;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Nils Ušakovs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fremhæver den rolle, som Udvalget for Andragender har spillet i forbindelse med valget af Den Europæiske Ombudsmand, navnlig med hensyn til at anordne den offentlige høring af samtlige valgbare kandidater den 3. december 2024, som var åben for alle </w:t>
            </w:r>
            <w:r>
              <w:rPr>
                <w:b/>
                <w:i/>
              </w:rPr>
              <w:t>Europa-Parlamentets</w:t>
            </w:r>
            <w:r>
              <w:t xml:space="preserve"> </w:t>
            </w:r>
            <w:r>
              <w:rPr>
                <w:b/>
                <w:i/>
              </w:rPr>
              <w:t>medlemmer, hvilket gav dem </w:t>
            </w:r>
            <w:r>
              <w:rPr>
                <w:b/>
                <w:i/>
              </w:rPr>
              <w:t>mulighed for på</w:t>
            </w:r>
            <w:r>
              <w:t xml:space="preserve"> </w:t>
            </w:r>
            <w:r>
              <w:rPr>
                <w:b/>
                <w:i/>
              </w:rPr>
              <w:t>en demokratisk og gennemsigtig måde at udveksle synspunkter med kandidaterne og vurdere deres uafhængighed, kvalifikationer og professionalisme samt deres vision for Den Europæiske Ombudsmands kontor inden for EU's institutionelle 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anerkender</w:t>
            </w:r>
            <w:r>
              <w:t xml:space="preserve"> Den Europæiske Ombudsmands regelmæssige bidrag til Udvalget for </w:t>
            </w:r>
            <w:r>
              <w:rPr>
                <w:b/>
                <w:i/>
              </w:rPr>
              <w:t>Andragenders arbejde året igennem</w:t>
            </w:r>
            <w:r>
              <w:t>; er af den faste overbevisning, at Unionens institutioner, organer og agenturer skal sikre en konsekvent og effektiv opfølgning på Ombudsmandens henstillinger;</w:t>
            </w:r>
          </w:p>
        </w:tc>
        <w:tc>
          <w:tcPr>
            <w:tcW w:w="4876" w:type="dxa"/>
            <w:tcBorders>
              <w:top w:val="nil"/>
              <w:left w:val="nil"/>
              <w:bottom w:val="nil"/>
              <w:right w:val="nil"/>
            </w:tcBorders>
          </w:tcPr>
          <w:p>
            <w:pPr>
              <w:pStyle w:val="Normal6a"/>
            </w:pPr>
            <w:r>
              <w:t>16.</w:t>
            </w:r>
            <w:r>
              <w:tab/>
            </w:r>
            <w:r>
              <w:rPr>
                <w:b/>
                <w:i/>
              </w:rPr>
              <w:t>påskønner</w:t>
            </w:r>
            <w:r>
              <w:t xml:space="preserve"> Den Europæiske Ombudsmands regelmæssige bidrag til </w:t>
            </w:r>
            <w:r>
              <w:rPr>
                <w:b/>
                <w:i/>
              </w:rPr>
              <w:t>arbejdet i</w:t>
            </w:r>
            <w:r>
              <w:t xml:space="preserve"> Udvalget for </w:t>
            </w:r>
            <w:r>
              <w:rPr>
                <w:b/>
                <w:i/>
              </w:rPr>
              <w:t>Andragender i hele årets løb</w:t>
            </w:r>
            <w:r>
              <w:t>; er af den faste overbevisning, at Unionens institutioner, organer og agenturer skal sikre en konsekvent og effektiv opfølgning på Ombudsmandens henstillinger;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fremholder Den Europæiske Ombudsmands nøglerolle med hensyn til at fremme gennemsigtighed, god forvaltning og beskyttelse af borgernes rettigheder;</w:t>
            </w:r>
            <w:r>
              <w:t xml:space="preserve"> </w:t>
            </w:r>
            <w:r>
              <w:rPr>
                <w:b/>
                <w:i/>
              </w:rPr>
              <w:t>opfordrer til et tættere samarbejde mellem PETI og Ombudsmandens kontor, bl.a. med rettidige udvekslinger om systemiske problemer, som påpeges i andragender, og bedre opfølgning på Ombudsmandens konklusioner i EU's institutioner;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noterer sig de betænkeligheder, som gentagne gange er blevet rejst i andragender, med hensyn til den alt for langsommelige og komplekse sagsbehandling i tilsyneladende mindre eller rutinemæssige sager;</w:t>
            </w:r>
            <w:r>
              <w:t xml:space="preserve"> </w:t>
            </w:r>
            <w:r>
              <w:rPr>
                <w:b/>
                <w:i/>
              </w:rPr>
              <w:t>beklager, at institutionelle brister fortsat undergraver tilliden til EU's organer;</w:t>
            </w:r>
            <w:r>
              <w:t xml:space="preserve"> </w:t>
            </w:r>
            <w:r>
              <w:rPr>
                <w:b/>
                <w:i/>
              </w:rPr>
              <w:t>opfordrer indtrængende Kommissionen og andre EU-institutioner til at forenkle procedurerne og øge den administrative effektivitet, navnlig i sager, hvor den enkelte borger er direkte berørt;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Dolors Montserrat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bemærker, at Udvalget for Andragender på trods af den parlamentariske pause som følge af valget til Europa-Parlamentet gav udtryk for sin holdning og fremsatte henstillinger om vigtige spørgsmål, der var rejst i andragender, herunder ved at vedtage to missionsrapporter efter undersøgelsesrejser;</w:t>
            </w:r>
          </w:p>
        </w:tc>
        <w:tc>
          <w:tcPr>
            <w:tcW w:w="4876" w:type="dxa"/>
            <w:tcBorders>
              <w:top w:val="nil"/>
              <w:left w:val="nil"/>
              <w:bottom w:val="nil"/>
              <w:right w:val="nil"/>
            </w:tcBorders>
          </w:tcPr>
          <w:p>
            <w:pPr>
              <w:pStyle w:val="Normal6a"/>
            </w:pPr>
            <w:r>
              <w:t>17.</w:t>
            </w:r>
            <w:r>
              <w:tab/>
            </w:r>
            <w:r>
              <w:t xml:space="preserve">bemærker, at Udvalget for Andragender på trods af den parlamentariske pause som følge af valget til Europa-Parlamentet gav udtryk for sin holdning og fremsatte henstillinger om vigtige spørgsmål, der var rejst i andragender, herunder ved at vedtage to missionsrapporter efter undersøgelsesrejser; </w:t>
            </w:r>
            <w:r>
              <w:rPr>
                <w:b/>
                <w:i/>
              </w:rPr>
              <w:t>udtrykker beklagelse over, at de catalanske uddannelsesmyndigheder ikke har gennemført henstillingerne fra Udvalget for Andragender i dets betænkning af 19. marts 2024 som opfølgning på en mission, der havde til formål at beskytte skoleelevers og deres familiers sprogrettigheder;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Kosma Złotowski,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bemærker, at Udvalget for Andragender </w:t>
            </w:r>
            <w:r>
              <w:rPr>
                <w:b/>
                <w:i/>
              </w:rPr>
              <w:t>på</w:t>
            </w:r>
            <w:r>
              <w:t xml:space="preserve"> trods </w:t>
            </w:r>
            <w:r>
              <w:rPr>
                <w:b/>
                <w:i/>
              </w:rPr>
              <w:t>af</w:t>
            </w:r>
            <w:r>
              <w:t xml:space="preserve"> den parlamentariske pause som følge af valget til Europa-Parlamentet gav udtryk for sin holdning og fremsatte henstillinger om vigtige spørgsmål, der </w:t>
            </w:r>
            <w:r>
              <w:rPr>
                <w:b/>
                <w:i/>
              </w:rPr>
              <w:t>var</w:t>
            </w:r>
            <w:r>
              <w:t xml:space="preserve"> rejst i andragender, herunder </w:t>
            </w:r>
            <w:r>
              <w:rPr>
                <w:b/>
                <w:i/>
              </w:rPr>
              <w:t>ved at vedtage</w:t>
            </w:r>
            <w:r>
              <w:t xml:space="preserve"> to missionsrapporter efter undersøgelsesrejser;</w:t>
            </w:r>
          </w:p>
        </w:tc>
        <w:tc>
          <w:tcPr>
            <w:tcW w:w="4876" w:type="dxa"/>
            <w:tcBorders>
              <w:top w:val="nil"/>
              <w:left w:val="nil"/>
              <w:bottom w:val="nil"/>
              <w:right w:val="nil"/>
            </w:tcBorders>
          </w:tcPr>
          <w:p>
            <w:pPr>
              <w:pStyle w:val="Normal6a"/>
            </w:pPr>
            <w:r>
              <w:t>17.</w:t>
            </w:r>
            <w:r>
              <w:tab/>
            </w:r>
            <w:r>
              <w:t xml:space="preserve">bemærker, at Udvalget for Andragender trods den parlamentariske pause som følge af valget til Europa-Parlamentet gav udtryk for sin holdning og fremsatte henstillinger om vigtige spørgsmål, der </w:t>
            </w:r>
            <w:r>
              <w:rPr>
                <w:b/>
                <w:i/>
              </w:rPr>
              <w:t>er</w:t>
            </w:r>
            <w:r>
              <w:t xml:space="preserve"> rejst i andragender, herunder </w:t>
            </w:r>
            <w:r>
              <w:rPr>
                <w:b/>
                <w:i/>
              </w:rPr>
              <w:t>vedtagelse af</w:t>
            </w:r>
            <w:r>
              <w:t xml:space="preserve"> to missionsrapporter efter undersøgelsesrejser</w:t>
            </w:r>
            <w:r>
              <w:rPr>
                <w:b/>
                <w:i/>
              </w:rPr>
              <w:t>, som blev foretaget i anden halvdel af 2023, nemlig hhv. en mission til Irland om bygninger indeholdende glimmer og en mission til Spanien om immersiv sprogundervisning ("sprogbad") i Catalonien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Nils Ušakovs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noterer sig forespørgsel til mundtlig besvarelse fra Udvalget for Andragender til Kommissionen om arbejdsvilkårene for lærere i EU, som havde til formål at øge dette kernefags prestige og tiltrækningskraft, og som tog fat på strukturelle udfordringer såsom vedvarende mangel på kvalificerede lærere, navnlig i landdistrikter, utilstrækkelige lønniveauer, mangel på kollektive overenskomster, udbredelsen af tidsbegrænsede kontrakter, forringet </w:t>
            </w:r>
            <w:r>
              <w:rPr>
                <w:b/>
                <w:i/>
              </w:rPr>
              <w:t>infrastruktur</w:t>
            </w:r>
            <w:r>
              <w:rPr>
                <w:b/>
                <w:i/>
              </w:rPr>
              <w:t>kvalitet eller yderligere og besværlige administrative opgaver, der pålægges lærerne;</w:t>
            </w:r>
            <w:r>
              <w:t xml:space="preserve"> </w:t>
            </w:r>
            <w:r>
              <w:rPr>
                <w:b/>
                <w:i/>
              </w:rPr>
              <w:t>er stærkt foruroliget over Kommissionens mundtlige besvarelse, hvori den bekræfter, at </w:t>
            </w:r>
            <w:r>
              <w:rPr>
                <w:b/>
                <w:i/>
              </w:rPr>
              <w:t>lærer</w:t>
            </w:r>
            <w:r>
              <w:rPr>
                <w:b/>
                <w:i/>
              </w:rPr>
              <w:t>manglen er en kilde til </w:t>
            </w:r>
            <w:r>
              <w:rPr>
                <w:b/>
                <w:i/>
              </w:rPr>
              <w:t>alvorlig </w:t>
            </w:r>
            <w:r>
              <w:rPr>
                <w:b/>
                <w:i/>
              </w:rPr>
              <w:t>bekymring, hvilket også afspejles i de seneste PISA-resultater, som viser, at ikke en eneste medlemsstat har formået at forbedre de grundlæggende færdigheder;</w:t>
            </w:r>
            <w:r>
              <w:t xml:space="preserve"> </w:t>
            </w:r>
            <w:r>
              <w:rPr>
                <w:b/>
                <w:i/>
              </w:rPr>
              <w:t>opfordrer i den sammenhæng Kommissionen og medlemsstaterne til markant at skærpe indsatsen for at forbedre skolevæsnerne og samtidig øge lærerfagets tiltrækningskraft, bl.a. gennem finansiering og programmer såsom Den Europæiske Socialfond, genopretnings- og resiliensfaciliteten eller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bemærker det stigende antal andragender vedrørende uddannelsespolitik, ikke mindst anerkendelse af undervisningskvalifikationer på tværs af medlemsstaterne;</w:t>
            </w:r>
            <w:r>
              <w:t xml:space="preserve"> </w:t>
            </w:r>
            <w:r>
              <w:rPr>
                <w:b/>
                <w:i/>
              </w:rPr>
              <w:t>opfordrer til en mere resolut reaktion fra Kommissionens side på borgernes betænkeligheder på dette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opfordrer til, at der indføres tematiske opfølgningsrapporter og høringer, når flere andragender baseret på solid dokumentation og juridiske begrundelser vedrører samme emne (f.eks. miljø, </w:t>
            </w:r>
            <w:r>
              <w:rPr>
                <w:b/>
                <w:i/>
              </w:rPr>
              <w:t>rettigheder</w:t>
            </w:r>
            <w:r>
              <w:t xml:space="preserve"> </w:t>
            </w:r>
            <w:r>
              <w:rPr>
                <w:b/>
                <w:i/>
              </w:rPr>
              <w:t>for personer med handicap, grænseoverskridende uretfærdigheder), med henstillinger om systemiske lovgivningsmæssige eller politiske tiltag på EU-plan;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Pál Szekeres, Jean-Paul Garraud, Sebastian Kruis,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understreger, at webportalen for andragender er et vigtigt redskab til at sikre en smidig, effektiv og gennemsigtig proces for andragender; glæder sig over den forbedring, der er foretaget på portalen til gavn for andragerne, og understreger, at bestræbelserne på at gøre portalen mere tilgængelig skal fortsættes, idet den bl.a. skal gøres mere tilgængelig for personer med handicap; bemærker, at webportalen for andragender har været et af Parlamentets mest besøgte websteder og dermed har fungeret som et første kontaktpunkt med Parlamentet for mange EU-borgere;</w:t>
            </w:r>
          </w:p>
        </w:tc>
        <w:tc>
          <w:tcPr>
            <w:tcW w:w="4876" w:type="dxa"/>
            <w:tcBorders>
              <w:top w:val="nil"/>
              <w:left w:val="nil"/>
              <w:bottom w:val="nil"/>
              <w:right w:val="nil"/>
            </w:tcBorders>
          </w:tcPr>
          <w:p>
            <w:pPr>
              <w:pStyle w:val="Normal6a"/>
            </w:pPr>
            <w:r>
              <w:t>19.</w:t>
            </w:r>
            <w:r>
              <w:tab/>
            </w:r>
            <w:r>
              <w:t xml:space="preserve">understreger, at webportalen for andragender er et vigtigt redskab til at sikre en smidig, effektiv og gennemsigtig proces for andragender; glæder sig over den forbedring, der er foretaget på portalen til gavn for andragerne, og understreger, at bestræbelserne på at gøre portalen mere tilgængelig skal fortsættes, idet den bl.a. skal gøres mere tilgængelig for </w:t>
            </w:r>
            <w:r>
              <w:rPr>
                <w:b/>
                <w:i/>
              </w:rPr>
              <w:t>tegnsprogsbrugere (jf. andragende nr. 1056/2016) og for</w:t>
            </w:r>
            <w:r>
              <w:t xml:space="preserve"> personer med handicap; bemærker, at webportalen for andragender har været et af Parlamentets mest besøgte websteder og dermed har fungeret som et første kontaktpunkt med Parlamentet for mange EU-borgere;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anbefaler, at der indføres en mekanisme for konsekvensanalyse af andragender med henblik på årligt at evaluere effektiviteten og den lovgivningsmæssige indflydelse af andragender, herunder sager, hvor andragender har ført til traktatbrudssager, ny lovgivning eller institutionel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775.512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60</w:t>
    </w:r>
    <w:r>
      <w:fldChar w:fldCharType="end"/>
    </w:r>
    <w:r>
      <w:t>/</w:t>
    </w:r>
    <w:r>
      <w:fldChar w:fldCharType="begin"/>
    </w:r>
    <w:r>
      <w:instrText xml:space="preserve"> NUMPAGES </w:instrText>
    </w:r>
    <w:r>
      <w:fldChar w:fldCharType="separate"/>
    </w:r>
    <w:r>
      <w:t>61</w:t>
    </w:r>
    <w:r>
      <w:fldChar w:fldCharType="end"/>
    </w:r>
    <w:r>
      <w:tab/>
    </w:r>
    <w:r>
      <w:rPr>
        <w:rStyle w:val="HideTWBExt"/>
      </w:rPr>
      <w:t>&lt;PathFdR&gt;</w:t>
    </w:r>
    <w:r>
      <w:t>AM\1324335DA.docx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AM\1324335DA.docx</w:t>
    </w:r>
    <w:r>
      <w:rPr>
        <w:rStyle w:val="HideTWBExt"/>
      </w:rPr>
      <w:t>&lt;/PathFdR&gt;</w:t>
    </w:r>
    <w:r>
      <w:tab/>
    </w:r>
    <w:r>
      <w:fldChar w:fldCharType="begin"/>
    </w:r>
    <w:r>
      <w:instrText xml:space="preserve"> PAGE </w:instrText>
    </w:r>
    <w:r>
      <w:fldChar w:fldCharType="separate"/>
    </w:r>
    <w:r>
      <w:t>61</w:t>
    </w:r>
    <w:r>
      <w:fldChar w:fldCharType="end"/>
    </w:r>
    <w:r>
      <w:t>/</w:t>
    </w:r>
    <w:r>
      <w:fldChar w:fldCharType="begin"/>
    </w:r>
    <w:r>
      <w:instrText xml:space="preserve"> NUMPAGES </w:instrText>
    </w:r>
    <w:r>
      <w:fldChar w:fldCharType="separate"/>
    </w:r>
    <w:r>
      <w:t>61</w:t>
    </w:r>
    <w:r>
      <w:fldChar w:fldCharType="end"/>
    </w:r>
    <w:r>
      <w:tab/>
    </w:r>
    <w:r>
      <w:t>PE</w:t>
    </w:r>
    <w:r>
      <w:rPr>
        <w:rStyle w:val="HideTWBExt"/>
      </w:rPr>
      <w:t>&lt;NoPE&gt;</w:t>
    </w:r>
    <w:r>
      <w:t>775.512</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AM\1324335DA.docx</w:t>
    </w:r>
    <w:r>
      <w:rPr>
        <w:rStyle w:val="HideTWBExt"/>
      </w:rPr>
      <w:t>&lt;/PathFdR&gt;</w:t>
    </w:r>
    <w:r>
      <w:tab/>
    </w:r>
    <w:r>
      <w:tab/>
    </w:r>
    <w:r>
      <w:t>PE</w:t>
    </w:r>
    <w:r>
      <w:rPr>
        <w:rStyle w:val="HideTWBExt"/>
      </w:rPr>
      <w:t>&lt;NoPE&gt;</w:t>
    </w:r>
    <w:r>
      <w:t>775.512</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61</Pages>
  <Words>13089</Words>
  <Characters>80032</Characters>
  <Application>Microsoft Office Word</Application>
  <DocSecurity>0</DocSecurity>
  <Lines>1</Lines>
  <Paragraphs>879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1324335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217225</vt:lpwstr>
  </property>
  <property fmtid="{D5CDD505-2E9C-101B-9397-08002B2CF9AE}" pid="7" name="dmxml.render.traceId">
    <vt:lpwstr>687decbbb0febf1872b603153a3ac6b3</vt:lpwstr>
  </property>
  <property fmtid="{D5CDD505-2E9C-101B-9397-08002B2CF9AE}" pid="8" name="FooterPath">
    <vt:lpwstr>AM\1324335DA.docx</vt:lpwstr>
  </property>
  <property fmtid="{D5CDD505-2E9C-101B-9397-08002B2CF9AE}" pid="9" name="PE Number">
    <vt:lpwstr>775.512</vt:lpwstr>
  </property>
  <property fmtid="{D5CDD505-2E9C-101B-9397-08002B2CF9AE}" pid="10" name="UID">
    <vt:lpwstr>eu.europa.europarl-DIN1-2025-0000139003_01.00-da-01.00_text-xml</vt:lpwstr>
  </property>
</Properties>
</file>