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{PETI}</w:t>
      </w:r>
      <w:r>
        <w:t>Udvalget for Andragender</w:t>
      </w:r>
      <w:r>
        <w:rPr>
          <w:rStyle w:val="HideTWBExt"/>
        </w:rPr>
        <w:t>&lt;/Commission&gt;</w:t>
      </w:r>
    </w:p>
    <w:p>
      <w:pPr>
        <w:pStyle w:val="LineBottom"/>
      </w:pPr>
      <w:r>
        <w:t xml:space="preserve"> </w:t>
      </w:r>
    </w:p>
    <w:p>
      <w:pPr>
        <w:pStyle w:val="CoverReference"/>
      </w:pPr>
      <w:r>
        <w:rPr>
          <w:rStyle w:val="HideTWBExt"/>
        </w:rPr>
        <w:t>&lt;RefProc&gt;</w:t>
      </w:r>
      <w:r>
        <w:t>2025/2138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{16/12/2025}</w:t>
      </w:r>
      <w:r>
        <w:t>16.12.2025</w:t>
      </w:r>
      <w:r>
        <w:rPr>
          <w:rStyle w:val="HideTWBExt"/>
        </w:rPr>
        <w:t>&lt;/Date&gt;</w:t>
      </w:r>
    </w:p>
    <w:p>
      <w:pPr>
        <w:pStyle w:val="CoverDocType"/>
      </w:pPr>
      <w:r>
        <w:rPr>
          <w:rStyle w:val="HideTWBExt"/>
        </w:rPr>
        <w:t>&lt;TypeAM&gt;</w:t>
      </w:r>
      <w:r>
        <w:t>KOMPROMISÆNDRINGSFORSLAG</w:t>
      </w:r>
      <w:r>
        <w:rPr>
          <w:rStyle w:val="HideTWBExt"/>
        </w:rPr>
        <w:t>&lt;/TypeAM&gt;</w:t>
      </w:r>
    </w:p>
    <w:p>
      <w:pPr>
        <w:pStyle w:val="CoverDocType24a"/>
      </w:pPr>
      <w:r>
        <w:rPr>
          <w:rStyle w:val="HideTWBExt"/>
        </w:rPr>
        <w:t>&lt;RangeAM&gt;</w:t>
      </w:r>
      <w:r>
        <w:t>1</w:t>
      </w:r>
      <w:r>
        <w:t xml:space="preserve"> - </w:t>
      </w:r>
      <w:r>
        <w:t>28</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Cristina Guarda</w:t>
      </w:r>
      <w:r>
        <w:rPr>
          <w:rStyle w:val="HideTWBExt"/>
        </w:rPr>
        <w:t>&lt;/Rapporteur&gt;</w:t>
      </w:r>
    </w:p>
    <w:p>
      <w:pPr>
        <w:pStyle w:val="CoverNormal24a"/>
      </w:pPr>
      <w:r>
        <w:rPr>
          <w:rStyle w:val="HideTWBExt"/>
        </w:rPr>
        <w:t>&lt;DocRefPE&gt;</w:t>
      </w:r>
      <w:r>
        <w:t>(PE775.671v01-00)</w:t>
      </w:r>
      <w:r>
        <w:rPr>
          <w:rStyle w:val="HideTWBExt"/>
        </w:rPr>
        <w:t>&lt;/DocRefPE&gt;</w:t>
      </w:r>
    </w:p>
    <w:p>
      <w:pPr>
        <w:pStyle w:val="CoverNormal"/>
      </w:pPr>
      <w:r>
        <w:rPr>
          <w:rStyle w:val="HideTWBExt"/>
        </w:rPr>
        <w:t>&lt;Titre&gt;</w:t>
      </w:r>
      <w:r>
        <w:t>Den Europæiske Ombudsmands virksomhed – årsberetning 2024</w:t>
      </w:r>
      <w:r>
        <w:rPr>
          <w:rStyle w:val="HideTWBExt"/>
        </w:rPr>
        <w:t>&lt;/Titre&gt;</w:t>
      </w:r>
    </w:p>
    <w:p>
      <w:pPr>
        <w:pStyle w:val="CoverNormal24a"/>
      </w:pPr>
      <w:r>
        <w:rPr>
          <w:rStyle w:val="HideTWBExt"/>
        </w:rPr>
        <w:t>&lt;DocRef&gt;</w:t>
      </w:r>
      <w:r>
        <w:t>(2025/2138(INI))</w:t>
      </w:r>
      <w:r>
        <w:rPr>
          <w:rStyle w:val="HideTWBExt"/>
        </w:rPr>
        <w:t>&lt;/DocRef&gt;</w:t>
      </w:r>
    </w:p>
    <w:p>
      <w:r>
        <w:br w:type="page"/>
      </w:r>
      <w:r>
        <w:t>AM_Com_NonLegCompr</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10, 13 og 18</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Ombudsmandens arbejde bidrager til at hjælpe EU-institutionerne med at blive mere effektive, virkningsfulde, borgervenlige og ansvarlige og dermed øge borgernes tillid til det europæiske projekt;</w:t>
            </w:r>
            <w:r>
              <w:t xml:space="preserve"> </w:t>
            </w:r>
            <w:r>
              <w:rPr>
                <w:b/>
                <w:i/>
              </w:rPr>
              <w:t>der henviser til, at Ombudsmanden i forbindelse med udøvelsen af sit mandat kan være nødt til at håndtere nye fænomener, hvis omfang er steget betydeligt i den seneste tid, såsom desinformation og ondsindede aktiviteter fra tredjelande, der har til formål at undergrave borgernes tillid til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22 og 23</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der henviser til, at Ombudsmanden undersøgte Rådet for Den Europæiske Unions fortsatte brug af virksomhedssponsorater, da dette har givet anledning til </w:t>
            </w:r>
            <w:r>
              <w:rPr>
                <w:b/>
                <w:i/>
              </w:rPr>
              <w:t>vedvarende og betydelig</w:t>
            </w:r>
            <w:r>
              <w:t xml:space="preserve"> bekymring i offentligheden over den indflydelse, som sponsorer kan udøve på EU's beslutningsproces, navnlig på drøftelserne om EU's politik og lovgivning, der påvirker sådanne </w:t>
            </w:r>
            <w:r>
              <w:rPr>
                <w:b/>
                <w:i/>
              </w:rPr>
              <w:t>sponsorers private interesser, hvilket indebærer alvorlige omdømmemæssige risici for både Rådet og Unionen som helhed</w:t>
            </w:r>
            <w:r>
              <w:t>;</w:t>
            </w:r>
          </w:p>
        </w:tc>
        <w:tc>
          <w:tcPr>
            <w:tcW w:w="4876" w:type="dxa"/>
            <w:tcBorders>
              <w:top w:val="nil"/>
              <w:left w:val="nil"/>
              <w:bottom w:val="nil"/>
              <w:right w:val="nil"/>
            </w:tcBorders>
          </w:tcPr>
          <w:p>
            <w:pPr>
              <w:pStyle w:val="Normal6a"/>
            </w:pPr>
            <w:r>
              <w:t>J.</w:t>
            </w:r>
            <w:r>
              <w:tab/>
            </w:r>
            <w:r>
              <w:t xml:space="preserve">der henviser til, at Ombudsmanden undersøgte </w:t>
            </w:r>
            <w:r>
              <w:rPr>
                <w:b/>
                <w:i/>
              </w:rPr>
              <w:t>det roterende formandskab for</w:t>
            </w:r>
            <w:r>
              <w:t xml:space="preserve"> Rådet for Den Europæiske Unions fortsatte brug af virksomhedssponsorater, da dette har givet anledning til bekymring i offentligheden over den indflydelse, som sponsorer kan udøve på EU's beslutningsproces, navnlig på drøftelserne om EU's politik og lovgivning, der påvirker sådanne </w:t>
            </w:r>
            <w:r>
              <w:rPr>
                <w:b/>
                <w:i/>
              </w:rPr>
              <w:t>sponsorer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28</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der henviser til, at Ombudsmanden </w:t>
            </w:r>
            <w:r>
              <w:rPr>
                <w:b/>
                <w:i/>
              </w:rPr>
              <w:t>indledte en undersøgelse på grundlag af en klage fra ikkestatslige organisationer, der fordømte det forhold, at</w:t>
            </w:r>
            <w:r>
              <w:t xml:space="preserve"> den rådgivende industrielle gruppe under den europæiske platform for indkøb af gas</w:t>
            </w:r>
            <w:r>
              <w:rPr>
                <w:b/>
                <w:i/>
              </w:rPr>
              <w:t>, der er nedsat af Kommissionen, kun består af virksomheder, hvilket er i strid med Kommissionens regler om afbalanceret repræsentation</w:t>
            </w:r>
            <w:r>
              <w:t xml:space="preserve">; der henviser til, at Ombudsmanden fandt, at Kommissionens forklaringer med hensyn til </w:t>
            </w:r>
            <w:r>
              <w:rPr>
                <w:b/>
                <w:i/>
              </w:rPr>
              <w:t>den fuldstændige udelukkelse</w:t>
            </w:r>
            <w:r>
              <w:t xml:space="preserve"> af repræsentanter for civilsamfundet, selv med observatørstatus, fra denne gruppe ikke var overbevisende; </w:t>
            </w:r>
            <w:r>
              <w:rPr>
                <w:b/>
                <w:i/>
              </w:rPr>
              <w:t>der henviser til, at Ombudsmandens inspektionsbesøg viste, at gruppen drøftede og arbejdede for yderligere strukturel energiforsyning med fossile brændstoffer med sociale, miljømæssige, økonomiske og geopolitiske konsekvenser for EU;</w:t>
            </w:r>
          </w:p>
        </w:tc>
        <w:tc>
          <w:tcPr>
            <w:tcW w:w="4876" w:type="dxa"/>
            <w:tcBorders>
              <w:top w:val="nil"/>
              <w:left w:val="nil"/>
              <w:bottom w:val="nil"/>
              <w:right w:val="nil"/>
            </w:tcBorders>
          </w:tcPr>
          <w:p>
            <w:pPr>
              <w:pStyle w:val="Normal6a"/>
            </w:pPr>
            <w:r>
              <w:t>K.</w:t>
            </w:r>
            <w:r>
              <w:tab/>
            </w:r>
            <w:r>
              <w:t xml:space="preserve">der henviser til, at Ombudsmanden </w:t>
            </w:r>
            <w:r>
              <w:rPr>
                <w:b/>
                <w:i/>
              </w:rPr>
              <w:t>forhørte sig om, hvordan Kommissionen traf afgørelse om sammensætningen af</w:t>
            </w:r>
            <w:r>
              <w:t xml:space="preserve"> den rådgivende industrielle gruppe under den europæiske platform for indkøb af gas; der henviser til, at Ombudsmanden fandt, at Kommissionens forklaringer med hensyn til </w:t>
            </w:r>
            <w:r>
              <w:rPr>
                <w:b/>
                <w:i/>
              </w:rPr>
              <w:t>udelukkelsen</w:t>
            </w:r>
            <w:r>
              <w:t xml:space="preserve"> af repræsentanter for civilsamfundet, selv med observatørstatus, fra denne gruppe ikke var overbevisende;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30</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der henviser til, at Ombudsmanden gennemførte en klagebaseret undersøgelse af sammensætningen af Kommissionens Udvalg for Forskriftskontrol, hvis resultat bekræftede </w:t>
            </w:r>
            <w:r>
              <w:rPr>
                <w:b/>
                <w:i/>
              </w:rPr>
              <w:t>manglen på den nødvendige</w:t>
            </w:r>
            <w:r>
              <w:t xml:space="preserve"> sociale og miljømæssige ekspertise </w:t>
            </w:r>
            <w:r>
              <w:rPr>
                <w:b/>
                <w:i/>
              </w:rPr>
              <w:t>i strid med bestemmelserne i</w:t>
            </w:r>
            <w:r>
              <w:t xml:space="preserve"> Kommissionens meddelelse om Udvalget for Forskriftskontrol; der henviser til, at Ombudsmanden også undersøgte, hvordan Udvalget for Forskriftskontrol interagerer med interesserepræsentanter, og fastslog, at hvis opsøgende aktiviteter blandt medlemmer af Udvalget for Forskriftskontrol giver anledning til tvivl med hensyn til Udvalget for Forskriftskontrols uafhængighed og upartiskhed, bør medlemmerne af Udvalget for Forskriftskontrol afholde sig fra at udføre sådanne aktiviteter;</w:t>
            </w:r>
          </w:p>
        </w:tc>
        <w:tc>
          <w:tcPr>
            <w:tcW w:w="4876" w:type="dxa"/>
            <w:tcBorders>
              <w:top w:val="nil"/>
              <w:left w:val="nil"/>
              <w:bottom w:val="nil"/>
              <w:right w:val="nil"/>
            </w:tcBorders>
          </w:tcPr>
          <w:p>
            <w:pPr>
              <w:pStyle w:val="Normal6a"/>
            </w:pPr>
            <w:r>
              <w:t>L.</w:t>
            </w:r>
            <w:r>
              <w:tab/>
            </w:r>
            <w:r>
              <w:t>der henviser til, at Ombudsmanden gennemførte en klagebaseret undersøgelse af sammensætningen af Kommissionens Udvalg for Forskriftskontrol, hvis resultat bekræftede</w:t>
            </w:r>
            <w:r>
              <w:rPr>
                <w:b/>
                <w:i/>
              </w:rPr>
              <w:t>, at den nuværende sammensætning ikke i tilstrækkelig grad sikrer den</w:t>
            </w:r>
            <w:r>
              <w:t xml:space="preserve"> sociale og miljømæssige ekspertise</w:t>
            </w:r>
            <w:r>
              <w:rPr>
                <w:b/>
                <w:i/>
              </w:rPr>
              <w:t>, der kræves i henhold til</w:t>
            </w:r>
            <w:r>
              <w:t xml:space="preserve"> Kommissionens meddelelse om Udvalget for Forskriftskontrol; der henviser til, at Ombudsmanden også undersøgte, hvordan Udvalget for Forskriftskontrol interagerer med interesserepræsentanter, og fastslog, at hvis opsøgende aktiviteter blandt medlemmer af Udvalget for Forskriftskontrol giver anledning til tvivl med hensyn til Udvalget for Forskriftskontrols uafhængighed og upartiskhed, bør medlemmerne af Udvalget for Forskriftskontrol afholde sig fra at udføre sådanne aktiviteter;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35, 36, 37 og 38</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der henviser til, at Ombudsmanden iværksatte en undersøgelse af Kommissionens beslutning om kun at indbyde repræsentanter for industrien til en workshop om pesticider</w:t>
            </w:r>
            <w:r>
              <w:rPr>
                <w:b/>
                <w:i/>
              </w:rPr>
              <w:t>, et arbejdsområde, der har direkte indvirkning på sundhed og miljø,</w:t>
            </w:r>
            <w:r>
              <w:t xml:space="preserve"> og konkluderede, at </w:t>
            </w:r>
            <w:r>
              <w:rPr>
                <w:b/>
                <w:i/>
              </w:rPr>
              <w:t>Kommissionen</w:t>
            </w:r>
            <w:r>
              <w:t xml:space="preserve"> kunne </w:t>
            </w:r>
            <w:r>
              <w:rPr>
                <w:b/>
                <w:i/>
              </w:rPr>
              <w:t>have</w:t>
            </w:r>
            <w:r>
              <w:t xml:space="preserve"> sikret større gennemsigtighed; der henviser til, at Ombudsmanden fandt offentlighedens bekymring over tilrettelæggelsen af workshops alene for industrien for legitim, da disse opfattes som en mulighed for industrien til </w:t>
            </w:r>
            <w:r>
              <w:rPr>
                <w:b/>
                <w:i/>
              </w:rPr>
              <w:t>uretmæssigt</w:t>
            </w:r>
            <w:r>
              <w:t xml:space="preserve"> at påvirke Kommissionens arbejde; </w:t>
            </w:r>
            <w:r>
              <w:rPr>
                <w:b/>
                <w:i/>
              </w:rPr>
              <w:t>der henviser til, at Ombudsmanden i forbindelse med undersøgelsen af reglerne om substitution af farlige stoffer i pesticider, herunder en vejledning om sammenlignende vurdering, gav udtryk for særlig bekymring over Kommissionens undladelse af at handle for at forbedre reglerne om substitution af pesticider, selv om det siden 2020 har været kendt, at de var ineffektive;</w:t>
            </w:r>
          </w:p>
        </w:tc>
        <w:tc>
          <w:tcPr>
            <w:tcW w:w="4876" w:type="dxa"/>
            <w:tcBorders>
              <w:top w:val="nil"/>
              <w:left w:val="nil"/>
              <w:bottom w:val="nil"/>
              <w:right w:val="nil"/>
            </w:tcBorders>
          </w:tcPr>
          <w:p>
            <w:pPr>
              <w:pStyle w:val="Normal6a"/>
            </w:pPr>
            <w:r>
              <w:t>N.</w:t>
            </w:r>
            <w:r>
              <w:tab/>
            </w:r>
            <w:r>
              <w:t xml:space="preserve">der henviser til, at Ombudsmanden iværksatte en undersøgelse af Kommissionens beslutning om kun at indbyde repræsentanter for industrien til en workshop om pesticider og konkluderede, at </w:t>
            </w:r>
            <w:r>
              <w:rPr>
                <w:b/>
                <w:i/>
              </w:rPr>
              <w:t>der</w:t>
            </w:r>
            <w:r>
              <w:t xml:space="preserve"> kunne </w:t>
            </w:r>
            <w:r>
              <w:rPr>
                <w:b/>
                <w:i/>
              </w:rPr>
              <w:t>være</w:t>
            </w:r>
            <w:r>
              <w:t xml:space="preserve"> sikret større gennemsigtighed</w:t>
            </w:r>
            <w:r>
              <w:rPr>
                <w:b/>
                <w:i/>
              </w:rPr>
              <w:t>, og foreslog Kommissionen at udvikle en særlig webside, offentliggøre oplysninger og dokumenter om kommende pesticidarrangementer, så snart de bliver tilgængelige, og sikre, at alle relevante interessenter har mulighed for at fremsætte deres synspunkter</w:t>
            </w:r>
            <w:r>
              <w:t xml:space="preserve">; der henviser til, at Ombudsmanden fandt offentlighedens bekymring over tilrettelæggelsen af workshops alene for industrien for legitim, da disse opfattes som en mulighed for industrien til </w:t>
            </w:r>
            <w:r>
              <w:rPr>
                <w:b/>
                <w:i/>
              </w:rPr>
              <w:t>i uforholdsmæssig grad</w:t>
            </w:r>
            <w:r>
              <w:t xml:space="preserve"> at påvirke Kommissionens 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40, 41 og 42</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der henviser til, at Ombudsmanden undersøgte, hvordan Kommissionen behandlede påstandene om en interessekonflikt, der involverede en af dens kommissærer i forbindelse med Kommissionens håndtering af en klage om traktatbrud; </w:t>
            </w:r>
            <w:r>
              <w:rPr>
                <w:b/>
                <w:i/>
              </w:rPr>
              <w:t>der henviser til, at Ombudsmanden bekræftede, at Kommissionen besluttede at henvise klagen om traktatbrud til Kommissionens Generaldirektorat for Landbrug og Udvikling af Landdistrikter (GD AGRI), selv om den blev advaret om, at broderen til kommissæren med ansvar for landbrug var blandt de medlemmer af det polske parlament, der havde foreslået den pågældende lovgivning;</w:t>
            </w:r>
            <w:r>
              <w:t xml:space="preserve"> </w:t>
            </w:r>
            <w:r>
              <w:rPr>
                <w:b/>
                <w:i/>
              </w:rPr>
              <w:t>der henviser til, at Ombudsmanden fandt, at den måde, hvorpå Kommissionen havde vurderet interessekonflikten, var fejlbehæftet og blev opfattet som om den havde haft en negativ indvirkning på Kommissionens uafhængighed;</w:t>
            </w:r>
          </w:p>
        </w:tc>
        <w:tc>
          <w:tcPr>
            <w:tcW w:w="4876" w:type="dxa"/>
            <w:tcBorders>
              <w:top w:val="nil"/>
              <w:left w:val="nil"/>
              <w:bottom w:val="nil"/>
              <w:right w:val="nil"/>
            </w:tcBorders>
          </w:tcPr>
          <w:p>
            <w:pPr>
              <w:pStyle w:val="Normal6a"/>
            </w:pPr>
            <w:r>
              <w:t>O.</w:t>
            </w:r>
            <w:r>
              <w:tab/>
            </w:r>
            <w:r>
              <w:t>der henviser til, at Ombudsmanden undersøgte, hvordan Kommissionen behandlede påstandene om en interessekonflikt, der involverede en af dens kommissærer i forbindelse med Kommissionens håndtering af en klage om traktatbrud;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44 og 45</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der henviser til, at Parlamentet med næsten enstemmighed godkendte Ombudsmandens særberetning om den tid, det tager Kommissionen at behandle begæringer om aktindsigt, og anmodede Kommissionen om at </w:t>
            </w:r>
            <w:r>
              <w:rPr>
                <w:b/>
                <w:i/>
              </w:rPr>
              <w:t>korrigere de systemiske forsinkelser i sin behandling af</w:t>
            </w:r>
            <w:r>
              <w:t xml:space="preserve"> begæringer om aktindsigt</w:t>
            </w:r>
            <w:r>
              <w:rPr>
                <w:b/>
                <w:i/>
              </w:rPr>
              <w:t>, da de er i strid med de demokratiske principper, der er fastsat i EU-traktaterne</w:t>
            </w:r>
            <w:r>
              <w:t>; der henviser til, at Ombudsmanden konstaterede, at Kommissionen overskred de lovbestemte frister for gennemgang af oprindelige afgørelser om aktindsigt i 85 % af sagerne</w:t>
            </w:r>
            <w:r>
              <w:rPr>
                <w:b/>
                <w:i/>
              </w:rPr>
              <w:t>, og at der typisk forekom forsinkelser i forbindelse med begæringer om aktindsigt på områder af væsentlig offentlig betydning</w:t>
            </w:r>
            <w:r>
              <w:t xml:space="preserve">; der henviser til, at </w:t>
            </w:r>
            <w:r>
              <w:rPr>
                <w:b/>
                <w:i/>
              </w:rPr>
              <w:t>sådanne</w:t>
            </w:r>
            <w:r>
              <w:t xml:space="preserve"> forsinkelser </w:t>
            </w:r>
            <w:r>
              <w:rPr>
                <w:b/>
                <w:i/>
              </w:rPr>
              <w:t>har særligt alvorlige konsekvenser</w:t>
            </w:r>
            <w:r>
              <w:t xml:space="preserve"> i forbindelse med lovgivningsmæssige dokumenter</w:t>
            </w:r>
            <w:r>
              <w:rPr>
                <w:b/>
                <w:i/>
              </w:rPr>
              <w:t>, da de undergraver borgernes mulighed for at kontrollere EU's beslutninger og politikker rettidigt, hvilket hæmmer deres meningsfulde deltagelse i EU's demokratiske liv</w:t>
            </w:r>
            <w:r>
              <w:t>;</w:t>
            </w:r>
          </w:p>
        </w:tc>
        <w:tc>
          <w:tcPr>
            <w:tcW w:w="4876" w:type="dxa"/>
            <w:tcBorders>
              <w:top w:val="nil"/>
              <w:left w:val="nil"/>
              <w:bottom w:val="nil"/>
              <w:right w:val="nil"/>
            </w:tcBorders>
          </w:tcPr>
          <w:p>
            <w:pPr>
              <w:pStyle w:val="Normal6a"/>
            </w:pPr>
            <w:r>
              <w:t>P.</w:t>
            </w:r>
            <w:r>
              <w:tab/>
            </w:r>
            <w:r>
              <w:t xml:space="preserve">der henviser til, at Parlamentet med næsten enstemmighed godkendte Ombudsmandens særberetning om den tid, det tager Kommissionen at behandle begæringer om aktindsigt, og anmodede Kommissionen om at </w:t>
            </w:r>
            <w:r>
              <w:rPr>
                <w:b/>
                <w:i/>
              </w:rPr>
              <w:t>håndtere forsinkelserne i</w:t>
            </w:r>
            <w:r>
              <w:t xml:space="preserve"> begæringer om aktindsigt; der henviser til, at Ombudsmanden konstaterede, at Kommissionen overskred de lovbestemte frister for gennemgang af oprindelige afgørelser om aktindsigt i 85 % af sagerne; der henviser til, at forsinkelser </w:t>
            </w:r>
            <w:r>
              <w:rPr>
                <w:b/>
                <w:i/>
              </w:rPr>
              <w:t>kan være mere problematiske</w:t>
            </w:r>
            <w:r>
              <w:t xml:space="preserve"> i forbindelse med lovgivningsmæssige dokumenter;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47</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der henviser til, at Ombudsmanden iværksatte en række undersøgelser af den manglende aktindsigt i lovgivningsmæssige dokumenter og kritiserede Kommissionens afslag på at give aktindsigt i input fra interessenter og medlemsstater om EU's forordning om naturgenopretning</w:t>
            </w:r>
            <w:r>
              <w:rPr>
                <w:vertAlign w:val="superscript"/>
              </w:rPr>
              <w:t>3</w:t>
            </w:r>
            <w:r>
              <w:t xml:space="preserve">og til dokumenter om revision af EU-reglerne om fødevareinformation til forbrugerne; der henviser til, at Ombudsmanden ud fra et mere systemisk synspunkt undersøgte EU-institutionernes overholdelse af princippet om lovgivningsmæssig gennemsigtighed som fastsat i EU-traktaterne og konkluderede, at både Rådet og Kommissionen ikke fuldt ud </w:t>
            </w:r>
            <w:r>
              <w:rPr>
                <w:b/>
                <w:i/>
              </w:rPr>
              <w:t>gennemførte</w:t>
            </w:r>
            <w:r>
              <w:t xml:space="preserve"> dette princip;</w:t>
            </w:r>
          </w:p>
        </w:tc>
        <w:tc>
          <w:tcPr>
            <w:tcW w:w="4876" w:type="dxa"/>
            <w:tcBorders>
              <w:top w:val="nil"/>
              <w:left w:val="nil"/>
              <w:bottom w:val="nil"/>
              <w:right w:val="nil"/>
            </w:tcBorders>
          </w:tcPr>
          <w:p>
            <w:pPr>
              <w:pStyle w:val="Normal6a"/>
            </w:pPr>
            <w:r>
              <w:t>Q.</w:t>
            </w:r>
            <w:r>
              <w:tab/>
            </w:r>
            <w:r>
              <w:t>der henviser til, at Ombudsmanden iværksatte en række undersøgelser af den manglende aktindsigt i lovgivningsmæssige dokumenter og kritiserede Kommissionens afslag på at give aktindsigt i input fra interessenter og medlemsstater om EU's forordning om naturgenopretning</w:t>
            </w:r>
            <w:r>
              <w:rPr>
                <w:vertAlign w:val="superscript"/>
              </w:rPr>
              <w:t>3</w:t>
            </w:r>
            <w:r>
              <w:t xml:space="preserve"> og til dokumenter om revision af EU-reglerne om fødevareinformation til forbrugerne; der henviser til, at Ombudsmanden ud fra et mere systemisk synspunkt undersøgte EU-institutionernes overholdelse af princippet om lovgivningsmæssig gennemsigtighed som fastsat i EU-traktaterne og konkluderede, at både Rådet og Kommissionen ikke fuldt ud </w:t>
            </w:r>
            <w:r>
              <w:rPr>
                <w:b/>
                <w:i/>
              </w:rPr>
              <w:t>overholdt</w:t>
            </w:r>
            <w:r>
              <w:t xml:space="preserve"> dette princip;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Europa-Parlamentets og Rådets forordning (EU) 2024/1991 af 24. juni 2024 om naturgenopretning og om ændring af forordning (EU) 2022/869 (EUT L, 2024/1991, 29.7.2024, ELI: http://data.europa.eu/eli/reg/2024/1991/oj).</w:t>
            </w:r>
          </w:p>
        </w:tc>
        <w:tc>
          <w:tcPr>
            <w:tcW w:w="4876" w:type="dxa"/>
            <w:tcBorders>
              <w:top w:val="nil"/>
              <w:left w:val="nil"/>
              <w:bottom w:val="nil"/>
              <w:right w:val="nil"/>
            </w:tcBorders>
          </w:tcPr>
          <w:p>
            <w:pPr>
              <w:pStyle w:val="Normal6a"/>
            </w:pPr>
            <w:r>
              <w:rPr>
                <w:vertAlign w:val="superscript"/>
              </w:rPr>
              <w:t>3</w:t>
            </w:r>
            <w:r>
              <w:t xml:space="preserve"> </w:t>
            </w:r>
            <w:r>
              <w:t>Europa-Parlamentets og Rådets forordning (EU) 2024/1991 af 24. juni 2024 om naturgenopretning og om ændring af forordning (EU) 2022/869 (EUT L, 2024/1991, 29.7.2024, ELI: http://data.europa.eu/eli/reg/2024/1991/oj).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49, 51, 52 og 54</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der henviser til, at Ombudsmanden </w:t>
            </w:r>
            <w:r>
              <w:rPr>
                <w:b/>
                <w:i/>
              </w:rPr>
              <w:t>undersøgte</w:t>
            </w:r>
            <w:r>
              <w:t xml:space="preserve"> dødsfald i Middelhavet og </w:t>
            </w:r>
            <w:r>
              <w:rPr>
                <w:b/>
                <w:i/>
              </w:rPr>
              <w:t>kortlagde alvorlige mangler i Frontex' rolle i eftersøgnings- og redningsoperationer, herunder den manglende sikring af, at Frontex' observatører af grundlæggende rettigheder inddrages tilstrækkeligt i beslutningstagningen i maritime nødsituationer, samt manglen på Frontex' interne retningslinjer for udsendelse af nødsignaler;</w:t>
            </w:r>
            <w:r>
              <w:t xml:space="preserve"> </w:t>
            </w:r>
            <w:r>
              <w:rPr>
                <w:b/>
                <w:i/>
              </w:rPr>
              <w:t>der henviser til, at Ombudsmanden understregede, at der ikke findes nogen</w:t>
            </w:r>
            <w:r>
              <w:t xml:space="preserve"> ansvarlighedsmekanisme på EU-plan, som uafhængigt kan undersøge de nationale myndigheders </w:t>
            </w:r>
            <w:r>
              <w:rPr>
                <w:b/>
                <w:i/>
              </w:rPr>
              <w:t>rolle</w:t>
            </w:r>
            <w:r>
              <w:t xml:space="preserve">, Frontex' </w:t>
            </w:r>
            <w:r>
              <w:rPr>
                <w:b/>
                <w:i/>
              </w:rPr>
              <w:t>rolle</w:t>
            </w:r>
            <w:r>
              <w:t xml:space="preserve"> og Kommissionens </w:t>
            </w:r>
            <w:r>
              <w:rPr>
                <w:b/>
                <w:i/>
              </w:rPr>
              <w:t>rolle, som er ansvarlig for at sikre overholdelse af bestemmelserne om grundlæggende rettigheder i henhold til EU-traktaterne</w:t>
            </w:r>
            <w:r>
              <w:t>;</w:t>
            </w:r>
          </w:p>
        </w:tc>
        <w:tc>
          <w:tcPr>
            <w:tcW w:w="4876" w:type="dxa"/>
            <w:tcBorders>
              <w:top w:val="nil"/>
              <w:left w:val="nil"/>
              <w:bottom w:val="nil"/>
              <w:right w:val="nil"/>
            </w:tcBorders>
          </w:tcPr>
          <w:p>
            <w:pPr>
              <w:pStyle w:val="Normal6a"/>
            </w:pPr>
            <w:r>
              <w:t>R.</w:t>
            </w:r>
            <w:r>
              <w:tab/>
            </w:r>
            <w:r>
              <w:t xml:space="preserve">der henviser til, at Ombudsmanden </w:t>
            </w:r>
            <w:r>
              <w:rPr>
                <w:b/>
                <w:i/>
              </w:rPr>
              <w:t>har gennemført en undersøgelse efter de mange</w:t>
            </w:r>
            <w:r>
              <w:t xml:space="preserve"> dødsfald i Middelhavet og </w:t>
            </w:r>
            <w:r>
              <w:rPr>
                <w:b/>
                <w:i/>
              </w:rPr>
              <w:t>har foreslået en</w:t>
            </w:r>
            <w:r>
              <w:t xml:space="preserve"> ansvarlighedsmekanisme på EU-plan, som uafhængigt kan undersøge de nationale myndigheders, Frontex' og Kommissionens </w:t>
            </w:r>
            <w:r>
              <w:rPr>
                <w:b/>
                <w:i/>
              </w:rPr>
              <w:t>respektive roller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57 og 58</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der henviser til, at </w:t>
            </w:r>
            <w:r>
              <w:rPr>
                <w:b/>
                <w:i/>
              </w:rPr>
              <w:t>Kommissionens afslag på at offentliggøre</w:t>
            </w:r>
            <w:r>
              <w:t xml:space="preserve"> dokumenter vedrørende interessenternes input til dens lovgivningsforslag om bekæmpelse af seksuelt misbrug af børn </w:t>
            </w:r>
            <w:r>
              <w:rPr>
                <w:b/>
                <w:i/>
              </w:rPr>
              <w:t>ifølge Ombudsmanden udgjorde dårlig forvaltning, da det</w:t>
            </w:r>
            <w:r>
              <w:t xml:space="preserve"> forhindrede offentligheden i at undersøge sådanne private interessenters indvirkning og indflydelse;</w:t>
            </w:r>
          </w:p>
        </w:tc>
        <w:tc>
          <w:tcPr>
            <w:tcW w:w="4876" w:type="dxa"/>
            <w:tcBorders>
              <w:top w:val="nil"/>
              <w:left w:val="nil"/>
              <w:bottom w:val="nil"/>
              <w:right w:val="nil"/>
            </w:tcBorders>
          </w:tcPr>
          <w:p>
            <w:pPr>
              <w:pStyle w:val="Normal6a"/>
            </w:pPr>
            <w:r>
              <w:t>S.</w:t>
            </w:r>
            <w:r>
              <w:tab/>
            </w:r>
            <w:r>
              <w:t xml:space="preserve">der henviser til, at </w:t>
            </w:r>
            <w:r>
              <w:rPr>
                <w:b/>
                <w:i/>
              </w:rPr>
              <w:t>Kommissionen ifølge Ombudsmanden kunne have givet større adgang til</w:t>
            </w:r>
            <w:r>
              <w:t xml:space="preserve"> dokumenter vedrørende interessenternes input til dens lovgivningsforslag om bekæmpelse af seksuelt misbrug af børn</w:t>
            </w:r>
            <w:r>
              <w:rPr>
                <w:b/>
                <w:i/>
              </w:rPr>
              <w:t>, da den begrænsede adgang</w:t>
            </w:r>
            <w:r>
              <w:t xml:space="preserve"> forhindrede offentligheden i at undersøge sådanne private interessenters indvirkning og indflydelse;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66, 67, 68, 71 og 72</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er </w:t>
            </w:r>
            <w:r>
              <w:rPr>
                <w:b/>
                <w:i/>
              </w:rPr>
              <w:t>særdeles</w:t>
            </w:r>
            <w:r>
              <w:t xml:space="preserve"> bekymret over Kommissionens tilsidesættelse af de juridisk bindende frister for udarbejdelse af godkendelsesafgørelser vedrørende farlige kemiske stoffer</w:t>
            </w:r>
            <w:r>
              <w:rPr>
                <w:b/>
                <w:i/>
              </w:rPr>
              <w:t>;</w:t>
            </w:r>
            <w:r>
              <w:t xml:space="preserve"> </w:t>
            </w:r>
            <w:r>
              <w:rPr>
                <w:b/>
                <w:i/>
              </w:rPr>
              <w:t>understreger, at Kommissionens betydelige forsinkelser udgør en alvorlig trussel mod menneskers sundhed og miljøet, da virksomhederne fortsat er i stand til at anvende sådanne kemiske stoffer</w:t>
            </w:r>
            <w:r>
              <w:t xml:space="preserve">, herunder per- og polyfluoralkylstoffer (PFAS), som er forbundet med </w:t>
            </w:r>
            <w:r>
              <w:rPr>
                <w:b/>
                <w:i/>
              </w:rPr>
              <w:t>øget risiko for kræft og genetiske skader samt med nedsat reproduktiv sundhed</w:t>
            </w:r>
            <w:r>
              <w:t>;</w:t>
            </w:r>
          </w:p>
        </w:tc>
        <w:tc>
          <w:tcPr>
            <w:tcW w:w="4876" w:type="dxa"/>
            <w:tcBorders>
              <w:top w:val="nil"/>
              <w:left w:val="nil"/>
              <w:bottom w:val="nil"/>
              <w:right w:val="nil"/>
            </w:tcBorders>
          </w:tcPr>
          <w:p>
            <w:pPr>
              <w:pStyle w:val="Normal6a"/>
            </w:pPr>
            <w:r>
              <w:t>4.</w:t>
            </w:r>
            <w:r>
              <w:tab/>
            </w:r>
            <w:r>
              <w:t>er bekymret over Kommissionens tilsidesættelse af de juridisk bindende frister for udarbejdelse af godkendelsesafgørelser vedrørende farlige kemiske stoffer, herunder per- og polyfluoralkylstoffer (PFAS)</w:t>
            </w:r>
            <w:r>
              <w:rPr>
                <w:b/>
                <w:i/>
              </w:rPr>
              <w:t>;</w:t>
            </w:r>
            <w:r>
              <w:t xml:space="preserve"> </w:t>
            </w:r>
            <w:r>
              <w:rPr>
                <w:b/>
                <w:i/>
              </w:rPr>
              <w:t>understreger, at overholdelse af disse frister er afgørende for at sikre beskyttelsen af menneskers sundhed og miljøet samt retssikkerheden og forudsigeligheden i EU's beslutningsproces;</w:t>
            </w:r>
            <w:r>
              <w:t xml:space="preserve"> </w:t>
            </w:r>
            <w:r>
              <w:rPr>
                <w:b/>
                <w:i/>
              </w:rPr>
              <w:t>understreger, at Kommissionen for at imødegå de sundheds- og miljømæssige risici</w:t>
            </w:r>
            <w:r>
              <w:t xml:space="preserve">, som er forbundet med </w:t>
            </w:r>
            <w:r>
              <w:rPr>
                <w:b/>
                <w:i/>
              </w:rPr>
              <w:t>PFAS, bør koordinere med medlemsstaterne, deres nationale og lokale myndigheder, men også med relevante civilsamfundsorganisationer, den akademiske verden og videnskabelige institutioner, som spiller en afgørende rolle på dette område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77 og 78</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mener, at Kommissionen som en prioritet skal tage fat på alle de alvorlige mangler </w:t>
            </w:r>
            <w:r>
              <w:rPr>
                <w:b/>
                <w:i/>
              </w:rPr>
              <w:t>i forbindelse med</w:t>
            </w:r>
            <w:r>
              <w:t xml:space="preserve"> dens risikostyring i forbindelse med særligt problematiske stoffer </w:t>
            </w:r>
            <w:r>
              <w:rPr>
                <w:b/>
                <w:i/>
              </w:rPr>
              <w:t>og afvise enhver anmodning om godkendelse af sådanne stoffer og forbyde anvendelsen heraf, hvis der er vedvarende usikkerhed med hensyn til beskyttelsen af</w:t>
            </w:r>
            <w:r>
              <w:t xml:space="preserve"> menneskers sundhed og miljøet; er fast overbevist om, at Kommissionen </w:t>
            </w:r>
            <w:r>
              <w:rPr>
                <w:b/>
                <w:i/>
              </w:rPr>
              <w:t>fuldt ud</w:t>
            </w:r>
            <w:r>
              <w:t xml:space="preserve"> bør gennemføre </w:t>
            </w:r>
            <w:r>
              <w:rPr>
                <w:b/>
                <w:i/>
              </w:rPr>
              <w:t>alle de henstillinger, der følger af</w:t>
            </w:r>
            <w:r>
              <w:t xml:space="preserve"> Ombudsmandens undersøgelse, herunder </w:t>
            </w:r>
            <w:r>
              <w:rPr>
                <w:b/>
                <w:i/>
              </w:rPr>
              <w:t>en henstilling om, at</w:t>
            </w:r>
            <w:r>
              <w:t xml:space="preserve"> ansøgninger </w:t>
            </w:r>
            <w:r>
              <w:rPr>
                <w:b/>
                <w:i/>
              </w:rPr>
              <w:t>om godkendelse af et særligt problematisk stof</w:t>
            </w:r>
            <w:r>
              <w:t>, der mangler alle de nødvendige oplysninger</w:t>
            </w:r>
            <w:r>
              <w:rPr>
                <w:b/>
                <w:i/>
              </w:rPr>
              <w:t>, afvises for at sikre, at virksomheder ikke fortsat må anvende disse farlige stoffer</w:t>
            </w:r>
            <w:r>
              <w:t>;</w:t>
            </w:r>
          </w:p>
        </w:tc>
        <w:tc>
          <w:tcPr>
            <w:tcW w:w="4876" w:type="dxa"/>
            <w:tcBorders>
              <w:top w:val="nil"/>
              <w:left w:val="nil"/>
              <w:bottom w:val="nil"/>
              <w:right w:val="nil"/>
            </w:tcBorders>
          </w:tcPr>
          <w:p>
            <w:pPr>
              <w:pStyle w:val="Normal6a"/>
            </w:pPr>
            <w:r>
              <w:t>5.</w:t>
            </w:r>
            <w:r>
              <w:tab/>
            </w:r>
            <w:r>
              <w:t xml:space="preserve">mener, at Kommissionen som en prioritet skal tage fat på alle de alvorlige mangler </w:t>
            </w:r>
            <w:r>
              <w:rPr>
                <w:b/>
                <w:i/>
              </w:rPr>
              <w:t>ved</w:t>
            </w:r>
            <w:r>
              <w:t xml:space="preserve"> dens risikostyring i forbindelse med særligt problematiske stoffer</w:t>
            </w:r>
            <w:r>
              <w:rPr>
                <w:b/>
                <w:i/>
              </w:rPr>
              <w:t>, herunder ved at revidere sine interne procedurer for at sikre, at den kan træffe hurtigere afgørelser om disse ansøgninger i overensstemmelse med REACH-forordningens mål om at beskytte</w:t>
            </w:r>
            <w:r>
              <w:t xml:space="preserve"> menneskers sundhed og miljøet; er fast overbevist om, at Kommissionen bør gennemføre </w:t>
            </w:r>
            <w:r>
              <w:rPr>
                <w:b/>
                <w:i/>
              </w:rPr>
              <w:t>henstillingerne fra</w:t>
            </w:r>
            <w:r>
              <w:t xml:space="preserve"> Ombudsmandens undersøgelse, herunder </w:t>
            </w:r>
            <w:r>
              <w:rPr>
                <w:b/>
                <w:i/>
              </w:rPr>
              <w:t>henstillingen vedrørende</w:t>
            </w:r>
            <w:r>
              <w:t xml:space="preserve"> ansøgninger, der mangler alle de nødvendige oplysninger;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82, 83, 84 og 87</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er af den faste overbevisning, at den fortsatte godkendelse af farlige pesticider skal ophøre med det samme;</w:t>
            </w:r>
            <w:r>
              <w:t xml:space="preserve"> understreger, at Kommissionen </w:t>
            </w:r>
            <w:r>
              <w:rPr>
                <w:b/>
                <w:i/>
              </w:rPr>
              <w:t>skal</w:t>
            </w:r>
            <w:r>
              <w:t xml:space="preserve"> forbedre reglerne om erstatning af farlige stoffer i pesticider </w:t>
            </w:r>
            <w:r>
              <w:rPr>
                <w:b/>
                <w:i/>
              </w:rPr>
              <w:t>betydeligt</w:t>
            </w:r>
            <w:r>
              <w:t xml:space="preserve"> for </w:t>
            </w:r>
            <w:r>
              <w:rPr>
                <w:b/>
                <w:i/>
              </w:rPr>
              <w:t>at fremme</w:t>
            </w:r>
            <w:r>
              <w:t xml:space="preserve"> sikre </w:t>
            </w:r>
            <w:r>
              <w:rPr>
                <w:b/>
                <w:i/>
              </w:rPr>
              <w:t>ikke‑kemiske</w:t>
            </w:r>
            <w:r>
              <w:t xml:space="preserve"> alternativer </w:t>
            </w:r>
            <w:r>
              <w:rPr>
                <w:b/>
                <w:i/>
              </w:rPr>
              <w:t>og hurtigt bevæge sig i retning af et bæredygtigt fødevaresystem og et giftfrit miljø;</w:t>
            </w:r>
            <w:r>
              <w:t xml:space="preserve"> </w:t>
            </w:r>
            <w:r>
              <w:rPr>
                <w:b/>
                <w:i/>
              </w:rPr>
              <w:t>opfordrer indtrængende Kommissionen til at afstå fra at godkende "aktivstoffer" i pesticider, når det ikke er konstateret, at de er sikre at anvende, eller når der er behov for yderligere data for at få bekræftet, at de er sikre, og det i betragtning af de alvorlige konsekvenser, som anvendelsen af pesticider allerede har haft for menneskers sundhed og for miljøet, under fuld anvendelse af forsigtighedsprincippet</w:t>
            </w:r>
            <w:r>
              <w:t xml:space="preserve">; opfordrer Kommissionen til at sikre, at godkendelsesprocessen er fuldstændig gennemsigtig og </w:t>
            </w:r>
            <w:r>
              <w:rPr>
                <w:b/>
                <w:i/>
              </w:rPr>
              <w:t>fri for</w:t>
            </w:r>
            <w:r>
              <w:t xml:space="preserve"> interessekonflikter</w:t>
            </w:r>
            <w:r>
              <w:rPr>
                <w:b/>
                <w:i/>
              </w:rPr>
              <w:t>, og til at forpligte sig til at sætte en stopper for anvendelsen af alle syntetiske pesticider senest i 2035</w:t>
            </w:r>
            <w:r>
              <w:t>;</w:t>
            </w:r>
          </w:p>
        </w:tc>
        <w:tc>
          <w:tcPr>
            <w:tcW w:w="4876" w:type="dxa"/>
            <w:tcBorders>
              <w:top w:val="nil"/>
              <w:left w:val="nil"/>
              <w:bottom w:val="nil"/>
              <w:right w:val="nil"/>
            </w:tcBorders>
          </w:tcPr>
          <w:p>
            <w:pPr>
              <w:pStyle w:val="Normal6a"/>
            </w:pPr>
            <w:r>
              <w:t>6.</w:t>
            </w:r>
            <w:r>
              <w:tab/>
            </w:r>
            <w:r>
              <w:t xml:space="preserve">understreger, at Kommissionen </w:t>
            </w:r>
            <w:r>
              <w:rPr>
                <w:b/>
                <w:i/>
              </w:rPr>
              <w:t>bør</w:t>
            </w:r>
            <w:r>
              <w:t xml:space="preserve"> forbedre reglerne om erstatning af farlige stoffer i pesticider for </w:t>
            </w:r>
            <w:r>
              <w:rPr>
                <w:b/>
                <w:i/>
              </w:rPr>
              <w:t>bedre at kunne tage hensyn til effektive og</w:t>
            </w:r>
            <w:r>
              <w:t xml:space="preserve"> sikre </w:t>
            </w:r>
            <w:r>
              <w:rPr>
                <w:b/>
                <w:i/>
              </w:rPr>
              <w:t>ikke-kemiske</w:t>
            </w:r>
            <w:r>
              <w:t xml:space="preserve"> alternativer; opfordrer Kommissionen til at sikre, at godkendelsesprocessen er fuldstændig gennemsigtig og </w:t>
            </w:r>
            <w:r>
              <w:rPr>
                <w:b/>
                <w:i/>
              </w:rPr>
              <w:t>følger strenge sikkerhedsforanstaltninger mod</w:t>
            </w:r>
            <w:r>
              <w:t xml:space="preserve"> interessekonflikter </w:t>
            </w:r>
            <w:r>
              <w:rPr>
                <w:b/>
                <w:i/>
              </w:rPr>
              <w:t>under behørig hensyntagen til Ombudsmandens forslag til forbedringer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88, 91 og 92</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understreger, at EU-institutionerne skal garantere </w:t>
            </w:r>
            <w:r>
              <w:rPr>
                <w:b/>
                <w:i/>
              </w:rPr>
              <w:t>fuld</w:t>
            </w:r>
            <w:r>
              <w:t xml:space="preserve"> gennemsigtighed og den højeste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w:t>
            </w:r>
            <w:r>
              <w:rPr>
                <w:b/>
                <w:i/>
              </w:rPr>
              <w:t>herunder så længe lovgivningsprocessen er i gang,</w:t>
            </w:r>
            <w:r>
              <w:t xml:space="preserve"> således som det også fremgår af EU-Domstolens praksis; understreger, at EU-institutioner, -agenturer, -organer og -kontorer skal sikre </w:t>
            </w:r>
            <w:r>
              <w:rPr>
                <w:b/>
                <w:i/>
              </w:rPr>
              <w:t>fuld</w:t>
            </w:r>
            <w:r>
              <w:t xml:space="preserve"> gennemsigtighed </w:t>
            </w:r>
            <w:r>
              <w:rPr>
                <w:b/>
                <w:i/>
              </w:rPr>
              <w:t>og overholde</w:t>
            </w:r>
            <w:r>
              <w:t xml:space="preserve"> de højeste etiske standarder i deres interaktion med private interessenter;</w:t>
            </w:r>
          </w:p>
        </w:tc>
        <w:tc>
          <w:tcPr>
            <w:tcW w:w="4876" w:type="dxa"/>
            <w:tcBorders>
              <w:top w:val="nil"/>
              <w:left w:val="nil"/>
              <w:bottom w:val="nil"/>
              <w:right w:val="nil"/>
            </w:tcBorders>
          </w:tcPr>
          <w:p>
            <w:pPr>
              <w:pStyle w:val="Normal6a"/>
            </w:pPr>
            <w:r>
              <w:t>7.</w:t>
            </w:r>
            <w:r>
              <w:tab/>
            </w:r>
            <w:r>
              <w:t xml:space="preserve">understreger, at EU-institutionerne skal garantere gennemsigtighed og den højeste </w:t>
            </w:r>
            <w:r>
              <w:rPr>
                <w:b/>
                <w:i/>
              </w:rPr>
              <w:t>passende</w:t>
            </w:r>
            <w:r>
              <w:t xml:space="preserve"> grad af borgerdeltagelse i EU's beslutningsproces; mener, at det er yderst vigtigt at sikre, at borgerne kan drage beslutningstagerne til ansvar, fuldt ud udøve deres demokratiske rettigheder og have adgang til alle relevante oplysninger og dokumenter, navnlig dem af lovgivningsmæssig karakter, således som det også fremgår af EU-Domstolens praksis; understreger, at EU-institutioner, -agenturer, -organer og -kontorer skal sikre gennemsigtighed </w:t>
            </w:r>
            <w:r>
              <w:rPr>
                <w:b/>
                <w:i/>
              </w:rPr>
              <w:t>i de politiske forhandlinger, samtidig med at der tages hensyn til behovet for en effektiv gennemførelse heraf og overholdelse af</w:t>
            </w:r>
            <w:r>
              <w:t xml:space="preserve"> de højeste etiske standarder i deres interaktion med private interessenter;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102, 104, 105 og 106</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fremhæver </w:t>
            </w:r>
            <w:r>
              <w:rPr>
                <w:b/>
                <w:i/>
              </w:rPr>
              <w:t>den altafgørende betydning</w:t>
            </w:r>
            <w:r>
              <w:t xml:space="preserve"> af Ombudsmandens aktiviteter med hensyn til at bidrage til at forbedre den afbalancerede sammensætning af Kommissionens ekspertgrupper, navnlig den rådgivende industrielle gruppe under den europæiske platform for indkøb af gas, i betragtning af de store sociale og miljømæssige interesser, der er involveret med hensyn til energipolitikker; </w:t>
            </w:r>
            <w:r>
              <w:rPr>
                <w:b/>
                <w:i/>
              </w:rPr>
              <w:t>beklager dybt</w:t>
            </w:r>
            <w:r>
              <w:t xml:space="preserve">, at Kommissionen besluttede </w:t>
            </w:r>
            <w:r>
              <w:rPr>
                <w:b/>
                <w:i/>
              </w:rPr>
              <w:t>helt at udelukke</w:t>
            </w:r>
            <w:r>
              <w:t xml:space="preserve"> repræsentanter for civilsamfundet </w:t>
            </w:r>
            <w:r>
              <w:rPr>
                <w:b/>
                <w:i/>
              </w:rPr>
              <w:t>fra</w:t>
            </w:r>
            <w:r>
              <w:t xml:space="preserve"> denne gruppe </w:t>
            </w:r>
            <w:r>
              <w:rPr>
                <w:b/>
                <w:i/>
              </w:rPr>
              <w:t>og give industrier for fossile brændstoffer privilegeret og uovervåget adgang til EU's politiske beslutningstagere og øge deres indflydelse på EU's beslutningstagning og dermed undergrave borgernes tillid, den offentlige kontrol og gennemsigtigheden</w:t>
            </w:r>
            <w:r>
              <w:t>;</w:t>
            </w:r>
          </w:p>
        </w:tc>
        <w:tc>
          <w:tcPr>
            <w:tcW w:w="4876" w:type="dxa"/>
            <w:tcBorders>
              <w:top w:val="nil"/>
              <w:left w:val="nil"/>
              <w:bottom w:val="nil"/>
              <w:right w:val="nil"/>
            </w:tcBorders>
          </w:tcPr>
          <w:p>
            <w:pPr>
              <w:pStyle w:val="Normal6a"/>
            </w:pPr>
            <w:r>
              <w:t>9.</w:t>
            </w:r>
            <w:r>
              <w:tab/>
            </w:r>
            <w:r>
              <w:t xml:space="preserve">fremhæver </w:t>
            </w:r>
            <w:r>
              <w:rPr>
                <w:b/>
                <w:i/>
              </w:rPr>
              <w:t>betydningen</w:t>
            </w:r>
            <w:r>
              <w:t xml:space="preserve"> af Ombudsmandens aktiviteter med hensyn til at </w:t>
            </w:r>
            <w:r>
              <w:rPr>
                <w:b/>
                <w:i/>
              </w:rPr>
              <w:t>øge gennemsigtigheden og</w:t>
            </w:r>
            <w:r>
              <w:t xml:space="preserve"> bidrage til at forbedre den afbalancerede sammensætning af Kommissionens ekspertgrupper, navnlig den rådgivende industrielle gruppe under den europæiske platform for indkøb af gas, i betragtning af de store </w:t>
            </w:r>
            <w:r>
              <w:rPr>
                <w:b/>
                <w:i/>
              </w:rPr>
              <w:t>økonomiske,</w:t>
            </w:r>
            <w:r>
              <w:t xml:space="preserve"> sociale og miljømæssige interesser, der er involveret med hensyn til energipolitikker; </w:t>
            </w:r>
            <w:r>
              <w:rPr>
                <w:b/>
                <w:i/>
              </w:rPr>
              <w:t>bemærker</w:t>
            </w:r>
            <w:r>
              <w:t xml:space="preserve">, at Kommissionen besluttede </w:t>
            </w:r>
            <w:r>
              <w:rPr>
                <w:b/>
                <w:i/>
              </w:rPr>
              <w:t>ikke at medtage</w:t>
            </w:r>
            <w:r>
              <w:t xml:space="preserve"> repræsentanter for civilsamfundet </w:t>
            </w:r>
            <w:r>
              <w:rPr>
                <w:b/>
                <w:i/>
              </w:rPr>
              <w:t>i</w:t>
            </w:r>
            <w:r>
              <w:t xml:space="preserve"> denne gruppe</w:t>
            </w:r>
            <w:r>
              <w:rPr>
                <w:b/>
                <w:i/>
              </w:rPr>
              <w:t>;</w:t>
            </w:r>
            <w:r>
              <w:t xml:space="preserve"> </w:t>
            </w:r>
            <w:r>
              <w:rPr>
                <w:b/>
                <w:i/>
              </w:rPr>
              <w:t>er af den opfattelse, at den europæiske offentlighed bør informeres om profilen for alle medlemmer af ekspertgrupperne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113 og 115</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støtter</w:t>
            </w:r>
            <w:r>
              <w:t xml:space="preserve"> Ombudsmandens forslag til forbedring af Udvalget for Forskriftskontrol</w:t>
            </w:r>
            <w:r>
              <w:rPr>
                <w:b/>
                <w:i/>
              </w:rPr>
              <w:t>;</w:t>
            </w:r>
            <w:r>
              <w:t xml:space="preserve"> </w:t>
            </w:r>
            <w:r>
              <w:rPr>
                <w:b/>
                <w:i/>
              </w:rPr>
              <w:t>mener, at det er afgørende, at medlemmerne af Udvalget for Forskriftskontrol vurderer både den faktiske risiko for utilbørlig påvirkning og offentlighedens opfattelse af deres uafhængighed, når de vælger deres outreachaktiviteter, og at de undgår at afholde møder med individuelle interesserepræsentanter</w:t>
            </w:r>
            <w:r>
              <w:t>; opfordrer Kommissionen til at sikre, at sammensætningen af Udvalget for Forskriftskontrol fuldt ud afspejler den mangfoldighed af ekspertise, der er specificeret i dens tilhørende meddelelse</w:t>
            </w:r>
            <w:r>
              <w:rPr>
                <w:b/>
                <w:i/>
              </w:rPr>
              <w:t>, dvs. de tre søjler i bæredygtig udvikling, nemlig makro- og mikroøkonomi, socialpolitik og miljøpolitik, og til klart at beskrive de kriterier, den anvender ved udvælgelsen af medlemmer af Udvalget for Forskriftskontrol, i betragtning af den centrale rolle, som Udvalget for Forskriftskontrol spiller, og den betydelige indflydelse, som dets udtalelser har på Kommissionens beslutningstagning inden for EU's lovgivningsprocedure</w:t>
            </w:r>
            <w:r>
              <w:t>;</w:t>
            </w:r>
          </w:p>
        </w:tc>
        <w:tc>
          <w:tcPr>
            <w:tcW w:w="4876" w:type="dxa"/>
            <w:tcBorders>
              <w:top w:val="nil"/>
              <w:left w:val="nil"/>
              <w:bottom w:val="nil"/>
              <w:right w:val="nil"/>
            </w:tcBorders>
          </w:tcPr>
          <w:p>
            <w:pPr>
              <w:pStyle w:val="Normal6a"/>
            </w:pPr>
            <w:r>
              <w:t>11.</w:t>
            </w:r>
            <w:r>
              <w:tab/>
            </w:r>
            <w:r>
              <w:rPr>
                <w:b/>
                <w:i/>
              </w:rPr>
              <w:t>noterer sig</w:t>
            </w:r>
            <w:r>
              <w:t xml:space="preserve"> Ombudsmandens forslag til forbedring af Udvalget for Forskriftskontrol; opfordrer Kommissionen til at sikre, at sammensætningen af Udvalget for Forskriftskontrol fuldt ud afspejler den mangfoldighed af ekspertise, der er specificeret i dens tilhørende meddelelse;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118, 119, 120 og 120</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roser</w:t>
            </w:r>
            <w:r>
              <w:t xml:space="preserve"> Ombudsmandens </w:t>
            </w:r>
            <w:r>
              <w:rPr>
                <w:b/>
                <w:i/>
              </w:rPr>
              <w:t>undersøgelser</w:t>
            </w:r>
            <w:r>
              <w:t xml:space="preserve"> af, hvordan Kommissionen udarbejdede et forslag om ændring af lovgivningen vedrørende den fælles landbrugspolitik</w:t>
            </w:r>
            <w:r>
              <w:rPr>
                <w:b/>
                <w:i/>
              </w:rPr>
              <w:t>;</w:t>
            </w:r>
            <w:r>
              <w:t xml:space="preserve"> </w:t>
            </w:r>
            <w:r>
              <w:rPr>
                <w:b/>
                <w:i/>
              </w:rPr>
              <w:t>beklager, at Kommissionen i forbindelse med udarbejdelsen af det pågældende forslag ikke foretog</w:t>
            </w:r>
            <w:r>
              <w:t xml:space="preserve"> en konsekvensanalyse</w:t>
            </w:r>
            <w:r>
              <w:rPr>
                <w:b/>
                <w:i/>
              </w:rPr>
              <w:t>, valgte ikke at høre miljøorganisationer og undlod at høre den brede offentlighed på passende vis;</w:t>
            </w:r>
            <w:r>
              <w:t xml:space="preserve"> </w:t>
            </w:r>
            <w:r>
              <w:rPr>
                <w:b/>
                <w:i/>
              </w:rPr>
              <w:t>beklager dybt Kommissionens beslutning om at svække den fælles landbrugspolitiks miljøkrav uden grundigt at undersøge den tilgængelige dokumentation</w:t>
            </w:r>
            <w:r>
              <w:t xml:space="preserve"> for at </w:t>
            </w:r>
            <w:r>
              <w:rPr>
                <w:b/>
                <w:i/>
              </w:rPr>
              <w:t>sikre, at de nye regler ikke undergraver EU's miljø- og klimamål og bæredygtigheden af EU's landbrug på lang sigt, hvilket er i strid med princippet</w:t>
            </w:r>
            <w:r>
              <w:t xml:space="preserve"> om evidensbaseret beslutningstagning som fastsat i </w:t>
            </w:r>
            <w:r>
              <w:rPr>
                <w:b/>
                <w:i/>
              </w:rPr>
              <w:t>dens</w:t>
            </w:r>
            <w:r>
              <w:t xml:space="preserve"> retningslinjer og værktøjskasse for bedre regulering samt </w:t>
            </w:r>
            <w:r>
              <w:rPr>
                <w:b/>
                <w:i/>
              </w:rPr>
              <w:t>i</w:t>
            </w:r>
            <w:r>
              <w:t xml:space="preserve"> retspraksis;</w:t>
            </w:r>
          </w:p>
        </w:tc>
        <w:tc>
          <w:tcPr>
            <w:tcW w:w="4876" w:type="dxa"/>
            <w:tcBorders>
              <w:top w:val="nil"/>
              <w:left w:val="nil"/>
              <w:bottom w:val="nil"/>
              <w:right w:val="nil"/>
            </w:tcBorders>
          </w:tcPr>
          <w:p>
            <w:pPr>
              <w:pStyle w:val="Normal6a"/>
            </w:pPr>
            <w:r>
              <w:t>12.</w:t>
            </w:r>
            <w:r>
              <w:tab/>
            </w:r>
            <w:r>
              <w:rPr>
                <w:b/>
                <w:i/>
              </w:rPr>
              <w:t>noterer sig</w:t>
            </w:r>
            <w:r>
              <w:t xml:space="preserve"> Ombudsmandens </w:t>
            </w:r>
            <w:r>
              <w:rPr>
                <w:b/>
                <w:i/>
              </w:rPr>
              <w:t>igangværende undersøgelse</w:t>
            </w:r>
            <w:r>
              <w:t xml:space="preserve"> af, hvordan Kommissionen udarbejdede et forslag om ændring af lovgivningen vedrørende den fælles landbrugspolitik </w:t>
            </w:r>
            <w:r>
              <w:rPr>
                <w:b/>
                <w:i/>
              </w:rPr>
              <w:t>uden</w:t>
            </w:r>
            <w:r>
              <w:t xml:space="preserve"> en konsekvensanalyse </w:t>
            </w:r>
            <w:r>
              <w:rPr>
                <w:b/>
                <w:i/>
              </w:rPr>
              <w:t>og med begrænset høring af interessenter, navnlig landbrugere;</w:t>
            </w:r>
            <w:r>
              <w:t xml:space="preserve"> </w:t>
            </w:r>
            <w:r>
              <w:rPr>
                <w:b/>
                <w:i/>
              </w:rPr>
              <w:t>understreger behovet</w:t>
            </w:r>
            <w:r>
              <w:t xml:space="preserve"> for at </w:t>
            </w:r>
            <w:r>
              <w:rPr>
                <w:b/>
                <w:i/>
              </w:rPr>
              <w:t>opretholde principperne</w:t>
            </w:r>
            <w:r>
              <w:t xml:space="preserve"> om evidensbaseret beslutningstagning som fastsat i </w:t>
            </w:r>
            <w:r>
              <w:rPr>
                <w:b/>
                <w:i/>
              </w:rPr>
              <w:t>Kommissionens</w:t>
            </w:r>
            <w:r>
              <w:t xml:space="preserve"> retningslinjer og værktøjskasse for bedre regulering samt retspraksis;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125, 126 og 127</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udtrykker sin påskønnelse af Ombudsmandens </w:t>
            </w:r>
            <w:r>
              <w:rPr>
                <w:b/>
                <w:i/>
              </w:rPr>
              <w:t>fremragende</w:t>
            </w:r>
            <w:r>
              <w:t xml:space="preserve"> arbejde med at opfordre Kommissionen til at sikre </w:t>
            </w:r>
            <w:r>
              <w:rPr>
                <w:b/>
                <w:i/>
              </w:rPr>
              <w:t>fuld og meningsfuld inddragelse af alle</w:t>
            </w:r>
            <w:r>
              <w:t xml:space="preserve"> sociale og miljømæssige interessenter i dens beslutningsproces og med at bidrage til at </w:t>
            </w:r>
            <w:r>
              <w:rPr>
                <w:b/>
                <w:i/>
              </w:rPr>
              <w:t>forhindre, at</w:t>
            </w:r>
            <w:r>
              <w:t xml:space="preserve"> beslutningsprocessen </w:t>
            </w:r>
            <w:r>
              <w:rPr>
                <w:b/>
                <w:i/>
              </w:rPr>
              <w:t>påvirkes unødigt af industrien</w:t>
            </w:r>
            <w:r>
              <w:t>;</w:t>
            </w:r>
          </w:p>
        </w:tc>
        <w:tc>
          <w:tcPr>
            <w:tcW w:w="4876" w:type="dxa"/>
            <w:tcBorders>
              <w:top w:val="nil"/>
              <w:left w:val="nil"/>
              <w:bottom w:val="nil"/>
              <w:right w:val="nil"/>
            </w:tcBorders>
          </w:tcPr>
          <w:p>
            <w:pPr>
              <w:pStyle w:val="Normal6a"/>
            </w:pPr>
            <w:r>
              <w:t>13.</w:t>
            </w:r>
            <w:r>
              <w:tab/>
            </w:r>
            <w:r>
              <w:t xml:space="preserve">udtrykker sin påskønnelse af Ombudsmandens arbejde med </w:t>
            </w:r>
            <w:r>
              <w:rPr>
                <w:b/>
                <w:i/>
              </w:rPr>
              <w:t>indtrængende</w:t>
            </w:r>
            <w:r>
              <w:t xml:space="preserve"> at opfordre Kommissionen til at sikre</w:t>
            </w:r>
            <w:r>
              <w:rPr>
                <w:b/>
                <w:i/>
              </w:rPr>
              <w:t>, at alle økonomiske,</w:t>
            </w:r>
            <w:r>
              <w:t xml:space="preserve"> sociale og miljømæssige interessenter </w:t>
            </w:r>
            <w:r>
              <w:rPr>
                <w:b/>
                <w:i/>
              </w:rPr>
              <w:t>deltager</w:t>
            </w:r>
            <w:r>
              <w:t xml:space="preserve"> i dens beslutningsproces</w:t>
            </w:r>
            <w:r>
              <w:rPr>
                <w:b/>
                <w:i/>
              </w:rPr>
              <w:t>,</w:t>
            </w:r>
            <w:r>
              <w:t xml:space="preserve"> og med at bidrage til at </w:t>
            </w:r>
            <w:r>
              <w:rPr>
                <w:b/>
                <w:i/>
              </w:rPr>
              <w:t>sikre integriteten af</w:t>
            </w:r>
            <w:r>
              <w:t xml:space="preserve"> beslutningsprocessen;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130, 132, 133, 134 og 135</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mener, at det er afgørende, at Kommissionen </w:t>
            </w:r>
            <w:r>
              <w:rPr>
                <w:b/>
                <w:i/>
              </w:rPr>
              <w:t>fuldt ud og konsekvent gennemfører</w:t>
            </w:r>
            <w:r>
              <w:t xml:space="preserve"> Ombudsmandens forslag til forbedring af håndteringen af </w:t>
            </w:r>
            <w:r>
              <w:rPr>
                <w:b/>
                <w:i/>
              </w:rPr>
              <w:t>potentielle</w:t>
            </w:r>
            <w:r>
              <w:t xml:space="preserve"> interessekonflikter, der involverer dens kommissærer, </w:t>
            </w:r>
            <w:r>
              <w:rPr>
                <w:b/>
                <w:i/>
              </w:rPr>
              <w:t>nemlig</w:t>
            </w:r>
            <w:r>
              <w:t xml:space="preserve"> at sikre</w:t>
            </w:r>
            <w:r>
              <w:rPr>
                <w:b/>
                <w:i/>
              </w:rPr>
              <w:t>, at enhver beslutningsproces, der overvåges direkte eller indirekte af den eller de berørte</w:t>
            </w:r>
            <w:r>
              <w:t xml:space="preserve"> kommissærer</w:t>
            </w:r>
            <w:r>
              <w:rPr>
                <w:b/>
                <w:i/>
              </w:rPr>
              <w:t>, suspenderes, indtil der er truffet en endelig afgørelse om, hvorvidt der foreligger en interessekonflikt, og at underrette de relevante tjenestegrene om påstanden rettidigt, således at de kan påbegynde gennemgangen</w:t>
            </w:r>
            <w:r>
              <w:t xml:space="preserve"> eller </w:t>
            </w:r>
            <w:r>
              <w:rPr>
                <w:b/>
                <w:i/>
              </w:rPr>
              <w:t>suspendere enhver relevant igangværende beslutningsproces hurtigst muligt</w:t>
            </w:r>
            <w:r>
              <w:t>;</w:t>
            </w:r>
          </w:p>
        </w:tc>
        <w:tc>
          <w:tcPr>
            <w:tcW w:w="4876" w:type="dxa"/>
            <w:tcBorders>
              <w:top w:val="nil"/>
              <w:left w:val="nil"/>
              <w:bottom w:val="nil"/>
              <w:right w:val="nil"/>
            </w:tcBorders>
          </w:tcPr>
          <w:p>
            <w:pPr>
              <w:pStyle w:val="Normal6a"/>
            </w:pPr>
            <w:r>
              <w:t>14.</w:t>
            </w:r>
            <w:r>
              <w:tab/>
            </w:r>
            <w:r>
              <w:t xml:space="preserve">mener, at det er afgørende, at Kommissionen </w:t>
            </w:r>
            <w:r>
              <w:rPr>
                <w:b/>
                <w:i/>
              </w:rPr>
              <w:t>tager hensyn til</w:t>
            </w:r>
            <w:r>
              <w:t xml:space="preserve"> Ombudsmandens forslag til forbedring af håndteringen af interessekonflikter, der involverer dens kommissærer, </w:t>
            </w:r>
            <w:r>
              <w:rPr>
                <w:b/>
                <w:i/>
              </w:rPr>
              <w:t>med henblik på</w:t>
            </w:r>
            <w:r>
              <w:t xml:space="preserve"> at sikre </w:t>
            </w:r>
            <w:r>
              <w:rPr>
                <w:b/>
                <w:i/>
              </w:rPr>
              <w:t>integriteten af beslutningsprocessen;</w:t>
            </w:r>
            <w:r>
              <w:t xml:space="preserve"> </w:t>
            </w:r>
            <w:r>
              <w:rPr>
                <w:b/>
                <w:i/>
              </w:rPr>
              <w:t>fremhæver i den forbindelse Ombudsmandens bidrag til at øge EU-institutionernes etik og gennemsigtighed i forbindelse med svingdørspolitik, afkølingsperioder og potentielle interessekonflikter i tilfælde, hvor tidligere</w:t>
            </w:r>
            <w:r>
              <w:t xml:space="preserve"> kommissærer </w:t>
            </w:r>
            <w:r>
              <w:rPr>
                <w:b/>
                <w:i/>
              </w:rPr>
              <w:t>og tidligere ledende medarbejdere i EU-institutioner</w:t>
            </w:r>
            <w:r>
              <w:t xml:space="preserve"> eller </w:t>
            </w:r>
            <w:r>
              <w:rPr>
                <w:b/>
                <w:i/>
              </w:rPr>
              <w:t>-agenturer tiltræder nye job i den private sektor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136, 138 og 139</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w:t>
            </w:r>
            <w:r>
              <w:rPr>
                <w:b/>
                <w:i/>
              </w:rPr>
              <w:t>;</w:t>
            </w:r>
            <w:r>
              <w:t xml:space="preserve"> </w:t>
            </w:r>
            <w:r>
              <w:rPr>
                <w:b/>
                <w:i/>
              </w:rPr>
              <w:t>forventer, at Kommissionen væsentligt forbedrer behandlingen af begæringer om aktindsigt</w:t>
            </w:r>
            <w:r>
              <w:t xml:space="preserve">, herunder gennem rettidig gennemførelse af alle Ombudsmandens henstillinger, hvilket i praksis viser, at gennemsigtighed er den styrende regel og en grundlæggende prioritet; </w:t>
            </w:r>
            <w:r>
              <w:rPr>
                <w:b/>
                <w:i/>
              </w:rPr>
              <w:t>mener, at det, hvis Kommissionens betydelige forsinkelser i behandlingen af begæringer om aktindsigt i dokumenter varer ved, vil være nødvendigt at anlægge sag mod</w:t>
            </w:r>
            <w:r>
              <w:t xml:space="preserve"> Kommissionen </w:t>
            </w:r>
            <w:r>
              <w:rPr>
                <w:b/>
                <w:i/>
              </w:rPr>
              <w:t>ved EU-Domstolen på grund af overtrædelse af traktaterne</w:t>
            </w:r>
            <w:r>
              <w:t xml:space="preserve">, herunder </w:t>
            </w:r>
            <w:r>
              <w:rPr>
                <w:b/>
                <w:i/>
              </w:rPr>
              <w:t>artikel 15, stk. 3, i TEUF om retten</w:t>
            </w:r>
            <w:r>
              <w:t xml:space="preserve"> til aktindsigt </w:t>
            </w:r>
            <w:r>
              <w:rPr>
                <w:b/>
                <w:i/>
              </w:rPr>
              <w:t>for EU-borgere og personer med bopæl i EU</w:t>
            </w:r>
            <w:r>
              <w:t>;</w:t>
            </w:r>
          </w:p>
        </w:tc>
        <w:tc>
          <w:tcPr>
            <w:tcW w:w="4876" w:type="dxa"/>
            <w:tcBorders>
              <w:top w:val="nil"/>
              <w:left w:val="nil"/>
              <w:bottom w:val="nil"/>
              <w:right w:val="nil"/>
            </w:tcBorders>
          </w:tcPr>
          <w:p>
            <w:pPr>
              <w:pStyle w:val="Normal6a"/>
            </w:pPr>
            <w:r>
              <w:t>15.</w:t>
            </w:r>
            <w:r>
              <w:tab/>
            </w:r>
            <w:r>
              <w:t xml:space="preserve">understreger, at aktindsigt i EU-institutionernes dokumenter er en grundlæggende rettighed, der er fastsat i EU-traktaterne, og spiller en afgørende rolle med hensyn til at sikre, at EU-institutionerne opererer på en gennemsigtig måde, hvilket styrker legitimiteten af og offentlighedens tillid til EU, herunder gennem rettidig gennemførelse af alle Ombudsmandens henstillinger, hvilket i praksis viser, at gennemsigtighed er den styrende regel og en grundlæggende prioritet; </w:t>
            </w:r>
            <w:r>
              <w:rPr>
                <w:b/>
                <w:i/>
              </w:rPr>
              <w:t>opfordrer</w:t>
            </w:r>
            <w:r>
              <w:t xml:space="preserve"> Kommissionen </w:t>
            </w:r>
            <w:r>
              <w:rPr>
                <w:b/>
                <w:i/>
              </w:rPr>
              <w:t>til at forbedre den måde, hvorpå den håndterer sådanne anmodninger, til at håndtere sine systemiske forsinkelser</w:t>
            </w:r>
            <w:r>
              <w:t xml:space="preserve">, herunder </w:t>
            </w:r>
            <w:r>
              <w:rPr>
                <w:b/>
                <w:i/>
              </w:rPr>
              <w:t>gennem anvendelse af digitale værktøjer og forenklede procedurer;</w:t>
            </w:r>
            <w:r>
              <w:t xml:space="preserve"> </w:t>
            </w:r>
            <w:r>
              <w:rPr>
                <w:b/>
                <w:i/>
              </w:rPr>
              <w:t>understreger, at borgernes ret</w:t>
            </w:r>
            <w:r>
              <w:t xml:space="preserve"> til aktindsigt </w:t>
            </w:r>
            <w:r>
              <w:rPr>
                <w:b/>
                <w:i/>
              </w:rPr>
              <w:t>i oplysninger gælder for skriftlige fysiske og elektroniske dokumenter samt for lydoptagelser og audiovisuelle optagelser, der vedrører EU-institutionernes politikker, aktiviteter og beslutninger, og minder om, at arbejdsrelaterede tekstbeskeder og straksbeskeder betragtes som "dokumenter" i henhold til forordning (EF) nr. 1049/2001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141 og 143</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beklager</w:t>
            </w:r>
            <w:r>
              <w:t xml:space="preserve">, at Rådet og Kommissionen i mange tilfælde har nægtet at offentliggøre lovgivningsmæssige dokumenter </w:t>
            </w:r>
            <w:r>
              <w:rPr>
                <w:b/>
                <w:i/>
              </w:rPr>
              <w:t>ved hjælp af vage, abstrakte og uunderbyggede argumenter eller</w:t>
            </w:r>
            <w:r>
              <w:t xml:space="preserve">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w:t>
            </w:r>
          </w:p>
        </w:tc>
        <w:tc>
          <w:tcPr>
            <w:tcW w:w="4876" w:type="dxa"/>
            <w:tcBorders>
              <w:top w:val="nil"/>
              <w:left w:val="nil"/>
              <w:bottom w:val="nil"/>
              <w:right w:val="nil"/>
            </w:tcBorders>
          </w:tcPr>
          <w:p>
            <w:pPr>
              <w:pStyle w:val="Normal6a"/>
            </w:pPr>
            <w:r>
              <w:t>16.</w:t>
            </w:r>
            <w:r>
              <w:tab/>
            </w:r>
            <w:r>
              <w:rPr>
                <w:b/>
                <w:i/>
              </w:rPr>
              <w:t>bemærker</w:t>
            </w:r>
            <w:r>
              <w:t>, at Rådet og Kommissionen i mange tilfælde har nægtet at offentliggøre lovgivningsmæssige dokumenter på grundlag af begrundelser, som EU-Domstolen allerede har afvist; påskønner Ombudsmandens vigtige arbejde på dette område for at sikre, at de berørte EU-institutioner straks offentliggør lovgivningsmæssige dokumenter, og understreger, at et afslag på aktindsigt kun kan forekomme under virkelig ekstraordinære omstændigheder;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150, 151 og 152</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understreger, at Frontex </w:t>
            </w:r>
            <w:r>
              <w:rPr>
                <w:b/>
                <w:i/>
              </w:rPr>
              <w:t>fuldt ud skal overholde</w:t>
            </w:r>
            <w:r>
              <w:t xml:space="preserve"> de grundlæggende rettigheder </w:t>
            </w:r>
            <w:r>
              <w:rPr>
                <w:b/>
                <w:i/>
              </w:rPr>
              <w:t>i alle sine aktiviteter</w:t>
            </w:r>
            <w:r>
              <w:t xml:space="preserve">, herunder </w:t>
            </w:r>
            <w:r>
              <w:rPr>
                <w:b/>
                <w:i/>
              </w:rPr>
              <w:t>i sit direkte eller indirekte engagement</w:t>
            </w:r>
            <w:r>
              <w:t xml:space="preserve"> i eftersøgnings- og redningsoperationer</w:t>
            </w:r>
            <w:r>
              <w:rPr>
                <w:b/>
                <w:i/>
              </w:rPr>
              <w:t>, og fuldt ud og konsekvent skal overholde den relevante internationale menneskerettighedslovgivning</w:t>
            </w:r>
            <w:r>
              <w:t xml:space="preserve">; </w:t>
            </w:r>
            <w:r>
              <w:rPr>
                <w:b/>
                <w:i/>
              </w:rPr>
              <w:t>understreger, at medlemsstaterne i henhold til de gældende EU-retlige og internationale retlige rammer er forpligtet til at yde bistand til ethvert fartøj eller enhver person i havsnød, uanset personens nationalitet eller status eller de omstændigheder, hvorunder den pågældende person findes;</w:t>
            </w:r>
          </w:p>
        </w:tc>
        <w:tc>
          <w:tcPr>
            <w:tcW w:w="4876" w:type="dxa"/>
            <w:tcBorders>
              <w:top w:val="nil"/>
              <w:left w:val="nil"/>
              <w:bottom w:val="nil"/>
              <w:right w:val="nil"/>
            </w:tcBorders>
          </w:tcPr>
          <w:p>
            <w:pPr>
              <w:pStyle w:val="Normal6a"/>
            </w:pPr>
            <w:r>
              <w:t>17.</w:t>
            </w:r>
            <w:r>
              <w:tab/>
            </w:r>
            <w:r>
              <w:t xml:space="preserve">understreger, at Frontex </w:t>
            </w:r>
            <w:r>
              <w:rPr>
                <w:b/>
                <w:i/>
              </w:rPr>
              <w:t>skal operere inden for de bestemmelser, der er fastsat i dets forordning, herunder forpligtelserne i henhold til</w:t>
            </w:r>
            <w:r>
              <w:t xml:space="preserve"> de grundlæggende rettigheder </w:t>
            </w:r>
            <w:r>
              <w:rPr>
                <w:b/>
                <w:i/>
              </w:rPr>
              <w:t>samt relevant folkeret;</w:t>
            </w:r>
            <w:r>
              <w:t xml:space="preserve"> </w:t>
            </w:r>
            <w:r>
              <w:rPr>
                <w:b/>
                <w:i/>
              </w:rPr>
              <w:t>noterer sig den reform af Frontex' mandat, som Kommissionens formand har bebudet for 2026;</w:t>
            </w:r>
            <w:r>
              <w:t xml:space="preserve"> </w:t>
            </w:r>
            <w:r>
              <w:rPr>
                <w:b/>
                <w:i/>
              </w:rPr>
              <w:t>forventer, at en styrkelse af Frontex' mandat, ressourcer og budget vil sikre, at agenturet kan udføre sit arbejde på de bedst mulige betingelser for bedre at støtte medlemsstaterne</w:t>
            </w:r>
            <w:r>
              <w:t>, herunder i eftersøgnings- og redningsoperationer;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161, 162, 165 og 170</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understreger</w:t>
            </w:r>
            <w:r>
              <w:t xml:space="preserve">, at Ombudsmanden </w:t>
            </w:r>
            <w:r>
              <w:rPr>
                <w:b/>
                <w:i/>
              </w:rPr>
              <w:t>kritiserede Kommissionen for dens manglende</w:t>
            </w:r>
            <w:r>
              <w:t xml:space="preserve"> gennemsigtighed med hensyn til de menneskerettighedsoplysninger, </w:t>
            </w:r>
            <w:r>
              <w:rPr>
                <w:b/>
                <w:i/>
              </w:rPr>
              <w:t>som den lagde til grund</w:t>
            </w:r>
            <w:r>
              <w:t xml:space="preserve"> for undertegnelsen af aftalememorandummet mellem EU og Tunesien</w:t>
            </w:r>
            <w:r>
              <w:rPr>
                <w:b/>
                <w:i/>
              </w:rPr>
              <w:t>, og udtrykte bekymring over manglen på en forudgående konsekvensanalyse vedrørende menneskerettigheder, navnlig i forbindelse med søjlen "migration og mobilitet" i aftalememorandummet</w:t>
            </w:r>
            <w:r>
              <w:t xml:space="preserve">; </w:t>
            </w:r>
            <w:r>
              <w:rPr>
                <w:b/>
                <w:i/>
              </w:rPr>
              <w:t>forventer, at Kommissionen rettidigt gennemfører alle Ombudsmandens forslag til forbedringer ved at anvende de mest effektive foranstaltninger og opretholde de højeste standarder for beskyttelse af menneskerettighederne i alle migrationsrelaterede spørgsmål;</w:t>
            </w:r>
          </w:p>
        </w:tc>
        <w:tc>
          <w:tcPr>
            <w:tcW w:w="4876" w:type="dxa"/>
            <w:tcBorders>
              <w:top w:val="nil"/>
              <w:left w:val="nil"/>
              <w:bottom w:val="nil"/>
              <w:right w:val="nil"/>
            </w:tcBorders>
          </w:tcPr>
          <w:p>
            <w:pPr>
              <w:pStyle w:val="Normal6a"/>
            </w:pPr>
            <w:r>
              <w:t>19.</w:t>
            </w:r>
            <w:r>
              <w:tab/>
            </w:r>
            <w:r>
              <w:rPr>
                <w:b/>
                <w:i/>
              </w:rPr>
              <w:t>noterer sig Ombudsmandens engagement i de grundlæggende rettigheder;</w:t>
            </w:r>
            <w:r>
              <w:t xml:space="preserve"> </w:t>
            </w:r>
            <w:r>
              <w:rPr>
                <w:b/>
                <w:i/>
              </w:rPr>
              <w:t>bemærker</w:t>
            </w:r>
            <w:r>
              <w:t xml:space="preserve">, at Ombudsmanden </w:t>
            </w:r>
            <w:r>
              <w:rPr>
                <w:b/>
                <w:i/>
              </w:rPr>
              <w:t>anmodede om større</w:t>
            </w:r>
            <w:r>
              <w:t xml:space="preserve"> gennemsigtighed med hensyn til de menneskerettighedsoplysninger, </w:t>
            </w:r>
            <w:r>
              <w:rPr>
                <w:b/>
                <w:i/>
              </w:rPr>
              <w:t>der blev fremlagt forud</w:t>
            </w:r>
            <w:r>
              <w:t xml:space="preserve"> for undertegnelsen af aftalememorandummet mellem EU og Tunesien;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175 og 176</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kritiserer</w:t>
            </w:r>
            <w:r>
              <w:t xml:space="preserve"> Kommissionens afslag på at følge Ombudsmandens henstilling om i højere grad at give aktindsigt i dokumenter vedrørende udarbejdelsen af forslag til lovgivning til bekæmpelse af seksuelt misbrug af børn </w:t>
            </w:r>
            <w:r>
              <w:rPr>
                <w:b/>
                <w:i/>
              </w:rPr>
              <w:t>og dermed ikke sikre</w:t>
            </w:r>
            <w:r>
              <w:t xml:space="preserve">, at borgerne </w:t>
            </w:r>
            <w:r>
              <w:rPr>
                <w:b/>
                <w:i/>
              </w:rPr>
              <w:t>kan</w:t>
            </w:r>
            <w:r>
              <w:t xml:space="preserve"> kontrollere</w:t>
            </w:r>
            <w:r>
              <w:rPr>
                <w:b/>
                <w:i/>
              </w:rPr>
              <w:t>, at Kommissionen handlede uafhængigt og udelukkende i offentlighedens interesse</w:t>
            </w:r>
            <w:r>
              <w:t>;</w:t>
            </w:r>
          </w:p>
        </w:tc>
        <w:tc>
          <w:tcPr>
            <w:tcW w:w="4876" w:type="dxa"/>
            <w:tcBorders>
              <w:top w:val="nil"/>
              <w:left w:val="nil"/>
              <w:bottom w:val="nil"/>
              <w:right w:val="nil"/>
            </w:tcBorders>
          </w:tcPr>
          <w:p>
            <w:pPr>
              <w:pStyle w:val="Normal6a"/>
            </w:pPr>
            <w:r>
              <w:t>20.</w:t>
            </w:r>
            <w:r>
              <w:tab/>
            </w:r>
            <w:r>
              <w:rPr>
                <w:b/>
                <w:i/>
              </w:rPr>
              <w:t>beklager</w:t>
            </w:r>
            <w:r>
              <w:t xml:space="preserve"> Kommissionens afslag på at følge Ombudsmandens henstilling om i højere grad at give aktindsigt i dokumenter vedrørende udarbejdelsen af forslag til lovgivning til bekæmpelse af seksuelt misbrug af børn</w:t>
            </w:r>
            <w:r>
              <w:rPr>
                <w:b/>
                <w:i/>
              </w:rPr>
              <w:t>;</w:t>
            </w:r>
            <w:r>
              <w:t xml:space="preserve"> </w:t>
            </w:r>
            <w:r>
              <w:rPr>
                <w:b/>
                <w:i/>
              </w:rPr>
              <w:t>minder om</w:t>
            </w:r>
            <w:r>
              <w:t xml:space="preserve">, at borgerne </w:t>
            </w:r>
            <w:r>
              <w:rPr>
                <w:b/>
                <w:i/>
              </w:rPr>
              <w:t>bør kunne</w:t>
            </w:r>
            <w:r>
              <w:t xml:space="preserve"> kontrollere </w:t>
            </w:r>
            <w:r>
              <w:rPr>
                <w:b/>
                <w:i/>
              </w:rPr>
              <w:t>Kommissionens arbejde med lovgivningsforslag;</w:t>
            </w:r>
            <w:r>
              <w:t xml:space="preserve"> </w:t>
            </w:r>
            <w:r>
              <w:rPr>
                <w:b/>
                <w:i/>
              </w:rPr>
              <w:t>understreger, at gennemsigtighed er af særlig betydning i den forbindelse, da forslaget direkte berører beskyttelsen af børn, borgernes grundlæggende rettigheder og privatliv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178, 181, 182 og 183</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glæder sig over</w:t>
            </w:r>
            <w:r>
              <w:t xml:space="preserve"> Ombudsmandens beslutning om at indlede en undersøgelse af</w:t>
            </w:r>
            <w:r>
              <w:rPr>
                <w:b/>
                <w:i/>
              </w:rPr>
              <w:t>, hvordan Kommissionen foretog målrettet</w:t>
            </w:r>
            <w:r>
              <w:t xml:space="preserve"> dataindsamling om indvirkningen af ulvebestanden i EU; </w:t>
            </w:r>
            <w:r>
              <w:rPr>
                <w:b/>
                <w:i/>
              </w:rPr>
              <w:t>beklager, at Kommissionen har citeret en rapport fra ekspertgruppen Large Carnivore Initiative for Europe for at retfærdiggøre nedgraderingen af</w:t>
            </w:r>
            <w:r>
              <w:t xml:space="preserve"> ulvens retlige beskyttelsesstatus </w:t>
            </w:r>
            <w:r>
              <w:rPr>
                <w:b/>
                <w:i/>
              </w:rPr>
              <w:t>i EU, til trods for at den tidligere havde anvendt samme rapport som begrundelse for at modsætte sig et lignende forslag, og til trods for, at der ikke var konstateret nogen væsentlig ændring i ulvebestandenes størrelse;</w:t>
            </w:r>
            <w:r>
              <w:t xml:space="preserve"> </w:t>
            </w:r>
            <w:r>
              <w:rPr>
                <w:b/>
                <w:i/>
              </w:rPr>
              <w:t>er dybt bekymret over, at beslutningen om at nedgradere ulvens beskyttede status mangler et solidt videnskabeligt grundlag, en situation, der forværres af, at der ikke var offentlig aktindsigt i de relevante dokumenter, og at der blev gjort en utilstrækkelig indsats for at gennemføre passende forebyggende foranstaltninger, hvilket er i strid med bestemmelserne i Bernkonventionen</w:t>
            </w:r>
            <w:r>
              <w:rPr>
                <w:b/>
                <w:i/>
                <w:vertAlign w:val="superscript"/>
              </w:rPr>
              <w:t>4</w:t>
            </w:r>
            <w:r>
              <w:rPr>
                <w:b/>
                <w:i/>
              </w:rPr>
              <w:t>;</w:t>
            </w:r>
            <w:r>
              <w:t xml:space="preserve"> </w:t>
            </w:r>
            <w:r>
              <w:rPr>
                <w:b/>
                <w:i/>
              </w:rPr>
              <w:t>frygter, at denne beslutning har skabt en bekymrende præcedens, der bringer den overordnede tilgang til bevaringsmål og forvaltningen af vilde dyr og planter og naturlige levesteder i fare</w:t>
            </w:r>
            <w:r>
              <w:t>;</w:t>
            </w:r>
          </w:p>
        </w:tc>
        <w:tc>
          <w:tcPr>
            <w:tcW w:w="4876" w:type="dxa"/>
            <w:tcBorders>
              <w:top w:val="nil"/>
              <w:left w:val="nil"/>
              <w:bottom w:val="nil"/>
              <w:right w:val="nil"/>
            </w:tcBorders>
          </w:tcPr>
          <w:p>
            <w:pPr>
              <w:pStyle w:val="Normal6a"/>
            </w:pPr>
            <w:r>
              <w:t>21.</w:t>
            </w:r>
            <w:r>
              <w:tab/>
            </w:r>
            <w:r>
              <w:rPr>
                <w:b/>
                <w:i/>
              </w:rPr>
              <w:t>noterer sig</w:t>
            </w:r>
            <w:r>
              <w:t xml:space="preserve"> Ombudsmandens beslutning om at indlede en undersøgelse af </w:t>
            </w:r>
            <w:r>
              <w:rPr>
                <w:b/>
                <w:i/>
              </w:rPr>
              <w:t>Kommissionens</w:t>
            </w:r>
            <w:r>
              <w:t xml:space="preserve"> dataindsamling om indvirkningen af ulvebestanden i EU; </w:t>
            </w:r>
            <w:r>
              <w:rPr>
                <w:b/>
                <w:i/>
              </w:rPr>
              <w:t>bemærker dog, at undersøgelsen i overensstemmelse med Ombudsmandens statut måtte afsluttes på grund af en verserende sag ved Domstolen (T-634/24), hvor de samme spørgsmål rejses;</w:t>
            </w:r>
            <w:r>
              <w:t xml:space="preserve"> </w:t>
            </w:r>
            <w:r>
              <w:rPr>
                <w:b/>
                <w:i/>
              </w:rPr>
              <w:t>understreger betydningen af at basere enhver beslutning om</w:t>
            </w:r>
            <w:r>
              <w:t xml:space="preserve"> ulvens retlige beskyttelsesstatus </w:t>
            </w:r>
            <w:r>
              <w:rPr>
                <w:b/>
                <w:i/>
              </w:rPr>
              <w:t>på videnskabelig dokumentation og beskyttelsen af landsbysamfund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Konventionen om beskyttelse af Europas vilde dyr og planter samt naturlige levesteder.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188, 190, 191, 192 og 193</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w:t>
            </w:r>
            <w:r>
              <w:rPr>
                <w:b/>
                <w:i/>
              </w:rPr>
              <w:t>og kombineres med yderligere retligt bindende krav</w:t>
            </w:r>
            <w:r>
              <w:t xml:space="preserve"> for at opretholde de højeste standarder for gennemsigtighed og ansvarlighed</w:t>
            </w:r>
            <w:r>
              <w:rPr>
                <w:b/>
                <w:i/>
              </w:rPr>
              <w:t>, navnlig i lyset af Kommissionens nylige alvorligt skadelige politiske aftale om yderligere at øge EU's afhængighed af USA i forskellige kritiske sektorer, herunder forsvar, kunstig intelligens og fossile brændstoffer, kombineret med tilsagn om at svække EU's energibestemmelser, hvilket er skadeligt for EU's grønne pagt og skaber ufordelagtige ubalancer for fødevare- og landbrugssektoren i EU</w:t>
            </w:r>
            <w:r>
              <w:t>;</w:t>
            </w:r>
          </w:p>
        </w:tc>
        <w:tc>
          <w:tcPr>
            <w:tcW w:w="4876" w:type="dxa"/>
            <w:tcBorders>
              <w:top w:val="nil"/>
              <w:left w:val="nil"/>
              <w:bottom w:val="nil"/>
              <w:right w:val="nil"/>
            </w:tcBorders>
          </w:tcPr>
          <w:p>
            <w:pPr>
              <w:pStyle w:val="Normal6a"/>
            </w:pPr>
            <w:r>
              <w:t>22.</w:t>
            </w:r>
            <w:r>
              <w:tab/>
            </w:r>
            <w:r>
              <w:t>glæder sig over Ombudsmandens række af forslag til Kommissionen om forbedring af gennemsigtigheden i handels- og teknologirådet mellem EU og USA, der fungerer som et forum til at koordinere tilgange og uddybe de handelsmæssige, økonomiske og teknologiske forbindelser; mener, at Ombudsmandens henstillinger skal gennemføres hurtigt for at opretholde de højeste standarder for gennemsigtighed og ansvarlighed;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122, 145 og 200</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værdsætter den række af forslag, som Ombudsmanden har fremsat for at hjælpe Kommissionen med at sikre, at dens brug af kunstig intelligens (AI) i beslutningstagningen fortsat er ansvarlig;</w:t>
            </w:r>
            <w:r>
              <w:t xml:space="preserve"> </w:t>
            </w:r>
            <w:r>
              <w:rPr>
                <w:b/>
                <w:i/>
              </w:rPr>
              <w:t>understreger behovet for, at EU-institutionerne sikrer, at brugen af systemer for kunstig intelligens forbliver under effektivt menneskeligt tilsyn og er i overensstemmelse med principperne om gennemsigtighed, ansvarlighed og grundlæggende rettigheder;</w:t>
            </w:r>
            <w:r>
              <w:t xml:space="preserve"> </w:t>
            </w:r>
            <w:r>
              <w:rPr>
                <w:b/>
                <w:i/>
              </w:rPr>
              <w:t>mener ikke, at beslutningstagning bør uddelegeres til disse systemer;</w:t>
            </w:r>
            <w:r>
              <w:t xml:space="preserve"> </w:t>
            </w:r>
            <w:r>
              <w:rPr>
                <w:b/>
                <w:i/>
              </w:rPr>
              <w:t>understreger betydningen af at give tilstrækkelig uddannelse til offentlige embedsmænd, der er ansvarlige for menneskeligt tilsyn med AI, for korrekt at vurdere risici og verificere AI-genererede resultater;</w:t>
            </w:r>
            <w:r>
              <w:t xml:space="preserve"> </w:t>
            </w:r>
            <w:r>
              <w:rPr>
                <w:b/>
                <w:i/>
              </w:rPr>
              <w:t>tilskynder Kommissionen til at øge gennemsigtigheden ved klart at formidle oplysninger om fremtidige AI-projekter og til at afholde offentlige høringer om udviklingen af nye AI-værktøjer;</w:t>
            </w:r>
            <w:r>
              <w:t xml:space="preserve"> </w:t>
            </w:r>
            <w:r>
              <w:rPr>
                <w:b/>
                <w:i/>
              </w:rPr>
              <w:t>opfordrer Ombudsmanden til fortsat at overvåge udviklingen på dette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pPr>
        <w:pStyle w:val="NormalBold"/>
      </w:pPr>
      <w:r>
        <w:rPr>
          <w:rStyle w:val="HideTWBExt"/>
          <w:b w:val="0"/>
        </w:rPr>
        <w:t>&lt;/RepeatBlock-By&gt;</w:t>
      </w:r>
    </w:p>
    <w:p>
      <w:r>
        <w:rPr>
          <w:rStyle w:val="HideTWBExt"/>
        </w:rPr>
        <w:t>&lt;Compromise&gt;</w:t>
      </w:r>
      <w:r>
        <w:t>Kompromisændringsforslag til erstatning af ændringsforslag: 146, 197 og 204</w:t>
      </w:r>
      <w:r>
        <w:rPr>
          <w:rStyle w:val="HideTWBExt"/>
        </w:rPr>
        <w:t>&lt;/Compromise&gt;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bemærker med bekymring de mangler, som Ombudsmanden har påpeget i Det Europæiske Personaleudvælgelseskontors (EPSO's) funktionsmåde;</w:t>
            </w:r>
            <w:r>
              <w:t xml:space="preserve"> </w:t>
            </w:r>
            <w:r>
              <w:rPr>
                <w:b/>
                <w:i/>
              </w:rPr>
              <w:t>er stærkt foruroliget over, at Ombudsmanden konkluderer, at der er flere tilfælde af dårlig forvaltning, hvor EPSO har udvist manglende evne til håndtering af klager fra ansøgere, navnlig vedrørende fjernprøveprocedurer og platformsmangler, ofte gav klagerne modstridende oplysninger, demonstrerede manglende fleksibilitet og traf urimelige beslutninger;</w:t>
            </w:r>
            <w:r>
              <w:t xml:space="preserve"> </w:t>
            </w:r>
            <w:r>
              <w:rPr>
                <w:b/>
                <w:i/>
              </w:rPr>
              <w:t>opfordrer EPSO til at træffe alle nødvendige foranstaltninger for hurtigst muligt at afhjælpe alle mangler med henblik på at genoprette ansættelsesprocedurernes integritet, gennemsigtighed og ansvarlighed;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781.413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22</w:t>
    </w:r>
    <w:r>
      <w:fldChar w:fldCharType="end"/>
    </w:r>
    <w:r>
      <w:t>/</w:t>
    </w:r>
    <w:r>
      <w:fldChar w:fldCharType="begin"/>
    </w:r>
    <w:r>
      <w:instrText xml:space="preserve"> NUMPAGES </w:instrText>
    </w:r>
    <w:r>
      <w:fldChar w:fldCharType="separate"/>
    </w:r>
    <w:r>
      <w:t>22</w:t>
    </w:r>
    <w:r>
      <w:fldChar w:fldCharType="end"/>
    </w:r>
    <w:r>
      <w:tab/>
    </w:r>
    <w:r>
      <w:rPr>
        <w:rStyle w:val="HideTWBExt"/>
      </w:rPr>
      <w:t>&lt;PathFdR&gt;</w:t>
    </w:r>
    <w:r>
      <w:t>AM\1334143DA.docx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AM\1334143DA.docx</w:t>
    </w:r>
    <w:r>
      <w:rPr>
        <w:rStyle w:val="HideTWBExt"/>
      </w:rPr>
      <w:t>&lt;/PathFdR&gt;</w:t>
    </w:r>
    <w:r>
      <w:tab/>
    </w:r>
    <w:r>
      <w:fldChar w:fldCharType="begin"/>
    </w:r>
    <w:r>
      <w:instrText xml:space="preserve"> PAGE </w:instrText>
    </w:r>
    <w:r>
      <w:fldChar w:fldCharType="separate"/>
    </w:r>
    <w:r>
      <w:t>21</w:t>
    </w:r>
    <w:r>
      <w:fldChar w:fldCharType="end"/>
    </w:r>
    <w:r>
      <w:t>/</w:t>
    </w:r>
    <w:r>
      <w:fldChar w:fldCharType="begin"/>
    </w:r>
    <w:r>
      <w:instrText xml:space="preserve"> NUMPAGES </w:instrText>
    </w:r>
    <w:r>
      <w:fldChar w:fldCharType="separate"/>
    </w:r>
    <w:r>
      <w:t>22</w:t>
    </w:r>
    <w:r>
      <w:fldChar w:fldCharType="end"/>
    </w:r>
    <w:r>
      <w:tab/>
    </w:r>
    <w:r>
      <w:t>PE</w:t>
    </w:r>
    <w:r>
      <w:rPr>
        <w:rStyle w:val="HideTWBExt"/>
      </w:rPr>
      <w:t>&lt;NoPE&gt;</w:t>
    </w:r>
    <w:r>
      <w:t>781.413</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AM\1334143DA.docx</w:t>
    </w:r>
    <w:r>
      <w:rPr>
        <w:rStyle w:val="HideTWBExt"/>
      </w:rPr>
      <w:t>&lt;/PathFdR&gt;</w:t>
    </w:r>
    <w:r>
      <w:tab/>
    </w:r>
    <w:r>
      <w:tab/>
    </w:r>
    <w:r>
      <w:t>PE</w:t>
    </w:r>
    <w:r>
      <w:rPr>
        <w:rStyle w:val="HideTWBExt"/>
      </w:rPr>
      <w:t>&lt;NoPE&gt;</w:t>
    </w:r>
    <w:r>
      <w:t>781.413</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941567 HideTWBExt;}{\s16\qr \li0\ri0\sb240\sa240\nowidctlpar\wrapdefault\aspalpha\aspnum\faauto\adjustright\rin0\lin0\itap0 \rtlch\fcs1 \af0\afs20\alang1025 \ltrch\fcs0 &#13;_x000a_\fs24\lang2057\langfe2057\cgrid\langnp2057\langfenp2057 \sbasedon0 \snext16 \spriority0 \styrsid941567 AmOrLang;}{\s17\ql \li0\ri0\sa120\nowidctlpar\wrapdefault\aspalpha\aspnum\faauto\adjustright\rin0\lin0\itap0 \rtlch\fcs1 \af0\afs20\alang1025 &#13;_x000a_\ltrch\fcs0 \fs24\lang2057\langfe2057\cgrid\langnp2057\langfenp2057 \sbasedon0 \snext17 \spriority0 \styrsid941567 Normal6a;}{\s18\ql \li0\ri0\nowidctlpar\wrapdefault\aspalpha\aspnum\faauto\adjustright\rin0\lin0\itap0 \rtlch\fcs1 \af0\afs20\alang1025 &#13;_x000a_\ltrch\fcs0 \b\fs24\lang2057\langfe2057\cgrid\langnp2057\langfenp2057 \sbasedon0 \snext18 \spriority0 \styrsid941567 NormalBold;}{\s19\qc \li0\ri0\sa240\nowidctlpar\wrapdefault\aspalpha\aspnum\faauto\adjustright\rin0\lin0\itap0 \rtlch\fcs1 &#13;_x000a_\af0\afs20\alang1025 \ltrch\fcs0 \i\fs24\lang2057\langfe2057\cgrid\langnp2057\langfenp2057 \sbasedon0 \snext19 \spriority0 \styrsid941567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941567 AmNumberTabs;}{\s21\ql \li0\ri0\sb240\nowidctlpar\wrapdefault\aspalpha\aspnum\faauto\adjustright\rin0\lin0\itap0 \rtlch\fcs1 &#13;_x000a_\af0\afs20\alang1025 \ltrch\fcs0 \b\fs24\lang2057\langfe2057\cgrid\langnp2057\langfenp2057 \sbasedon0 \snext21 \spriority0 \styrsid941567 NormalBold12b;}}{\*\rsidtbl \rsid24658\rsid358857\rsid735077\rsid787282\rsid941567\rsid1730233\rsid2892074&#13;_x000a_\rsid3622648\rsid4666813\rsid5708216\rsid6641733\rsid7553164\rsid8465581\rsid8681905\rsid8724649\rsid9636012\rsid9862312\rsid11215221\rsid11370291\rsid11434737\rsid11607138\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16\min13}{\revtim\yr2019\mo7\dy3\hr16\min13}{\version1}{\edmins0}{\nofpages1}{\nofwords28}{\nofchars326}{\*\company European Parliament}{\nofcharsws329}{\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94156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730233 &#13;_x000a_\chftnsep &#13;_x000a_\par }}{\*\ftnsepc \ltrpar \pard\plain \ltrpar\ql \li0\ri0\widctlpar\wrapdefault\aspalpha\aspnum\faauto\adjustright\rin0\lin0\itap0 \rtlch\fcs1 \af0\afs20\alang1025 \ltrch\fcs0 \fs24\lang2057\langfe2057\cgrid\langnp2057\langfenp2057 {\rtlch\fcs1 \af0 &#13;_x000a_\ltrch\fcs0 \insrsid1730233 \chftnsepc &#13;_x000a_\par }}{\*\aftnsep \ltrpar \pard\plain \ltrpar\ql \li0\ri0\widctlpar\wrapdefault\aspalpha\aspnum\faauto\adjustright\rin0\lin0\itap0 \rtlch\fcs1 \af0\afs20\alang1025 \ltrch\fcs0 \fs24\lang2057\langfe2057\cgrid\langnp2057\langfenp2057 {\rtlch\fcs1 \af0 &#13;_x000a_\ltrch\fcs0 \insrsid1730233 \chftnsep &#13;_x000a_\par }}{\*\aftnsepc \ltrpar \pard\plain \ltrpar\ql \li0\ri0\widctlpar\wrapdefault\aspalpha\aspnum\faauto\adjustright\rin0\lin0\itap0 \rtlch\fcs1 \af0\afs20\alang1025 \ltrch\fcs0 \fs24\lang2057\langfe2057\cgrid\langnp2057\langfenp2057 {\rtlch\fcs1 \af0 &#13;_x000a_\ltrch\fcs0 \insrsid173023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941567 \rtlch\fcs1 \af0\afs20\alang1025 \ltrch\fcs0 \b\fs24\lang2057\langfe2057\cgrid\langnp2057\langfenp2057 {\rtlch\fcs1 \af0 \ltrch\fcs0 \cs15\b0\v\f1\fs20\cf9\lang1024\langfe1024\noproof\insrsid941567\charrsid4417459 &#13;_x000a_{\*\bkmkstart restart}&lt;Amend&gt;}{\rtlch\fcs1 \af0 \ltrch\fcs0 \insrsid941567\charrsid1799708 [ZAMENDMENT]}{\rtlch\fcs1 \af0 \ltrch\fcs0 \insrsid941567 \tab \tab }{\rtlch\fcs1 \af0 \ltrch\fcs0 &#13;_x000a_\cs15\b0\v\f1\fs20\cf9\lang1024\langfe1024\noproof\insrsid941567\charrsid4417459 &lt;NumAm&gt;}{\rtlch\fcs1 \af0 \ltrch\fcs0 \insrsid941567\charrsid1799708 [ZNRAM]}{\rtlch\fcs1 \af0 \ltrch\fcs0 &#13;_x000a_\cs15\b0\v\f1\fs20\cf9\lang1024\langfe1024\noproof\insrsid941567\charrsid4417459 &lt;/NumAm&gt;}{\rtlch\fcs1 \af0 \ltrch\fcs0 \insrsid941567\charrsid4080556 &#13;_x000a_\par }\pard\plain \ltrpar\s18\ql \li0\ri0\nowidctlpar\wrapdefault\aspalpha\aspnum\faauto\adjustright\rin0\lin0\itap0\pararsid941567 \rtlch\fcs1 \af0\afs20\alang1025 \ltrch\fcs0 \b\fs24\lang2057\langfe2057\cgrid\langnp2057\langfenp2057 {\rtlch\fcs1 \af0 &#13;_x000a_\ltrch\fcs0 \cs15\b0\v\f1\fs20\cf9\lang1024\langfe1024\noproof\insrsid941567\charrsid14699840 &lt;RepeatBlock-By&gt;}{\rtlch\fcs1 \af0 \ltrch\fcs0 \lang1024\langfe1024\noproof\insrsid941567\charrsid14699840 [RepeatMembers]}{\rtlch\fcs1 \af0 \ltrch\fcs0 &#13;_x000a_\cs15\b0\v\f1\fs20\cf9\lang1024\langfe1024\noproof\insrsid941567\charrsid14699840 &lt;Members&gt;}{\rtlch\fcs1 \af0 \ltrch\fcs0 \insrsid941567\charrsid14699840 [ZMEMBERS]}{\rtlch\fcs1 \af0 \ltrch\fcs0 &#13;_x000a_\cs15\b0\v\f1\fs20\cf9\lang1024\langfe1024\noproof\insrsid941567\charrsid14699840 &lt;/Members&gt;}{\rtlch\fcs1 \af0 \ltrch\fcs0 \insrsid941567\charrsid14699840 &#13;_x000a_\par }\pard\plain \ltrpar\ql \li0\ri0\widctlpar\wrapdefault\aspalpha\aspnum\faauto\adjustright\rin0\lin0\itap0\pararsid941567 \rtlch\fcs1 \af0\afs20\alang1025 \ltrch\fcs0 \fs24\lang2057\langfe2057\cgrid\langnp2057\langfenp2057 {\rtlch\fcs1 \af0 \ltrch\fcs0 &#13;_x000a_\cs15\v\f1\fs20\cf9\lang1024\langfe1024\noproof\langnp1043\insrsid941567\charrsid11627753 &lt;AuNomDe&gt;&lt;OptDel&gt;}{\rtlch\fcs1 \af0 \ltrch\fcs0 \lang1043\langfe2057\langnp1043\insrsid941567\charrsid11627753 [ZONBEHALF]}{\rtlch\fcs1 \af0 \ltrch\fcs0 &#13;_x000a_\cs15\v\f1\fs20\cf9\lang1024\langfe1024\noproof\langnp1043\insrsid941567\charrsid11627753 &lt;/OptDel&gt;&lt;/AuNomDe&gt;}{\rtlch\fcs1 \af0 \ltrch\fcs0 \lang1043\langfe2057\langnp1043\insrsid941567\charrsid11627753 &#13;_x000a_\par }{\rtlch\fcs1 \af0 \ltrch\fcs0 \insrsid941567\charrsid14699840 &lt;&lt;&lt;}{\rtlch\fcs1 \af0 \ltrch\fcs0 \cs15\v\f1\fs20\cf9\lang1024\langfe1024\noproof\insrsid941567\charrsid14699840 &lt;/RepeatBlock-By&gt;}{\rtlch\fcs1 \af0 \ltrch\fcs0 &#13;_x000a_\cs15\v\f1\fs20\cf9\lang1024\langfe1024\noproof\insrsid941567 &lt;Compromise}{\rtlch\fcs1 \af0 \ltrch\fcs0 \cs15\v\f1\fs20\cf9\lang1024\langfe1024\noproof\insrsid941567\charrsid1799708 &gt;}{\rtlch\fcs1 \af0 \ltrch\fcs0 \insrsid941567 [ZCOMPROMISE]}{&#13;_x000a_\rtlch\fcs1 \af0 \ltrch\fcs0 \cs15\v\f1\fs20\cf9\lang1024\langfe1024\noproof\insrsid941567 &lt;/Compromise}{\rtlch\fcs1 \af0 \ltrch\fcs0 \cs15\v\f1\fs20\cf9\lang1024\langfe1024\noproof\insrsid941567\charrsid1799708 &gt;}{\rtlch\fcs1 \af0 \ltrch\fcs0 &#13;_x000a_\insrsid941567\charrsid1799708 &#13;_x000a_\par }\pard\plain \ltrpar\s21\ql \li0\ri0\sb240\keepn\nowidctlpar\wrapdefault\aspalpha\aspnum\faauto\adjustright\rin0\lin0\itap0\pararsid941567 \rtlch\fcs1 \af0\afs20\alang1025 \ltrch\fcs0 \b\fs24\lang2057\langfe2057\cgrid\langnp2057\langfenp2057 {\rtlch\fcs1 &#13;_x000a_\af0 \ltrch\fcs0 \cs15\b0\v\f1\fs20\cf9\lang1024\langfe1024\noproof\langnp1036\insrsid941567\charrsid11627753 &lt;DocAmend&gt;}{\rtlch\fcs1 \af0 \ltrch\fcs0 \lang1036\langfe2057\langnp1036\insrsid941567\charrsid11627753 [ZAMDOC]}{\rtlch\fcs1 \af0 \ltrch\fcs0 &#13;_x000a_\cs15\b0\v\f1\fs20\cf9\lang1024\langfe1024\noproof\langnp1036\insrsid941567\charrsid11627753 &lt;/DocAmend&gt;}{\rtlch\fcs1 \af0 \ltrch\fcs0 \lang1036\langfe2057\langnp1036\insrsid941567\charrsid11627753 &#13;_x000a_\par }\pard\plain \ltrpar\s18\ql \li0\ri0\nowidctlpar\wrapdefault\aspalpha\aspnum\faauto\adjustright\rin0\lin0\itap0\pararsid941567 \rtlch\fcs1 \af0\afs20\alang1025 \ltrch\fcs0 \b\fs24\lang2057\langfe2057\cgrid\langnp2057\langfenp2057 {\rtlch\fcs1 \af0 &#13;_x000a_\ltrch\fcs0 \cs15\b0\v\f1\fs20\cf9\lang1024\langfe1024\noproof\langnp1036\insrsid941567\charrsid11627753 &lt;Article&gt;}{\rtlch\fcs1 \af0 \ltrch\fcs0 \lang1036\langfe2057\langnp1036\insrsid941567\charrsid11627753 [ZAMPART]}{\rtlch\fcs1 \af0 \ltrch\fcs0 &#13;_x000a_\cs15\b0\v\f1\fs20\cf9\lang1024\langfe1024\noproof\langnp1036\insrsid941567\charrsid11627753 &lt;/Article&gt;}{\rtlch\fcs1 \af0 \ltrch\fcs0 \lang1036\langfe2057\langnp1036\insrsid941567\charrsid11627753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9206962 \rtlch\fcs1 \af0\afs20\alang1025 &#13;_x000a_\ltrch\fcs0 \fs24\lang2057\langfe2057\cgrid\langnp2057\langfenp2057 {\rtlch\fcs1 \af0 \ltrch\fcs0 \lang1036\langfe2057\langnp1036\insrsid941567\charrsid11627753 \cell }\pard\plain \ltrpar&#13;_x000a_\ql \li0\ri0\widctlpar\intbl\wrapdefault\aspalpha\aspnum\faauto\adjustright\rin0\lin0 \rtlch\fcs1 \af0\afs20\alang1025 \ltrch\fcs0 \fs24\lang2057\langfe2057\cgrid\langnp2057\langfenp2057 {\rtlch\fcs1 \af0 \ltrch\fcs0 \insrsid941567\charrsid11627753 &#13;_x000a_\trowd \irow0\irowband0\ltrrow\ts11\trqc\trgaph340\trleft-340\trftsWidth3\trwWidth9752\trftsWidthB3\trpaddl340\trpaddr340\trpaddfl3\trpaddft3\trpaddfb3\trpaddfr3\tblrsid14055546\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9206962 \rtlch\fcs1 \af0\afs20\alang1025 \ltrch\fcs0 \i\fs24\lang2057\langfe2057\cgrid\langnp2057\langfenp2057 {\rtlch\fcs1 \af0 \ltrch\fcs0 &#13;_x000a_\insrsid941567\charrsid1799708 [ZLEFT]\cell [ZRIGHT]\cell }\pard\plain \ltrpar\ql \li0\ri0\widctlpar\intbl\wrapdefault\aspalpha\aspnum\faauto\adjustright\rin0\lin0 \rtlch\fcs1 \af0\afs20\alang1025 \ltrch\fcs0 &#13;_x000a_\fs24\lang2057\langfe2057\cgrid\langnp2057\langfenp2057 {\rtlch\fcs1 \af0 \ltrch\fcs0 \insrsid94156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14055546 \rtlch\fcs1 \af0\afs20\alang1025 \ltrch\fcs0 \fs24\lang2057\langfe2057\cgrid\langnp2057\langfenp2057 {\rtlch\fcs1 \af0 \ltrch\fcs0 &#13;_x000a_\insrsid941567\charrsid1799708 [ZTEXTL]\cell [ZTEXTR]}{\rtlch\fcs1 \af0\afs24 \ltrch\fcs0 \insrsid941567\charrsid1799708 \cell }\pard\plain \ltrpar\ql \li0\ri0\widctlpar\intbl\wrapdefault\aspalpha\aspnum\faauto\adjustright\rin0\lin0 \rtlch\fcs1 &#13;_x000a_\af0\afs20\alang1025 \ltrch\fcs0 \fs24\lang2057\langfe2057\cgrid\langnp2057\langfenp2057 {\rtlch\fcs1 \af0 \ltrch\fcs0 \insrsid94156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941567 \rtlch\fcs1 \af0\afs20\alang1025 \ltrch\fcs0 \fs24\lang2057\langfe2057\cgrid\langnp2057\langfenp2057 {\rtlch\fcs1 \af0 \ltrch\fcs0 &#13;_x000a_\insrsid941567\charrsid1799708 Or. }{\rtlch\fcs1 \af0 \ltrch\fcs0 \cs15\v\f1\fs20\cf9\lang1024\langfe1024\noproof\insrsid941567\charrsid1799708 &lt;Original&gt;}{\rtlch\fcs1 \af0 \ltrch\fcs0 \insrsid941567\charrsid1799708 [ZORLANG]}{\rtlch\fcs1 \af0 &#13;_x000a_\ltrch\fcs0 \cs15\v\f1\fs20\cf9\lang1024\langfe1024\noproof\insrsid941567\charrsid1799708 &lt;/Original&gt;}{\rtlch\fcs1 \af0 \ltrch\fcs0 \insrsid941567\charrsid1799708 &#13;_x000a_\par }\pard\plain \ltrpar\ql \li0\ri0\widctlpar\wrapdefault\aspalpha\aspnum\faauto\adjustright\rin0\lin0\itap0\pararsid941567 \rtlch\fcs1 \af0\afs20\alang1025 \ltrch\fcs0 \fs24\lang2057\langfe2057\cgrid\langnp2057\langfenp2057 {\rtlch\fcs1 \af0 \ltrch\fcs0 &#13;_x000a_\cs15\v\f1\fs20\cf9\lang1024\langfe1024\noproof\insrsid94156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66&#13;_x000a_596ca9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NormalBold12b">
    <w:name w:val="NormalBold12b"/>
    <w:basedOn w:val="Normal"/>
    <w:pPr>
      <w:widowControl/>
      <w:spacing w:before="240"/>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NormalBold12b12a">
    <w:name w:val="NormalBold12b12a"/>
    <w:basedOn w:val="Normal"/>
    <w:next w:val="NormalBold"/>
    <w:pPr>
      <w:widowControl/>
      <w:spacing w:before="240" w:after="240"/>
    </w:pPr>
    <w:rPr>
      <w:b/>
    </w:rPr>
  </w:style>
  <w:style w:type="paragraph" w:customStyle="1" w:styleId="NormalBold12a">
    <w:name w:val="NormalBold12a"/>
    <w:basedOn w:val="Normal"/>
    <w:pPr>
      <w:widowControl/>
      <w:spacing w:after="240"/>
    </w:pPr>
    <w:rPr>
      <w:b/>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5100</Words>
  <Characters>33754</Characters>
  <Application>Microsoft Office Word</Application>
  <DocSecurity>0</DocSecurity>
  <Lines>1</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AM_Com_NonLegCompr</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1334143</vt:lpwstr>
  </property>
  <property fmtid="{D5CDD505-2E9C-101B-9397-08002B2CF9AE}" pid="4" name="&lt;Model&gt;">
    <vt:lpwstr>AM_Com_NonLegCompr</vt:lpwstr>
  </property>
  <property fmtid="{D5CDD505-2E9C-101B-9397-08002B2CF9AE}" pid="5" name="&lt;Type&gt;">
    <vt:lpwstr>AM</vt:lpwstr>
  </property>
  <property fmtid="{D5CDD505-2E9C-101B-9397-08002B2CF9AE}" pid="6" name="dmxml.render.id">
    <vt:lpwstr>330977</vt:lpwstr>
  </property>
  <property fmtid="{D5CDD505-2E9C-101B-9397-08002B2CF9AE}" pid="7" name="dmxml.render.traceId">
    <vt:lpwstr>695fb5921e2b3f8dc78a9ecdf68892ba</vt:lpwstr>
  </property>
  <property fmtid="{D5CDD505-2E9C-101B-9397-08002B2CF9AE}" pid="8" name="FooterPath">
    <vt:lpwstr>AM\1334143DA.docx</vt:lpwstr>
  </property>
  <property fmtid="{D5CDD505-2E9C-101B-9397-08002B2CF9AE}" pid="9" name="PE Number">
    <vt:lpwstr>781.413</vt:lpwstr>
  </property>
  <property fmtid="{D5CDD505-2E9C-101B-9397-08002B2CF9AE}" pid="10" name="UID">
    <vt:lpwstr>eu.europa.europarl-DIN1-2025-0000250738_01.00-da-01.00_text-xml</vt:lpwstr>
  </property>
</Properties>
</file>