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Committee on Petitions</w:t>
      </w:r>
      <w:r>
        <w:rPr>
          <w:rStyle w:val="HideTWBExt"/>
        </w:rPr>
        <w:t>&lt;/Commission&gt;</w:t>
      </w:r>
    </w:p>
    <w:p>
      <w:pPr>
        <w:pStyle w:val="LineBottom"/>
      </w:pPr>
      <w:r>
        <w:t xml:space="preserve"> </w:t>
      </w:r>
    </w:p>
    <w:p>
      <w:pPr>
        <w:pStyle w:val="CoverReference"/>
      </w:pPr>
      <w:r>
        <w:rPr>
          <w:rStyle w:val="HideTWBExt"/>
        </w:rPr>
        <w:t>&lt;RefProc&gt;</w:t>
      </w:r>
      <w:r>
        <w:t>2026/2073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{12/10/2026}</w:t>
      </w:r>
      <w:r>
        <w:t>12.10.2026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139</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Adrian-George Axinia</w:t>
      </w:r>
      <w:r>
        <w:rPr>
          <w:rStyle w:val="HideTWBExt"/>
        </w:rPr>
        <w:t>&lt;/Rapporteur&gt;</w:t>
      </w:r>
    </w:p>
    <w:p>
      <w:pPr>
        <w:pStyle w:val="CoverNormal24a"/>
      </w:pPr>
      <w:r>
        <w:rPr>
          <w:rStyle w:val="HideTWBExt"/>
        </w:rPr>
        <w:t>&lt;DocRefPE&gt;</w:t>
      </w:r>
      <w:r>
        <w:t>(PE790.160v01-00)</w:t>
      </w:r>
      <w:r>
        <w:rPr>
          <w:rStyle w:val="HideTWBExt"/>
        </w:rPr>
        <w:t>&lt;/DocRefPE&gt;</w:t>
      </w:r>
    </w:p>
    <w:p>
      <w:pPr>
        <w:pStyle w:val="CoverNormal"/>
      </w:pPr>
      <w:r>
        <w:rPr>
          <w:rStyle w:val="HideTWBExt"/>
        </w:rPr>
        <w:t>&lt;Titre&gt;</w:t>
      </w:r>
      <w:r>
        <w:t>Activities of the European Ombudsman - annual report 2025</w:t>
      </w:r>
      <w:r>
        <w:rPr>
          <w:rStyle w:val="HideTWBExt"/>
        </w:rPr>
        <w:t>&lt;/Titre&gt;</w:t>
      </w:r>
    </w:p>
    <w:p>
      <w:pPr>
        <w:pStyle w:val="CoverNormal24a"/>
      </w:pPr>
      <w:r>
        <w:rPr>
          <w:rStyle w:val="HideTWBExt"/>
        </w:rPr>
        <w:t>&lt;DocRef&gt;</w:t>
      </w:r>
      <w:r>
        <w:t>(2026/2073(INI))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principles of conferral, subsidiarity and proportionality laid down in Article 5 of the Treaty on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Commission's better regulation guidelines and toolbox,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Commission's Communication of 21 April 2026 entitled A Simpler, Clearer and Better Enforced EU Rulebook,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Interinstitutional Agreement between the European Parliament, the Council of the European Union and the European Commission on better Law-Making of 13 April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annual report on the activities of the European Ombudsman in 2025 was formally submitted to the President of Parliament on 28 April 2026 and the </w:t>
            </w:r>
            <w:r>
              <w:rPr>
                <w:b/>
                <w:i/>
              </w:rPr>
              <w:t>Ombudsman</w:t>
            </w:r>
            <w:r>
              <w:t>, Teresa Anjinho, presented the report to the Committee on Petitions in Brussels on 6 May 2026;</w:t>
            </w:r>
          </w:p>
        </w:tc>
        <w:tc>
          <w:tcPr>
            <w:tcW w:w="4876" w:type="dxa"/>
            <w:tcBorders>
              <w:top w:val="nil"/>
              <w:left w:val="nil"/>
              <w:bottom w:val="nil"/>
              <w:right w:val="nil"/>
            </w:tcBorders>
          </w:tcPr>
          <w:p>
            <w:pPr>
              <w:pStyle w:val="Normal6a"/>
            </w:pPr>
            <w:r>
              <w:t>A.</w:t>
            </w:r>
            <w:r>
              <w:tab/>
            </w:r>
            <w:r>
              <w:t xml:space="preserve">whereas the annual report on the activities of the European Ombudsman in 2025 was formally submitted to the President of Parliament on 28 April 2026 and the </w:t>
            </w:r>
            <w:r>
              <w:rPr>
                <w:b/>
                <w:i/>
              </w:rPr>
              <w:t>Ombudswoman</w:t>
            </w:r>
            <w:r>
              <w:t>, Teresa Anjinho, presented the report to the Committee on Petitions in Brussels on 6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Articles 20, 24 and 228 TFEU empower the European Ombudsman to receive complaints concerning instances of maladministration in the activities of the Union institutions, bodies, offices or agencies, with the exception of the Court of Justice of the European Union acting in its judicial role;</w:t>
            </w:r>
          </w:p>
        </w:tc>
        <w:tc>
          <w:tcPr>
            <w:tcW w:w="4876" w:type="dxa"/>
            <w:tcBorders>
              <w:top w:val="nil"/>
              <w:left w:val="nil"/>
              <w:bottom w:val="nil"/>
              <w:right w:val="nil"/>
            </w:tcBorders>
          </w:tcPr>
          <w:p>
            <w:pPr>
              <w:pStyle w:val="Normal6a"/>
            </w:pPr>
            <w:r>
              <w:t>B.</w:t>
            </w:r>
            <w:r>
              <w:tab/>
            </w:r>
            <w:r>
              <w:t xml:space="preserve">whereas Articles 20, 24 and 228 TFEU empower the European Ombudsman to receive complaints concerning instances of maladministration in the activities of the Union institutions, bodies, offices or agencies, with the exception of the Court of Justice of the European Union acting in its judicial role; </w:t>
            </w:r>
            <w:r>
              <w:rPr>
                <w:b/>
                <w:i/>
              </w:rPr>
              <w:t>whereas the Ombudsman must exercise this mandate strictly within the competences conferred by the Treaties and without interfering with matters falling within the competences of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Article 15 TFEU states that ‘in order to promote good governance and ensure the participation of civil society, the Union’s institutions, bodies, offices and agencies shall conduct their work as openly as possible</w:t>
            </w:r>
            <w:r>
              <w:rPr>
                <w:b/>
                <w:i/>
              </w:rPr>
              <w:t>’ and that ‘any citizen</w:t>
            </w:r>
            <w:r>
              <w:t xml:space="preserve"> of the Union</w:t>
            </w:r>
            <w:r>
              <w:rPr>
                <w:b/>
                <w:i/>
              </w:rPr>
              <w:t>, and any natural or legal person residing or having its registered office in a Member State, shall have a right of access to documents of the Union’s</w:t>
            </w:r>
            <w:r>
              <w:t xml:space="preserve"> institutions, bodies, offices and agencies</w:t>
            </w:r>
            <w:r>
              <w:rPr>
                <w:b/>
                <w:i/>
              </w:rPr>
              <w:t>’</w:t>
            </w:r>
            <w:r>
              <w:t>;</w:t>
            </w:r>
          </w:p>
        </w:tc>
        <w:tc>
          <w:tcPr>
            <w:tcW w:w="4876" w:type="dxa"/>
            <w:tcBorders>
              <w:top w:val="nil"/>
              <w:left w:val="nil"/>
              <w:bottom w:val="nil"/>
              <w:right w:val="nil"/>
            </w:tcBorders>
          </w:tcPr>
          <w:p>
            <w:pPr>
              <w:pStyle w:val="Normal6a"/>
            </w:pPr>
            <w:r>
              <w:t>C.</w:t>
            </w:r>
            <w:r>
              <w:tab/>
            </w:r>
            <w:r>
              <w:t>whereas Article 15 TFEU states that ‘in order to promote good governance and ensure the participation of civil society, the Union’s institutions, bodies, offices and agencies shall conduct their work as openly as possible</w:t>
            </w:r>
            <w:r>
              <w:rPr>
                <w:b/>
                <w:i/>
              </w:rPr>
              <w:t>; whereas, pursuant to Article 228 TFEU, the European Ombudsman is entrusted with receiving and examining complaints concerning instances of maladministration in the activities</w:t>
            </w:r>
            <w:r>
              <w:t xml:space="preserve"> of the Union institutions, bodies, offices and agencies</w:t>
            </w:r>
            <w:r>
              <w:rPr>
                <w:b/>
                <w:i/>
              </w:rPr>
              <w:t>, and with conducting inquiries for which she finds grounds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Article 298(1) TFEU states that ‘in carrying out their missions, the institutions, bodies, offices and agencies of the Union shall have the support of an open, efficient and independent European 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the work of the Ombudsman is essential to promote and safeguard good administration within the Union institutions, bodies, offices or agencies as well as to uphold full transparency and accountability and to protect citizens' rights, ensuring that the European project remains faithful to its core values and principles;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in 2025, the largest percentage of the Ombudsman’s inquiries concerned the Commission, reflecting its central administrative role </w:t>
            </w:r>
            <w:r>
              <w:rPr>
                <w:b/>
                <w:i/>
              </w:rPr>
              <w:t>while underlining the need for continued improvements in transparency, efficiency and administrative accountability</w:t>
            </w:r>
            <w:r>
              <w:t>;</w:t>
            </w:r>
          </w:p>
        </w:tc>
        <w:tc>
          <w:tcPr>
            <w:tcW w:w="4876" w:type="dxa"/>
            <w:tcBorders>
              <w:top w:val="nil"/>
              <w:left w:val="nil"/>
              <w:bottom w:val="nil"/>
              <w:right w:val="nil"/>
            </w:tcBorders>
          </w:tcPr>
          <w:p>
            <w:pPr>
              <w:pStyle w:val="Normal6a"/>
            </w:pPr>
            <w:r>
              <w:t>H.</w:t>
            </w:r>
            <w:r>
              <w:tab/>
            </w:r>
            <w:r>
              <w:t>whereas in 2025, the largest percentage of the Ombudsman’s inquiries concerned the Commission, reflecting its central administrative 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in 2025, the largest percentage of the Ombudsman’s inquiries concerned the Commission, reflecting </w:t>
            </w:r>
            <w:r>
              <w:rPr>
                <w:b/>
                <w:i/>
              </w:rPr>
              <w:t>its central administrative role while underlining the need for continued improvements in</w:t>
            </w:r>
            <w:r>
              <w:t xml:space="preserve"> transparency, efficiency and administrative accountability;</w:t>
            </w:r>
          </w:p>
        </w:tc>
        <w:tc>
          <w:tcPr>
            <w:tcW w:w="4876" w:type="dxa"/>
            <w:tcBorders>
              <w:top w:val="nil"/>
              <w:left w:val="nil"/>
              <w:bottom w:val="nil"/>
              <w:right w:val="nil"/>
            </w:tcBorders>
          </w:tcPr>
          <w:p>
            <w:pPr>
              <w:pStyle w:val="Normal6a"/>
            </w:pPr>
            <w:r>
              <w:t>H.</w:t>
            </w:r>
            <w:r>
              <w:tab/>
            </w:r>
            <w:r>
              <w:t>whereas in 2025, the largest percentage of the Ombudsman’s inquiries</w:t>
            </w:r>
            <w:r>
              <w:rPr>
                <w:b/>
                <w:i/>
              </w:rPr>
              <w:t>, almost six out of ten,</w:t>
            </w:r>
            <w:r>
              <w:t xml:space="preserve"> concerned the Commission, reflecting </w:t>
            </w:r>
            <w:r>
              <w:rPr>
                <w:b/>
                <w:i/>
              </w:rPr>
              <w:t>persistent failures in relation to</w:t>
            </w:r>
            <w:r>
              <w:t xml:space="preserve"> transparency, efficiency and administrative accountability </w:t>
            </w:r>
            <w:r>
              <w:rPr>
                <w:b/>
                <w:i/>
              </w:rPr>
              <w:t>in the EU’s most influential institution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in 2025, the largest percentage of the Ombudsman’s inquiries concerned the Commission, </w:t>
            </w:r>
            <w:r>
              <w:rPr>
                <w:b/>
                <w:i/>
              </w:rPr>
              <w:t>reflecting its central administrative role while</w:t>
            </w:r>
            <w:r>
              <w:t xml:space="preserve"> underlining the need for </w:t>
            </w:r>
            <w:r>
              <w:rPr>
                <w:b/>
                <w:i/>
              </w:rPr>
              <w:t>continued improvements in</w:t>
            </w:r>
            <w:r>
              <w:t xml:space="preserve"> transparency, </w:t>
            </w:r>
            <w:r>
              <w:rPr>
                <w:b/>
                <w:i/>
              </w:rPr>
              <w:t>efficiency and</w:t>
            </w:r>
            <w:r>
              <w:t xml:space="preserve"> administrative accountability;</w:t>
            </w:r>
          </w:p>
        </w:tc>
        <w:tc>
          <w:tcPr>
            <w:tcW w:w="4876" w:type="dxa"/>
            <w:tcBorders>
              <w:top w:val="nil"/>
              <w:left w:val="nil"/>
              <w:bottom w:val="nil"/>
              <w:right w:val="nil"/>
            </w:tcBorders>
          </w:tcPr>
          <w:p>
            <w:pPr>
              <w:pStyle w:val="Normal6a"/>
            </w:pPr>
            <w:r>
              <w:t>H.</w:t>
            </w:r>
            <w:r>
              <w:tab/>
            </w:r>
            <w:r>
              <w:t xml:space="preserve">whereas in 2025, the largest percentage of the Ombudsman’s inquiries concerned the Commission, underlining the need for </w:t>
            </w:r>
            <w:r>
              <w:rPr>
                <w:b/>
                <w:i/>
              </w:rPr>
              <w:t>stronger</w:t>
            </w:r>
            <w:r>
              <w:t xml:space="preserve"> transparency, administrative accountability </w:t>
            </w:r>
            <w:r>
              <w:rPr>
                <w:b/>
                <w:i/>
              </w:rPr>
              <w:t>and effective scrutiny of the Commission’s exercise of its powers, with due respect for the competences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among the inquiries closed by the Ombudsman in 2025, no maladministration was found in 18.3 % of cases, a solution was settled by the institution in 63.0 % of cases, no further inquiries were justified in 15.1 % of cases and maladministration was found in 4.2 % of cases;</w:t>
            </w:r>
          </w:p>
        </w:tc>
        <w:tc>
          <w:tcPr>
            <w:tcW w:w="4876" w:type="dxa"/>
            <w:tcBorders>
              <w:top w:val="nil"/>
              <w:left w:val="nil"/>
              <w:bottom w:val="nil"/>
              <w:right w:val="nil"/>
            </w:tcBorders>
          </w:tcPr>
          <w:p>
            <w:pPr>
              <w:pStyle w:val="Normal6a"/>
            </w:pPr>
            <w:r>
              <w:t>I.</w:t>
            </w:r>
            <w:r>
              <w:tab/>
            </w:r>
            <w:r>
              <w:t xml:space="preserve">whereas among the inquiries closed by the Ombudsman in 2025, no maladministration was found in 18.3 % of cases, a solution was settled by the institution in 63.0 % of cases, no further inquiries were justified in 15.1 % of cases and maladministration was found in 4.2 % of cases; </w:t>
            </w:r>
            <w:r>
              <w:rPr>
                <w:b/>
                <w:i/>
              </w:rPr>
              <w:t>whereas these figures should be assessed objectively and should not be used to justify an expansion of the Ombudsman’s mandate beyond that established by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among the inquiries closed by the Ombudsman in 2025, no maladministration was found in 18.3 % of cases, a solution was </w:t>
            </w:r>
            <w:r>
              <w:rPr>
                <w:b/>
                <w:i/>
              </w:rPr>
              <w:t>settled</w:t>
            </w:r>
            <w:r>
              <w:t xml:space="preserve"> by the institution in 63.0 % of cases, no further inquiries were justified in 15.1 % of cases and maladministration was found in 4.2 % of cases;</w:t>
            </w:r>
          </w:p>
        </w:tc>
        <w:tc>
          <w:tcPr>
            <w:tcW w:w="4876" w:type="dxa"/>
            <w:tcBorders>
              <w:top w:val="nil"/>
              <w:left w:val="nil"/>
              <w:bottom w:val="nil"/>
              <w:right w:val="nil"/>
            </w:tcBorders>
          </w:tcPr>
          <w:p>
            <w:pPr>
              <w:pStyle w:val="Normal6a"/>
            </w:pPr>
            <w:r>
              <w:t>I.</w:t>
            </w:r>
            <w:r>
              <w:tab/>
            </w:r>
            <w:r>
              <w:t xml:space="preserve">whereas among the inquiries closed by the Ombudsman in 2025, no maladministration was found in 18.3 % of cases, a solution was </w:t>
            </w:r>
            <w:r>
              <w:rPr>
                <w:b/>
                <w:i/>
              </w:rPr>
              <w:t>achieved</w:t>
            </w:r>
            <w:r>
              <w:t xml:space="preserve"> by the institution in 63.0 % of cases, no further inquiries were justified in 15.1 % of cases and maladministration was found in 4.2 % of cases;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top three concerns among the inquiries closed by the Ombudsman in 2025 were transparency and accountability (38.1 %), culture of service (18.3 %) and proper management of infringement procedures (11.9 %); whereas other concerns included recruitment (9.4 %), proper use of discretion (including in infringement procedures), good management of personnel issues, respect for procedural rights, grants, procurement, contracts, respect for fundamental rights, ethics, public participation in EU decision-making, whistleblowing and sound financial management;</w:t>
            </w:r>
          </w:p>
        </w:tc>
        <w:tc>
          <w:tcPr>
            <w:tcW w:w="4876" w:type="dxa"/>
            <w:tcBorders>
              <w:top w:val="nil"/>
              <w:left w:val="nil"/>
              <w:bottom w:val="nil"/>
              <w:right w:val="nil"/>
            </w:tcBorders>
          </w:tcPr>
          <w:p>
            <w:pPr>
              <w:pStyle w:val="Normal6a"/>
            </w:pPr>
            <w:r>
              <w:t>J.</w:t>
            </w:r>
            <w:r>
              <w:tab/>
            </w:r>
            <w:r>
              <w:t xml:space="preserve">whereas the top three concerns among the inquiries closed by the Ombudsman in 2025 were transparency and accountability (38.1 %), culture of service (18.3 %) and proper management of infringement procedures (11.9 %); whereas other concerns included recruitment (9.4 %), proper use of discretion (including in infringement procedures), good management of personnel issues, respect for procedural rights, grants, procurement, contracts, respect for fundamental rights, ethics, public participation in EU decision-making, whistleblowing and sound financial management; </w:t>
            </w:r>
            <w:r>
              <w:rPr>
                <w:b/>
                <w:i/>
              </w:rPr>
              <w:t>whereas particular attention should be paid to transparency in the use of Union funds and to preventing conflicts of interest in grants, procurement and contracts financed from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it is of great concern that there is a general lack of transparency and proper scrutiny in the relations between the EU institutions and 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whereas transparency, accountability and democratic scrutiny in relation to the Commission’s external relations, decision-making and handling of documents is of utmost importance; calls on the Commission to ensure timely and comprehensive access to relevant documents, including those concerning negotiations, procurement procedures and communications between senior EU officials and external stakeholders, in accordance with the applicable transparency rules; emphasises the importance of fully implementing the recommendations and decisions of the European Ombudsman and complying with judgments of the Court of Justice of the European Union, including those concerning access to documents and the transparency of COVID-19 vaccine procurement;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in 2025, the Ombudsman opened a strategic inquiry into how EU agencies handle ‘revolving door’ cases and closed three strategic inquiries;</w:t>
            </w:r>
          </w:p>
        </w:tc>
        <w:tc>
          <w:tcPr>
            <w:tcW w:w="4876" w:type="dxa"/>
            <w:tcBorders>
              <w:top w:val="nil"/>
              <w:left w:val="nil"/>
              <w:bottom w:val="nil"/>
              <w:right w:val="nil"/>
            </w:tcBorders>
          </w:tcPr>
          <w:p>
            <w:pPr>
              <w:pStyle w:val="Normal6a"/>
            </w:pPr>
            <w:r>
              <w:t>K.</w:t>
            </w:r>
            <w:r>
              <w:tab/>
            </w:r>
            <w:r>
              <w:t xml:space="preserve">whereas in 2025, the Ombudsman opened a strategic inquiry into how EU agencies handle ‘revolving door’ cases and closed three strategic inquiries; </w:t>
            </w:r>
            <w:r>
              <w:rPr>
                <w:b/>
                <w:i/>
              </w:rPr>
              <w:t>whereas effective safeguards against conflicts of interest should apply consistently to senior officials and decision-makers across the Union 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the European Court of Auditors, in its Special Report 11/2025, identified significant shortcomings in the transparency and scrutiny of EU funding granted to NGOs, including insufficient checks on NGO status, financial dependency and funding sources; whereas, following repeated requests, the Commission published information on NGO grants for 2019–2023, covering more than 37 000 contracts with a total value of EUR 17 billion, while grant agreements and financial reports are not systematically publicly accessible;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EU citizens have broad rights to access documents held by the EU administration; whereas access to documents continued to be a major topic of the Ombudsman’s inquiries in 2025;</w:t>
            </w:r>
          </w:p>
        </w:tc>
        <w:tc>
          <w:tcPr>
            <w:tcW w:w="4876" w:type="dxa"/>
            <w:tcBorders>
              <w:top w:val="nil"/>
              <w:left w:val="nil"/>
              <w:bottom w:val="nil"/>
              <w:right w:val="nil"/>
            </w:tcBorders>
          </w:tcPr>
          <w:p>
            <w:pPr>
              <w:pStyle w:val="Normal6a"/>
            </w:pPr>
            <w:r>
              <w:t>L.</w:t>
            </w:r>
            <w:r>
              <w:tab/>
            </w:r>
            <w:r>
              <w:t>whereas EU citizens have broad rights to access documents held by the EU administration; whereas access to documents continued to be a major topic of the Ombudsman’s inquiries in 2025</w:t>
            </w:r>
            <w:r>
              <w:rPr>
                <w:b/>
                <w:i/>
              </w:rPr>
              <w:t>, one important aspect of which should be accessibility, given that the European Union is a party to the UN Convention on the Rights of Persons with Disabilities (CRPD)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whereas EU citizens have </w:t>
            </w:r>
            <w:r>
              <w:rPr>
                <w:b/>
                <w:i/>
              </w:rPr>
              <w:t>broad rights to access documents held by the EU</w:t>
            </w:r>
            <w:r>
              <w:t xml:space="preserve"> administration; whereas </w:t>
            </w:r>
            <w:r>
              <w:rPr>
                <w:b/>
                <w:i/>
              </w:rPr>
              <w:t>access to documents continued to be a major topic of</w:t>
            </w:r>
            <w:r>
              <w:t xml:space="preserve"> the Ombudsman’s inquiries in 2025;</w:t>
            </w:r>
          </w:p>
        </w:tc>
        <w:tc>
          <w:tcPr>
            <w:tcW w:w="4876" w:type="dxa"/>
            <w:tcBorders>
              <w:top w:val="nil"/>
              <w:left w:val="nil"/>
              <w:bottom w:val="nil"/>
              <w:right w:val="nil"/>
            </w:tcBorders>
          </w:tcPr>
          <w:p>
            <w:pPr>
              <w:pStyle w:val="Normal6a"/>
            </w:pPr>
            <w:r>
              <w:t>L.</w:t>
            </w:r>
            <w:r>
              <w:tab/>
            </w:r>
            <w:r>
              <w:t xml:space="preserve">whereas EU citizens have </w:t>
            </w:r>
            <w:r>
              <w:rPr>
                <w:b/>
                <w:i/>
              </w:rPr>
              <w:t>the right to good</w:t>
            </w:r>
            <w:r>
              <w:t xml:space="preserve"> administration; whereas the Ombudsman’s inquiries in 2025 </w:t>
            </w:r>
            <w:r>
              <w:rPr>
                <w:b/>
                <w:i/>
              </w:rPr>
              <w:t>covered a broad range of issues concerning accountability, administrative efficiency and the proper application of Union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timely public access to documents, in accordance with Regulation (EC) No 1049/2001</w:t>
            </w:r>
            <w:r>
              <w:rPr>
                <w:vertAlign w:val="superscript"/>
              </w:rPr>
              <w:t>3</w:t>
            </w:r>
            <w:r>
              <w:t xml:space="preserve"> and the applicable exceptions, is essential for transparency, democratic accountability and public trust in the Union’s institutions;</w:t>
            </w:r>
          </w:p>
        </w:tc>
        <w:tc>
          <w:tcPr>
            <w:tcW w:w="4876" w:type="dxa"/>
            <w:tcBorders>
              <w:top w:val="nil"/>
              <w:left w:val="nil"/>
              <w:bottom w:val="nil"/>
              <w:right w:val="nil"/>
            </w:tcBorders>
          </w:tcPr>
          <w:p>
            <w:pPr>
              <w:pStyle w:val="Normal6a"/>
            </w:pPr>
            <w:r>
              <w:t>M.</w:t>
            </w:r>
            <w:r>
              <w:tab/>
            </w:r>
            <w:r>
              <w:t>whereas timely public access to documents, in accordance with Regulation (EC) No 1049/2001</w:t>
            </w:r>
            <w:r>
              <w:rPr>
                <w:vertAlign w:val="superscript"/>
              </w:rPr>
              <w:t>3</w:t>
            </w:r>
            <w:r>
              <w:t xml:space="preserve"> and the applicable exceptions, is essential for transparency, democratic accountability and public trust in the Union’s institutions; </w:t>
            </w:r>
            <w:r>
              <w:rPr>
                <w:b/>
                <w:i/>
              </w:rPr>
              <w:t>while legitimate requirements relating to security, confidentiality and the protection of sensitive information must be fully respected;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OJ L 145, 31.5.2001, p. 43, ELI: http://data.europa.eu/eli/reg/2001/1049/oj.</w:t>
            </w:r>
          </w:p>
        </w:tc>
        <w:tc>
          <w:tcPr>
            <w:tcW w:w="4876" w:type="dxa"/>
            <w:tcBorders>
              <w:top w:val="nil"/>
              <w:left w:val="nil"/>
              <w:bottom w:val="nil"/>
              <w:right w:val="nil"/>
            </w:tcBorders>
          </w:tcPr>
          <w:p>
            <w:pPr>
              <w:pStyle w:val="Normal6a"/>
            </w:pPr>
            <w:r>
              <w:rPr>
                <w:vertAlign w:val="superscript"/>
              </w:rPr>
              <w:t>3</w:t>
            </w:r>
            <w:r>
              <w:t xml:space="preserve"> </w:t>
            </w:r>
            <w:r>
              <w:t>OJ L 145, 31.5.2001, p.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timely public access to documents, in accordance with Regulation (EC) No 1049/2001</w:t>
            </w:r>
            <w:r>
              <w:rPr>
                <w:vertAlign w:val="superscript"/>
              </w:rPr>
              <w:t>3</w:t>
            </w:r>
            <w:r>
              <w:t xml:space="preserve"> and the applicable exceptions, </w:t>
            </w:r>
            <w:r>
              <w:rPr>
                <w:b/>
                <w:i/>
              </w:rPr>
              <w:t>is essential for</w:t>
            </w:r>
            <w:r>
              <w:t xml:space="preserve"> transparency, </w:t>
            </w:r>
            <w:r>
              <w:rPr>
                <w:b/>
                <w:i/>
              </w:rPr>
              <w:t>democratic</w:t>
            </w:r>
            <w:r>
              <w:t xml:space="preserve"> accountability and public trust in the Union’s institutions;</w:t>
            </w:r>
          </w:p>
        </w:tc>
        <w:tc>
          <w:tcPr>
            <w:tcW w:w="4876" w:type="dxa"/>
            <w:tcBorders>
              <w:top w:val="nil"/>
              <w:left w:val="nil"/>
              <w:bottom w:val="nil"/>
              <w:right w:val="nil"/>
            </w:tcBorders>
          </w:tcPr>
          <w:p>
            <w:pPr>
              <w:pStyle w:val="Normal6a"/>
            </w:pPr>
            <w:r>
              <w:t>M.</w:t>
            </w:r>
            <w:r>
              <w:tab/>
            </w:r>
            <w:r>
              <w:t>whereas timely public access to documents, in accordance with Regulation (EC) No 1049/2001</w:t>
            </w:r>
            <w:r>
              <w:rPr>
                <w:vertAlign w:val="superscript"/>
              </w:rPr>
              <w:t>3</w:t>
            </w:r>
            <w:r>
              <w:t xml:space="preserve"> and the applicable exceptions, </w:t>
            </w:r>
            <w:r>
              <w:rPr>
                <w:b/>
                <w:i/>
              </w:rPr>
              <w:t>contributes to</w:t>
            </w:r>
            <w:r>
              <w:t xml:space="preserve"> transparency, accountability and public trust in the Union’s institutions;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OJ L 145, 31.5.2001, p. 43, ELI: http://data.europa.eu/eli/reg/2001/1049/oj.</w:t>
            </w:r>
          </w:p>
        </w:tc>
        <w:tc>
          <w:tcPr>
            <w:tcW w:w="4876" w:type="dxa"/>
            <w:tcBorders>
              <w:top w:val="nil"/>
              <w:left w:val="nil"/>
              <w:bottom w:val="nil"/>
              <w:right w:val="nil"/>
            </w:tcBorders>
          </w:tcPr>
          <w:p>
            <w:pPr>
              <w:pStyle w:val="Normal6a"/>
            </w:pPr>
            <w:r>
              <w:rPr>
                <w:vertAlign w:val="superscript"/>
              </w:rPr>
              <w:t>3</w:t>
            </w:r>
            <w:r>
              <w:t xml:space="preserve"> </w:t>
            </w:r>
            <w:r>
              <w:t>OJ L 145, 31.5.2001, p.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whereas the Commission has been evading responsibility for years and has failed to properly handle public access to documents; whereas the subsidies granted to NGOs are essentially non-transparent;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inquiries concerning lengthy delays in dealing with requests for public access to documents show that improvements in this area are needed; whereas persistent delays in handling such requests undermine legal certainty and citizens’ confidence in the Union’s administration; whereas the Commission should </w:t>
            </w:r>
            <w:r>
              <w:rPr>
                <w:b/>
                <w:i/>
              </w:rPr>
              <w:t>allocate adequate</w:t>
            </w:r>
            <w:r>
              <w:t xml:space="preserve"> administrative resources to ensure compliance with the deadlines laid down in Regulation (EC) No 1049/2001;</w:t>
            </w:r>
          </w:p>
        </w:tc>
        <w:tc>
          <w:tcPr>
            <w:tcW w:w="4876" w:type="dxa"/>
            <w:tcBorders>
              <w:top w:val="nil"/>
              <w:left w:val="nil"/>
              <w:bottom w:val="nil"/>
              <w:right w:val="nil"/>
            </w:tcBorders>
          </w:tcPr>
          <w:p>
            <w:pPr>
              <w:pStyle w:val="Normal6a"/>
            </w:pPr>
            <w:r>
              <w:t>N.</w:t>
            </w:r>
            <w:r>
              <w:tab/>
            </w:r>
            <w:r>
              <w:t xml:space="preserve">whereas inquiries concerning lengthy delays in dealing with requests for public access to documents show that improvements in this area are needed; whereas persistent delays in handling such requests undermine legal certainty and citizens’ confidence in the Union’s administration; whereas the Commission should </w:t>
            </w:r>
            <w:r>
              <w:rPr>
                <w:b/>
                <w:i/>
              </w:rPr>
              <w:t>make efficient use of its existing</w:t>
            </w:r>
            <w:r>
              <w:t xml:space="preserve"> administrative resources to ensure compliance with the deadlines laid down in Regulation (EC) No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inquiries concerning lengthy delays in dealing with requests for public access to documents show that improvements in this area are needed; whereas persistent delays in handling such requests </w:t>
            </w:r>
            <w:r>
              <w:rPr>
                <w:b/>
                <w:i/>
              </w:rPr>
              <w:t>undermine legal certainty and</w:t>
            </w:r>
            <w:r>
              <w:t xml:space="preserve"> citizens’ confidence in the Union’s administration; whereas the Commission should allocate adequate administrative resources to ensure compliance with the deadlines laid down in Regulation (EC) No 1049/2001;</w:t>
            </w:r>
          </w:p>
        </w:tc>
        <w:tc>
          <w:tcPr>
            <w:tcW w:w="4876" w:type="dxa"/>
            <w:tcBorders>
              <w:top w:val="nil"/>
              <w:left w:val="nil"/>
              <w:bottom w:val="nil"/>
              <w:right w:val="nil"/>
            </w:tcBorders>
          </w:tcPr>
          <w:p>
            <w:pPr>
              <w:pStyle w:val="Normal6a"/>
            </w:pPr>
            <w:r>
              <w:t>N.</w:t>
            </w:r>
            <w:r>
              <w:tab/>
            </w:r>
            <w:r>
              <w:t xml:space="preserve">whereas inquiries concerning lengthy delays in dealing with requests for public access to documents show that improvements in this area are needed; whereas persistent delays in handling such requests </w:t>
            </w:r>
            <w:r>
              <w:rPr>
                <w:b/>
                <w:i/>
              </w:rPr>
              <w:t>may have a negative effect on</w:t>
            </w:r>
            <w:r>
              <w:t xml:space="preserve"> citizens’ confidence in the Union’s administration; whereas the Commission should allocate adequate administrative resources to ensure compliance with the deadlines laid down in Regulation (EC) No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in its judgment of 14 May 2025 in Case T-36/23, the General Court of the European Union annulled the Commission’s decision to refuse access to text messages exchanged between its President and the chief executive officer of a pharmaceutical company concerning the purchase of COVID-19 vaccines, on the grounds that it had not provided a plausible explanation as to why it did not have them in its possession and that it had not sufficiently clarified whether they had been deleted;</w:t>
            </w:r>
            <w:r>
              <w:t xml:space="preserve"> </w:t>
            </w:r>
            <w:r>
              <w:rPr>
                <w:b/>
                <w:i/>
              </w:rPr>
              <w:t>whereas the Ombudsman opened an inquiry in September 2025 into how the Commission had dealt with a request for public access to a text message sent to its President by the French President concerning trade negotiations with Mercosur, and found maladministration;</w:t>
            </w:r>
            <w:r>
              <w:t xml:space="preserve"> </w:t>
            </w:r>
            <w:r>
              <w:rPr>
                <w:b/>
                <w:i/>
              </w:rPr>
              <w:t>whereas the Ombudsman, in her decision of 12 July 2022 in case 1316/2021/MIG, had already found maladministration in the handling of a request for access to the messages exchanged between the President of the Commission and the chief executive officer of that same company, and described that case as a wake-up call for all EU institutions;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the key findings under the European Court of Auditors Special report 28/2024 on "Enforcing EU law" confirmed the Commission's very long delays, even in breach of its own internal benchmarks, the lack of legal clarity on its key priority criteria and its severe lack of transparency in handling EU Pilot and infringement procedures; whereas in its new Communication titled "A Simpler, Clearer and Better Enforced EU Rulebook”, the Commission acknowledged that progressing and closing infringement procedures for late transposition of EU law often takes years, while cases involving incorrect transposition of directives and bad application of directives or regulations take even longer;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whereas </w:t>
            </w:r>
            <w:r>
              <w:rPr>
                <w:b/>
                <w:i/>
              </w:rPr>
              <w:t>it is important to uphold transparency and promote citizens’ inclusion in order to ensure the legitimacy of decision-making at EU level; whereas participatory decision-making was a key focus of the Office of</w:t>
            </w:r>
            <w:r>
              <w:t xml:space="preserve"> the European Ombudsman </w:t>
            </w:r>
            <w:r>
              <w:rPr>
                <w:b/>
                <w:i/>
              </w:rPr>
              <w:t>in 2025 and the Ombudsman identified procedural shortcomings in</w:t>
            </w:r>
            <w:r>
              <w:t xml:space="preserve"> the Commission’s preparation of legislative proposals</w:t>
            </w:r>
            <w:r>
              <w:rPr>
                <w:b/>
                <w:i/>
              </w:rPr>
              <w:t>, including the failure to justify the urgency of the proposals</w:t>
            </w:r>
            <w:r>
              <w:t>;</w:t>
            </w:r>
          </w:p>
        </w:tc>
        <w:tc>
          <w:tcPr>
            <w:tcW w:w="4876" w:type="dxa"/>
            <w:tcBorders>
              <w:top w:val="nil"/>
              <w:left w:val="nil"/>
              <w:bottom w:val="nil"/>
              <w:right w:val="nil"/>
            </w:tcBorders>
          </w:tcPr>
          <w:p>
            <w:pPr>
              <w:pStyle w:val="Normal6a"/>
            </w:pPr>
            <w:r>
              <w:t>O.</w:t>
            </w:r>
            <w:r>
              <w:tab/>
            </w:r>
            <w:r>
              <w:t xml:space="preserve">whereas </w:t>
            </w:r>
            <w:r>
              <w:rPr>
                <w:b/>
                <w:i/>
              </w:rPr>
              <w:t>in 2025</w:t>
            </w:r>
            <w:r>
              <w:t xml:space="preserve"> the European Ombudsman </w:t>
            </w:r>
            <w:r>
              <w:rPr>
                <w:b/>
                <w:i/>
              </w:rPr>
              <w:t>conducted an investigation based on three complaints regarding</w:t>
            </w:r>
            <w:r>
              <w:t xml:space="preserve"> the Commission's preparation of </w:t>
            </w:r>
            <w:r>
              <w:rPr>
                <w:b/>
                <w:i/>
              </w:rPr>
              <w:t>urgent</w:t>
            </w:r>
            <w:r>
              <w:t xml:space="preserve"> legislative proposals </w:t>
            </w:r>
            <w:r>
              <w:rPr>
                <w:b/>
                <w:i/>
              </w:rPr>
              <w:t>without conducting impact assessments: Omnibus I, CAP simplification package and the rules to counter migrant smuggling considering and found that the Commission did not fully comply with its better regulation guidelines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whereas it is important to uphold transparency and promote citizens’ inclusion in order to ensure the legitimacy of decision-making at EU level; whereas participatory decision-making was a key focus of the Office of the European Ombudsman in 2025 and the Ombudsman identified procedural shortcomings in the Commission’s preparation of legislative proposals, including the failure to justify the urgency of the proposals;</w:t>
            </w:r>
          </w:p>
        </w:tc>
        <w:tc>
          <w:tcPr>
            <w:tcW w:w="4876" w:type="dxa"/>
            <w:tcBorders>
              <w:top w:val="nil"/>
              <w:left w:val="nil"/>
              <w:bottom w:val="nil"/>
              <w:right w:val="nil"/>
            </w:tcBorders>
          </w:tcPr>
          <w:p>
            <w:pPr>
              <w:pStyle w:val="Normal6a"/>
            </w:pPr>
            <w:r>
              <w:t>O.</w:t>
            </w:r>
            <w:r>
              <w:tab/>
            </w:r>
            <w:r>
              <w:t xml:space="preserve">whereas it is important to uphold transparency and promote citizens’ inclusion in order to ensure the legitimacy of decision-making at EU level; whereas participatory decision-making was a key focus of the Office of the European Ombudsman in 2025 and the Ombudsman identified procedural shortcomings in the Commission’s preparation of legislative proposals, including the failure to justify the urgency of the proposals; </w:t>
            </w:r>
            <w:r>
              <w:rPr>
                <w:b/>
                <w:i/>
              </w:rPr>
              <w:t>whereas sufficient time for scrutiny by national parliaments and stakeholders should be ensured, in particular where legislative proposals may affect the exercise of Member States’ competences;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 whereas the European Union is a signatory to the UN Convention on the Rights of Persons with Disabilities (UN CRPD), a binding international human rights instrument to ‘promote, protect and ensure the full and equal enjoyment of all human rights and fundamental freedoms by all persons with disabilities, and to promote respect for their inherent dignity’; whereas compliance with the UN CRPD in the EU is monitored by the EU Framework for the UN Convention on the Rights of Persons with Disabilities; whereas as a member of this framework, the Ombudsman pays close attention to the EU administration’s implementation of the UN CRPD and the Framework prepared an updated contribution, which included input from the Ombudsman, for the UN CRPD Committee to help ensure the Committee can complete in 2025 its periodic review of the EU’s performance in relation to the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the Ombudsman launched an inquiry into how the European Investment Bank (EIB) discloses environmental and social information on projects prior to decisions on funding, concluding that the EIB's failure to adequately justify its decision to refuse public access to the draft Environmental and Social Data of a project amounted to maladministration; whereas the Ombudsman suggested that EIB should aim to disclose Environmental and Social Data Sheets proactively in advance of its Board’s approval of loans, to allow the public to participate meaningfully in the EIB’s assessment of environmental and social aspects of projects it considers for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the Commission' Better Regulation Framework is not legally binding, but provides for processes and tools that are conductive to political decisions being evidence-based, transparent, and open to stakeholders' input; whereas the Better Regulation Guidelines provide that in case of urgency,a Staff Working Document presenting the analytical evidence for the proposal substitutes for a fully-fledged impact assessment; whereas, in each of the three cases concerning urgent legislative procedures the Commission has set out evidence supporting the proposals in such analytical documents;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whereas, according to the Interinstitutional Agreement between The European Parliament, The Council of the European Union and The European Commission on Better Law-Making, impact assessments are a tool to help the three Institutions reach well-informed decisions and not a substitute for political decisions within the democratic decision-making process; whereas, according to the agreement, impact assessments must not lead to undue delays in the law-making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Oc.</w:t>
            </w:r>
            <w:r>
              <w:tab/>
            </w:r>
            <w:r>
              <w:rPr>
                <w:b/>
                <w:i/>
              </w:rPr>
              <w:t>whereas the ability of the Union to respond rapidly to crises, emerging challenges, legal deadlines and other time-sensitive circumstances, required accelerated legislative procedures; whereas, in her recommendations the Ombudsman has also acknowledged that procedures must be in place that allow the Commission to decide quickly, including on the adoption of legislative proposals, and that the Commission must retain a margin os discretion in defining the circumstances which it considers to be 'urgent';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whereas in 2025, the Office of the European Ombudsman continued to focus on developments in the digital era, which bring new demands for the EU administration; whereas one of the key topics of the Ombudsman’s inquiries concerned artificial intelligence (AI), in particular how the Commission ensures transparency, inclusiveness and accountability in the adoption of harmonised standards for AI;</w:t>
            </w:r>
          </w:p>
        </w:tc>
        <w:tc>
          <w:tcPr>
            <w:tcW w:w="4876" w:type="dxa"/>
            <w:tcBorders>
              <w:top w:val="nil"/>
              <w:left w:val="nil"/>
              <w:bottom w:val="nil"/>
              <w:right w:val="nil"/>
            </w:tcBorders>
          </w:tcPr>
          <w:p>
            <w:pPr>
              <w:pStyle w:val="Normal6a"/>
            </w:pPr>
            <w:r>
              <w:t>P.</w:t>
            </w:r>
            <w:r>
              <w:tab/>
            </w:r>
            <w:r>
              <w:t xml:space="preserve">whereas in 2025, the Office of the European Ombudsman continued to focus on developments in the digital era, which bring new demands for the EU administration; whereas one of the key topics of the Ombudsman’s inquiries concerned artificial intelligence (AI), in particular how the Commission ensures transparency, inclusiveness and accountability in the adoption of harmonised standards for AI; </w:t>
            </w:r>
            <w:r>
              <w:rPr>
                <w:b/>
                <w:i/>
              </w:rPr>
              <w:t>whereas the use of AI by the Union administration must remain subject to meaningful human oversight and must not weaken the right of citizens to receive a reasoned decision attributable to a responsible public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Welcomes the Ombudsman’s commitment to ensuring that the EU administration follows a citizen-oriented approach and maintains its accountability;</w:t>
            </w:r>
          </w:p>
        </w:tc>
        <w:tc>
          <w:tcPr>
            <w:tcW w:w="4876" w:type="dxa"/>
            <w:tcBorders>
              <w:top w:val="nil"/>
              <w:left w:val="nil"/>
              <w:bottom w:val="nil"/>
              <w:right w:val="nil"/>
            </w:tcBorders>
          </w:tcPr>
          <w:p>
            <w:pPr>
              <w:pStyle w:val="Normal6a"/>
            </w:pPr>
            <w:r>
              <w:t>2.</w:t>
            </w:r>
            <w:r>
              <w:tab/>
            </w:r>
            <w:r>
              <w:t>Welcomes the Ombudsman’s commitment to ensuring that the EU administration follows a citizen-oriented approach and maintains its </w:t>
            </w:r>
            <w:r>
              <w:rPr>
                <w:b/>
                <w:i/>
              </w:rPr>
              <w:t>transparency and democratic</w:t>
            </w:r>
            <w:r>
              <w:t xml:space="preserve"> accountability; </w:t>
            </w:r>
            <w:r>
              <w:rPr>
                <w:b/>
                <w:i/>
              </w:rPr>
              <w:t>stresses that European citizens must remain at the very heart of EU policymaking and administrative decisions, guaranteeing equal access to justice, public scrutiny, and protection of fundamental rights across all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Recalls that the Ombudsman investigates maladministration in the Union administration and cannot investigate complaints against national, regional or local authorities; stresses the need for independent and impartial inquiries and for a clear distinction between reviewing compliance with administrative rules and assessing the political merits of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Welcomes the Ombudsman's strategy for the Office for the years 2025-2029, which is based on four overall objectives, namely empower citizens, effect positive change, strengthen partnerships, and foster operational quality and efficiency and it is aimed at enhancing good administration by promoting fairness, integrity, transparency and trust in order to ensure, inter alia, that citizens and civil society voices are heard and rights are upheld;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Expresses concern about recurring delays in ensuring full compliance with transparency standards; calls on the Ombudsman to closely monitor compliance with deadlines for access to documents, with a view to preventing maladministration and ensuring timely and effective access to documents;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Notes with concern that access to documents held by EU institutions, bodies, offices and agencies continued to be a major subject of the Ombudsman’s inquiries in 2025; notes that the Ombudsman found maladministration in the Commission’s refusal to assess whether the risk assessment of the social media platform X could be publicly disclosed; is concerned that failure to comply with the time limits established in Regulation (EC) No 1049/2001 remains a major problem in the Commission and calls on the Commission to ensure full compliance with the deadlines laid down in Regulation (EC) No 1049/2001, improve the efficiency of its internal administrative procedures and provide clear and reasoned decisions whenever access to documents is restricted in accordance with Union law;</w:t>
            </w:r>
          </w:p>
        </w:tc>
        <w:tc>
          <w:tcPr>
            <w:tcW w:w="4876" w:type="dxa"/>
            <w:tcBorders>
              <w:top w:val="nil"/>
              <w:left w:val="nil"/>
              <w:bottom w:val="nil"/>
              <w:right w:val="nil"/>
            </w:tcBorders>
          </w:tcPr>
          <w:p>
            <w:pPr>
              <w:pStyle w:val="Normal6a"/>
            </w:pPr>
            <w:r>
              <w:t>5.</w:t>
            </w:r>
            <w:r>
              <w:tab/>
            </w:r>
            <w:r>
              <w:t xml:space="preserve">Notes with concern that access to documents held by EU institutions, bodies, offices and agencies continued to be a major subject of the Ombudsman’s inquiries in 2025; notes that the Ombudsman found maladministration in the Commission’s refusal to assess whether the risk assessment of the social media platform X could be publicly disclosed; is concerned that failure to comply with the time limits established in Regulation (EC) No 1049/2001 remains a major problem in the Commission and calls on the Commission to ensure full compliance with the deadlines laid down in Regulation (EC) No 1049/2001, improve the efficiency of its internal administrative procedures and provide clear and reasoned decisions whenever access to documents is restricted in accordance with Union law; </w:t>
            </w:r>
            <w:r>
              <w:rPr>
                <w:b/>
                <w:i/>
              </w:rPr>
              <w:t>calls for the proactive publication, in machine-readable format, of legislative preparatory documents, trilogue documents, meeting minutes, lobby-meeting records and impact assessments, subject only to narrowly interpreted and duly justified exceptions;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Notes with concern that access to documents held by EU institutions, bodies, offices and agencies continued to be a major subject of the Ombudsman’s inquiries in 2025; notes that the Ombudsman found maladministration in the Commission’s refusal to assess whether the risk assessment of the social media platform X could be publicly disclosed; is concerned that failure to comply with the time limits established in Regulation (EC) No 1049/2001 remains a major problem in the Commission and calls on the Commission to ensure full compliance with the deadlines laid down in Regulation (EC) No 1049/2001, improve the efficiency of its internal administrative procedures and provide clear and reasoned decisions whenever access to documents is restricted in accordance with Union law;</w:t>
            </w:r>
          </w:p>
        </w:tc>
        <w:tc>
          <w:tcPr>
            <w:tcW w:w="4876" w:type="dxa"/>
            <w:tcBorders>
              <w:top w:val="nil"/>
              <w:left w:val="nil"/>
              <w:bottom w:val="nil"/>
              <w:right w:val="nil"/>
            </w:tcBorders>
          </w:tcPr>
          <w:p>
            <w:pPr>
              <w:pStyle w:val="Normal6a"/>
            </w:pPr>
            <w:r>
              <w:t>5.</w:t>
            </w:r>
            <w:r>
              <w:tab/>
            </w:r>
            <w:r>
              <w:t>Notes with concern that access to documents held by EU institutions, bodies, offices and agencies continued to be a major subject of the Ombudsman’s inquiries in 2025; notes that the Ombudsman found maladministration in the Commission’s refusal to assess whether the risk assessment of the social media platform X could be publicly disclosed</w:t>
            </w:r>
            <w:r>
              <w:rPr>
                <w:b/>
                <w:i/>
              </w:rPr>
              <w:t>, based on the consideration that the disclosure of the document requested was likely to compromise the Commission's investigations at that time as well as commercial interests of the provider concerned</w:t>
            </w:r>
            <w:r>
              <w:t>; is concerned that failure to comply with the time limits established in Regulation (EC) No 1049/2001 remains a major problem in the Commission and calls on the Commission to ensure full compliance with the deadlines laid down in Regulation (EC) No 1049/2001, improve the efficiency of its internal administrative procedures and provide clear and reasoned decisions whenever access to documents is restricted in accordance with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Points out that the Ombudsman, in her decision of 12 July 2022 in case 1316/2021/MIG, had confirmed her finding of maladministration in the Commission’s handling of a request for access to text messages exchanged between its President and the chief executive officer of a pharmaceutical company, calling on all the institutions to ensure their accountability in an era of instant messaging;</w:t>
            </w:r>
            <w:r>
              <w:t xml:space="preserve"> </w:t>
            </w:r>
            <w:r>
              <w:rPr>
                <w:b/>
                <w:i/>
              </w:rPr>
              <w:t>endorses the Ombudsman’s recommendation that all text and instant messages exchanged between Heads of State or Government or ministers and Members of the Commission are to be duly kept for a reasonable period;</w:t>
            </w:r>
            <w:r>
              <w:t xml:space="preserve"> </w:t>
            </w:r>
            <w:r>
              <w:rPr>
                <w:b/>
                <w:i/>
              </w:rPr>
              <w:t>invites the Commission to adopt, without delay, binding rules requiring such messages to be recorded and stored;</w:t>
            </w:r>
            <w:r>
              <w:t xml:space="preserve"> </w:t>
            </w:r>
            <w:r>
              <w:rPr>
                <w:b/>
                <w:i/>
              </w:rPr>
              <w:t>calls on the Commission to make public the action taken following the judgment of the General Court of the European Union of 14 May 2025 in Case T-36/23 and, in particular, to indicate whether, when and on what basis the messages exchanged between its President and the chief executive officer of Pfizer were deleted, and to cooperate fully with any competent judicial authority;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Notes the inquiry opened in 2025 concerning access to a text message received by the Commission President in the context of EU-Mercosur negotiations; calls on the Commission to ensure that text and instant messages relating to its official activities are assessed for registration and retention on the basis of their content and are not automatically deleted where they must be preserved; stresses that the communication medium cannot in itself justify excluding a document from public access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Affirms that timely, transparent and reliable communication by the Union institutions, together with effective access to public documents, is essential to strengthening citizens’ trust in the Union and contributes to societal resilience against disinformation and information manipulation, including in the context of foreign interference; underlines, in this regard, the important role of the Ombudsman in promoting high standards of transparency, accountability and good administration across the Union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Welcomes the decision of the EUAA to accept the solution proposed by the Ombudsman and to grant wide access to documents </w:t>
            </w:r>
            <w:r>
              <w:rPr>
                <w:b/>
                <w:i/>
              </w:rPr>
              <w:t>related to</w:t>
            </w:r>
            <w:r>
              <w:t xml:space="preserve"> reception conditions in several Cypriot migration management facilities; welcomes the Commission’s decision to give full access to the requested documents related to its proposal for applying the ‘rule of law procedure’ in Hungary;</w:t>
            </w:r>
          </w:p>
        </w:tc>
        <w:tc>
          <w:tcPr>
            <w:tcW w:w="4876" w:type="dxa"/>
            <w:tcBorders>
              <w:top w:val="nil"/>
              <w:left w:val="nil"/>
              <w:bottom w:val="nil"/>
              <w:right w:val="nil"/>
            </w:tcBorders>
          </w:tcPr>
          <w:p>
            <w:pPr>
              <w:pStyle w:val="Normal6a"/>
            </w:pPr>
            <w:r>
              <w:t>6.</w:t>
            </w:r>
            <w:r>
              <w:tab/>
            </w:r>
            <w:r>
              <w:t xml:space="preserve">Welcomes the decision of the EUAA to accept the solution proposed by the Ombudsman and to grant wide access to documents </w:t>
            </w:r>
            <w:r>
              <w:rPr>
                <w:b/>
                <w:i/>
              </w:rPr>
              <w:t>concerning the</w:t>
            </w:r>
            <w:r>
              <w:t xml:space="preserve"> reception conditions in several Cypriot migration management facilities</w:t>
            </w:r>
            <w:r>
              <w:rPr>
                <w:b/>
                <w:i/>
              </w:rPr>
              <w:t>, emphasizing that transparency is vital to guaranteeing full respect for fundamental rights and human dignity in reception centers</w:t>
            </w:r>
            <w:r>
              <w:t xml:space="preserve">; welcomes the Commission’s decision to give full access to the requested documents related to its proposal for applying the ‘rule of law procedure’ in Hungary; </w:t>
            </w:r>
            <w:r>
              <w:rPr>
                <w:b/>
                <w:i/>
              </w:rPr>
              <w:t>stresses that complete transparency in rule of law mechanisms and fundamental rights monitoring is essential to uphold democratic accountability and protect EU values across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Emphasises that the EU institutions must </w:t>
            </w:r>
            <w:r>
              <w:rPr>
                <w:b/>
                <w:i/>
              </w:rPr>
              <w:t>give full effect to EU case-law and apply a particularly high standard of</w:t>
            </w:r>
            <w:r>
              <w:t xml:space="preserve"> transparency </w:t>
            </w:r>
            <w:r>
              <w:rPr>
                <w:b/>
                <w:i/>
              </w:rPr>
              <w:t>to</w:t>
            </w:r>
            <w:r>
              <w:t xml:space="preserve"> legislative </w:t>
            </w:r>
            <w:r>
              <w:rPr>
                <w:b/>
                <w:i/>
              </w:rPr>
              <w:t>documents</w:t>
            </w:r>
            <w:r>
              <w:t xml:space="preserve">; notes with concern that the Ombudsman </w:t>
            </w:r>
            <w:r>
              <w:rPr>
                <w:b/>
                <w:i/>
              </w:rPr>
              <w:t>found that the Commission failed</w:t>
            </w:r>
            <w:r>
              <w:t xml:space="preserve">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w:t>
            </w:r>
            <w:r>
              <w:rPr>
                <w:b/>
                <w:i/>
              </w:rPr>
              <w:t>recommendation</w:t>
            </w:r>
            <w:r>
              <w:t xml:space="preserve"> that the Commission ensure a predictable, </w:t>
            </w:r>
            <w:r>
              <w:rPr>
                <w:b/>
                <w:i/>
              </w:rPr>
              <w:t>transparent and proportionate</w:t>
            </w:r>
            <w:r>
              <w:t xml:space="preserve"> application of the Better Regulation </w:t>
            </w:r>
            <w:r>
              <w:rPr>
                <w:b/>
                <w:i/>
              </w:rPr>
              <w:t>principles, while</w:t>
            </w:r>
            <w:r>
              <w:t xml:space="preserve"> ensuring that accelerated legislative procedures remain exceptional, duly justified and fully documented;</w:t>
            </w:r>
          </w:p>
        </w:tc>
        <w:tc>
          <w:tcPr>
            <w:tcW w:w="4876" w:type="dxa"/>
            <w:tcBorders>
              <w:top w:val="nil"/>
              <w:left w:val="nil"/>
              <w:bottom w:val="nil"/>
              <w:right w:val="nil"/>
            </w:tcBorders>
          </w:tcPr>
          <w:p>
            <w:pPr>
              <w:pStyle w:val="Normal6a"/>
            </w:pPr>
            <w:r>
              <w:t>7.</w:t>
            </w:r>
            <w:r>
              <w:tab/>
            </w:r>
            <w:r>
              <w:t xml:space="preserve">Emphasises that the EU institutions must </w:t>
            </w:r>
            <w:r>
              <w:rPr>
                <w:b/>
                <w:i/>
              </w:rPr>
              <w:t>guarantee the full</w:t>
            </w:r>
            <w:r>
              <w:t xml:space="preserve"> transparency </w:t>
            </w:r>
            <w:r>
              <w:rPr>
                <w:b/>
                <w:i/>
              </w:rPr>
              <w:t>of, and the highest levels of citizen participation in, the EU’s decision-making process; considers it crucial to guarantee that citizens can fully exercise their democratic rights and have access to all relevant information and documents, particularly those of a</w:t>
            </w:r>
            <w:r>
              <w:t xml:space="preserve"> legislative </w:t>
            </w:r>
            <w:r>
              <w:rPr>
                <w:b/>
                <w:i/>
              </w:rPr>
              <w:t>nature, including while the legislative process is ongoing, in order to hold decision-makers to account, as also stipulated in CJEU case law</w:t>
            </w:r>
            <w:r>
              <w:t xml:space="preserve">; notes with concern that the Ombudsman </w:t>
            </w:r>
            <w:r>
              <w:rPr>
                <w:b/>
                <w:i/>
              </w:rPr>
              <w:t>issued a finding of maladministration in the Commission's failure</w:t>
            </w:r>
            <w:r>
              <w:t xml:space="preserve">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w:t>
            </w:r>
            <w:r>
              <w:rPr>
                <w:b/>
                <w:i/>
              </w:rPr>
              <w:t>recommendations</w:t>
            </w:r>
            <w:r>
              <w:t xml:space="preserve"> that the Commission ensure a predictable, </w:t>
            </w:r>
            <w:r>
              <w:rPr>
                <w:b/>
                <w:i/>
              </w:rPr>
              <w:t>consistent, and non-arbitrary</w:t>
            </w:r>
            <w:r>
              <w:t xml:space="preserve"> application of the Better Regulation </w:t>
            </w:r>
            <w:r>
              <w:rPr>
                <w:b/>
                <w:i/>
              </w:rPr>
              <w:t>rules and that future urgent preparation of legislative proposals is always transparent, evidence-based, and inclusive; underlines the need to implement clear and effective standards for stakeholder consultations in urgent procedures and that climate assessments should be carried out for all legislative proposals,</w:t>
            </w:r>
            <w:r>
              <w:t xml:space="preserve"> ensuring that accelerated legislative procedures remain exceptional, duly justified and fully documented</w:t>
            </w:r>
            <w:r>
              <w:rPr>
                <w:b/>
                <w:i/>
              </w:rPr>
              <w:t>, including evidence supporting its proposals is published in good time to enable public debate before new rules are adopted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w:t>
            </w:r>
            <w:r>
              <w:t xml:space="preserve"> the Ombudsman’s </w:t>
            </w:r>
            <w:r>
              <w:rPr>
                <w:b/>
                <w:i/>
              </w:rPr>
              <w:t>recommendation that the Commission ensure a predictable, transparent and proportionate</w:t>
            </w:r>
            <w:r>
              <w:t xml:space="preserve"> application of the Better Regulation </w:t>
            </w:r>
            <w:r>
              <w:rPr>
                <w:b/>
                <w:i/>
              </w:rPr>
              <w:t>principles, while ensuring</w:t>
            </w:r>
            <w:r>
              <w:t xml:space="preserve"> that accelerated legislative procedures </w:t>
            </w:r>
            <w:r>
              <w:rPr>
                <w:b/>
                <w:i/>
              </w:rPr>
              <w:t>remain exceptional, duly justified and fully documented</w:t>
            </w:r>
            <w:r>
              <w:t>;</w:t>
            </w:r>
          </w:p>
        </w:tc>
        <w:tc>
          <w:tcPr>
            <w:tcW w:w="4876" w:type="dxa"/>
            <w:tcBorders>
              <w:top w:val="nil"/>
              <w:left w:val="nil"/>
              <w:bottom w:val="nil"/>
              <w:right w:val="nil"/>
            </w:tcBorders>
          </w:tcPr>
          <w:p>
            <w:pPr>
              <w:pStyle w:val="Normal6a"/>
            </w:pPr>
            <w:r>
              <w:t>7.</w:t>
            </w:r>
            <w:r>
              <w:tab/>
            </w:r>
            <w:r>
              <w:rPr>
                <w:b/>
                <w:i/>
              </w:rPr>
              <w:t>Acknowledges</w:t>
            </w:r>
            <w:r>
              <w:t xml:space="preserve"> the Ombudsman's </w:t>
            </w:r>
            <w:r>
              <w:rPr>
                <w:b/>
                <w:i/>
              </w:rPr>
              <w:t>findings concerning the</w:t>
            </w:r>
            <w:r>
              <w:t xml:space="preserve"> application of the Better Regulation </w:t>
            </w:r>
            <w:r>
              <w:rPr>
                <w:b/>
                <w:i/>
              </w:rPr>
              <w:t>rules to legislative proposals considered urgent; stresses, at the same time,</w:t>
            </w:r>
            <w:r>
              <w:t xml:space="preserve"> that accelerated legislative procedures </w:t>
            </w:r>
            <w:r>
              <w:rPr>
                <w:b/>
                <w:i/>
              </w:rPr>
              <w:t>are necessary to enable the Union to respond effectively and in a timely manner to crises, rapidly changing geopolitical and economic circumstaces, legal deadlines and other situations where delayed actions may have significant detrimental consequences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w:t>
            </w:r>
          </w:p>
        </w:tc>
        <w:tc>
          <w:tcPr>
            <w:tcW w:w="4876" w:type="dxa"/>
            <w:tcBorders>
              <w:top w:val="nil"/>
              <w:left w:val="nil"/>
              <w:bottom w:val="nil"/>
              <w:right w:val="nil"/>
            </w:tcBorders>
          </w:tcPr>
          <w:p>
            <w:pPr>
              <w:pStyle w:val="Normal6a"/>
            </w:pPr>
            <w:r>
              <w:t>7.</w:t>
            </w:r>
            <w:r>
              <w:tab/>
            </w:r>
            <w:r>
              <w:t xml:space="preserve">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 </w:t>
            </w:r>
            <w:r>
              <w:rPr>
                <w:b/>
                <w:i/>
              </w:rPr>
              <w:t>stresses that simplification must not serve as a pretext for deregulation or for bypassing impact assessments, climate consistency checks and the meaningful participation of civil society, trade unions and affected communities, in particular where proposals affect the environment, the climate, agriculture or the protection of fundamental rights; welcomes the Commission’s commitment to reflect on a definition of urgency, to record and publish its reasons for any derogation, to ensure targeted consultations on urgent proposals and to publish the supporting evidence in good 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w:t>
            </w:r>
          </w:p>
        </w:tc>
        <w:tc>
          <w:tcPr>
            <w:tcW w:w="4876" w:type="dxa"/>
            <w:tcBorders>
              <w:top w:val="nil"/>
              <w:left w:val="nil"/>
              <w:bottom w:val="nil"/>
              <w:right w:val="nil"/>
            </w:tcBorders>
          </w:tcPr>
          <w:p>
            <w:pPr>
              <w:pStyle w:val="Normal6a"/>
            </w:pPr>
            <w:r>
              <w:t>7.</w:t>
            </w:r>
            <w:r>
              <w:tab/>
            </w:r>
            <w:r>
              <w:t xml:space="preserve">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 </w:t>
            </w:r>
            <w:r>
              <w:rPr>
                <w:b/>
                <w:i/>
              </w:rPr>
              <w:t>stresses that the application of Better Regulation principles must be proportionate and compatible with timely regulatory simplification and duly justified urgent measures to combat migrant smuggling; underlines that consultation and assessment requirements should improve the quality of legislation without creating disproportionate procedural burdens or unnecessary 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w:t>
            </w:r>
          </w:p>
        </w:tc>
        <w:tc>
          <w:tcPr>
            <w:tcW w:w="4876" w:type="dxa"/>
            <w:tcBorders>
              <w:top w:val="nil"/>
              <w:left w:val="nil"/>
              <w:bottom w:val="nil"/>
              <w:right w:val="nil"/>
            </w:tcBorders>
          </w:tcPr>
          <w:p>
            <w:pPr>
              <w:pStyle w:val="Normal6a"/>
            </w:pPr>
            <w:r>
              <w:t>7.</w:t>
            </w:r>
            <w:r>
              <w:tab/>
            </w:r>
            <w:r>
              <w:t xml:space="preserve">Emphasises that the EU institutions must give full effect to EU case-law and apply a particularly high standard of transparency to legislative documents; notes with concern that the Ombudsman found that the Commission failed to provide the public with a full justification for the urgency of the legislative proposals concerning corporate sustainability reporting for companies, the common agricultural policy and countering migrant smuggling and also failed to document its reasons for deviating from internal rules on lawmaking; supports the Ombudsman’s recommendation that the Commission ensure a predictable, transparent and proportionate application of the Better Regulation principles, while ensuring that accelerated legislative procedures remain exceptional, duly justified and fully documented; </w:t>
            </w:r>
            <w:r>
              <w:rPr>
                <w:b/>
                <w:i/>
              </w:rPr>
              <w:t>insists that no accelerated procedure should be used to circumvent meaningful public consultation, parliamentary scrutiny or fundamental-rights and environmental impact assessments, and calls for an ex post review of every such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Underlines that the Better Regulation framework should not prevent or unnecessarily delay legitimate and necessary legislatie action in situations of urgency; considers that the Commission should retain an appropriate margin of discretion to assess whether accelerated action is required, while ensuring that sucj decisions are duly justified and documented;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Welcomes, in this regard, the Commission's response to the Ombudsman's recommendation, in particular, its commitment to introduce more transparent parameters for assessing the need for urgent action, while preserving the Commission's ability to act swiftly; the intention to document the assessment of urgency and any derogations from the usual Better Regulation requirements; as well as the commitment to use targeted stakeholder consultation tools under accelerated procedures that are adapted to the circumstances, scope and timeframe of the legislative initiative, including implementation dialogues, and reality checks;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Considers that the revised Better Regulation framework should provide sufficient clarity and predictability regarding accelerated procedures, while avoiding and overly prescriptive definition of urgency that could prevent the Commission and the Union from responding effectively to unforeseen or rapidly evolving circumstances;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Supports efforts to simplify the Union’s administrative procedures and reduce unnecessary regulatory and administrative burdens for citizens and businesses; stresses, however, that simplification should not come at the expense of transparency, legal certainty, fundamental rights or effective access to administrative remedies; underlines the important role of the Ombudsman in ensuring that a simpler EU administration remains open, accountable and citizen-oriented;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particularly concerned by the Ombudsman’s conclusion that the Commission had failed to address lengthy delays in the preparation of draft authorisation decisions under the REACH Regulation</w:t>
            </w:r>
            <w:r>
              <w:rPr>
                <w:vertAlign w:val="superscript"/>
              </w:rPr>
              <w:t>4</w:t>
            </w:r>
            <w:r>
              <w:t xml:space="preserve"> ; calls on the Commission to urgently address delays in authorisation decisions, as they </w:t>
            </w:r>
            <w:r>
              <w:rPr>
                <w:b/>
                <w:i/>
              </w:rPr>
              <w:t>may adversely affect</w:t>
            </w:r>
            <w:r>
              <w:t xml:space="preserve"> human health and the environment </w:t>
            </w:r>
            <w:r>
              <w:rPr>
                <w:b/>
                <w:i/>
              </w:rPr>
              <w:t>and</w:t>
            </w:r>
            <w:r>
              <w:t xml:space="preserve"> to ensure </w:t>
            </w:r>
            <w:r>
              <w:rPr>
                <w:b/>
                <w:i/>
              </w:rPr>
              <w:t>that</w:t>
            </w:r>
            <w:r>
              <w:t xml:space="preserve"> the public </w:t>
            </w:r>
            <w:r>
              <w:rPr>
                <w:b/>
                <w:i/>
              </w:rPr>
              <w:t>can</w:t>
            </w:r>
            <w:r>
              <w:t xml:space="preserve"> follow </w:t>
            </w:r>
            <w:r>
              <w:rPr>
                <w:b/>
                <w:i/>
              </w:rPr>
              <w:t>the authorisation process</w:t>
            </w:r>
            <w:r>
              <w:t xml:space="preserve">; stresses that authorisation </w:t>
            </w:r>
            <w:r>
              <w:rPr>
                <w:b/>
                <w:i/>
              </w:rPr>
              <w:t>delays</w:t>
            </w:r>
            <w:r>
              <w:t xml:space="preserve"> under REACH must be addressed </w:t>
            </w:r>
            <w:r>
              <w:rPr>
                <w:b/>
                <w:i/>
              </w:rPr>
              <w:t>without imposing disproportionate additional burdens</w:t>
            </w:r>
            <w:r>
              <w:t xml:space="preserve"> on the </w:t>
            </w:r>
            <w:r>
              <w:rPr>
                <w:b/>
                <w:i/>
              </w:rPr>
              <w:t>chemicals industry and that any acceleration of decision-making should be matched by adequate</w:t>
            </w:r>
            <w:r>
              <w:t xml:space="preserve"> Commission </w:t>
            </w:r>
            <w:r>
              <w:rPr>
                <w:b/>
                <w:i/>
              </w:rPr>
              <w:t>resources rather than by lowering safety standards</w:t>
            </w:r>
            <w:r>
              <w:t>;</w:t>
            </w:r>
          </w:p>
        </w:tc>
        <w:tc>
          <w:tcPr>
            <w:tcW w:w="4876" w:type="dxa"/>
            <w:tcBorders>
              <w:top w:val="nil"/>
              <w:left w:val="nil"/>
              <w:bottom w:val="nil"/>
              <w:right w:val="nil"/>
            </w:tcBorders>
          </w:tcPr>
          <w:p>
            <w:pPr>
              <w:pStyle w:val="Normal6a"/>
            </w:pPr>
            <w:r>
              <w:t>8.</w:t>
            </w:r>
            <w:r>
              <w:tab/>
            </w:r>
            <w:r>
              <w:t>Is particularly concerned by the Ombudsman’s conclusion that the Commission had failed to address lengthy delays in the preparation of draft authorisation decisions under the REACH Regulation</w:t>
            </w:r>
            <w:r>
              <w:rPr>
                <w:vertAlign w:val="superscript"/>
              </w:rPr>
              <w:t>4</w:t>
            </w:r>
            <w:r>
              <w:t xml:space="preserve"> ; calls on the Commission to urgently address delays in authorisation decisions, as they </w:t>
            </w:r>
            <w:r>
              <w:rPr>
                <w:b/>
                <w:i/>
              </w:rPr>
              <w:t>constitute a major threat to</w:t>
            </w:r>
            <w:r>
              <w:t xml:space="preserve"> human health and the environment</w:t>
            </w:r>
            <w:r>
              <w:rPr>
                <w:b/>
                <w:i/>
              </w:rPr>
              <w:t>, as companies are able to continue using such chemical substances, including per- and polyfluoroalkyl substances (PFAS), which are associated with increased risks of cancer and genetic damage, and with impaired reproductive health; calls on the Commission</w:t>
            </w:r>
            <w:r>
              <w:t xml:space="preserve"> to ensure </w:t>
            </w:r>
            <w:r>
              <w:rPr>
                <w:b/>
                <w:i/>
              </w:rPr>
              <w:t>transparency in the related overall decision-making process in order for</w:t>
            </w:r>
            <w:r>
              <w:t xml:space="preserve"> the public </w:t>
            </w:r>
            <w:r>
              <w:rPr>
                <w:b/>
                <w:i/>
              </w:rPr>
              <w:t>to</w:t>
            </w:r>
            <w:r>
              <w:t xml:space="preserve"> follow </w:t>
            </w:r>
            <w:r>
              <w:rPr>
                <w:b/>
                <w:i/>
              </w:rPr>
              <w:t>all steps and have a clear understanding</w:t>
            </w:r>
            <w:r>
              <w:t xml:space="preserve">; stresses that </w:t>
            </w:r>
            <w:r>
              <w:rPr>
                <w:b/>
                <w:i/>
              </w:rPr>
              <w:t>the breaches of the legally binding deadlines for preparing</w:t>
            </w:r>
            <w:r>
              <w:t xml:space="preserve"> authorisation </w:t>
            </w:r>
            <w:r>
              <w:rPr>
                <w:b/>
                <w:i/>
              </w:rPr>
              <w:t>decisions concerning dangerous chemical substances</w:t>
            </w:r>
            <w:r>
              <w:t xml:space="preserve"> under REACH must be addressed </w:t>
            </w:r>
            <w:r>
              <w:rPr>
                <w:b/>
                <w:i/>
              </w:rPr>
              <w:t>as a matter of priority; calls</w:t>
            </w:r>
            <w:r>
              <w:t xml:space="preserve"> on the Commission </w:t>
            </w:r>
            <w:r>
              <w:rPr>
                <w:b/>
                <w:i/>
              </w:rPr>
              <w:t>to reject any requests for authorisation of such substances and ban their use where there is persistent uncertainty with regard to the protection of human health and the environment</w:t>
            </w:r>
            <w:r>
              <w:t xml:space="preserve">; </w:t>
            </w:r>
            <w:r>
              <w:rPr>
                <w:b/>
                <w:i/>
              </w:rPr>
              <w:t>underlines the paramount importance that the Commission fully implement all of the recommendations resulting from the Ombudsman’s inquiry, including a recommendation that applications for authorisation of a substance of very high concern that lack all of the necessary information be rejected to ensure that companies are not allowed to continue using these dangerous substances;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 </w:t>
            </w:r>
            <w:r>
              <w:rPr>
                <w:b/>
                <w:i/>
              </w:rPr>
              <w:t>particularly</w:t>
            </w:r>
            <w:r>
              <w:t xml:space="preserve"> concerned by the Ombudsman’s conclusion that the Commission had failed to address lengthy delays in the preparation of draft authorisation decisions under the REACH Regulation</w:t>
            </w:r>
            <w:r>
              <w:rPr>
                <w:vertAlign w:val="superscript"/>
              </w:rPr>
              <w:t>4</w:t>
            </w:r>
            <w:r>
              <w:t xml:space="preserve"> ; calls on the Commission to urgently address delays in authorisation decisions, </w:t>
            </w:r>
            <w:r>
              <w:rPr>
                <w:b/>
                <w:i/>
              </w:rPr>
              <w:t>as they may adversely affect</w:t>
            </w:r>
            <w:r>
              <w:t xml:space="preserve"> human health and the environment </w:t>
            </w:r>
            <w:r>
              <w:rPr>
                <w:b/>
                <w:i/>
              </w:rPr>
              <w:t>and</w:t>
            </w:r>
            <w:r>
              <w:t xml:space="preserve"> to ensure that the public can follow the authorisation process; stresses that authorisation delays under REACH must be addressed without imposing disproportionate additional burdens on the chemicals industry and that any acceleration of decision-making should be matched by adequate Commission resources rather than by lowering safety standards;</w:t>
            </w:r>
          </w:p>
        </w:tc>
        <w:tc>
          <w:tcPr>
            <w:tcW w:w="4876" w:type="dxa"/>
            <w:tcBorders>
              <w:top w:val="nil"/>
              <w:left w:val="nil"/>
              <w:bottom w:val="nil"/>
              <w:right w:val="nil"/>
            </w:tcBorders>
          </w:tcPr>
          <w:p>
            <w:pPr>
              <w:pStyle w:val="Normal6a"/>
            </w:pPr>
            <w:r>
              <w:t>8.</w:t>
            </w:r>
            <w:r>
              <w:tab/>
            </w:r>
            <w:r>
              <w:t>Is concerned by the Ombudsman’s conclusion that the Commission had failed to address lengthy delays in the preparation of draft authorisation decisions under the REACH Regulation</w:t>
            </w:r>
            <w:r>
              <w:rPr>
                <w:vertAlign w:val="superscript"/>
              </w:rPr>
              <w:t>4</w:t>
            </w:r>
            <w:r>
              <w:t xml:space="preserve"> </w:t>
            </w:r>
            <w:r>
              <w:rPr>
                <w:b/>
                <w:i/>
              </w:rPr>
              <w:t>, while taking note of the increased complexity of recent authorisation applications and acknowledging the challenges faced by the Commission in meeting the three-month deadline laid down in Article 64(8) of the REACH Regulation for the preparation of a draft authorisation decision, while ensuring a thorough assessment of each application</w:t>
            </w:r>
            <w:r>
              <w:t xml:space="preserve">; calls on the Commission to urgently address delays in authorisation decisions, </w:t>
            </w:r>
            <w:r>
              <w:rPr>
                <w:b/>
                <w:i/>
              </w:rPr>
              <w:t>including by revising its internal procedures to ensure that it can take swifter decisions on these applications, in line with the goals of the REACH Regulation to protect</w:t>
            </w:r>
            <w:r>
              <w:t xml:space="preserve"> human health and the environment</w:t>
            </w:r>
            <w:r>
              <w:rPr>
                <w:b/>
                <w:i/>
              </w:rPr>
              <w:t>; highlights the need</w:t>
            </w:r>
            <w:r>
              <w:t xml:space="preserve"> to ensure that the public can follow the authorisation </w:t>
            </w:r>
            <w:r>
              <w:rPr>
                <w:b/>
                <w:i/>
              </w:rPr>
              <w:t>process, while protecting the institution's decision-making</w:t>
            </w:r>
            <w:r>
              <w:t xml:space="preserve"> process; stresses that authorisation delays under REACH must be addressed without imposing disproportionate additional burdens on the chemicals industry </w:t>
            </w:r>
            <w:r>
              <w:rPr>
                <w:b/>
                <w:i/>
              </w:rPr>
              <w:t>at a time when it is already under severe competitive pressure</w:t>
            </w:r>
            <w:r>
              <w:t xml:space="preserve"> and that any acceleration of decision-making should be matched by adequate Commission resources rather than by lowering safety standards;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particularly concerned by the Ombudsman’s conclusion that the Commission had failed to address lengthy delays in the preparation of draft authorisation decisions under the REACH Regulation</w:t>
            </w:r>
            <w:r>
              <w:rPr>
                <w:vertAlign w:val="superscript"/>
              </w:rPr>
              <w:t>4</w:t>
            </w:r>
            <w:r>
              <w:t xml:space="preserve"> ; </w:t>
            </w:r>
            <w:r>
              <w:rPr>
                <w:b/>
                <w:i/>
              </w:rPr>
              <w:t>calls on</w:t>
            </w:r>
            <w:r>
              <w:t xml:space="preserve"> the Commission to urgently address delays in authorisation decisions</w:t>
            </w:r>
            <w:r>
              <w:rPr>
                <w:b/>
                <w:i/>
              </w:rPr>
              <w:t>, as they may adversely affect human health and the environment and to ensure that the public can follow the authorisation process</w:t>
            </w:r>
            <w:r>
              <w:t>; stresses that authorisation delays under REACH must be addressed without imposing disproportionate additional burdens on the chemicals industry and that any acceleration of decision-making should be matched by adequate Commission resources rather than by lowering safety standards;</w:t>
            </w:r>
          </w:p>
        </w:tc>
        <w:tc>
          <w:tcPr>
            <w:tcW w:w="4876" w:type="dxa"/>
            <w:tcBorders>
              <w:top w:val="nil"/>
              <w:left w:val="nil"/>
              <w:bottom w:val="nil"/>
              <w:right w:val="nil"/>
            </w:tcBorders>
          </w:tcPr>
          <w:p>
            <w:pPr>
              <w:pStyle w:val="Normal6a"/>
            </w:pPr>
            <w:r>
              <w:t>8.</w:t>
            </w:r>
            <w:r>
              <w:tab/>
            </w:r>
            <w:r>
              <w:t>Is particularly concerned by the Ombudsman’s conclusion that the Commission had failed to address lengthy delays in the preparation of draft authorisation decisions under the REACH Regulation</w:t>
            </w:r>
            <w:r>
              <w:rPr>
                <w:vertAlign w:val="superscript"/>
              </w:rPr>
              <w:t>4</w:t>
            </w:r>
            <w:r>
              <w:t xml:space="preserve"> ; </w:t>
            </w:r>
            <w:r>
              <w:rPr>
                <w:b/>
                <w:i/>
              </w:rPr>
              <w:t>stresses that these regulatory backlogs directly undermine the protection of human health and the environment, delay the substitution of hazardous chemicals, and erode public trust; urges</w:t>
            </w:r>
            <w:r>
              <w:t xml:space="preserve"> the Commission to urgently address delays in authorisation decisions; stresses that authorisation delays under REACH must be addressed without imposing disproportionate additional burdens on the chemicals industry and that any acceleration of decision-making should be matched by adequate Commission resources rather than by lowering safety </w:t>
            </w:r>
            <w:r>
              <w:rPr>
                <w:b/>
                <w:i/>
              </w:rPr>
              <w:t>and environmental</w:t>
            </w:r>
            <w:r>
              <w:t xml:space="preserve"> standards;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c>
          <w:tcPr>
            <w:tcW w:w="4876" w:type="dxa"/>
            <w:tcBorders>
              <w:top w:val="nil"/>
              <w:left w:val="nil"/>
              <w:bottom w:val="nil"/>
              <w:right w:val="nil"/>
            </w:tcBorders>
          </w:tcPr>
          <w:p>
            <w:pPr>
              <w:pStyle w:val="Normal6a"/>
            </w:pPr>
            <w:r>
              <w:rPr>
                <w:vertAlign w:val="superscript"/>
              </w:rPr>
              <w:t>4</w:t>
            </w:r>
            <w:r>
              <w:t xml:space="preserve"> </w:t>
            </w:r>
            <w: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p.1, ELI: http://data.europa.eu/eli/reg/2006/1907/oj).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Welcomes the Ombudsman’s efforts to </w:t>
            </w:r>
            <w:r>
              <w:rPr>
                <w:b/>
                <w:i/>
              </w:rPr>
              <w:t>ensure the application of</w:t>
            </w:r>
            <w:r>
              <w:t xml:space="preserve"> transparency </w:t>
            </w:r>
            <w:r>
              <w:rPr>
                <w:b/>
                <w:i/>
              </w:rPr>
              <w:t>rules by the</w:t>
            </w:r>
            <w:r>
              <w:t xml:space="preserve"> EU institutions and the opening of an inquiry into how the Commission ensures transparency, inclusiveness and accountability in the </w:t>
            </w:r>
            <w:r>
              <w:rPr>
                <w:b/>
                <w:i/>
              </w:rPr>
              <w:t>adoption</w:t>
            </w:r>
            <w:r>
              <w:t xml:space="preserve"> of harmonised standards for AI; </w:t>
            </w:r>
            <w:r>
              <w:rPr>
                <w:b/>
                <w:i/>
              </w:rPr>
              <w:t>emphasises, in view of</w:t>
            </w:r>
            <w:r>
              <w:t xml:space="preserve"> the Commission’s </w:t>
            </w:r>
            <w:r>
              <w:rPr>
                <w:b/>
                <w:i/>
              </w:rPr>
              <w:t>key role</w:t>
            </w:r>
            <w:r>
              <w:t xml:space="preserve"> in the European standardisation </w:t>
            </w:r>
            <w:r>
              <w:rPr>
                <w:b/>
                <w:i/>
              </w:rPr>
              <w:t>system</w:t>
            </w:r>
            <w:r>
              <w:t xml:space="preserve">, </w:t>
            </w:r>
            <w:r>
              <w:rPr>
                <w:b/>
                <w:i/>
              </w:rPr>
              <w:t>the importance of clarifying concerns related to the failure to ensure transparency in EU decision-making as well as the failure to ensure balanced representation of interests in</w:t>
            </w:r>
            <w:r>
              <w:t xml:space="preserve"> the standardisation </w:t>
            </w:r>
            <w:r>
              <w:rPr>
                <w:b/>
                <w:i/>
              </w:rPr>
              <w:t>process; stresses that balanced representation must include not only civil society but also industry, small and medium-sized enterprises and</w:t>
            </w:r>
            <w:r>
              <w:t xml:space="preserve"> technical </w:t>
            </w:r>
            <w:r>
              <w:rPr>
                <w:b/>
                <w:i/>
              </w:rPr>
              <w:t>experts to ensure standards are both trustworthy and workable in practice</w:t>
            </w:r>
            <w:r>
              <w:t>;</w:t>
            </w:r>
          </w:p>
        </w:tc>
        <w:tc>
          <w:tcPr>
            <w:tcW w:w="4876" w:type="dxa"/>
            <w:tcBorders>
              <w:top w:val="nil"/>
              <w:left w:val="nil"/>
              <w:bottom w:val="nil"/>
              <w:right w:val="nil"/>
            </w:tcBorders>
          </w:tcPr>
          <w:p>
            <w:pPr>
              <w:pStyle w:val="Normal6a"/>
            </w:pPr>
            <w:r>
              <w:t>9.</w:t>
            </w:r>
            <w:r>
              <w:tab/>
            </w:r>
            <w:r>
              <w:t xml:space="preserve">Welcomes the Ombudsman’s efforts to </w:t>
            </w:r>
            <w:r>
              <w:rPr>
                <w:b/>
                <w:i/>
              </w:rPr>
              <w:t>promote</w:t>
            </w:r>
            <w:r>
              <w:t xml:space="preserve"> transparency </w:t>
            </w:r>
            <w:r>
              <w:rPr>
                <w:b/>
                <w:i/>
              </w:rPr>
              <w:t>in the work of</w:t>
            </w:r>
            <w:r>
              <w:t xml:space="preserve"> EU institutions and the opening of an inquiry into how the Commission ensures transparency, inclusiveness and accountability in the </w:t>
            </w:r>
            <w:r>
              <w:rPr>
                <w:b/>
                <w:i/>
              </w:rPr>
              <w:t>development</w:t>
            </w:r>
            <w:r>
              <w:t xml:space="preserve"> of harmonised standards for AI; </w:t>
            </w:r>
            <w:r>
              <w:rPr>
                <w:b/>
                <w:i/>
              </w:rPr>
              <w:t>ackowledges</w:t>
            </w:r>
            <w:r>
              <w:t xml:space="preserve"> the Commission's </w:t>
            </w:r>
            <w:r>
              <w:rPr>
                <w:b/>
                <w:i/>
              </w:rPr>
              <w:t>reassurance regarding the existing safeguards and procedures aimed at ensuring transparency, inclusiveness and accountability</w:t>
            </w:r>
            <w:r>
              <w:t xml:space="preserve"> in the European standardisation </w:t>
            </w:r>
            <w:r>
              <w:rPr>
                <w:b/>
                <w:i/>
              </w:rPr>
              <w:t>process</w:t>
            </w:r>
            <w:r>
              <w:t xml:space="preserve">, </w:t>
            </w:r>
            <w:r>
              <w:rPr>
                <w:b/>
                <w:i/>
              </w:rPr>
              <w:t>taking note of the fact that</w:t>
            </w:r>
            <w:r>
              <w:t xml:space="preserve"> the standardisation </w:t>
            </w:r>
            <w:r>
              <w:rPr>
                <w:b/>
                <w:i/>
              </w:rPr>
              <w:t>work require to translate legal requirements into technical specifications requires highly</w:t>
            </w:r>
            <w:r>
              <w:t xml:space="preserve"> technical </w:t>
            </w:r>
            <w:r>
              <w:rPr>
                <w:b/>
                <w:i/>
              </w:rPr>
              <w:t>profiles and industry expertise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Welcomes the Ombudsman’s efforts to ensure the application of transparency rules by the EU institutions and the opening of an inquiry into how the Commission ensures transparency, inclusiveness and accountability in the adoption of harmonised standards for AI; emphasises</w:t>
            </w:r>
            <w:r>
              <w:rPr>
                <w:b/>
                <w:i/>
              </w:rPr>
              <w:t>, in view of the Commission’s key role in the European standardisation system,</w:t>
            </w:r>
            <w:r>
              <w:t xml:space="preserve"> the importance of </w:t>
            </w:r>
            <w:r>
              <w:rPr>
                <w:b/>
                <w:i/>
              </w:rPr>
              <w:t>clarifying</w:t>
            </w:r>
            <w:r>
              <w:t xml:space="preserve"> concerns related to the failure to ensure transparency in EU decision-making as well as the failure to ensure balanced representation of interests in the standardisation process; stresses that balanced representation must include </w:t>
            </w:r>
            <w:r>
              <w:rPr>
                <w:b/>
                <w:i/>
              </w:rPr>
              <w:t>not only</w:t>
            </w:r>
            <w:r>
              <w:t xml:space="preserve"> civil society </w:t>
            </w:r>
            <w:r>
              <w:rPr>
                <w:b/>
                <w:i/>
              </w:rPr>
              <w:t>but also industry</w:t>
            </w:r>
            <w:r>
              <w:t>, small and medium-sized enterprises and technical experts to ensure standards are both trustworthy and workable in practice;</w:t>
            </w:r>
          </w:p>
        </w:tc>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the importance of </w:t>
            </w:r>
            <w:r>
              <w:rPr>
                <w:b/>
                <w:i/>
              </w:rPr>
              <w:t>properly address all</w:t>
            </w:r>
            <w:r>
              <w:t xml:space="preserve"> concerns related to the failure to ensure transparency in EU decision-making as well as the failure to ensure balanced representation of interests in the standardisation process</w:t>
            </w:r>
            <w:r>
              <w:rPr>
                <w:b/>
                <w:i/>
              </w:rPr>
              <w:t>, in view of the Commission’s key role in the European standardisation system, which must contribute solving any issue stemming from AI to safety and fundamental rights</w:t>
            </w:r>
            <w:r>
              <w:t xml:space="preserve">; stresses that balanced representation must </w:t>
            </w:r>
            <w:r>
              <w:rPr>
                <w:b/>
                <w:i/>
              </w:rPr>
              <w:t>be guaranteed through a fully transparent and free from conflicts of interests decision-making process and</w:t>
            </w:r>
            <w:r>
              <w:t xml:space="preserve"> include civil society, small and medium-sized enterprises and technical experts to ensure standards are both trustworthy and workable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w:t>
            </w:r>
            <w:r>
              <w:rPr>
                <w:b/>
                <w:i/>
              </w:rPr>
              <w:t>must include not only</w:t>
            </w:r>
            <w:r>
              <w:t xml:space="preserve"> civil society </w:t>
            </w:r>
            <w:r>
              <w:rPr>
                <w:b/>
                <w:i/>
              </w:rPr>
              <w:t>but also</w:t>
            </w:r>
            <w:r>
              <w:t xml:space="preserve"> industry, small and medium-sized enterprises and technical experts to ensure standards </w:t>
            </w:r>
            <w:r>
              <w:rPr>
                <w:b/>
                <w:i/>
              </w:rPr>
              <w:t>are both</w:t>
            </w:r>
            <w:r>
              <w:t xml:space="preserve"> trustworthy and workable in practice;</w:t>
            </w:r>
          </w:p>
        </w:tc>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w:t>
            </w:r>
            <w:r>
              <w:rPr>
                <w:b/>
                <w:i/>
              </w:rPr>
              <w:t>should ensure the meaningful and effective participation of</w:t>
            </w:r>
            <w:r>
              <w:t xml:space="preserve"> civil society </w:t>
            </w:r>
            <w:r>
              <w:rPr>
                <w:b/>
                <w:i/>
              </w:rPr>
              <w:t>organisations, while also providing for the appropriate involvement of</w:t>
            </w:r>
            <w:r>
              <w:t xml:space="preserve"> industry, small and medium-sized enterprises and technical experts</w:t>
            </w:r>
            <w:r>
              <w:rPr>
                <w:b/>
                <w:i/>
              </w:rPr>
              <w:t>, in order</w:t>
            </w:r>
            <w:r>
              <w:t xml:space="preserve"> to ensure </w:t>
            </w:r>
            <w:r>
              <w:rPr>
                <w:b/>
                <w:i/>
              </w:rPr>
              <w:t>that</w:t>
            </w:r>
            <w:r>
              <w:t xml:space="preserve"> standards </w:t>
            </w:r>
            <w:r>
              <w:rPr>
                <w:b/>
                <w:i/>
              </w:rPr>
              <w:t>reflect a broad range of societal, economic and technical perspectives and remain</w:t>
            </w:r>
            <w:r>
              <w:t xml:space="preserve"> trustworthy and workable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 to ensure standards are both trustworthy and workable in practice;</w:t>
            </w:r>
          </w:p>
        </w:tc>
        <w:tc>
          <w:tcPr>
            <w:tcW w:w="4876" w:type="dxa"/>
            <w:tcBorders>
              <w:top w:val="nil"/>
              <w:left w:val="nil"/>
              <w:bottom w:val="nil"/>
              <w:right w:val="nil"/>
            </w:tcBorders>
          </w:tcPr>
          <w:p>
            <w:pPr>
              <w:pStyle w:val="Normal6a"/>
            </w:pPr>
            <w:r>
              <w:t>9.</w:t>
            </w:r>
            <w:r>
              <w:tab/>
            </w:r>
            <w:r>
              <w:t>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w:t>
            </w:r>
            <w:r>
              <w:rPr>
                <w:b/>
                <w:i/>
              </w:rPr>
              <w:t>, as well as persons with disabilities and persons belonging to traditional national and linguistic minorities, with particular attention to accessibility, linguistic diversity of AI technologies in particular the provision of captioning and accessibility to sign languages,</w:t>
            </w:r>
            <w:r>
              <w:t xml:space="preserve"> to ensure </w:t>
            </w:r>
            <w:r>
              <w:rPr>
                <w:b/>
                <w:i/>
              </w:rPr>
              <w:t>that</w:t>
            </w:r>
            <w:r>
              <w:t xml:space="preserve"> standards are both trustworthy</w:t>
            </w:r>
            <w:r>
              <w:rPr>
                <w:b/>
                <w:i/>
              </w:rPr>
              <w:t>, inclusive</w:t>
            </w:r>
            <w:r>
              <w:t xml:space="preserve"> and workable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 to ensure standards are both trustworthy and workable in practice;</w:t>
            </w:r>
          </w:p>
        </w:tc>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 to ensure standards are both trustworthy and workable in practice; </w:t>
            </w:r>
            <w:r>
              <w:rPr>
                <w:b/>
                <w:i/>
              </w:rPr>
              <w:t>stresses, furthermore, that national standardisation bodies and all materially affected stakeholders should be represented on equal terms and that no single category of stakeholder should be granted a privileged 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 </w:t>
            </w:r>
            <w:r>
              <w:rPr>
                <w:b/>
                <w:i/>
              </w:rPr>
              <w:t>to ensure standards are both trustworthy and workable in practice;</w:t>
            </w:r>
          </w:p>
        </w:tc>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not only civil society but also industry, small and medium-sized enterprises and technical experts </w:t>
            </w:r>
            <w:r>
              <w:rPr>
                <w:b/>
                <w:i/>
              </w:rPr>
              <w:t>but also trade unions, consumer organisations, environmental organisations, persons with disabilities and independent researchers;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w:t>
            </w:r>
            <w:r>
              <w:rPr>
                <w:b/>
                <w:i/>
              </w:rPr>
              <w:t>not only</w:t>
            </w:r>
            <w:r>
              <w:t xml:space="preserve"> civil society </w:t>
            </w:r>
            <w:r>
              <w:rPr>
                <w:b/>
                <w:i/>
              </w:rPr>
              <w:t>but also</w:t>
            </w:r>
            <w:r>
              <w:t xml:space="preserve"> industry, small and medium-sized enterprises and technical experts to ensure standards are both trustworthy and workable in practice;</w:t>
            </w:r>
          </w:p>
        </w:tc>
        <w:tc>
          <w:tcPr>
            <w:tcW w:w="4876" w:type="dxa"/>
            <w:tcBorders>
              <w:top w:val="nil"/>
              <w:left w:val="nil"/>
              <w:bottom w:val="nil"/>
              <w:right w:val="nil"/>
            </w:tcBorders>
          </w:tcPr>
          <w:p>
            <w:pPr>
              <w:pStyle w:val="Normal6a"/>
            </w:pPr>
            <w:r>
              <w:t>9.</w:t>
            </w:r>
            <w:r>
              <w:tab/>
            </w:r>
            <w:r>
              <w:t>Welcomes the Ombudsman’s efforts to ensure the application of transparency rules by the EU institutions and the opening of an inquiry into how the Commission ensures transparency, inclusiveness and accountability in the adoption of harmonised standards for AI; emphasises, in view of the Commission’s key role in the European standardisation system, the importance of clarifying concerns related to the failure to ensure transparency in EU decision-making as well as the failure to ensure balanced representation of interests in the standardisation process; stresses that balanced representation must include civil society</w:t>
            </w:r>
            <w:r>
              <w:rPr>
                <w:b/>
                <w:i/>
              </w:rPr>
              <w:t>,</w:t>
            </w:r>
            <w:r>
              <w:t xml:space="preserve"> industry </w:t>
            </w:r>
            <w:r>
              <w:rPr>
                <w:b/>
                <w:i/>
              </w:rPr>
              <w:t>stakeholders</w:t>
            </w:r>
            <w:r>
              <w:t>, small and medium-sized enterprises and technical experts to ensure standards are both trustworthy and workable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Stresses the need for an adequate increase in the human and financial resources of the Office of the European Ombudsman, commensurate with its increasing workload;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importance of transparency and appropriate public participation in the assessment of projects financed by the EIB, while ensuring efficient decision-making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c>
          <w:tcPr>
            <w:tcW w:w="4876" w:type="dxa"/>
            <w:tcBorders>
              <w:top w:val="nil"/>
              <w:left w:val="nil"/>
              <w:bottom w:val="nil"/>
              <w:right w:val="nil"/>
            </w:tcBorders>
          </w:tcPr>
          <w:p>
            <w:pPr>
              <w:pStyle w:val="Normal6a"/>
            </w:pPr>
            <w:r>
              <w:t>10.</w:t>
            </w:r>
            <w:r>
              <w:tab/>
            </w:r>
            <w:r>
              <w:t>Stresses the importance of transparency and appropriate public participation in the assessment of projects financed by the EIB, while ensuring efficient decision-making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r>
              <w:rPr>
                <w:b/>
                <w:i/>
              </w:rPr>
              <w:t> calls on the EIB to consistently apply these high standards of environmental and social transparency across all its lending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importance of transparency and appropriate public participation in the assessment of projects financed by the EIB, while ensuring efficient decision-making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c>
          <w:tcPr>
            <w:tcW w:w="4876" w:type="dxa"/>
            <w:tcBorders>
              <w:top w:val="nil"/>
              <w:left w:val="nil"/>
              <w:bottom w:val="nil"/>
              <w:right w:val="nil"/>
            </w:tcBorders>
          </w:tcPr>
          <w:p>
            <w:pPr>
              <w:pStyle w:val="Normal6a"/>
            </w:pPr>
            <w:r>
              <w:t>10.</w:t>
            </w:r>
            <w:r>
              <w:tab/>
            </w:r>
            <w:r>
              <w:t xml:space="preserve">Stresses the importance of transparency and appropriate public participation in the assessment of projects financed by the EIB, while ensuring efficient decision-making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 </w:t>
            </w:r>
            <w:r>
              <w:rPr>
                <w:b/>
                <w:i/>
              </w:rPr>
              <w:t>underlines that publication requirements must protect commercially sensitive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Stresses the importance of transparency and appropriate public participation in the assessment of projects financed by the EIB, while ensuring </w:t>
            </w:r>
            <w:r>
              <w:rPr>
                <w:b/>
                <w:i/>
              </w:rPr>
              <w:t>efficient</w:t>
            </w:r>
            <w:r>
              <w:t xml:space="preserve"> decision-making </w:t>
            </w:r>
            <w:r>
              <w:rPr>
                <w:b/>
                <w:i/>
              </w:rPr>
              <w:t>and proportionality and avoiding unnecessary administrative burdens</w:t>
            </w:r>
            <w:r>
              <w:t>;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c>
          <w:tcPr>
            <w:tcW w:w="4876" w:type="dxa"/>
            <w:tcBorders>
              <w:top w:val="nil"/>
              <w:left w:val="nil"/>
              <w:bottom w:val="nil"/>
              <w:right w:val="nil"/>
            </w:tcBorders>
          </w:tcPr>
          <w:p>
            <w:pPr>
              <w:pStyle w:val="Normal6a"/>
            </w:pPr>
            <w:r>
              <w:t>10.</w:t>
            </w:r>
            <w:r>
              <w:tab/>
            </w:r>
            <w:r>
              <w:t xml:space="preserve">Stresses the importance of </w:t>
            </w:r>
            <w:r>
              <w:rPr>
                <w:b/>
                <w:i/>
              </w:rPr>
              <w:t>full</w:t>
            </w:r>
            <w:r>
              <w:t xml:space="preserve"> transparency and appropriate public participation in the assessment of projects financed by the EIB, while ensuring </w:t>
            </w:r>
            <w:r>
              <w:rPr>
                <w:b/>
                <w:i/>
              </w:rPr>
              <w:t>effective</w:t>
            </w:r>
            <w:r>
              <w:t xml:space="preserve"> decision-making;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Stresses the importance of transparency </w:t>
            </w:r>
            <w:r>
              <w:rPr>
                <w:b/>
                <w:i/>
              </w:rPr>
              <w:t>and appropriate public participation</w:t>
            </w:r>
            <w:r>
              <w:t xml:space="preserve"> in the assessment of projects financed by the EIB, while </w:t>
            </w:r>
            <w:r>
              <w:rPr>
                <w:b/>
                <w:i/>
              </w:rPr>
              <w:t>ensuring efficient</w:t>
            </w:r>
            <w:r>
              <w:t xml:space="preserve"> decision-making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c>
          <w:tcPr>
            <w:tcW w:w="4876" w:type="dxa"/>
            <w:tcBorders>
              <w:top w:val="nil"/>
              <w:left w:val="nil"/>
              <w:bottom w:val="nil"/>
              <w:right w:val="nil"/>
            </w:tcBorders>
          </w:tcPr>
          <w:p>
            <w:pPr>
              <w:pStyle w:val="Normal6a"/>
            </w:pPr>
            <w:r>
              <w:t>10.</w:t>
            </w:r>
            <w:r>
              <w:tab/>
            </w:r>
            <w:r>
              <w:t xml:space="preserve">Stresses the importance of transparency in the assessment of projects financed by the EIB, while </w:t>
            </w:r>
            <w:r>
              <w:rPr>
                <w:b/>
                <w:i/>
              </w:rPr>
              <w:t>protecting</w:t>
            </w:r>
            <w:r>
              <w:t xml:space="preserve"> decision-making </w:t>
            </w:r>
            <w:r>
              <w:rPr>
                <w:b/>
                <w:i/>
              </w:rPr>
              <w:t>processes</w:t>
            </w:r>
            <w:r>
              <w:t xml:space="preserve"> and proportionality and avoiding unnecessary administrative burdens; welcomes the EIB’s decision, following an inquiry by the Office of the European Ombudsman, to change its practice and proactively publish its environmental and social assessments for projects outside the EU that are likely to have a significant impact on the environment, before financing decisions are taken;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w:t>
            </w:r>
          </w:p>
        </w:tc>
        <w:tc>
          <w:tcPr>
            <w:tcW w:w="4876" w:type="dxa"/>
            <w:tcBorders>
              <w:top w:val="nil"/>
              <w:left w:val="nil"/>
              <w:bottom w:val="nil"/>
              <w:right w:val="nil"/>
            </w:tcBorders>
          </w:tcPr>
          <w:p>
            <w:pPr>
              <w:pStyle w:val="Normal6a"/>
            </w:pPr>
            <w:r>
              <w:t>11.</w:t>
            </w:r>
            <w:r>
              <w:tab/>
            </w:r>
            <w:r>
              <w:t xml:space="preserve">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 </w:t>
            </w:r>
            <w:r>
              <w:rPr>
                <w:b/>
                <w:i/>
              </w:rPr>
              <w:t>stresses that scrutiny of potential conflicts of interest should cover moves involving consultancy firms, lobbying organisations, NGOs and think tanks, as well as private companies; calls for effective conflict-of-interest checks when recruiting individuals from such organisations into senior EU posts;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w:t>
            </w:r>
          </w:p>
        </w:tc>
        <w:tc>
          <w:tcPr>
            <w:tcW w:w="4876" w:type="dxa"/>
            <w:tcBorders>
              <w:top w:val="nil"/>
              <w:left w:val="nil"/>
              <w:bottom w:val="nil"/>
              <w:right w:val="nil"/>
            </w:tcBorders>
          </w:tcPr>
          <w:p>
            <w:pPr>
              <w:pStyle w:val="Normal6a"/>
            </w:pPr>
            <w:r>
              <w:t>11.</w:t>
            </w:r>
            <w:r>
              <w:tab/>
            </w:r>
            <w:r>
              <w:t xml:space="preserve">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 </w:t>
            </w:r>
            <w:r>
              <w:rPr>
                <w:b/>
                <w:i/>
              </w:rPr>
              <w:t>calls for a minimum cooling-off period of two years for senior officials and Commissioners, a fully searchable public register of post-mandate activities, independent prior authorisation and effective sanctions, including the suspension of access badges and benefits where the rules are breached;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w:t>
            </w:r>
          </w:p>
        </w:tc>
        <w:tc>
          <w:tcPr>
            <w:tcW w:w="4876" w:type="dxa"/>
            <w:tcBorders>
              <w:top w:val="nil"/>
              <w:left w:val="nil"/>
              <w:bottom w:val="nil"/>
              <w:right w:val="nil"/>
            </w:tcBorders>
          </w:tcPr>
          <w:p>
            <w:pPr>
              <w:pStyle w:val="Normal6a"/>
            </w:pPr>
            <w:r>
              <w:t>11.</w:t>
            </w:r>
            <w:r>
              <w:tab/>
            </w:r>
            <w:r>
              <w:t xml:space="preserve">Stresses that it is important to systematically address the issue of ‘revolving door’ moves – when staff or members of the EU institutions leave to move into the private sector – in order to mitigate the potential risk of conflicts of interest; welcomes the Ombudsman’s recommendations to tighten the rules on revolving doors in the own-initiative inquiry on the handling of revolving doors by EU agencies </w:t>
            </w:r>
            <w:r>
              <w:rPr>
                <w:b/>
                <w:i/>
              </w:rPr>
              <w:t>while acknowledging the need for the EU administration to attract talented and qualified staff to strike a balance between compliance with ethical rules and the right of individuals to seek employment in the private sector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Expresses concern that, according to the European Court of Auditors, the number of temporary staff employed in permanent posts at the Commission increased by 192 % between 2019 and 2023, while the number of EPSO competitions launched and completed fell by 35 % and 38 %, respectively; whereas the European Parliament, in its 2025 resolution, explicitly linked these developments to the reduced availability of successful candidates from permanent recruitment competitions, resulting in an increasing reliance by the EU institutions on temporary staff;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Welcomes the Commission’s improvements to conflict-of-interest measures for experts evaluating European Defence Fund projects, taking into account the Ombudsman’s suggestions following the inquiry into how the Commission ensures that there are no conflicts of interest with external experts that are involved in project proposal evaluations, ethics reviews and cost estimates under the European Defence Fund;</w:t>
            </w:r>
          </w:p>
        </w:tc>
        <w:tc>
          <w:tcPr>
            <w:tcW w:w="4876" w:type="dxa"/>
            <w:tcBorders>
              <w:top w:val="nil"/>
              <w:left w:val="nil"/>
              <w:bottom w:val="nil"/>
              <w:right w:val="nil"/>
            </w:tcBorders>
          </w:tcPr>
          <w:p>
            <w:pPr>
              <w:pStyle w:val="Normal6a"/>
            </w:pPr>
            <w:r>
              <w:t>12.</w:t>
            </w:r>
            <w:r>
              <w:tab/>
            </w:r>
            <w:r>
              <w:t xml:space="preserve">Welcomes the Commission’s improvements to conflict-of-interest measures for experts evaluating European Defence Fund projects, taking into account the Ombudsman’s suggestions following the inquiry into how the Commission ensures that there are no conflicts of interest with external experts that are involved in project proposal evaluations, ethics reviews and cost estimates under the European Defence Fund; </w:t>
            </w:r>
            <w:r>
              <w:rPr>
                <w:b/>
                <w:i/>
              </w:rPr>
              <w:t>underlines that conflict-of-interest checks concerning external experts under the European Defence Fund should be rigorous, proportionate and carried out in a timely manner, so as to preserve the integrity of evaluations and avoid unnecessary delays in project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on the Ombudsman to examine the Commission’s practice of </w:t>
            </w:r>
            <w:r>
              <w:rPr>
                <w:b/>
                <w:i/>
              </w:rPr>
              <w:t>financing civil society organisations, including environmental and advocacy groups, that subsequently engage in</w:t>
            </w:r>
            <w:r>
              <w:t xml:space="preserve"> lobbying </w:t>
            </w:r>
            <w:r>
              <w:rPr>
                <w:b/>
                <w:i/>
              </w:rPr>
              <w:t>activities directed at Parliament and the Commission</w:t>
            </w:r>
            <w:r>
              <w:t xml:space="preserve">; stresses that </w:t>
            </w:r>
            <w:r>
              <w:rPr>
                <w:b/>
                <w:i/>
              </w:rPr>
              <w:t>such funding arrangements</w:t>
            </w:r>
            <w:r>
              <w:t xml:space="preserve"> must be fully transparent and subject to </w:t>
            </w:r>
            <w:r>
              <w:rPr>
                <w:b/>
                <w:i/>
              </w:rPr>
              <w:t>clear</w:t>
            </w:r>
            <w:r>
              <w:t xml:space="preserve"> conflict of interest safeguards in order to preserve </w:t>
            </w:r>
            <w:r>
              <w:rPr>
                <w:b/>
                <w:i/>
              </w:rPr>
              <w:t>the</w:t>
            </w:r>
            <w:r>
              <w:t xml:space="preserve"> integrity and impartiality </w:t>
            </w:r>
            <w:r>
              <w:rPr>
                <w:b/>
                <w:i/>
              </w:rPr>
              <w:t>of the EU decision-making process</w:t>
            </w:r>
            <w:r>
              <w:t>;</w:t>
            </w:r>
          </w:p>
        </w:tc>
        <w:tc>
          <w:tcPr>
            <w:tcW w:w="4876" w:type="dxa"/>
            <w:tcBorders>
              <w:top w:val="nil"/>
              <w:left w:val="nil"/>
              <w:bottom w:val="nil"/>
              <w:right w:val="nil"/>
            </w:tcBorders>
          </w:tcPr>
          <w:p>
            <w:pPr>
              <w:pStyle w:val="Normal6a"/>
            </w:pPr>
            <w:r>
              <w:t>13.</w:t>
            </w:r>
            <w:r>
              <w:tab/>
            </w:r>
            <w:r>
              <w:t xml:space="preserve">Calls on the Ombudsman to examine the Commission’s practice of </w:t>
            </w:r>
            <w:r>
              <w:rPr>
                <w:b/>
                <w:i/>
              </w:rPr>
              <w:t>interacting with fossil fuel industry representatives; emphasises that in a report of May 2025 to the UN General Assembly, the UN Special Rapporteur on the promotion and protection of human rights in the context of climate change called for a total ban on fossil fuel industry</w:t>
            </w:r>
            <w:r>
              <w:t xml:space="preserve"> lobbying</w:t>
            </w:r>
            <w:r>
              <w:rPr>
                <w:b/>
                <w:i/>
              </w:rPr>
              <w:t>, advertising and sponsorship, and for the public to be adequately informed about the fossil fuel industry’s deliberate contributions to the planetary crises and about the human rights impacts of their actions over decades</w:t>
            </w:r>
            <w:r>
              <w:t xml:space="preserve">; stresses that </w:t>
            </w:r>
            <w:r>
              <w:rPr>
                <w:b/>
                <w:i/>
              </w:rPr>
              <w:t>the EU institutions, agencies, bodies and offices must adhere to the highest ethical standards in their interactions with private stakeholders and that the EU decision-making process</w:t>
            </w:r>
            <w:r>
              <w:t xml:space="preserve"> must be fully transparent and subject to </w:t>
            </w:r>
            <w:r>
              <w:rPr>
                <w:b/>
                <w:i/>
              </w:rPr>
              <w:t>the strongest</w:t>
            </w:r>
            <w:r>
              <w:t xml:space="preserve"> conflict of interest safeguards in order to preserve </w:t>
            </w:r>
            <w:r>
              <w:rPr>
                <w:b/>
                <w:i/>
              </w:rPr>
              <w:t>its</w:t>
            </w:r>
            <w:r>
              <w:t xml:space="preserve"> integrity and impartiality;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Calls on the Ombudsman to examine the Commission’s practice of financing civil society organisations, including environmental and advocacy groups, that subsequently engage in lobbying activities directed at Parliament and the Commission; stresses that such funding arrangements must be fully transparent and subject to clear conflict</w:t>
            </w:r>
            <w:r>
              <w:t xml:space="preserve"> of interest </w:t>
            </w:r>
            <w:r>
              <w:rPr>
                <w:b/>
                <w:i/>
              </w:rPr>
              <w:t>safeguards in order to preserve the integrity and impartiality</w:t>
            </w:r>
            <w:r>
              <w:t xml:space="preserve"> of the </w:t>
            </w:r>
            <w:r>
              <w:rPr>
                <w:b/>
                <w:i/>
              </w:rPr>
              <w:t>EU decision-making process</w:t>
            </w:r>
            <w:r>
              <w:t>;</w:t>
            </w:r>
          </w:p>
        </w:tc>
        <w:tc>
          <w:tcPr>
            <w:tcW w:w="4876" w:type="dxa"/>
            <w:tcBorders>
              <w:top w:val="nil"/>
              <w:left w:val="nil"/>
              <w:bottom w:val="nil"/>
              <w:right w:val="nil"/>
            </w:tcBorders>
          </w:tcPr>
          <w:p>
            <w:pPr>
              <w:pStyle w:val="Normal6a"/>
            </w:pPr>
            <w:r>
              <w:t>13.</w:t>
            </w:r>
            <w:r>
              <w:tab/>
            </w:r>
            <w:r>
              <w:rPr>
                <w:b/>
                <w:i/>
              </w:rPr>
              <w:t>Welcomes the European Ombudsman's work in promoting sound administration, transparency and accountability in the award of EU grants; commends her efforts to ensure that grant applications are assessed fairly and in accordance with the applicable rules, and that allegations of potential conflicts</w:t>
            </w:r>
            <w:r>
              <w:t xml:space="preserve"> of interest </w:t>
            </w:r>
            <w:r>
              <w:rPr>
                <w:b/>
                <w:i/>
              </w:rPr>
              <w:t>in grant award procedures are adequately examined; recalls, in this context, the recommendations</w:t>
            </w:r>
            <w:r>
              <w:t xml:space="preserve"> of the </w:t>
            </w:r>
            <w:r>
              <w:rPr>
                <w:b/>
                <w:i/>
              </w:rPr>
              <w:t>European Court of Auditors' Special Report 11/2025, Transparency of EU funding granted to NGOs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on the Ombudsman to </w:t>
            </w:r>
            <w:r>
              <w:rPr>
                <w:b/>
                <w:i/>
              </w:rPr>
              <w:t>examine the Commission’s practice of financing</w:t>
            </w:r>
            <w:r>
              <w:t xml:space="preserve"> civil society </w:t>
            </w:r>
            <w:r>
              <w:rPr>
                <w:b/>
                <w:i/>
              </w:rPr>
              <w:t>organisations, including</w:t>
            </w:r>
            <w:r>
              <w:t xml:space="preserve"> environmental </w:t>
            </w:r>
            <w:r>
              <w:rPr>
                <w:b/>
                <w:i/>
              </w:rPr>
              <w:t>and advocacy groups, that subsequently engage in lobbying activities directed at Parliament and the Commission</w:t>
            </w:r>
            <w:r>
              <w:t xml:space="preserve">; stresses that </w:t>
            </w:r>
            <w:r>
              <w:rPr>
                <w:b/>
                <w:i/>
              </w:rPr>
              <w:t>such funding arrangements must be fully transparent and subject to</w:t>
            </w:r>
            <w:r>
              <w:t xml:space="preserve"> clear conflict of interest safeguards </w:t>
            </w:r>
            <w:r>
              <w:rPr>
                <w:b/>
                <w:i/>
              </w:rPr>
              <w:t>in order to</w:t>
            </w:r>
            <w:r>
              <w:t xml:space="preserve"> preserve the integrity and impartiality of the EU decision-making process;</w:t>
            </w:r>
          </w:p>
        </w:tc>
        <w:tc>
          <w:tcPr>
            <w:tcW w:w="4876" w:type="dxa"/>
            <w:tcBorders>
              <w:top w:val="nil"/>
              <w:left w:val="nil"/>
              <w:bottom w:val="nil"/>
              <w:right w:val="nil"/>
            </w:tcBorders>
          </w:tcPr>
          <w:p>
            <w:pPr>
              <w:pStyle w:val="Normal6a"/>
            </w:pPr>
            <w:r>
              <w:t>13.</w:t>
            </w:r>
            <w:r>
              <w:tab/>
            </w:r>
            <w:r>
              <w:t xml:space="preserve">Calls on the Ombudsman to </w:t>
            </w:r>
            <w:r>
              <w:rPr>
                <w:b/>
                <w:i/>
              </w:rPr>
              <w:t>monitor transparency of lobbying across all EU decision-making processes; expresses severe concern over the unchecked financial dominance and aggressive lobbying tactics of Big Tech multinationals, which undermine democratic representation; emphasizes in this regard that</w:t>
            </w:r>
            <w:r>
              <w:t xml:space="preserve"> civil society </w:t>
            </w:r>
            <w:r>
              <w:rPr>
                <w:b/>
                <w:i/>
              </w:rPr>
              <w:t>and</w:t>
            </w:r>
            <w:r>
              <w:t xml:space="preserve"> environmental </w:t>
            </w:r>
            <w:r>
              <w:rPr>
                <w:b/>
                <w:i/>
              </w:rPr>
              <w:t>non-governmental organisations play a vital democratic role as public interest counterweights</w:t>
            </w:r>
            <w:r>
              <w:t xml:space="preserve">; stresses that clear conflict of interest safeguards </w:t>
            </w:r>
            <w:r>
              <w:rPr>
                <w:b/>
                <w:i/>
              </w:rPr>
              <w:t>and strict transparency requirements</w:t>
            </w:r>
            <w:r>
              <w:t xml:space="preserve"> preserve the integrity and impartiality of the EU decision-making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Calls on the Ombudsman to examine the Commission’s practice of financing</w:t>
            </w:r>
            <w:r>
              <w:t xml:space="preserve"> civil society organisations</w:t>
            </w:r>
            <w:r>
              <w:rPr>
                <w:b/>
                <w:i/>
              </w:rPr>
              <w:t>, including environmental and advocacy groups, that subsequently engage in lobbying activities directed at Parliament and the Commission</w:t>
            </w:r>
            <w:r>
              <w:t xml:space="preserve">; stresses </w:t>
            </w:r>
            <w:r>
              <w:rPr>
                <w:b/>
                <w:i/>
              </w:rPr>
              <w:t>that such</w:t>
            </w:r>
            <w:r>
              <w:t xml:space="preserve"> funding </w:t>
            </w:r>
            <w:r>
              <w:rPr>
                <w:b/>
                <w:i/>
              </w:rPr>
              <w:t>arrangements must be fully transparent and subject to clear conflict</w:t>
            </w:r>
            <w:r>
              <w:t xml:space="preserve"> of interest </w:t>
            </w:r>
            <w:r>
              <w:rPr>
                <w:b/>
                <w:i/>
              </w:rPr>
              <w:t>safeguards</w:t>
            </w:r>
            <w:r>
              <w:t xml:space="preserve"> in order to </w:t>
            </w:r>
            <w:r>
              <w:rPr>
                <w:b/>
                <w:i/>
              </w:rPr>
              <w:t>preserve</w:t>
            </w:r>
            <w:r>
              <w:t xml:space="preserve"> the integrity and impartiality of the </w:t>
            </w:r>
            <w:r>
              <w:rPr>
                <w:b/>
                <w:i/>
              </w:rPr>
              <w:t>EU</w:t>
            </w:r>
            <w:r>
              <w:t xml:space="preserve"> decision-making process;</w:t>
            </w:r>
          </w:p>
        </w:tc>
        <w:tc>
          <w:tcPr>
            <w:tcW w:w="4876" w:type="dxa"/>
            <w:tcBorders>
              <w:top w:val="nil"/>
              <w:left w:val="nil"/>
              <w:bottom w:val="nil"/>
              <w:right w:val="nil"/>
            </w:tcBorders>
          </w:tcPr>
          <w:p>
            <w:pPr>
              <w:pStyle w:val="Normal6a"/>
            </w:pPr>
            <w:r>
              <w:t>13.</w:t>
            </w:r>
            <w:r>
              <w:tab/>
            </w:r>
            <w:r>
              <w:rPr>
                <w:b/>
                <w:i/>
              </w:rPr>
              <w:t>Welcomes the Ombudsman’s commitment to safeguarding civic space and to fostering conditions that enable</w:t>
            </w:r>
            <w:r>
              <w:t xml:space="preserve"> civil society organisations </w:t>
            </w:r>
            <w:r>
              <w:rPr>
                <w:b/>
                <w:i/>
              </w:rPr>
              <w:t>to operate effectively and independently</w:t>
            </w:r>
            <w:r>
              <w:t xml:space="preserve">; stresses </w:t>
            </w:r>
            <w:r>
              <w:rPr>
                <w:b/>
                <w:i/>
              </w:rPr>
              <w:t>the important role of civil society organisations in upholding democratic values, fundamental rights and civic participation in the Union, while underlining the need to ensure full transparency of</w:t>
            </w:r>
            <w:r>
              <w:t xml:space="preserve"> funding </w:t>
            </w:r>
            <w:r>
              <w:rPr>
                <w:b/>
                <w:i/>
              </w:rPr>
              <w:t>and appropriate safeguards against conflicts</w:t>
            </w:r>
            <w:r>
              <w:t xml:space="preserve"> of interest in order to </w:t>
            </w:r>
            <w:r>
              <w:rPr>
                <w:b/>
                <w:i/>
              </w:rPr>
              <w:t>protect</w:t>
            </w:r>
            <w:r>
              <w:t xml:space="preserve"> the integrity and impartiality of the </w:t>
            </w:r>
            <w:r>
              <w:rPr>
                <w:b/>
                <w:i/>
              </w:rPr>
              <w:t>Union’s</w:t>
            </w:r>
            <w:r>
              <w:t xml:space="preserve"> decision-making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on the Ombudsman to examine the Commission’s practice of financing civil society organisations, including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w:t>
            </w:r>
          </w:p>
        </w:tc>
        <w:tc>
          <w:tcPr>
            <w:tcW w:w="4876" w:type="dxa"/>
            <w:tcBorders>
              <w:top w:val="nil"/>
              <w:left w:val="nil"/>
              <w:bottom w:val="nil"/>
              <w:right w:val="nil"/>
            </w:tcBorders>
          </w:tcPr>
          <w:p>
            <w:pPr>
              <w:pStyle w:val="Normal6a"/>
            </w:pPr>
            <w:r>
              <w:t>13.</w:t>
            </w:r>
            <w:r>
              <w:tab/>
            </w:r>
            <w:r>
              <w:t xml:space="preserve">Calls on the Ombudsman to examine the Commission’s practice of financing civil society organisations, including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 </w:t>
            </w:r>
            <w:r>
              <w:rPr>
                <w:b/>
                <w:i/>
              </w:rPr>
              <w:t>calls on the Commission to fully implement the recommendations made by the European Court of Auditors in its special report 11/2025 on the transparency of EU funding granted to NGOs, which it accepted, as well as the commitments made on 1 April 2025 and declared applicable to all EU funding;</w:t>
            </w:r>
            <w:r>
              <w:t xml:space="preserve"> </w:t>
            </w:r>
            <w:r>
              <w:rPr>
                <w:b/>
                <w:i/>
              </w:rPr>
              <w:t>calls on the Commission to report to Parliament, within six months, on the state of implementation, in particular as regards the common definition and the verification of beneficiaries’ NGO status, which should no longer be based solely on self-declaration in the financial transparency system, the centralised consultation of information on funds managed by the Member States, and the clear disclosure of EU-funded advocacy or lobbying activities;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on the Ombudsman to examine the Commission’s practice of financing civil society organisations, </w:t>
            </w:r>
            <w:r>
              <w:rPr>
                <w:b/>
                <w:i/>
              </w:rPr>
              <w:t>including</w:t>
            </w:r>
            <w:r>
              <w:t xml:space="preserve">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w:t>
            </w:r>
          </w:p>
        </w:tc>
        <w:tc>
          <w:tcPr>
            <w:tcW w:w="4876" w:type="dxa"/>
            <w:tcBorders>
              <w:top w:val="nil"/>
              <w:left w:val="nil"/>
              <w:bottom w:val="nil"/>
              <w:right w:val="nil"/>
            </w:tcBorders>
          </w:tcPr>
          <w:p>
            <w:pPr>
              <w:pStyle w:val="Normal6a"/>
            </w:pPr>
            <w:r>
              <w:t>13.</w:t>
            </w:r>
            <w:r>
              <w:tab/>
            </w:r>
            <w:r>
              <w:t xml:space="preserve">Calls on the Ombudsman to examine the Commission’s practice of financing </w:t>
            </w:r>
            <w:r>
              <w:rPr>
                <w:b/>
                <w:i/>
              </w:rPr>
              <w:t>all interest representatives and organisations, including</w:t>
            </w:r>
            <w:r>
              <w:t xml:space="preserve"> civil society organisations, </w:t>
            </w:r>
            <w:r>
              <w:rPr>
                <w:b/>
                <w:i/>
              </w:rPr>
              <w:t>companies, consultancies, industry associations,</w:t>
            </w:r>
            <w:r>
              <w:t xml:space="preserve">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on the Ombudsman to examine the Commission’s practice of financing civil society organisations, including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w:t>
            </w:r>
          </w:p>
        </w:tc>
        <w:tc>
          <w:tcPr>
            <w:tcW w:w="4876" w:type="dxa"/>
            <w:tcBorders>
              <w:top w:val="nil"/>
              <w:left w:val="nil"/>
              <w:bottom w:val="nil"/>
              <w:right w:val="nil"/>
            </w:tcBorders>
          </w:tcPr>
          <w:p>
            <w:pPr>
              <w:pStyle w:val="Normal6a"/>
            </w:pPr>
            <w:r>
              <w:t>13.</w:t>
            </w:r>
            <w:r>
              <w:tab/>
            </w:r>
            <w:r>
              <w:t xml:space="preserve">Calls on the Ombudsman to examine the Commission’s practice of financing civil society organisations, including environmental and advocacy groups, that subsequently engage in lobbying activities directed at Parliament and the Commission; stresses that such funding arrangements must be fully transparent and subject to clear conflict of interest safeguards in order to preserve the integrity and impartiality of the EU decision-making process; </w:t>
            </w:r>
            <w:r>
              <w:rPr>
                <w:b/>
                <w:i/>
              </w:rPr>
              <w:t>calls for a central, publicly accessible register disclosing the beneficiaries, amounts, objectives and lobbying activities financed from Union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to publish, in an accessible format and in accordance with applicable transparency rules, the beneficiaries, amounts, objectives and lobbying-related activities financed under such grants; stresses that grant agreements must not require beneficiaries to lobby Parliament in support of the Commission’s policy proposals; calls for transparent and impartial award procedures that respect political pluralism;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Ombudsman to examine the Commission’s practice of financing environmental NGOs which subsequently lobby the European Parliament and the Commission for further green policies; stresses that such practices risk creating conflicts of interest, distort the democratic process, and undermine the legitimacy of EU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to ensure that transparency and conflict-of interest safeguards are fully respected in case of Commission funding for organistions engaged in activities intended to influence the development or implementation of Union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Emphasises that greater transparency is essential to ensure effective public scrutiny and accountability; calls on the Commission to proactively publish, without the need for individual requests, all NGO grants, grant agreements, contracts and relevant financial reports under the current Multiannual Financial Framework on a central, easily accessible, searchable and transparent online platform, subject only to duly justified exceptions under EU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Appreciates that, following the Ombudsman’s own-initiative inquiry into how the Commission deals with third parties paying for work travel and hospitality arrangements for its senior staff, the Commission agreed to record its assessment of potential conflicts of interest in these cases; stresses that the Commission’s agreement to record its assessment of potential conflicts of interest should constitute simply a first step towards ensuring full transparency and accountability;</w:t>
            </w:r>
          </w:p>
        </w:tc>
        <w:tc>
          <w:tcPr>
            <w:tcW w:w="4876" w:type="dxa"/>
            <w:tcBorders>
              <w:top w:val="nil"/>
              <w:left w:val="nil"/>
              <w:bottom w:val="nil"/>
              <w:right w:val="nil"/>
            </w:tcBorders>
          </w:tcPr>
          <w:p>
            <w:pPr>
              <w:pStyle w:val="Normal6a"/>
            </w:pPr>
            <w:r>
              <w:t>14.</w:t>
            </w:r>
            <w:r>
              <w:tab/>
            </w:r>
            <w:r>
              <w:t xml:space="preserve">Appreciates that, following the Ombudsman’s own-initiative inquiry into how the Commission deals with third parties paying for work travel and hospitality arrangements for its senior staff, the Commission agreed to record its assessment of potential conflicts of interest in these cases; stresses that the Commission’s agreement to record its assessment of potential conflicts of interest should constitute simply a first step towards ensuring full transparency and accountability; </w:t>
            </w:r>
            <w:r>
              <w:rPr>
                <w:b/>
                <w:i/>
              </w:rPr>
              <w:t>calls on the Commission to proactively publish, in accordance with applicable transparency rules, details of third-party-funded travel and hospitality involving its senior staff, including the sponsor, the purpose of the trip, the nature and value of the support, and the outcome of the conflict-of-interest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w:t>
            </w:r>
            <w:r>
              <w:rPr>
                <w:b/>
                <w:i/>
              </w:rPr>
              <w:t>; recognises the importance of effective external border management for preventing irregular migration; considers that</w:t>
            </w:r>
            <w:r>
              <w:t xml:space="preserve"> fundamental rights </w:t>
            </w:r>
            <w:r>
              <w:rPr>
                <w:b/>
                <w:i/>
              </w:rPr>
              <w:t>safeguards and the operational effectiveness of border management are not mutually exclusive and should be pursued together</w:t>
            </w:r>
            <w:r>
              <w:t>;</w:t>
            </w:r>
          </w:p>
        </w:tc>
        <w:tc>
          <w:tcPr>
            <w:tcW w:w="4876" w:type="dxa"/>
            <w:tcBorders>
              <w:top w:val="nil"/>
              <w:left w:val="nil"/>
              <w:bottom w:val="nil"/>
              <w:right w:val="nil"/>
            </w:tcBorders>
          </w:tcPr>
          <w:p>
            <w:pPr>
              <w:pStyle w:val="Normal6a"/>
            </w:pPr>
            <w:r>
              <w:t>15.</w:t>
            </w:r>
            <w:r>
              <w:tab/>
            </w:r>
            <w:r>
              <w:t xml:space="preserve">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w:t>
            </w:r>
            <w:r>
              <w:rPr>
                <w:b/>
                <w:i/>
              </w:rPr>
              <w:t>and strengthening the involvement of civil society; underlines that the Ombudsman urged the Commission to put in place guidelines for assessing compliance with</w:t>
            </w:r>
            <w:r>
              <w:t xml:space="preserve"> fundamental rights </w:t>
            </w:r>
            <w:r>
              <w:rPr>
                <w:b/>
                <w:i/>
              </w:rPr>
              <w:t>throughout the course of the programme implementation, establishing and publishing criteria to determine under what circumstances it will withhold or suspend EU funds for non-compliance and to consider whether Greece continues to fulfil the fundamental rights condition related to the funds in question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Appreciates the Ombudsman’s continuous commitment to upholding fundamental rights </w:t>
            </w:r>
            <w:r>
              <w:rPr>
                <w:b/>
                <w:i/>
              </w:rPr>
              <w:t>in the work of the EU institutions</w:t>
            </w:r>
            <w:r>
              <w:t xml:space="preserve">, as demonstrated by the own-initiative inquiry into how the Commission ensures compliance with fundamental rights in the context of EU funds </w:t>
            </w:r>
            <w:r>
              <w:rPr>
                <w:b/>
                <w:i/>
              </w:rPr>
              <w:t>granted to Greece</w:t>
            </w:r>
            <w:r>
              <w:t xml:space="preserve"> for border management</w:t>
            </w:r>
            <w:r>
              <w:rPr>
                <w:b/>
                <w:i/>
              </w:rPr>
              <w:t>; urges the Commission to implement the Ombudsman’s suggestions for improving transparency in the monitoring of compliance with fundamental rights</w:t>
            </w:r>
            <w:r>
              <w:t>; recognises the importance of effective external border management for preventing irregular migration; considers that fundamental rights safeguards and the operational effectiveness of border management are not mutually exclusive and should be pursued together;</w:t>
            </w:r>
          </w:p>
        </w:tc>
        <w:tc>
          <w:tcPr>
            <w:tcW w:w="4876" w:type="dxa"/>
            <w:tcBorders>
              <w:top w:val="nil"/>
              <w:left w:val="nil"/>
              <w:bottom w:val="nil"/>
              <w:right w:val="nil"/>
            </w:tcBorders>
          </w:tcPr>
          <w:p>
            <w:pPr>
              <w:pStyle w:val="Normal6a"/>
            </w:pPr>
            <w:r>
              <w:t>15.</w:t>
            </w:r>
            <w:r>
              <w:tab/>
            </w:r>
            <w:r>
              <w:t xml:space="preserve">Appreciates the Ombudsman’s continuous commitment to upholding fundamental rights, as demonstrated by the own-initiative inquiry into how the Commission ensures compliance with fundamental rights in the context of EU funds for border management; recognises the importance of effective external border management for preventing irregular migration; considers that fundamental rights safeguards and the operational effectiveness of border management are not mutually exclusive and should be pursued together; </w:t>
            </w:r>
            <w:r>
              <w:rPr>
                <w:b/>
                <w:i/>
              </w:rPr>
              <w:t>welcomes the Commission's commitment to address the suggestions of the Ombudsman monitoring of compliance with fundamental rights and to ensure that EU funding for border management is in line with sound financial management and in respect of applicable EU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w:t>
            </w:r>
            <w:r>
              <w:rPr>
                <w:b/>
                <w:i/>
              </w:rPr>
              <w:t>recognises the importance of effective external border management for preventing irregular migration; considers that</w:t>
            </w:r>
            <w:r>
              <w:t xml:space="preserve"> fundamental rights </w:t>
            </w:r>
            <w:r>
              <w:rPr>
                <w:b/>
                <w:i/>
              </w:rPr>
              <w:t>safeguards and the operational effectiveness of</w:t>
            </w:r>
            <w:r>
              <w:t xml:space="preserve"> border management </w:t>
            </w:r>
            <w:r>
              <w:rPr>
                <w:b/>
                <w:i/>
              </w:rPr>
              <w:t>are not mutually exclusive and should be pursued together</w:t>
            </w:r>
            <w:r>
              <w:t>;</w:t>
            </w:r>
          </w:p>
        </w:tc>
        <w:tc>
          <w:tcPr>
            <w:tcW w:w="4876" w:type="dxa"/>
            <w:tcBorders>
              <w:top w:val="nil"/>
              <w:left w:val="nil"/>
              <w:bottom w:val="nil"/>
              <w:right w:val="nil"/>
            </w:tcBorders>
          </w:tcPr>
          <w:p>
            <w:pPr>
              <w:pStyle w:val="Normal6a"/>
            </w:pPr>
            <w:r>
              <w:t>15.</w:t>
            </w:r>
            <w:r>
              <w:tab/>
            </w:r>
            <w:r>
              <w:t xml:space="preserve">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w:t>
            </w:r>
            <w:r>
              <w:rPr>
                <w:b/>
                <w:i/>
              </w:rPr>
              <w:t>calls for independent, continuous and publicly reported monitoring of all EU-funded border-management activities and for the suspension or recovery of funds where serious or systemic violations are established; stresses the need to ensure full compliance with</w:t>
            </w:r>
            <w:r>
              <w:t xml:space="preserve"> fundamental rights </w:t>
            </w:r>
            <w:r>
              <w:rPr>
                <w:b/>
                <w:i/>
              </w:rPr>
              <w:t>in</w:t>
            </w:r>
            <w:r>
              <w:t xml:space="preserve"> border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Appreciates</w:t>
            </w:r>
            <w:r>
              <w:t xml:space="preserve">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recognises the importance of effective external border management for </w:t>
            </w:r>
            <w:r>
              <w:rPr>
                <w:b/>
                <w:i/>
              </w:rPr>
              <w:t>preventing irregular migration</w:t>
            </w:r>
            <w:r>
              <w:t xml:space="preserve">; considers that fundamental rights safeguards and the operational effectiveness of border management are not mutually exclusive and </w:t>
            </w:r>
            <w:r>
              <w:rPr>
                <w:b/>
                <w:i/>
              </w:rPr>
              <w:t>should</w:t>
            </w:r>
            <w:r>
              <w:t xml:space="preserve"> be pursued together;</w:t>
            </w:r>
          </w:p>
        </w:tc>
        <w:tc>
          <w:tcPr>
            <w:tcW w:w="4876" w:type="dxa"/>
            <w:tcBorders>
              <w:top w:val="nil"/>
              <w:left w:val="nil"/>
              <w:bottom w:val="nil"/>
              <w:right w:val="nil"/>
            </w:tcBorders>
          </w:tcPr>
          <w:p>
            <w:pPr>
              <w:pStyle w:val="Normal6a"/>
            </w:pPr>
            <w:r>
              <w:t>15.</w:t>
            </w:r>
            <w:r>
              <w:tab/>
            </w:r>
            <w:r>
              <w:rPr>
                <w:b/>
                <w:i/>
              </w:rPr>
              <w:t>Strongly welcomes</w:t>
            </w:r>
            <w:r>
              <w:t xml:space="preserve">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w:t>
            </w:r>
            <w:r>
              <w:rPr>
                <w:b/>
                <w:i/>
              </w:rPr>
              <w:t>expresses deep concern over reported fundamental rights violations at the EU's external borders;</w:t>
            </w:r>
            <w:r>
              <w:t xml:space="preserve"> urges the Commission to </w:t>
            </w:r>
            <w:r>
              <w:rPr>
                <w:b/>
                <w:i/>
              </w:rPr>
              <w:t>fully</w:t>
            </w:r>
            <w:r>
              <w:t xml:space="preserve"> implement the Ombudsman’s suggestions </w:t>
            </w:r>
            <w:r>
              <w:rPr>
                <w:b/>
                <w:i/>
              </w:rPr>
              <w:t>without delay,</w:t>
            </w:r>
            <w:r>
              <w:t xml:space="preserve"> for improving transparency in the monitoring of compliance with fundamental rights; recognises the importance of effective </w:t>
            </w:r>
            <w:r>
              <w:rPr>
                <w:b/>
                <w:i/>
              </w:rPr>
              <w:t>and humane</w:t>
            </w:r>
            <w:r>
              <w:t xml:space="preserve"> external border management for </w:t>
            </w:r>
            <w:r>
              <w:rPr>
                <w:b/>
                <w:i/>
              </w:rPr>
              <w:t>combatting human smuggling</w:t>
            </w:r>
            <w:r>
              <w:t xml:space="preserve"> ; considers that fundamental rights safeguards and the operational effectiveness of border management are not mutually exclusive and </w:t>
            </w:r>
            <w:r>
              <w:rPr>
                <w:b/>
                <w:i/>
              </w:rPr>
              <w:t>shall always</w:t>
            </w:r>
            <w:r>
              <w:t xml:space="preserve"> be pursued together;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recognises the importance of effective external border management for preventing irregular migration; considers that fundamental rights safeguards and the operational effectiveness of border management are not mutually exclusive and should be pursued together;</w:t>
            </w:r>
          </w:p>
        </w:tc>
        <w:tc>
          <w:tcPr>
            <w:tcW w:w="4876" w:type="dxa"/>
            <w:tcBorders>
              <w:top w:val="nil"/>
              <w:left w:val="nil"/>
              <w:bottom w:val="nil"/>
              <w:right w:val="nil"/>
            </w:tcBorders>
          </w:tcPr>
          <w:p>
            <w:pPr>
              <w:pStyle w:val="Normal6a"/>
            </w:pPr>
            <w:r>
              <w:t>15.</w:t>
            </w:r>
            <w:r>
              <w:tab/>
            </w:r>
            <w:r>
              <w:t xml:space="preserve">Appreciates the Ombudsman’s continuous commitment to upholding fundamental rights in the work of the EU institutions, as demonstrated by the own-initiative inquiry into how the Commission ensures compliance with fundamental rights in the context of EU funds granted to Greece for border management; urges the Commission to implement the Ombudsman’s suggestions for improving transparency in the monitoring of compliance with fundamental rights; recognises the importance of effective external border management for preventing irregular migration; considers that fundamental rights safeguards and the operational effectiveness of border management are not mutually exclusive and should be pursued together; </w:t>
            </w:r>
            <w:r>
              <w:rPr>
                <w:b/>
                <w:i/>
              </w:rPr>
              <w:t>stresses that any follow-up to the Ombudsman's suggestions must respect the Treaties, the competences of the Member States and the operational requirements of effective external border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on the Ombudsman to pay particular attention to the respect for the rights of persons belonging to traditional national and linguistic minorities in the activities of the Union institutions, bodies, offices and agencies, including their linguistic rights and their equal access to the EU 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Highlights the fact that, in an own-initiative inquiry into how the Commission intends to guarantee respect for human rights in the context of the EU-Tunisia Memorandum of Understanding,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underlines that migration partnerships with non-EU countries </w:t>
            </w:r>
            <w:r>
              <w:rPr>
                <w:b/>
                <w:i/>
              </w:rPr>
              <w:t>remain an essential tool for reducing irregular migration and dismantling smuggling networks</w:t>
            </w:r>
            <w:r>
              <w:t xml:space="preserve"> and that human rights safeguards should be built into these partnerships from the outset rather than added after the fact;</w:t>
            </w:r>
          </w:p>
        </w:tc>
        <w:tc>
          <w:tcPr>
            <w:tcW w:w="4876" w:type="dxa"/>
            <w:tcBorders>
              <w:top w:val="nil"/>
              <w:left w:val="nil"/>
              <w:bottom w:val="nil"/>
              <w:right w:val="nil"/>
            </w:tcBorders>
          </w:tcPr>
          <w:p>
            <w:pPr>
              <w:pStyle w:val="Normal6a"/>
            </w:pPr>
            <w:r>
              <w:t>16.</w:t>
            </w:r>
            <w:r>
              <w:tab/>
            </w:r>
            <w:r>
              <w:t xml:space="preserve">Highlights the fact that, in an own-initiative inquiry into how the Commission intends to guarantee respect for human rights in the context of the EU-Tunisia Memorandum of Understanding,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w:t>
            </w:r>
            <w:r>
              <w:rPr>
                <w:b/>
                <w:i/>
              </w:rPr>
              <w:t>calls for accessible, independent and effective complaints mechanisms, protection against reprisals, full transparency of funding and implementation arrangements, and regular reporting to Parliament; stresses that cooperation must be suspended where serious or systematic violations cannot be prevented, investigated and remedied;</w:t>
            </w:r>
            <w:r>
              <w:t xml:space="preserve"> underlines that migration partnerships with non-EU countries </w:t>
            </w:r>
            <w:r>
              <w:rPr>
                <w:b/>
                <w:i/>
              </w:rPr>
              <w:t>must comply with the international human-rights law</w:t>
            </w:r>
            <w:r>
              <w:t xml:space="preserve"> and that human rights safeguards should be built into these partnerships from the outset rather than added after the fact;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Highlights the </w:t>
            </w:r>
            <w:r>
              <w:rPr>
                <w:b/>
                <w:i/>
              </w:rPr>
              <w:t>fact that, in an own-initiative</w:t>
            </w:r>
            <w:r>
              <w:t xml:space="preserve"> inquiry into </w:t>
            </w:r>
            <w:r>
              <w:rPr>
                <w:b/>
                <w:i/>
              </w:rPr>
              <w:t>how the Commission intends to guarantee respect for human rights in the context of</w:t>
            </w:r>
            <w:r>
              <w:t xml:space="preserve"> the EU-Tunisia Memorandum of Understanding, </w:t>
            </w:r>
            <w:r>
              <w:rPr>
                <w:b/>
                <w:i/>
              </w:rPr>
              <w:t>the Ombudsman suggested setting up</w:t>
            </w:r>
            <w:r>
              <w:t xml:space="preserve">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underlines that migration partnerships with non-EU countries remain an essential tool for reducing irregular migration and dismantling smuggling networks </w:t>
            </w:r>
            <w:r>
              <w:rPr>
                <w:b/>
                <w:i/>
              </w:rPr>
              <w:t>and</w:t>
            </w:r>
            <w:r>
              <w:t xml:space="preserve"> that human rights safeguards </w:t>
            </w:r>
            <w:r>
              <w:rPr>
                <w:b/>
                <w:i/>
              </w:rPr>
              <w:t>should be built into</w:t>
            </w:r>
            <w:r>
              <w:t xml:space="preserve"> these partnerships </w:t>
            </w:r>
            <w:r>
              <w:rPr>
                <w:b/>
                <w:i/>
              </w:rPr>
              <w:t>from the outset rather than added after the fact</w:t>
            </w:r>
            <w:r>
              <w:t>;</w:t>
            </w:r>
          </w:p>
        </w:tc>
        <w:tc>
          <w:tcPr>
            <w:tcW w:w="4876" w:type="dxa"/>
            <w:tcBorders>
              <w:top w:val="nil"/>
              <w:left w:val="nil"/>
              <w:bottom w:val="nil"/>
              <w:right w:val="nil"/>
            </w:tcBorders>
          </w:tcPr>
          <w:p>
            <w:pPr>
              <w:pStyle w:val="Normal6a"/>
            </w:pPr>
            <w:r>
              <w:t>16.</w:t>
            </w:r>
            <w:r>
              <w:tab/>
            </w:r>
            <w:r>
              <w:rPr>
                <w:b/>
                <w:i/>
              </w:rPr>
              <w:t>Expresses deep concern over the human rights situation in Tunisia and</w:t>
            </w:r>
            <w:r>
              <w:t xml:space="preserve"> highlights the </w:t>
            </w:r>
            <w:r>
              <w:rPr>
                <w:b/>
                <w:i/>
              </w:rPr>
              <w:t>Ombudsman's</w:t>
            </w:r>
            <w:r>
              <w:t xml:space="preserve"> inquiry into the EU-Tunisia Memorandum of Understanding, </w:t>
            </w:r>
            <w:r>
              <w:rPr>
                <w:b/>
                <w:i/>
              </w:rPr>
              <w:t>which revealed critical gaps in fundamental rights safeguards; welcomes the Ombudsman’s recommendation to establish independent</w:t>
            </w:r>
            <w:r>
              <w:t xml:space="preserve"> mechanisms for receiving allegations of violations of human rights from individuals</w:t>
            </w:r>
            <w:r>
              <w:rPr>
                <w:b/>
                <w:i/>
              </w:rPr>
              <w:t>; stresses that EU external funding and partnerships must never contribute directly or indirectly to human rights abuses</w:t>
            </w:r>
            <w:r>
              <w:t>; notes that in response to the inquiry, the Commission has committed to encouraging relevant EU delegations, implementing partners and partner countries to take all necessary steps to ensure that fundamental rights are upheld; underlines that migration partnerships with non-EU countries remain an essential tool for reducing irregular migration and dismantling smuggling networks</w:t>
            </w:r>
            <w:r>
              <w:rPr>
                <w:b/>
                <w:i/>
              </w:rPr>
              <w:t>, but highlights</w:t>
            </w:r>
            <w:r>
              <w:t xml:space="preserve"> that human rights safeguards </w:t>
            </w:r>
            <w:r>
              <w:rPr>
                <w:b/>
                <w:i/>
              </w:rPr>
              <w:t>must be mandatory prerequisites for any of</w:t>
            </w:r>
            <w:r>
              <w:t xml:space="preserve"> these partnerships </w:t>
            </w:r>
            <w:r>
              <w:rPr>
                <w:b/>
                <w:i/>
              </w:rPr>
              <w:t>with non-EU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Highlights the fact that, in an own-initiative inquiry into how the Commission intends to guarantee respect for human rights in the context of the EU-Tunisia Memorandum of Understanding,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underlines that </w:t>
            </w:r>
            <w:r>
              <w:rPr>
                <w:b/>
                <w:i/>
              </w:rPr>
              <w:t>migration partnerships with non-EU countries remain an essential tool for reducing irregular migration and dismantling smuggling networks and that</w:t>
            </w:r>
            <w:r>
              <w:t xml:space="preserve"> human rights </w:t>
            </w:r>
            <w:r>
              <w:rPr>
                <w:b/>
                <w:i/>
              </w:rPr>
              <w:t>safeguards should be built into these partnerships from the outset rather than added after the fact</w:t>
            </w:r>
            <w:r>
              <w:t>;</w:t>
            </w:r>
          </w:p>
        </w:tc>
        <w:tc>
          <w:tcPr>
            <w:tcW w:w="4876" w:type="dxa"/>
            <w:tcBorders>
              <w:top w:val="nil"/>
              <w:left w:val="nil"/>
              <w:bottom w:val="nil"/>
              <w:right w:val="nil"/>
            </w:tcBorders>
          </w:tcPr>
          <w:p>
            <w:pPr>
              <w:pStyle w:val="Normal6a"/>
            </w:pPr>
            <w:r>
              <w:t>16.</w:t>
            </w:r>
            <w:r>
              <w:tab/>
            </w:r>
            <w:r>
              <w:t xml:space="preserve">Highlights the fact that, in an own-initiative inquiry into how the Commission intends to guarantee respect for human rights in the context of the EU-Tunisia Memorandum of Understanding </w:t>
            </w:r>
            <w:r>
              <w:rPr>
                <w:b/>
                <w:i/>
              </w:rPr>
              <w:t>(MoU)</w:t>
            </w:r>
            <w:r>
              <w:t xml:space="preserve">,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w:t>
            </w:r>
            <w:r>
              <w:rPr>
                <w:b/>
                <w:i/>
              </w:rPr>
              <w:t>regrets that the Commission failed to make public the document setting out how to assess the human rights impact of projects under the MoU;</w:t>
            </w:r>
            <w:r>
              <w:t xml:space="preserve"> underlines that </w:t>
            </w:r>
            <w:r>
              <w:rPr>
                <w:b/>
                <w:i/>
              </w:rPr>
              <w:t>the Commission must implement all of the Ombudsman’s suggestions for improvement in a timely manner, applying the most effective measures and upholding the highest standards of</w:t>
            </w:r>
            <w:r>
              <w:t xml:space="preserve"> human rights </w:t>
            </w:r>
            <w:r>
              <w:rPr>
                <w:b/>
                <w:i/>
              </w:rPr>
              <w:t>protection in all migration-related issues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Highlights the fact that, in</w:t>
            </w:r>
            <w:r>
              <w:t xml:space="preserve"> an own-initiative inquiry into how the Commission intends to guarantee respect for human rights in the context of the EU-Tunisia Memorandum of Understanding</w:t>
            </w:r>
            <w:r>
              <w:rPr>
                <w:b/>
                <w:i/>
              </w:rPr>
              <w:t>, the Ombudsman suggested setting up mechanisms for receiving allegations of violations of human rights from individuals; notes</w:t>
            </w:r>
            <w:r>
              <w:t xml:space="preserve"> that in response to the inquiry, the Commission has committed to encouraging relevant EU delegations, implementing partners and partner countries to take all necessary steps to ensure that fundamental rights are upheld; underlines that migration partnerships with non-EU countries remain an essential tool for reducing irregular migration and dismantling smuggling networks and that human rights safeguards should be built into these partnerships from the outset </w:t>
            </w:r>
            <w:r>
              <w:rPr>
                <w:b/>
                <w:i/>
              </w:rPr>
              <w:t>rather than added after the fact</w:t>
            </w:r>
            <w:r>
              <w:t>;</w:t>
            </w:r>
          </w:p>
        </w:tc>
        <w:tc>
          <w:tcPr>
            <w:tcW w:w="4876" w:type="dxa"/>
            <w:tcBorders>
              <w:top w:val="nil"/>
              <w:left w:val="nil"/>
              <w:bottom w:val="nil"/>
              <w:right w:val="nil"/>
            </w:tcBorders>
          </w:tcPr>
          <w:p>
            <w:pPr>
              <w:pStyle w:val="Normal6a"/>
            </w:pPr>
            <w:r>
              <w:t>16.</w:t>
            </w:r>
            <w:r>
              <w:tab/>
            </w:r>
            <w:r>
              <w:rPr>
                <w:b/>
                <w:i/>
              </w:rPr>
              <w:t>Notes the Ombudsman's recommendations following the</w:t>
            </w:r>
            <w:r>
              <w:t xml:space="preserve"> an own-initiative inquiry into how the Commission intends to guarantee respect for human rights in the context of the EU-Tunisia Memorandum of Understanding</w:t>
            </w:r>
            <w:r>
              <w:rPr>
                <w:b/>
                <w:i/>
              </w:rPr>
              <w:t>; welcomes</w:t>
            </w:r>
            <w:r>
              <w:t xml:space="preserve"> that in response to the inquiry, the Commission has committed to encouraging relevant EU delegations, implementing partners and partner countries to take all necessary steps to ensure that fundamental rights are upheld; </w:t>
            </w:r>
            <w:r>
              <w:rPr>
                <w:b/>
                <w:i/>
              </w:rPr>
              <w:t>pointing out that the EU-Tunisia Agreement has already delivered tangible results in cutting irregular arrivals,</w:t>
            </w:r>
            <w:r>
              <w:t xml:space="preserve"> underlines that migration partnerships with non-EU countries remain an essential tool for reducing irregular migration and dismantling smuggling networks and that human rights safeguards should be built into these partnerships from the outset;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Highlights the fact that, in an own-initiative inquiry into how the Commission intends to guarantee respect for human rights in the context of the EU-Tunisia Memorandum of Understanding,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underlines that migration partnerships with non-EU countries remain an essential tool for reducing irregular migration and dismantling smuggling networks and that human rights safeguards should be built into these partnerships from the outset rather than added after the fact;</w:t>
            </w:r>
          </w:p>
        </w:tc>
        <w:tc>
          <w:tcPr>
            <w:tcW w:w="4876" w:type="dxa"/>
            <w:tcBorders>
              <w:top w:val="nil"/>
              <w:left w:val="nil"/>
              <w:bottom w:val="nil"/>
              <w:right w:val="nil"/>
            </w:tcBorders>
          </w:tcPr>
          <w:p>
            <w:pPr>
              <w:pStyle w:val="Normal6a"/>
            </w:pPr>
            <w:r>
              <w:t>16.</w:t>
            </w:r>
            <w:r>
              <w:tab/>
            </w:r>
            <w:r>
              <w:t xml:space="preserve">Highlights the fact that, in an own-initiative inquiry into how the Commission intends to guarantee respect for human rights in the context of the EU-Tunisia Memorandum of Understanding, the Ombudsman suggested setting up mechanisms for receiving allegations of violations of human rights from individuals; notes that in response to the inquiry, the Commission has committed to encouraging relevant EU delegations, implementing partners and partner countries to take all necessary steps to ensure that fundamental rights are upheld; underlines that migration partnerships with non-EU countries remain an essential tool for reducing irregular migration and dismantling smuggling networks and that human rights safeguards should be built into these partnerships from the outset rather than added after the fact; </w:t>
            </w:r>
            <w:r>
              <w:rPr>
                <w:b/>
                <w:i/>
              </w:rPr>
              <w:t>stresses that any mechanism for receiving allegations must operate within a clear legal framework, avoid duplicating existing national remedies and respect the sovereignty and primary responsibility of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The European Parliament stresses that the EU legal framework underpinning the judgment in Case C-123/22 has fundamentally changed with the application of the Pact on Migration and Asylum as of 12 June 2026, and that the continued enforcement of the daily penalty of EUR 1 million imposed under the previous legal framework should therefore be reconsidered both from a legal and proportionality perspective; where the new EU rules establish a substantially different legal framework for the asylum, border management and return matters addressed by the judgment, the imposition of a daily penalty intended to compel compliance with the former legal framework no longer serves its original purpose or justification, and the European Parliament therefore calls on the Commission to review and suspend the accrual of the daily penalty;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Notes that Frontex was the subject of 18 inquiries in 2025 (3.7 % of the total);</w:t>
            </w:r>
            <w:r>
              <w:t xml:space="preserve"> </w:t>
            </w:r>
            <w:r>
              <w:rPr>
                <w:b/>
                <w:i/>
              </w:rPr>
              <w:t>underlines that Frontex must continue to protect the EU’s external borders and combat irregular migration and migrant smuggling networks effectively, while operating in full compliance with its obligations to uphold fundamental rights;</w:t>
            </w:r>
            <w:r>
              <w:t xml:space="preserve"> </w:t>
            </w:r>
            <w:r>
              <w:rPr>
                <w:b/>
                <w:i/>
              </w:rPr>
              <w:t>calls on the Ombudsman to continue monitoring Frontex’s activities in this regard, ensuring that both operational effectiveness and compliance with fundamental rights are upheld;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that Frontex must </w:t>
            </w:r>
            <w:r>
              <w:rPr>
                <w:b/>
                <w:i/>
              </w:rPr>
              <w:t>continue to protect the EU’s external borders and combat irregular migration and migrant smuggling networks effectively, while operating in full compliance with its obligations to uphold</w:t>
            </w:r>
            <w:r>
              <w:t xml:space="preserve"> fundamental rights; calls on the Ombudsman to continue monitoring Frontex’s activities in this regard</w:t>
            </w:r>
            <w:r>
              <w:rPr>
                <w:b/>
                <w:i/>
              </w:rPr>
              <w:t>, ensuring that both operational effectiveness and compliance</w:t>
            </w:r>
            <w:r>
              <w:t xml:space="preserve"> with fundamental rights </w:t>
            </w:r>
            <w:r>
              <w:rPr>
                <w:b/>
                <w:i/>
              </w:rPr>
              <w:t>are upheld</w:t>
            </w:r>
            <w:r>
              <w:t>;</w:t>
            </w:r>
          </w:p>
        </w:tc>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that Frontex must </w:t>
            </w:r>
            <w:r>
              <w:rPr>
                <w:b/>
                <w:i/>
              </w:rPr>
              <w:t>fully comply with</w:t>
            </w:r>
            <w:r>
              <w:t xml:space="preserve"> fundamental rights </w:t>
            </w:r>
            <w:r>
              <w:rPr>
                <w:b/>
                <w:i/>
              </w:rPr>
              <w:t>in all of its activities, including in its direct or indirect engagement in search and rescue operations, and fully and consistently comply with relevant international human rights law; highlights that under the applicable EU and international legal framework Member States are obliged to render assistance to any vessel or person in distress at sea, regardless of the nationality or status of the person or the circumstances in which that person is found</w:t>
            </w:r>
            <w:r>
              <w:t xml:space="preserve">; calls on the Ombudsman to continue monitoring Frontex’s activities in this regard </w:t>
            </w:r>
            <w:r>
              <w:rPr>
                <w:b/>
                <w:i/>
              </w:rPr>
              <w:t>in order to help ensure they are fully compliant</w:t>
            </w:r>
            <w:r>
              <w:t xml:space="preserve"> with fundamental rights</w:t>
            </w:r>
            <w:r>
              <w:rPr>
                <w:b/>
                <w:i/>
              </w:rPr>
              <w:t>' obligations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Notes</w:t>
            </w:r>
            <w:r>
              <w:t xml:space="preserve"> that Frontex was the subject of 18 inquiries in 2025 </w:t>
            </w:r>
            <w:r>
              <w:rPr>
                <w:b/>
                <w:i/>
              </w:rPr>
              <w:t>(3.7 % of the total)</w:t>
            </w:r>
            <w:r>
              <w:t xml:space="preserve">; underlines that </w:t>
            </w:r>
            <w:r>
              <w:rPr>
                <w:b/>
                <w:i/>
              </w:rPr>
              <w:t>Frontex must continue to protect</w:t>
            </w:r>
            <w:r>
              <w:t xml:space="preserve"> the EU’s external borders </w:t>
            </w:r>
            <w:r>
              <w:rPr>
                <w:b/>
                <w:i/>
              </w:rPr>
              <w:t>and combat irregular migration and migrant smuggling networks effectively</w:t>
            </w:r>
            <w:r>
              <w:t xml:space="preserve">, </w:t>
            </w:r>
            <w:r>
              <w:rPr>
                <w:b/>
                <w:i/>
              </w:rPr>
              <w:t>while operating in full compliance with its obligations to uphold</w:t>
            </w:r>
            <w:r>
              <w:t xml:space="preserve"> fundamental rights; calls on the Ombudsman to continue monitoring Frontex’s activities in this regard, ensuring that both operational effectiveness and compliance with fundamental rights are upheld;</w:t>
            </w:r>
          </w:p>
        </w:tc>
        <w:tc>
          <w:tcPr>
            <w:tcW w:w="4876" w:type="dxa"/>
            <w:tcBorders>
              <w:top w:val="nil"/>
              <w:left w:val="nil"/>
              <w:bottom w:val="nil"/>
              <w:right w:val="nil"/>
            </w:tcBorders>
          </w:tcPr>
          <w:p>
            <w:pPr>
              <w:pStyle w:val="Normal6a"/>
            </w:pPr>
            <w:r>
              <w:t>17.</w:t>
            </w:r>
            <w:r>
              <w:tab/>
            </w:r>
            <w:r>
              <w:rPr>
                <w:b/>
                <w:i/>
              </w:rPr>
              <w:t>Expresses deep concern</w:t>
            </w:r>
            <w:r>
              <w:t xml:space="preserve"> that Frontex was the subject of 18 inquiries in 2025</w:t>
            </w:r>
            <w:r>
              <w:rPr>
                <w:b/>
                <w:i/>
              </w:rPr>
              <w:t>; stresses that any activities carried out by Frontex must strictly comply with international law, the EU Charter of Fundamental Rights, and the principle of non-refoulement</w:t>
            </w:r>
            <w:r>
              <w:t xml:space="preserve">; underlines that </w:t>
            </w:r>
            <w:r>
              <w:rPr>
                <w:b/>
                <w:i/>
              </w:rPr>
              <w:t>effective management of</w:t>
            </w:r>
            <w:r>
              <w:t xml:space="preserve"> the EU’s external borders </w:t>
            </w:r>
            <w:r>
              <w:rPr>
                <w:b/>
                <w:i/>
              </w:rPr>
              <w:t>must always prioritize human dignity</w:t>
            </w:r>
            <w:r>
              <w:t>, fundamental rights</w:t>
            </w:r>
            <w:r>
              <w:rPr>
                <w:b/>
                <w:i/>
              </w:rPr>
              <w:t>, and the protection of asylum seekers</w:t>
            </w:r>
            <w:r>
              <w:t>; calls on the Ombudsman to continue monitoring Frontex’s activities in this regard, ensuring that both operational effectiveness and compliance with fundamental rights are upheld;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that Frontex must </w:t>
            </w:r>
            <w:r>
              <w:rPr>
                <w:b/>
                <w:i/>
              </w:rPr>
              <w:t>continue to protect the EU’s external borders and combat irregular migration and migrant smuggling networks effectively, while operating</w:t>
            </w:r>
            <w:r>
              <w:t xml:space="preserve"> in full compliance with its obligations to uphold fundamental rights; calls on the Ombudsman to continue monitoring Frontex’s activities in this regard, ensuring that </w:t>
            </w:r>
            <w:r>
              <w:rPr>
                <w:b/>
                <w:i/>
              </w:rPr>
              <w:t>both operational effectiveness and</w:t>
            </w:r>
            <w:r>
              <w:t xml:space="preserve"> compliance with fundamental rights are upheld;</w:t>
            </w:r>
          </w:p>
        </w:tc>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that Frontex must </w:t>
            </w:r>
            <w:r>
              <w:rPr>
                <w:b/>
                <w:i/>
              </w:rPr>
              <w:t>operate</w:t>
            </w:r>
            <w:r>
              <w:t xml:space="preserve"> in full compliance with its obligations to uphold fundamental rights</w:t>
            </w:r>
            <w:r>
              <w:rPr>
                <w:b/>
                <w:i/>
              </w:rPr>
              <w:t>; calls for transparent reporting on incidents, access to an independent complaints mechanism, effective investigations and accountability for any involvement in pushbacks or other violations</w:t>
            </w:r>
            <w:r>
              <w:t>; calls on the Ombudsman to continue monitoring Frontex’s activities in this regard, ensuring that compliance with fundamental rights are upheld;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that Frontex must continue to protect the EU’s external borders and combat irregular migration and migrant smuggling networks effectively, while operating in full compliance with its obligations to uphold fundamental rights; </w:t>
            </w:r>
            <w:r>
              <w:rPr>
                <w:b/>
                <w:i/>
              </w:rPr>
              <w:t>calls on the Ombudsman to continue monitoring Frontex’s activities in this regard, ensuring that both operational effectiveness and compliance with fundamental rights are upheld;</w:t>
            </w:r>
          </w:p>
        </w:tc>
        <w:tc>
          <w:tcPr>
            <w:tcW w:w="4876" w:type="dxa"/>
            <w:tcBorders>
              <w:top w:val="nil"/>
              <w:left w:val="nil"/>
              <w:bottom w:val="nil"/>
              <w:right w:val="nil"/>
            </w:tcBorders>
          </w:tcPr>
          <w:p>
            <w:pPr>
              <w:pStyle w:val="Normal6a"/>
            </w:pPr>
            <w:r>
              <w:t>17.</w:t>
            </w:r>
            <w:r>
              <w:tab/>
            </w:r>
            <w:r>
              <w:t>Notes that Frontex was the subject of 18 inquiries in 2025 (3.7 % of the total); underlines that Frontex must continue to protect the EU’s external borders and combat irregular migration and migrant smuggling networks effectively, while operating in full compliance with its obligations to uphold fundamental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w:t>
            </w:r>
            <w:r>
              <w:rPr>
                <w:b/>
                <w:i/>
              </w:rPr>
              <w:t>that</w:t>
            </w:r>
            <w:r>
              <w:t xml:space="preserve"> Frontex </w:t>
            </w:r>
            <w:r>
              <w:rPr>
                <w:b/>
                <w:i/>
              </w:rPr>
              <w:t>must continue</w:t>
            </w:r>
            <w:r>
              <w:t xml:space="preserve"> to protect the EU’s external borders and combat irregular migration and migrant smuggling networks effectively, while operating in full compliance with its obligations to uphold fundamental rights; calls on the Ombudsman to continue monitoring Frontex’s activities in this regard, ensuring that both operational effectiveness and compliance with fundamental rights are upheld;</w:t>
            </w:r>
          </w:p>
        </w:tc>
        <w:tc>
          <w:tcPr>
            <w:tcW w:w="4876" w:type="dxa"/>
            <w:tcBorders>
              <w:top w:val="nil"/>
              <w:left w:val="nil"/>
              <w:bottom w:val="nil"/>
              <w:right w:val="nil"/>
            </w:tcBorders>
          </w:tcPr>
          <w:p>
            <w:pPr>
              <w:pStyle w:val="Normal6a"/>
            </w:pPr>
            <w:r>
              <w:t>17.</w:t>
            </w:r>
            <w:r>
              <w:tab/>
            </w:r>
            <w:r>
              <w:t xml:space="preserve">Notes that Frontex was the subject of 18 inquiries in 2025 (3.7 % of the total); underlines </w:t>
            </w:r>
            <w:r>
              <w:rPr>
                <w:b/>
                <w:i/>
              </w:rPr>
              <w:t>the need to strengthen the role of</w:t>
            </w:r>
            <w:r>
              <w:t xml:space="preserve"> Frontex to protect the EU’s external borders and combat irregular migration and migrant smuggling networks effectively, while operating in full compliance with its obligations to uphold fundamental rights; calls on the Ombudsman to continue monitoring Frontex’s activities in this regard, ensuring that both operational effectiveness and compliance with fundamental rights are upheld;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deeply concerned that the Ombudsman found that there was a three-year period during which no action appeared to have been taken by the Commission in the infringement procedure </w:t>
            </w:r>
            <w:r>
              <w:rPr>
                <w:b/>
                <w:i/>
              </w:rPr>
              <w:t>against Spain regarding its compliance with EU environmental noise rules</w:t>
            </w:r>
            <w:r>
              <w:t xml:space="preserve"> and concluded that this constitutes maladministration; calls on the Commission to reduce delays in the handling of infringement complaints </w:t>
            </w:r>
            <w:r>
              <w:rPr>
                <w:b/>
                <w:i/>
              </w:rPr>
              <w:t>and</w:t>
            </w:r>
            <w:r>
              <w:t xml:space="preserve"> to improve communication with the public </w:t>
            </w:r>
            <w:r>
              <w:rPr>
                <w:b/>
                <w:i/>
              </w:rPr>
              <w:t>regarding</w:t>
            </w:r>
            <w:r>
              <w:t xml:space="preserve"> infringement procedures;</w:t>
            </w:r>
          </w:p>
        </w:tc>
        <w:tc>
          <w:tcPr>
            <w:tcW w:w="4876" w:type="dxa"/>
            <w:tcBorders>
              <w:top w:val="nil"/>
              <w:left w:val="nil"/>
              <w:bottom w:val="nil"/>
              <w:right w:val="nil"/>
            </w:tcBorders>
          </w:tcPr>
          <w:p>
            <w:pPr>
              <w:pStyle w:val="Normal6a"/>
            </w:pPr>
            <w:r>
              <w:t>18.</w:t>
            </w:r>
            <w:r>
              <w:tab/>
            </w:r>
            <w:r>
              <w:t xml:space="preserve">Stresses that infringement </w:t>
            </w:r>
            <w:r>
              <w:rPr>
                <w:b/>
                <w:i/>
              </w:rPr>
              <w:t>and EU pilot</w:t>
            </w:r>
            <w:r>
              <w:t xml:space="preserve"> procedures constitute a matter of significant public importance as the effective enforcement of EU law by the Commission ensures that commonly agreed rules are respected in all Member States; recalls that </w:t>
            </w:r>
            <w:r>
              <w:rPr>
                <w:b/>
                <w:i/>
              </w:rPr>
              <w:t>EU pilot and</w:t>
            </w:r>
            <w:r>
              <w:t xml:space="preserve"> infringement procedures should be conducted in a timely, transparent and legally predictable manner, ensuring equal treatment of all Member States</w:t>
            </w:r>
            <w:r>
              <w:rPr>
                <w:b/>
                <w:i/>
              </w:rPr>
              <w:t>; underlines that the Ombudsman launched an inquiry on the time taken by the Commission to conclude an infringement procedure on lack of compliance with EU environmental noise rules, following a complaint submitted by a group of residents of Valencian municipalities in Spain that opposes the extension of two airports in the region, which would lead to increased levels of environmental and noise pollution</w:t>
            </w:r>
            <w:r>
              <w:t>; is deeply concerned that the Ombudsman found that there was a three-year period during which no action appeared to have been taken by the Commission in the infringement procedure and concluded that this constitutes maladministration; calls on the Commission to reduce delays in the handling of infringement complaints</w:t>
            </w:r>
            <w:r>
              <w:rPr>
                <w:b/>
                <w:i/>
              </w:rPr>
              <w:t>,</w:t>
            </w:r>
            <w:r>
              <w:t xml:space="preserve"> to improve </w:t>
            </w:r>
            <w:r>
              <w:rPr>
                <w:b/>
                <w:i/>
              </w:rPr>
              <w:t>its</w:t>
            </w:r>
            <w:r>
              <w:t xml:space="preserve"> communication with the public </w:t>
            </w:r>
            <w:r>
              <w:rPr>
                <w:b/>
                <w:i/>
              </w:rPr>
              <w:t>and guarantee full public access to documents and detailed information on the exchanges between the EU Commission’s services and Member States’ authorities in the framework of both</w:t>
            </w:r>
            <w:r>
              <w:t xml:space="preserve"> infringement </w:t>
            </w:r>
            <w:r>
              <w:rPr>
                <w:b/>
                <w:i/>
              </w:rPr>
              <w:t>and EU Pilot</w:t>
            </w:r>
            <w:r>
              <w:t xml:space="preserve"> 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w:t>
            </w:r>
            <w:r>
              <w:rPr>
                <w:b/>
                <w:i/>
              </w:rPr>
              <w:t>is deeply concerned that the Ombudsman found that there was a three-year period during which no action appeared to have been taken by the Commission in the infringement procedure against Spain regarding its compliance with EU environmental noise rules and concluded that this constitutes maladministration; calls on the Commission to reduce delays in the handling of infringement complaints and to improve</w:t>
            </w:r>
            <w:r>
              <w:t xml:space="preserve"> communication </w:t>
            </w:r>
            <w:r>
              <w:rPr>
                <w:b/>
                <w:i/>
              </w:rPr>
              <w:t>with the public regarding</w:t>
            </w:r>
            <w:r>
              <w:t xml:space="preserve"> infringement procedures;</w:t>
            </w:r>
          </w:p>
        </w:tc>
        <w:tc>
          <w:tcPr>
            <w:tcW w:w="4876" w:type="dxa"/>
            <w:tcBorders>
              <w:top w:val="nil"/>
              <w:left w:val="nil"/>
              <w:bottom w:val="nil"/>
              <w:right w:val="nil"/>
            </w:tcBorders>
          </w:tcPr>
          <w:p>
            <w:pPr>
              <w:pStyle w:val="Normal6a"/>
            </w:pPr>
            <w:r>
              <w:t>18.</w:t>
            </w:r>
            <w:r>
              <w:tab/>
            </w:r>
            <w:r>
              <w:rPr>
                <w:b/>
                <w:i/>
              </w:rPr>
              <w:t>Commends the work of the Ombudsman on infringement procedures; Recalls that effective, consistent and timely enforcement of EU law is essential to safeguarding the rule of law and ensuring legal certainty;</w:t>
            </w:r>
            <w:r>
              <w:t xml:space="preserve"> 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w:t>
            </w:r>
            <w:r>
              <w:rPr>
                <w:b/>
                <w:i/>
              </w:rPr>
              <w:t>welcomes the Commission’s planned measures outlined in its</w:t>
            </w:r>
            <w:r>
              <w:t xml:space="preserve"> Communication </w:t>
            </w:r>
            <w:r>
              <w:rPr>
                <w:b/>
                <w:i/>
              </w:rPr>
              <w:t>A Simpler, Clearer and Better Enforced EU Rulebook to accelerate</w:t>
            </w:r>
            <w:r>
              <w:t xml:space="preserve"> infringement procedures </w:t>
            </w:r>
            <w:r>
              <w:rPr>
                <w:b/>
                <w:i/>
              </w:rPr>
              <w:t>in cases of late or incomplete transposition of directives and reduce the number of long-standing infringement cases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w:t>
            </w:r>
            <w:r>
              <w:rPr>
                <w:b/>
                <w:i/>
              </w:rPr>
              <w:t>deeply</w:t>
            </w:r>
            <w:r>
              <w:t xml:space="preserve"> concerned </w:t>
            </w:r>
            <w:r>
              <w:rPr>
                <w:b/>
                <w:i/>
              </w:rPr>
              <w:t>that the Ombudsman found that</w:t>
            </w:r>
            <w:r>
              <w:t xml:space="preserve"> there was a three-year period during which no action appeared to have been taken by the Commission </w:t>
            </w:r>
            <w:r>
              <w:rPr>
                <w:b/>
                <w:i/>
              </w:rPr>
              <w:t>in the infringement procedure against Spain regarding its compliance with EU environmental noise rules and concluded that this</w:t>
            </w:r>
            <w:r>
              <w:t xml:space="preserve"> constitutes maladministration; calls on the Commission to </w:t>
            </w:r>
            <w:r>
              <w:rPr>
                <w:b/>
                <w:i/>
              </w:rPr>
              <w:t>reduce delays in the</w:t>
            </w:r>
            <w:r>
              <w:t xml:space="preserve"> handling of infringement complaints and to improve communication with the public </w:t>
            </w:r>
            <w:r>
              <w:rPr>
                <w:b/>
                <w:i/>
              </w:rPr>
              <w:t>regarding infringement procedures</w:t>
            </w:r>
            <w:r>
              <w:t>;</w:t>
            </w:r>
          </w:p>
        </w:tc>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concerned </w:t>
            </w:r>
            <w:r>
              <w:rPr>
                <w:b/>
                <w:i/>
              </w:rPr>
              <w:t>about Ombudsman's finding that, in the context of an infringement procedure concerning the application of EU environmental noise rules,</w:t>
            </w:r>
            <w:r>
              <w:t xml:space="preserve"> there was a three-year period during which no action appeared to have been taken by the Commission</w:t>
            </w:r>
            <w:r>
              <w:rPr>
                <w:b/>
                <w:i/>
              </w:rPr>
              <w:t>, which the Ombudsman considered to</w:t>
            </w:r>
            <w:r>
              <w:t xml:space="preserve"> constitutes maladministration; calls on the Commission to </w:t>
            </w:r>
            <w:r>
              <w:rPr>
                <w:b/>
                <w:i/>
              </w:rPr>
              <w:t>ensure timely</w:t>
            </w:r>
            <w:r>
              <w:t xml:space="preserve"> handling of infringement complaints and to improve communication with the public </w:t>
            </w:r>
            <w:r>
              <w:rPr>
                <w:b/>
                <w:i/>
              </w:rPr>
              <w:t>in this regard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deeply concerned that the Ombudsman found that there was a three-year period during which no action appeared to have been taken by the Commission in the infringement procedure against Spain regarding its compliance with EU environmental noise rules and concluded that this constitutes maladministration; calls on the Commission to reduce delays in the handling of infringement complaints and to improve communication with the public regarding infringement procedures;</w:t>
            </w:r>
          </w:p>
        </w:tc>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deeply concerned that the Ombudsman found that there was a three-year period during which no action appeared to have been taken by the Commission in the infringement procedure against Spain regarding its compliance with EU environmental noise rules and concluded that this constitutes maladministration; calls on the Commission to reduce delays in the handling of infringement complaints and to improve communication with the public regarding infringement procedures; </w:t>
            </w:r>
            <w:r>
              <w:rPr>
                <w:b/>
                <w:i/>
              </w:rPr>
              <w:t>calls on the Commission to provide complainants with regular, case-specific updates and reasoned explanations for prolonged delays or decisions to close their complaints; further calls on the Commission to provide the Committee on Petitions with timely and substantive replies concerning related petitions; stresses that administrative discretion must be exercised consistently, impartially and on the basis of objective legal criteria;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deeply concerned that the Ombudsman found that there was a three-year period during which no action appeared to have been taken by the Commission in the infringement procedure against Spain regarding its compliance with EU environmental noise rules and concluded that this constitutes maladministration; calls on the Commission to reduce delays in the handling of infringement complaints and to improve communication with the public regarding infringement procedures;</w:t>
            </w:r>
          </w:p>
        </w:tc>
        <w:tc>
          <w:tcPr>
            <w:tcW w:w="4876" w:type="dxa"/>
            <w:tcBorders>
              <w:top w:val="nil"/>
              <w:left w:val="nil"/>
              <w:bottom w:val="nil"/>
              <w:right w:val="nil"/>
            </w:tcBorders>
          </w:tcPr>
          <w:p>
            <w:pPr>
              <w:pStyle w:val="Normal6a"/>
            </w:pPr>
            <w:r>
              <w:t>18.</w:t>
            </w:r>
            <w:r>
              <w:tab/>
            </w:r>
            <w:r>
              <w:t xml:space="preserve">Stresses that infringement procedures constitute a matter of significant public importance as the effective enforcement of EU law by the Commission ensures that commonly agreed rules are respected in all Member States; recalls that infringement procedures should be conducted in a timely, transparent and legally predictable manner, ensuring equal treatment of all Member States; is deeply concerned that the Ombudsman found that there was a three-year period during which no action appeared to have been taken by the Commission in the infringement procedure against Spain regarding its compliance with EU environmental noise rules and concluded that this constitutes maladministration; calls on the Commission to reduce delays in the handling of infringement complaints and to improve communication with the public regarding infringement procedures; </w:t>
            </w:r>
            <w:r>
              <w:rPr>
                <w:b/>
                <w:i/>
              </w:rPr>
              <w:t>calls, furthermore, for clear procedural deadlines and reasoned decisions, while ensuring equal treatment of Member States and preventing politically selective enforcement;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Notes that the Commission has still not produced the text messages exchanged between its President and the chief executive officer of Pfizer concerning the purchase of doses of COVID-19 vaccines, despite the request made by the European Ombudsman on 12 July 2022</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Case 1316/2021/MIG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Congratulates the European Ombudsman for her preliminary findings of 3 June 2026</w:t>
            </w:r>
            <w:r>
              <w:rPr>
                <w:b/>
                <w:i/>
                <w:vertAlign w:val="superscript"/>
              </w:rPr>
              <w:t>1 a</w:t>
            </w:r>
            <w:r>
              <w:t xml:space="preserve"> </w:t>
            </w:r>
            <w:r>
              <w:rPr>
                <w:b/>
                <w:i/>
              </w:rPr>
              <w:t>and calls on the Commission to fully implement her recommendation to preserve, for a reasonable period, all text and instant messages exchanged by Members of the Commission, including those likely to be subject to a request for public access, in order to safeguard transparency and the effectiveness of the right of access to EU documents;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Case 2482/2025/NH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Is deeply concerned that the Ombudsman found maladministration in inquiries related to technical issues during remote testing in a staff selection procedure by EPSO and to a request to reschedule a test; calls on EPSO to modernise its recruitment procedures, improve the resilience of its digital systems and reduce unnecessary delays in recruitment processes;</w:t>
            </w:r>
          </w:p>
        </w:tc>
        <w:tc>
          <w:tcPr>
            <w:tcW w:w="4876" w:type="dxa"/>
            <w:tcBorders>
              <w:top w:val="nil"/>
              <w:left w:val="nil"/>
              <w:bottom w:val="nil"/>
              <w:right w:val="nil"/>
            </w:tcBorders>
          </w:tcPr>
          <w:p>
            <w:pPr>
              <w:pStyle w:val="Normal6a"/>
            </w:pPr>
            <w:r>
              <w:t>20.</w:t>
            </w:r>
            <w:r>
              <w:tab/>
            </w:r>
            <w:r>
              <w:t>Is deeply concerned that the Ombudsman found maladministration in inquiries related to technical issues during remote testing in a staff selection procedure by EPSO and to a request to reschedule a test</w:t>
            </w:r>
            <w:r>
              <w:rPr>
                <w:b/>
                <w:i/>
              </w:rPr>
              <w:t>, further expresses concern regarding reported linguistic and translation shortcomings in EPSO tests, including grammatical and syntactical errors and the use of incorrect terminology in language tests, which may undermine equal treatment of candidates and the integrity of EU languages</w:t>
            </w:r>
            <w:r>
              <w:t>; calls on EPSO to modernise its recruitment procedures, improve the resilience of its digital systems and reduce unnecessary delays in recruitment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Is deeply concerned </w:t>
            </w:r>
            <w:r>
              <w:rPr>
                <w:b/>
                <w:i/>
              </w:rPr>
              <w:t>that the Ombudsman found</w:t>
            </w:r>
            <w:r>
              <w:t xml:space="preserve"> maladministration </w:t>
            </w:r>
            <w:r>
              <w:rPr>
                <w:b/>
                <w:i/>
              </w:rPr>
              <w:t>in</w:t>
            </w:r>
            <w:r>
              <w:t xml:space="preserve"> inquiries related to technical issues during remote testing in a staff selection procedure by EPSO and to a request to reschedule a test; calls </w:t>
            </w:r>
            <w:r>
              <w:rPr>
                <w:b/>
                <w:i/>
              </w:rPr>
              <w:t>on</w:t>
            </w:r>
            <w:r>
              <w:t xml:space="preserve"> EPSO to modernise its recruitment procedures, improve </w:t>
            </w:r>
            <w:r>
              <w:rPr>
                <w:b/>
                <w:i/>
              </w:rPr>
              <w:t>the resilience of</w:t>
            </w:r>
            <w:r>
              <w:t xml:space="preserve"> its digital systems and reduce unnecessary delays in recruitment processes;</w:t>
            </w:r>
          </w:p>
        </w:tc>
        <w:tc>
          <w:tcPr>
            <w:tcW w:w="4876" w:type="dxa"/>
            <w:tcBorders>
              <w:top w:val="nil"/>
              <w:left w:val="nil"/>
              <w:bottom w:val="nil"/>
              <w:right w:val="nil"/>
            </w:tcBorders>
          </w:tcPr>
          <w:p>
            <w:pPr>
              <w:pStyle w:val="Normal6a"/>
            </w:pPr>
            <w:r>
              <w:t>20.</w:t>
            </w:r>
            <w:r>
              <w:tab/>
            </w:r>
            <w:r>
              <w:t xml:space="preserve">Is deeply concerned </w:t>
            </w:r>
            <w:r>
              <w:rPr>
                <w:b/>
                <w:i/>
              </w:rPr>
              <w:t>about the</w:t>
            </w:r>
            <w:r>
              <w:t xml:space="preserve"> maladministration </w:t>
            </w:r>
            <w:r>
              <w:rPr>
                <w:b/>
                <w:i/>
              </w:rPr>
              <w:t>instances found by the Ombudsman in her</w:t>
            </w:r>
            <w:r>
              <w:t xml:space="preserve"> inquiries related to technical issues during remote testing in a staff selection procedure by EPSO and to a request to reschedule a test; </w:t>
            </w:r>
            <w:r>
              <w:rPr>
                <w:b/>
                <w:i/>
              </w:rPr>
              <w:t>reiterates its</w:t>
            </w:r>
            <w:r>
              <w:t xml:space="preserve"> calls </w:t>
            </w:r>
            <w:r>
              <w:rPr>
                <w:b/>
                <w:i/>
              </w:rPr>
              <w:t>from its Resolution of 27 November 2025 on organisational mismanagement of European Personnel Selection Office competitions, among others for</w:t>
            </w:r>
            <w:r>
              <w:t xml:space="preserve"> EPSO to modernise its recruitment procedures, improve its digital systems and reduce unnecessary delays in recruitment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Recalls, in this regard, the European Parliament resolution of 27 November 2025 on the organisational mismanagement of European Personnel Selection Office (EPSO) competitions, put forward by the Committee on Petitions; stresses that the objective should be to strengthen and improve EPSO and its recruitment and testing procedures, while safeguarding its role in ensuring open, fair and merit-based recruitment to the Union institutions, rather than pursuing its dissolution and replacement by seperate and individualist selection systems for every EU institution;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Calls on EPSO to provide swift and accessible mechanisms for reporting and remedying technical failures during tests and, where necessary, appropriate alternatives for affected candidates, ensuring equal opportunities, accessibility and the integrity of selection 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following an inquiry, the Ombudsman found maladministration in the Commission’s handling of a grant application and of concerns regarding a potential conflict of interest; regrets the shortcomings identified by the Ombudsman and calls on the Commission to establish rigorous procedures for the timely and transparent investigation of all allegations of a conflict of interest;</w:t>
            </w:r>
          </w:p>
        </w:tc>
        <w:tc>
          <w:tcPr>
            <w:tcW w:w="4876" w:type="dxa"/>
            <w:tcBorders>
              <w:top w:val="nil"/>
              <w:left w:val="nil"/>
              <w:bottom w:val="nil"/>
              <w:right w:val="nil"/>
            </w:tcBorders>
          </w:tcPr>
          <w:p>
            <w:pPr>
              <w:pStyle w:val="Normal6a"/>
            </w:pPr>
            <w:r>
              <w:t>21.</w:t>
            </w:r>
            <w:r>
              <w:tab/>
            </w:r>
            <w:r>
              <w:t xml:space="preserve">Notes that following an inquiry, the Ombudsman found maladministration in the Commission’s handling of a grant application and of concerns regarding a potential conflict of interest; </w:t>
            </w:r>
            <w:r>
              <w:rPr>
                <w:b/>
                <w:i/>
              </w:rPr>
              <w:t>deeply</w:t>
            </w:r>
            <w:r>
              <w:t xml:space="preserve"> regrets the shortcomings identified by the Ombudsman and calls on the Commission to </w:t>
            </w:r>
            <w:r>
              <w:rPr>
                <w:b/>
                <w:i/>
              </w:rPr>
              <w:t>urgently</w:t>
            </w:r>
            <w:r>
              <w:t xml:space="preserve"> establish rigorous procedures for the timely and transparent investigation of all allegations of a conflict of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Valentina Palmisano, 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the importance of ensuring that selection and appointment procedures within the Union’s institutions, bodies and agencies are conducted in accordance with the highest standards of transparency, impartiality, integrity and ethics; invites the European Ombudsman to continue to assess, also in the light of experience gained, possible avenues for further strengthening its internal selection procedures and the safeguards underpinning them, with a view to ensuring the highest level of transparency, preventing any perception of conflicts of interest or favouritism, and further strengthening the trust of Union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Welcomes the Ombudsman’s focus on the implementation of the UN CRPD by the EU administration; underlines the importance of the Ombudsman’s inquiries related to the rights of persons with disabilities, which in 2025 concerned the areas of recruitment and staff matters; calls for all EU institutions to implement the recommendations of the Ombudsman concerning disability rights and believes that it is important to follow up on the concluding observations of the UN CRPD Committee;</w:t>
            </w:r>
          </w:p>
        </w:tc>
        <w:tc>
          <w:tcPr>
            <w:tcW w:w="4876" w:type="dxa"/>
            <w:tcBorders>
              <w:top w:val="nil"/>
              <w:left w:val="nil"/>
              <w:bottom w:val="nil"/>
              <w:right w:val="nil"/>
            </w:tcBorders>
          </w:tcPr>
          <w:p>
            <w:pPr>
              <w:pStyle w:val="Normal6a"/>
            </w:pPr>
            <w:r>
              <w:t>22.</w:t>
            </w:r>
            <w:r>
              <w:tab/>
            </w:r>
            <w:r>
              <w:t xml:space="preserve">Welcomes the Ombudsman’s focus on the implementation of the UN CRPD by the EU administration; underlines the importance of the Ombudsman’s inquiries related to the rights of persons with disabilities, which in 2025 concerned the areas of recruitment and staff matters; calls for all EU institutions to implement the recommendations of the Ombudsman concerning disability rights and believes that it is important to follow up on the concluding observations of the UN CRPD Committee; </w:t>
            </w:r>
            <w:r>
              <w:rPr>
                <w:b/>
                <w:i/>
              </w:rPr>
              <w:t>calls on EU institutions to ensure that complaint mechanisms and administrative procedures are accessible to persons with disabilities and to citizens facing digital exclusion, including through reasonable accommodation, accessible formats and effective non-digital channels;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Welcomes the Ombudsman’s focus on the implementation of the UN CRPD by the EU administration; underlines the importance of the Ombudsman’s inquiries related to the rights of persons with disabilities, which in 2025 concerned the areas of recruitment and staff matters; calls for all EU institutions to implement the recommendations of the Ombudsman concerning disability rights and believes that it is important to follow up on the concluding observations of the UN CRPD Committee;</w:t>
            </w:r>
          </w:p>
        </w:tc>
        <w:tc>
          <w:tcPr>
            <w:tcW w:w="4876" w:type="dxa"/>
            <w:tcBorders>
              <w:top w:val="nil"/>
              <w:left w:val="nil"/>
              <w:bottom w:val="nil"/>
              <w:right w:val="nil"/>
            </w:tcBorders>
          </w:tcPr>
          <w:p>
            <w:pPr>
              <w:pStyle w:val="Normal6a"/>
            </w:pPr>
            <w:r>
              <w:t>22.</w:t>
            </w:r>
            <w:r>
              <w:tab/>
            </w:r>
            <w:r>
              <w:t xml:space="preserve">Welcomes the Ombudsman’s focus on the implementation of the UN CRPD by the EU administration; underlines the importance of the Ombudsman’s inquiries related to the rights of persons with disabilities, which in 2025 concerned the areas of recruitment and staff matters; calls for all EU institutions to implement the recommendations of the Ombudsman concerning disability rights and believes that it is important to follow up on the concluding observations of the UN CRPD Committee; </w:t>
            </w:r>
            <w:r>
              <w:rPr>
                <w:b/>
                <w:i/>
              </w:rPr>
              <w:t>stresses the importance of ensuring that the EU administration adopts suitable, fair and reasonable accommodations to promote social inclusion, as a fundamental value of the European Union and in accordance with the European Pillar of Social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Marcin Sypniewski, Milan Mazurek, Petras Gražulis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Welcomes the Ombudsman’s focus on the implementation of the UN CRPD by the EU administration; underlines the importance of the Ombudsman’s inquiries related to the rights of persons with disabilities, which in 2025 concerned the areas of recruitment and staff matters; calls </w:t>
            </w:r>
            <w:r>
              <w:rPr>
                <w:b/>
                <w:i/>
              </w:rPr>
              <w:t>for all</w:t>
            </w:r>
            <w:r>
              <w:t xml:space="preserve"> EU institutions to </w:t>
            </w:r>
            <w:r>
              <w:rPr>
                <w:b/>
                <w:i/>
              </w:rPr>
              <w:t>implement the</w:t>
            </w:r>
            <w:r>
              <w:t xml:space="preserve"> recommendations </w:t>
            </w:r>
            <w:r>
              <w:rPr>
                <w:b/>
                <w:i/>
              </w:rPr>
              <w:t>of the Ombudsman</w:t>
            </w:r>
            <w:r>
              <w:t xml:space="preserve"> concerning disability rights </w:t>
            </w:r>
            <w:r>
              <w:rPr>
                <w:b/>
                <w:i/>
              </w:rPr>
              <w:t>and believes that it is important to follow up on the concluding observations of the UN CRPD Committee</w:t>
            </w:r>
            <w:r>
              <w:t>;</w:t>
            </w:r>
          </w:p>
        </w:tc>
        <w:tc>
          <w:tcPr>
            <w:tcW w:w="4876" w:type="dxa"/>
            <w:tcBorders>
              <w:top w:val="nil"/>
              <w:left w:val="nil"/>
              <w:bottom w:val="nil"/>
              <w:right w:val="nil"/>
            </w:tcBorders>
          </w:tcPr>
          <w:p>
            <w:pPr>
              <w:pStyle w:val="Normal6a"/>
            </w:pPr>
            <w:r>
              <w:t>22.</w:t>
            </w:r>
            <w:r>
              <w:tab/>
            </w:r>
            <w:r>
              <w:t xml:space="preserve">Welcomes the Ombudsman’s focus on the implementation of the UN CRPD by the EU administration; underlines the importance of the Ombudsman’s inquiries related to the rights of persons with disabilities, which in 2025 concerned the areas of recruitment and staff matters; calls </w:t>
            </w:r>
            <w:r>
              <w:rPr>
                <w:b/>
                <w:i/>
              </w:rPr>
              <w:t>on</w:t>
            </w:r>
            <w:r>
              <w:t xml:space="preserve"> EU institutions to </w:t>
            </w:r>
            <w:r>
              <w:rPr>
                <w:b/>
                <w:i/>
              </w:rPr>
              <w:t>give due consideration to the Ombudsman's</w:t>
            </w:r>
            <w:r>
              <w:t xml:space="preserve"> recommendations concerning disability rights</w:t>
            </w:r>
            <w:r>
              <w:rPr>
                <w:b/>
                <w:i/>
              </w:rPr>
              <w:t>, in accordance with their respective competences, the principle of proportionality and available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Acknowledges the Ombudsman’s continued constructive dialogue with the Commission, whose work was the subject of a high percentage of the complaints received by the Ombudsman;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c>
          <w:tcPr>
            <w:tcW w:w="4876" w:type="dxa"/>
            <w:tcBorders>
              <w:top w:val="nil"/>
              <w:left w:val="nil"/>
              <w:bottom w:val="nil"/>
              <w:right w:val="nil"/>
            </w:tcBorders>
          </w:tcPr>
          <w:p>
            <w:pPr>
              <w:pStyle w:val="Normal6a"/>
            </w:pPr>
            <w:r>
              <w:t>24.</w:t>
            </w:r>
            <w:r>
              <w:tab/>
            </w:r>
            <w:r>
              <w:t xml:space="preserve">Acknowledges the Ombudsman’s continued constructive dialogue with the Commission, whose work was the subject of a high percentage of the complaints received by the Ombudsman; expects this dialogue to translate into faster and more consistent implementation of the Ombudsman’s recommendations given the recurring nature of several of the issues identified; </w:t>
            </w:r>
            <w:r>
              <w:rPr>
                <w:b/>
                <w:i/>
              </w:rPr>
              <w:t>calls on the Commission and all EU institutions, bodies, offices and agencies to publish an annual, institution-by-institution scoreboard on the implementation of recommendations and to give a public, reasoned explanation for every recommendation not fully implemented within the deadline set by the Ombudsman;</w:t>
            </w:r>
            <w:r>
              <w:t xml:space="preserve"> notes that a solution-oriented approach and open dialogue help to ensure that complainants’ concerns are addressed effectively and that practical improvements for citizens are achieved;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Acknowledges</w:t>
            </w:r>
            <w:r>
              <w:t xml:space="preserve"> the Ombudsman’s </w:t>
            </w:r>
            <w:r>
              <w:rPr>
                <w:b/>
                <w:i/>
              </w:rPr>
              <w:t>continued constructive</w:t>
            </w:r>
            <w:r>
              <w:t xml:space="preserve"> dialogue with the Commission, whose work was the subject of a high percentage of the complaints received by the Ombudsman;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c>
          <w:tcPr>
            <w:tcW w:w="4876" w:type="dxa"/>
            <w:tcBorders>
              <w:top w:val="nil"/>
              <w:left w:val="nil"/>
              <w:bottom w:val="nil"/>
              <w:right w:val="nil"/>
            </w:tcBorders>
          </w:tcPr>
          <w:p>
            <w:pPr>
              <w:pStyle w:val="Normal6a"/>
            </w:pPr>
            <w:r>
              <w:t>24.</w:t>
            </w:r>
            <w:r>
              <w:tab/>
            </w:r>
            <w:r>
              <w:rPr>
                <w:b/>
                <w:i/>
              </w:rPr>
              <w:t>Takes note of</w:t>
            </w:r>
            <w:r>
              <w:t xml:space="preserve"> the Ombudsman’s dialogue with the Commission, whose work was the subject of a high percentage of the complaints received by the Ombudsman</w:t>
            </w:r>
            <w:r>
              <w:rPr>
                <w:b/>
                <w:i/>
              </w:rPr>
              <w:t>;</w:t>
            </w:r>
            <w:r>
              <w:t xml:space="preserve"> </w:t>
            </w:r>
            <w:r>
              <w:rPr>
                <w:b/>
                <w:i/>
              </w:rPr>
              <w:t>regrets that the Commission has been accused, from one financial year to another, of comparable instances of maladministration, even after having been called to order and sanctioned by the EU’s courts</w:t>
            </w:r>
            <w:r>
              <w:t>;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Acknowledges the Ombudsman’s continued constructive dialogue with the Commission</w:t>
            </w:r>
            <w:r>
              <w:rPr>
                <w:b/>
                <w:i/>
              </w:rPr>
              <w:t>, whose work was the subject of a high percentage of the complaints received by the Ombudsman</w:t>
            </w:r>
            <w:r>
              <w:t>;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c>
          <w:tcPr>
            <w:tcW w:w="4876" w:type="dxa"/>
            <w:tcBorders>
              <w:top w:val="nil"/>
              <w:left w:val="nil"/>
              <w:bottom w:val="nil"/>
              <w:right w:val="nil"/>
            </w:tcBorders>
          </w:tcPr>
          <w:p>
            <w:pPr>
              <w:pStyle w:val="Normal6a"/>
            </w:pPr>
            <w:r>
              <w:t>24.</w:t>
            </w:r>
            <w:r>
              <w:tab/>
            </w:r>
            <w:r>
              <w:t>Acknowledges the Ombudsman’s continued constructive dialogue with the Commission;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Acknowledges the Ombudsman’s continued constructive dialogue with the Commission</w:t>
            </w:r>
            <w:r>
              <w:rPr>
                <w:b/>
                <w:i/>
              </w:rPr>
              <w:t>, whose work was the subject of a high percentage of the complaints received by the Ombudsman</w:t>
            </w:r>
            <w:r>
              <w:t>;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c>
          <w:tcPr>
            <w:tcW w:w="4876" w:type="dxa"/>
            <w:tcBorders>
              <w:top w:val="nil"/>
              <w:left w:val="nil"/>
              <w:bottom w:val="nil"/>
              <w:right w:val="nil"/>
            </w:tcBorders>
          </w:tcPr>
          <w:p>
            <w:pPr>
              <w:pStyle w:val="Normal6a"/>
            </w:pPr>
            <w:r>
              <w:t>24.</w:t>
            </w:r>
            <w:r>
              <w:tab/>
            </w:r>
            <w:r>
              <w:t>Acknowledges the Ombudsman’s continued constructive dialogue with the Commission; expects this dialogue to translate into faster and more consistent implementation of the Ombudsman’s recommendations given the recurring nature of several of the issues identified; notes that a solution-oriented approach and open dialogue help to ensure that complainants’ concerns are addressed effectively and that practical improvements for citizens are achieved;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Stresses the importance of the European Network of Ombudsmen (ENO) as a platform for the exchange of experiences and best practice and for the discussion of issues of mutual importance; encourages the use of the ENO queries procedure by members to obtain expert advice on EU law;</w:t>
            </w:r>
          </w:p>
        </w:tc>
        <w:tc>
          <w:tcPr>
            <w:tcW w:w="4876" w:type="dxa"/>
            <w:tcBorders>
              <w:top w:val="nil"/>
              <w:left w:val="nil"/>
              <w:bottom w:val="nil"/>
              <w:right w:val="nil"/>
            </w:tcBorders>
          </w:tcPr>
          <w:p>
            <w:pPr>
              <w:pStyle w:val="Normal6a"/>
            </w:pPr>
            <w:r>
              <w:t>25.</w:t>
            </w:r>
            <w:r>
              <w:tab/>
            </w:r>
            <w:r>
              <w:t xml:space="preserve">Stresses the importance of the European Network of Ombudsmen (ENO) as a platform for the exchange of experiences and best practice and for the discussion of issues of mutual importance; encourages the use of the ENO queries procedure by members to obtain expert advice on EU law; </w:t>
            </w:r>
            <w:r>
              <w:rPr>
                <w:b/>
                <w:i/>
              </w:rPr>
              <w:t>encourages the ENO to further strengthen cooperation on cross-border complaints, access to rights deriving from Union law and the independence and effectiveness of ombudsman institutions, with a view to ensuring more consistent protection of citizens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Stresses the importance of the European Network of Ombudsmen (ENO) as a platform for the exchange of experiences and best practice and for the discussion of issues of mutual importance; encourages the use of the ENO queries procedure by members to obtain expert advice on EU law;</w:t>
            </w:r>
          </w:p>
        </w:tc>
        <w:tc>
          <w:tcPr>
            <w:tcW w:w="4876" w:type="dxa"/>
            <w:tcBorders>
              <w:top w:val="nil"/>
              <w:left w:val="nil"/>
              <w:bottom w:val="nil"/>
              <w:right w:val="nil"/>
            </w:tcBorders>
          </w:tcPr>
          <w:p>
            <w:pPr>
              <w:pStyle w:val="Normal6a"/>
            </w:pPr>
            <w:r>
              <w:t>25.</w:t>
            </w:r>
            <w:r>
              <w:tab/>
            </w:r>
            <w:r>
              <w:t>Stresses the importance of the European Network of Ombudsmen (ENO) as a platform for the exchange of experiences and best practice and for the discussion of issues of mutual importance</w:t>
            </w:r>
            <w:r>
              <w:rPr>
                <w:b/>
                <w:i/>
              </w:rPr>
              <w:t>, including the protection of the rights of persons belonging to traditional national and linguistic minorities</w:t>
            </w:r>
            <w:r>
              <w:t>; encourages the use of the ENO queries procedure by members to obtain expert advice on EU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Welcomes the Ombudsman’s efforts to assist citizens whose complaints fall outside her mandate by directing them towards the competent national or Union bodies; encourages further cooperation between the Ombudsman, the European Network of Ombudsmen and other relevant complaint-handling mechanisms with a view to ensuring that citizens can be effectively guided to the appropriate authority and are not discouraged by unnecessary administrative complexity;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w:t>
            </w:r>
            <w:r>
              <w:rPr>
                <w:b/>
                <w:i/>
              </w:rPr>
              <w:t>stresses that</w:t>
            </w:r>
            <w:r>
              <w:t xml:space="preserve"> human oversight must remain central to all AI-supported case-handling and that no decision affecting a complainant </w:t>
            </w:r>
            <w:r>
              <w:rPr>
                <w:b/>
                <w:i/>
              </w:rPr>
              <w:t>should</w:t>
            </w:r>
            <w:r>
              <w:t xml:space="preserve"> be taken by AI without meaningful human review; welcomes the governance safeguards adopted for the GPT@EC pilot project, including the Service Level Agreement ensuring that the Ombudsman’s data are not used to train external AI models, </w:t>
            </w:r>
            <w:r>
              <w:rPr>
                <w:b/>
                <w:i/>
              </w:rPr>
              <w:t>which could serve as a model for accountable AI adoption by other</w:t>
            </w:r>
            <w:r>
              <w:t xml:space="preserve"> EU institutions and agencies;</w:t>
            </w:r>
          </w:p>
        </w:tc>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w:t>
            </w:r>
            <w:r>
              <w:rPr>
                <w:b/>
                <w:i/>
              </w:rPr>
              <w:t>highlights that artificial intelligence must never replace human judgment or compromise citizens' rights, insisting that strict</w:t>
            </w:r>
            <w:r>
              <w:t xml:space="preserve"> human oversight must remain central to all AI-supported case-handling and that no decision affecting a complainant </w:t>
            </w:r>
            <w:r>
              <w:rPr>
                <w:b/>
                <w:i/>
              </w:rPr>
              <w:t>can</w:t>
            </w:r>
            <w:r>
              <w:t xml:space="preserve"> be taken by AI without meaningful human review; welcomes the governance safeguards </w:t>
            </w:r>
            <w:r>
              <w:rPr>
                <w:b/>
                <w:i/>
              </w:rPr>
              <w:t>and strict data protection standards</w:t>
            </w:r>
            <w:r>
              <w:t xml:space="preserve"> adopted for the GPT@EC pilot project, including the Service Level Agreement ensuring that the Ombudsman’s data are not used to train external AI models, </w:t>
            </w:r>
            <w:r>
              <w:rPr>
                <w:b/>
                <w:i/>
              </w:rPr>
              <w:t>and urges all</w:t>
            </w:r>
            <w:r>
              <w:t xml:space="preserve"> EU institutions and agencies </w:t>
            </w:r>
            <w:r>
              <w:rPr>
                <w:b/>
                <w:i/>
              </w:rPr>
              <w:t>to adopt these high standards as a mandatory benchmark for accountable AI implementation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stresses that human oversight must remain central to all AI-supported case-handling and that no decision affecting a complainant should be taken by AI without meaningful human review;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stresses that human oversight must remain central to all AI-supported case-handling and that no decision affecting a complainant should be taken by AI without meaningful human review; </w:t>
            </w:r>
            <w:r>
              <w:rPr>
                <w:b/>
                <w:i/>
              </w:rPr>
              <w:t>calls for a prohibition of solely automated decisions affecting complainants, guaranteed access to the underlying reasoning and data, data minimisation, independent impact assessments, regular audits for bias and discrimination, and effective avenues for human redress;</w:t>
            </w:r>
            <w:r>
              <w:t xml:space="preserve">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stresses that </w:t>
            </w:r>
            <w:r>
              <w:rPr>
                <w:b/>
                <w:i/>
              </w:rPr>
              <w:t>human oversight must remain central to all AI-supported case-handling and that no decision affecting a complainant should</w:t>
            </w:r>
            <w:r>
              <w:t xml:space="preserve"> be taken by </w:t>
            </w:r>
            <w:r>
              <w:rPr>
                <w:b/>
                <w:i/>
              </w:rPr>
              <w:t>AI without meaningful human review</w:t>
            </w:r>
            <w:r>
              <w:t>;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regrets that persistent shortcomings in the Commission’s administrative practices continue to undermine these targets and calls on the Commission to take more decisive action to address the systemic issues identified by the Ombudsman; stresses that </w:t>
            </w:r>
            <w:r>
              <w:rPr>
                <w:b/>
                <w:i/>
              </w:rPr>
              <w:t>decisions on the admissibility, prioritisation and outcome of complaints, and on the adoption of recommendations, must</w:t>
            </w:r>
            <w:r>
              <w:t xml:space="preserve"> be taken by </w:t>
            </w:r>
            <w:r>
              <w:rPr>
                <w:b/>
                <w:i/>
              </w:rPr>
              <w:t>authorised staff and must not be delegated to AI systems</w:t>
            </w:r>
            <w:r>
              <w:t>;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Elena Nevado del Campo, 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Welcomes the targets set out in the European Ombudsman strategy for 2025-2029 to promote accountability, ethics and transparency in the EU administration and to strengthen the effectiveness of the Office of the European Ombudsman; </w:t>
            </w:r>
            <w:r>
              <w:rPr>
                <w:b/>
                <w:i/>
              </w:rPr>
              <w:t>regrets that persistent shortcomings in the Commission’s administrative practices continue to undermine these targets and</w:t>
            </w:r>
            <w:r>
              <w:t xml:space="preserve"> calls on the Commission to take more decisive action to address the systemic issues identified by the Ombudsman; stresses that human oversight must remain central to all AI-supported case-handling and that no decision affecting a complainant should be taken by AI without meaningful human review;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c>
          <w:tcPr>
            <w:tcW w:w="4876" w:type="dxa"/>
            <w:tcBorders>
              <w:top w:val="nil"/>
              <w:left w:val="nil"/>
              <w:bottom w:val="nil"/>
              <w:right w:val="nil"/>
            </w:tcBorders>
          </w:tcPr>
          <w:p>
            <w:pPr>
              <w:pStyle w:val="Normal6a"/>
            </w:pPr>
            <w:r>
              <w:t>26.</w:t>
            </w:r>
            <w:r>
              <w:tab/>
            </w:r>
            <w:r>
              <w:t>Welcomes the targets set out in the European Ombudsman strategy for 2025-2029 to promote accountability, ethics and transparency in the EU administration and to strengthen the effectiveness of the Office of the European Ombudsman; calls on the Commission to take more decisive action to address the systemic issues identified by the Ombudsman; stresses that human oversight must remain central to all AI-supported case-handling and that no decision affecting a complainant should be taken by AI without meaningful human review; welcomes the governance safeguards adopted for the GPT@EC pilot project, including the Service Level Agreement ensuring that the Ombudsman’s data are not used to train external AI models, which could serve as a model for accountable AI adoption by other EU institutions and agencies;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Paulo Cunha,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 point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Encourages periodic evaluation of the benefits and risks of AI tools used by the Union administration, particularly regarding efficiency, service quality, data protection and respect for fundamental rights, preserving effective human oversight and using the findings to improve their deployment;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Highlights that in 2025 the Ombudsman Office handled a highly increased number of complaints amounting to 54% more than in 2024; considers extremely positive that this greater public awareness about the Ombudsman's work in protecting citizens’ rights also led to an increase of 19% in inquiries opened by the Ombudsman; underlined that a very high number of complaints is also recorded during this year; believes, therefore, that the Ombudsman should be allocated an increased budget in order to have the necessary resources to deal more effectively and efficiently with the growing and more demanding caseload, thus strengthening the Ombudsman’s role in serving citizens more effectively as well as reinforcing her role as a key actor in promoting good administration within the Union’s institutions, agencies, offices and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Michał Kobosko, Jana Toom,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Stresses that, while the use of artificial intelligence may pose risks to the rights and freedoms of citizens of the European Union, it also represents a significant opportunity to greatly facilitate access to documents and improve their accessibility;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Notes that the total acceptance rate of the Ombudsman’s proposals by the EU institutions for 2025, which covers cases closed in 2024, was 72 % and that 89 % of solution proposals were accepted; underlines that cooperation with the Ombudsman helps to increase the democratic accountability of the EU institutions, agencies, offices and bodies and strengthens citizens’ trust;</w:t>
            </w:r>
          </w:p>
        </w:tc>
        <w:tc>
          <w:tcPr>
            <w:tcW w:w="4876" w:type="dxa"/>
            <w:tcBorders>
              <w:top w:val="nil"/>
              <w:left w:val="nil"/>
              <w:bottom w:val="nil"/>
              <w:right w:val="nil"/>
            </w:tcBorders>
          </w:tcPr>
          <w:p>
            <w:pPr>
              <w:pStyle w:val="Normal6a"/>
            </w:pPr>
            <w:r>
              <w:t>28.</w:t>
            </w:r>
            <w:r>
              <w:tab/>
            </w:r>
            <w:r>
              <w:t xml:space="preserve">Notes that the total acceptance rate of the Ombudsman’s proposals by the EU institutions for 2025, which covers cases closed in 2024, was 72 % and that 89 % of solution proposals were accepted; underlines that cooperation with the Ombudsman helps to increase the democratic accountability of the EU institutions, agencies, offices and bodies and strengthens citizens’ trust; </w:t>
            </w:r>
            <w:r>
              <w:rPr>
                <w:b/>
                <w:i/>
              </w:rPr>
              <w:t>calls on EU institutions to accompany their acceptance of the Ombudsman’s proposals with concrete implementation measures and indicative timetables, and to provide detailed reasons where they decline to act; requests that future annual reports distinguish between formal acceptance and documented implementation, and identify repeated failures to address findings of maladministration;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Notes that the total acceptance rate of the Ombudsman’s proposals by the EU institutions for 2025, which covers cases closed in 2024, was 72 % and that 89 % of solution proposals were accepted; underlines that cooperation with the Ombudsman helps to increase the democratic accountability of the EU institutions, agencies, offices and bodies and strengthens citizens’ trust;</w:t>
            </w:r>
          </w:p>
        </w:tc>
        <w:tc>
          <w:tcPr>
            <w:tcW w:w="4876" w:type="dxa"/>
            <w:tcBorders>
              <w:top w:val="nil"/>
              <w:left w:val="nil"/>
              <w:bottom w:val="nil"/>
              <w:right w:val="nil"/>
            </w:tcBorders>
          </w:tcPr>
          <w:p>
            <w:pPr>
              <w:pStyle w:val="Normal6a"/>
            </w:pPr>
            <w:r>
              <w:t>28.</w:t>
            </w:r>
            <w:r>
              <w:tab/>
            </w:r>
            <w:r>
              <w:t xml:space="preserve">Notes that the total acceptance rate of the Ombudsman’s proposals by the EU institutions for 2025, which covers cases closed in 2024, was 72 % and that 89 % of solution proposals were accepted; underlines that cooperation with the Ombudsman helps to increase the democratic accountability of the EU institutions, agencies, offices and bodies and strengthens citizens’ trust; </w:t>
            </w:r>
            <w:r>
              <w:rPr>
                <w:b/>
                <w:i/>
              </w:rPr>
              <w:t>calls on all Union’s institutions, agencies, offices and bodies to cooperate satisfactorily with the Ombudsman in all instances and fully and consistently comply with all of the Ombudsman’s recommendations;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Notes </w:t>
            </w:r>
            <w:r>
              <w:rPr>
                <w:b/>
                <w:i/>
              </w:rPr>
              <w:t>that the total</w:t>
            </w:r>
            <w:r>
              <w:t xml:space="preserve"> acceptance rate of the Ombudsman’s proposals by the EU institutions for 2025, which covers cases closed in 2024, </w:t>
            </w:r>
            <w:r>
              <w:rPr>
                <w:b/>
                <w:i/>
              </w:rPr>
              <w:t>was 72 % and that 89 %</w:t>
            </w:r>
            <w:r>
              <w:t xml:space="preserve"> of solution proposals </w:t>
            </w:r>
            <w:r>
              <w:rPr>
                <w:b/>
                <w:i/>
              </w:rPr>
              <w:t>were</w:t>
            </w:r>
            <w:r>
              <w:t xml:space="preserve"> accepted; underlines that cooperation with the Ombudsman helps to increase the democratic accountability of the EU institutions, agencies, offices and bodies and strengthens citizens’ trust;</w:t>
            </w:r>
          </w:p>
        </w:tc>
        <w:tc>
          <w:tcPr>
            <w:tcW w:w="4876" w:type="dxa"/>
            <w:tcBorders>
              <w:top w:val="nil"/>
              <w:left w:val="nil"/>
              <w:bottom w:val="nil"/>
              <w:right w:val="nil"/>
            </w:tcBorders>
          </w:tcPr>
          <w:p>
            <w:pPr>
              <w:pStyle w:val="Normal6a"/>
            </w:pPr>
            <w:r>
              <w:t>28.</w:t>
            </w:r>
            <w:r>
              <w:tab/>
            </w:r>
            <w:r>
              <w:t xml:space="preserve">Notes </w:t>
            </w:r>
            <w:r>
              <w:rPr>
                <w:b/>
                <w:i/>
              </w:rPr>
              <w:t>the high</w:t>
            </w:r>
            <w:r>
              <w:t xml:space="preserve"> acceptance rate of the Ombudsman’s proposals by the EU institutions for 2025, which covers cases closed in 2024, </w:t>
            </w:r>
            <w:r>
              <w:rPr>
                <w:b/>
                <w:i/>
              </w:rPr>
              <w:t>89%</w:t>
            </w:r>
            <w:r>
              <w:t xml:space="preserve"> of solution proposals </w:t>
            </w:r>
            <w:r>
              <w:rPr>
                <w:b/>
                <w:i/>
              </w:rPr>
              <w:t>and 78% of suggestions for improvement having been</w:t>
            </w:r>
            <w:r>
              <w:t xml:space="preserve"> accepted; underlines that cooperation with the Ombudsman helps to increase the democratic accountability of the EU institutions, agencies, offices and bodies and strengthens citizens’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Murielle Laurent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Emphasizes that the European Ombudsman requires adequate human and financial resources to fulfil its mandate effectively; notes with concern the increasing volume and complexity of complaints submitted to the office in recent years; calls on the budgetary authority to grant the Ombudsman the necessary additional staff posts to ensure the timely, thorough, and high-quality handling of all incoming complaints and to safeguard the protection of citizens'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796.348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86</w:t>
    </w:r>
    <w:r>
      <w:fldChar w:fldCharType="end"/>
    </w:r>
    <w:r>
      <w:t>/</w:t>
    </w:r>
    <w:r>
      <w:fldChar w:fldCharType="begin"/>
    </w:r>
    <w:r>
      <w:instrText xml:space="preserve"> NUMPAGES </w:instrText>
    </w:r>
    <w:r>
      <w:fldChar w:fldCharType="separate"/>
    </w:r>
    <w:r>
      <w:t>87</w:t>
    </w:r>
    <w:r>
      <w:fldChar w:fldCharType="end"/>
    </w:r>
    <w:r>
      <w:tab/>
    </w:r>
    <w:r>
      <w:rPr>
        <w:rStyle w:val="HideTWBExt"/>
      </w:rPr>
      <w:t>&lt;PathFdR&gt;</w:t>
    </w:r>
    <w:r>
      <w:t>AM\1352086EN.docx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AM\1352086EN.docx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87</w:t>
    </w:r>
    <w:r>
      <w:fldChar w:fldCharType="end"/>
    </w:r>
    <w:r>
      <w:tab/>
    </w:r>
    <w:r>
      <w:t>PE</w:t>
    </w:r>
    <w:r>
      <w:rPr>
        <w:rStyle w:val="HideTWBExt"/>
      </w:rPr>
      <w:t>&lt;NoPE&gt;</w:t>
    </w:r>
    <w:r>
      <w:t>796.348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AM\1352086EN.docx</w:t>
    </w:r>
    <w:r>
      <w:rPr>
        <w:rStyle w:val="HideTWBExt"/>
      </w:rPr>
      <w:t>&lt;/PathFdR&gt;</w:t>
    </w:r>
    <w:r>
      <w:tab/>
    </w:r>
    <w:r>
      <w:tab/>
    </w:r>
    <w:r>
      <w:t>PE</w:t>
    </w:r>
    <w:r>
      <w:rPr>
        <w:rStyle w:val="HideTWBExt"/>
      </w:rPr>
      <w:t>&lt;NoPE&gt;</w:t>
    </w:r>
    <w:r>
      <w:t>796.348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87</Pages>
  <Words>23341</Words>
  <Characters>137320</Characters>
  <Application>Microsoft Office Word</Application>
  <DocSecurity>0</DocSecurity>
  <Lines>1</Lines>
  <Paragraphs>1243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655238</vt:lpwstr>
  </property>
  <property fmtid="{D5CDD505-2E9C-101B-9397-08002B2CF9AE}" pid="7" name="dmxml.render.traceId">
    <vt:lpwstr>6acf9b8611d7c5ab87d1873606495517</vt:lpwstr>
  </property>
  <property fmtid="{D5CDD505-2E9C-101B-9397-08002B2CF9AE}" pid="8" name="FooterPath">
    <vt:lpwstr>AM\1352086EN.docx</vt:lpwstr>
  </property>
  <property fmtid="{D5CDD505-2E9C-101B-9397-08002B2CF9AE}" pid="9" name="PE Number">
    <vt:lpwstr>796.348</vt:lpwstr>
  </property>
  <property fmtid="{D5CDD505-2E9C-101B-9397-08002B2CF9AE}" pid="10" name="UID">
    <vt:lpwstr>eu.europa.europarl-DIN1-2026-0000278870_02.00-en-01.00_text-xml</vt:lpwstr>
  </property>
</Properties>
</file>