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Европейски парламент</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{REGI}</w:t>
      </w:r>
      <w:r>
        <w:t>Комисия по регионално развитие</w:t>
      </w:r>
      <w:r>
        <w:rPr>
          <w:rStyle w:val="HideTWBExt"/>
        </w:rPr>
        <w:t>&lt;/Commission&gt;</w:t>
      </w:r>
    </w:p>
    <w:p>
      <w:pPr>
        <w:pStyle w:val="LineBottom"/>
      </w:pPr>
      <w:r>
        <w:t xml:space="preserve"> </w:t>
      </w:r>
    </w:p>
    <w:p>
      <w:pPr>
        <w:pStyle w:val="CoverReference"/>
      </w:pPr>
      <w:r>
        <w:rPr>
          <w:rStyle w:val="HideTWBExt"/>
        </w:rPr>
        <w:t>&lt;RefProc&gt;</w:t>
      </w:r>
      <w:r>
        <w:t>2024/2121</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{28/03/2025}</w:t>
      </w:r>
      <w:r>
        <w:t>28.3.2025</w:t>
      </w:r>
      <w:r>
        <w:rPr>
          <w:rStyle w:val="HideTWBExt"/>
        </w:rPr>
        <w:t>&lt;/Date&gt;</w:t>
      </w:r>
    </w:p>
    <w:p>
      <w:pPr>
        <w:pStyle w:val="CoverDocType"/>
      </w:pPr>
      <w:r>
        <w:rPr>
          <w:rStyle w:val="HideTWBExt"/>
        </w:rPr>
        <w:t>&lt;TypeAM&gt;</w:t>
      </w:r>
      <w:r>
        <w:t>ИЗМЕНЕНИЯ</w:t>
      </w:r>
      <w:r>
        <w:rPr>
          <w:rStyle w:val="HideTWBExt"/>
        </w:rPr>
        <w:t>&lt;/TypeAM&gt;</w:t>
      </w:r>
    </w:p>
    <w:p>
      <w:pPr>
        <w:pStyle w:val="CoverDocType24a"/>
      </w:pPr>
      <w:r>
        <w:rPr>
          <w:rStyle w:val="HideTWBExt"/>
        </w:rPr>
        <w:t>&lt;RangeAM&gt;</w:t>
      </w:r>
      <w:r>
        <w:t>1</w:t>
      </w:r>
      <w:r>
        <w:t xml:space="preserve"> - </w:t>
      </w:r>
      <w:r>
        <w:t>280</w:t>
      </w:r>
      <w:r>
        <w:rPr>
          <w:rStyle w:val="HideTWBExt"/>
        </w:rPr>
        <w:t>&lt;/RangeAM&gt;</w:t>
      </w:r>
    </w:p>
    <w:p>
      <w:pPr>
        <w:pStyle w:val="CoverBold"/>
      </w:pPr>
      <w:r>
        <w:rPr>
          <w:rStyle w:val="HideTWBExt"/>
        </w:rPr>
        <w:t>&lt;TitreType&gt;</w:t>
      </w:r>
      <w:r>
        <w:t>Проект на доклад</w:t>
      </w:r>
      <w:r>
        <w:rPr>
          <w:rStyle w:val="HideTWBExt"/>
        </w:rPr>
        <w:t>&lt;/TitreType&gt;</w:t>
      </w:r>
    </w:p>
    <w:p>
      <w:pPr>
        <w:pStyle w:val="CoverBold"/>
      </w:pPr>
      <w:r>
        <w:rPr>
          <w:rStyle w:val="HideTWBExt"/>
        </w:rPr>
        <w:t>&lt;Rapporteur&gt;</w:t>
      </w:r>
      <w:r>
        <w:t>Кирън Мълули</w:t>
      </w:r>
      <w:r>
        <w:rPr>
          <w:rStyle w:val="HideTWBExt"/>
        </w:rPr>
        <w:t>&lt;/Rapporteur&gt;</w:t>
      </w:r>
    </w:p>
    <w:p>
      <w:pPr>
        <w:pStyle w:val="CoverNormal24a"/>
      </w:pPr>
      <w:r>
        <w:rPr>
          <w:rStyle w:val="HideTWBExt"/>
        </w:rPr>
        <w:t>&lt;DocRefPE&gt;</w:t>
      </w:r>
      <w:r>
        <w:t>(PE769.954v01-00)</w:t>
      </w:r>
      <w:r>
        <w:rPr>
          <w:rStyle w:val="HideTWBExt"/>
        </w:rPr>
        <w:t>&lt;/DocRefPE&gt;</w:t>
      </w:r>
    </w:p>
    <w:p>
      <w:pPr>
        <w:pStyle w:val="CoverNormal"/>
      </w:pPr>
      <w:r>
        <w:rPr>
          <w:rStyle w:val="HideTWBExt"/>
        </w:rPr>
        <w:t>&lt;Titre&gt;</w:t>
      </w:r>
      <w:r>
        <w:t>Роля на политиката на сближаване за подкрепа на справедливия преход</w:t>
      </w:r>
      <w:r>
        <w:rPr>
          <w:rStyle w:val="HideTWBExt"/>
        </w:rPr>
        <w:t>&lt;/Titre&gt;</w:t>
      </w:r>
    </w:p>
    <w:p>
      <w:pPr>
        <w:pStyle w:val="CoverNormal24a"/>
      </w:pPr>
      <w:r>
        <w:rPr>
          <w:rStyle w:val="HideTWBExt"/>
        </w:rPr>
        <w:t>&lt;DocRef&gt;</w:t>
      </w:r>
      <w:r>
        <w:t>(2024/2121(INI))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Изменение</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6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споразумението, прието на 21-ата конференция на страните по Рамковата конвенция на ООН по изменение на климата (COP 21) в Париж на 12 декември 2015 г. (Парижкото споразумение),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6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Доклад № 1/2024 на ЕАОС — Европейска оценка на риска, свързан с климата (EUCRA),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6 в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своята резолюция от 25 март 2021 г. относно политиката на сближаване и регионалните стратегии за околната среда в борбата с изменението на климата,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Роди Толаси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като взе предвид Регламент (EС) 2021/1119 на Европейския парламент и на Съвета от 30 юни 2021 г. за създаване на рамката за постигане на неутралност по отношение на климата и за изменение на регламенти (ЕО) № 401/2009 и (ЕС) 2018/1999 („Европейски закон за климата“)</w:t>
            </w:r>
            <w:r>
              <w:rPr>
                <w:vertAlign w:val="superscript"/>
              </w:rPr>
              <w:t>5</w:t>
            </w:r>
            <w:r>
              <w:t>, включително правна цел за ЕС за постигане на неутралност по отношение на климата до 2050 г., в който се определя междинната цел за намаляване на нетните емисии на парникови газове с най-малко 55% до 2030 г. в сравнение с равнищата от 1990 г.,</w:t>
            </w:r>
          </w:p>
        </w:tc>
        <w:tc>
          <w:tcPr>
            <w:tcW w:w="4876" w:type="dxa"/>
            <w:tcBorders>
              <w:top w:val="nil"/>
              <w:left w:val="nil"/>
              <w:bottom w:val="nil"/>
              <w:right w:val="nil"/>
            </w:tcBorders>
          </w:tcPr>
          <w:p>
            <w:pPr>
              <w:pStyle w:val="Normal6a"/>
            </w:pPr>
            <w:r>
              <w:rPr>
                <w:i/>
              </w:rPr>
              <w:t>(Не се отнася до българския текст)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ОВ L 243, 9.7.2021 г., стр. 1, ELI: http://data.europa.eu/eli/reg/2021/1119/oj.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Елена Невадо Дел Кампо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7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Регламент (ЕС) 2024/1735 на Европейския парламент и на Съвета от 13 юни 2024 г. за създаване на рамка от мерки за укрепване на европейската екосистема за производство в областта на технологиите за нулеви нетни емисии и за изменение на Регламент (ЕС) 2018/1724;</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7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съобщението на Комисията от 14 юли 2021 г., озаглавено „Подготвени за цел 55“ („Fit for 55“): постигане на целта на ЕС в областта на климата до 2030 г. по пътя към неутралност по отношение на климата“ (COM(2021)0550),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Елена Невадо Дел Кампо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7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Регламент (ЕС) 2021/241 на Европейския парламент и на Съвета от 12 февруари 2021 г. за създаване на Механизъм за възстановяване и устойчивост,</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7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съобщението на Комисията от 4 март 2021 г. относно плана за действие на Европейския стълб на социалните права (COM(2021)0102),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8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резолюцията на Европейския парламент от 7 юни 2022 г. относно островите на ЕС и политиката на сближаване:</w:t>
            </w:r>
            <w:r>
              <w:t xml:space="preserve"> </w:t>
            </w:r>
            <w:r>
              <w:rPr>
                <w:b/>
                <w:i/>
              </w:rPr>
              <w:t>настоящо положение и бъдещи предизвикателства (2021/2079(INI))</w:t>
            </w:r>
            <w:r>
              <w:rPr>
                <w:b/>
                <w:i/>
                <w:vertAlign w:val="superscript"/>
              </w:rPr>
              <w:t>5a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https://eur-lex.europa.eu/legal-content/BG/TXT/?uri=OJ%3AJOC_2022_493_R_0005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8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своята резолюция от 20 май 2021 г. относно обръщането на демографските тенденции в регионите на ЕС чрез използване на инструментите на политиката на сближаване</w:t>
            </w:r>
            <w:r>
              <w:rPr>
                <w:b/>
                <w:i/>
                <w:vertAlign w:val="superscript"/>
              </w:rPr>
              <w:t>5б</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5б</w:t>
            </w:r>
            <w:r>
              <w:t xml:space="preserve"> </w:t>
            </w:r>
            <w:r>
              <w:rPr>
                <w:b/>
                <w:i/>
              </w:rPr>
              <w:t>https://www.europarl.europa.eu/doceo/document/TA-9-2021-0248_BG.html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10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своята резолюция от 23 ноември 2023 г. относно създаването на работни места – справедлив преход и инвестиции с положително въздействие,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13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Териториалната програма за 2030 г.: бъдеще за всички територии, приета на 1 декември 2020 г. на неформалната среща на министрите по въпросите на териториалното устройство, териториалното развитие и/или териториалното сближаване,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14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Пакта за чиста промишленост:</w:t>
            </w:r>
            <w:r>
              <w:t xml:space="preserve"> </w:t>
            </w:r>
            <w:r>
              <w:rPr>
                <w:b/>
                <w:i/>
              </w:rPr>
              <w:t>Съвместна пътна карта за конкурентоспособност и декарбонизация от 26-ти февруари 2025 г. СОМ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15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съобщението на Комисията от 5 март 2025 г., озаглавено „Съюз на уменията“ (COM(2025)0090),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А.</w:t>
            </w:r>
            <w:r>
              <w:tab/>
            </w:r>
            <w:r>
              <w:t xml:space="preserve">като има предвид, че амбициозната цел за </w:t>
            </w:r>
            <w:r>
              <w:rPr>
                <w:b/>
                <w:i/>
              </w:rPr>
              <w:t>преход към</w:t>
            </w:r>
            <w:r>
              <w:t xml:space="preserve"> неутрална по отношение на въглеродните емисии икономика до 2050 г. </w:t>
            </w:r>
            <w:r>
              <w:rPr>
                <w:b/>
                <w:i/>
              </w:rPr>
              <w:t>може да създаде възможности, както и нови предизвикателства за</w:t>
            </w:r>
            <w:r>
              <w:t xml:space="preserve"> регионите, които са </w:t>
            </w:r>
            <w:r>
              <w:rPr>
                <w:b/>
                <w:i/>
              </w:rPr>
              <w:t>неблагоприятно засегнати от този</w:t>
            </w:r>
            <w:r>
              <w:t xml:space="preserve"> преход;</w:t>
            </w:r>
          </w:p>
        </w:tc>
        <w:tc>
          <w:tcPr>
            <w:tcW w:w="4876" w:type="dxa"/>
            <w:tcBorders>
              <w:top w:val="nil"/>
              <w:left w:val="nil"/>
              <w:bottom w:val="nil"/>
              <w:right w:val="nil"/>
            </w:tcBorders>
          </w:tcPr>
          <w:p>
            <w:pPr>
              <w:pStyle w:val="Normal6a"/>
            </w:pPr>
            <w:r>
              <w:t>А.</w:t>
            </w:r>
            <w:r>
              <w:tab/>
            </w:r>
            <w:r>
              <w:t xml:space="preserve">като има предвид, че амбициозната цел за </w:t>
            </w:r>
            <w:r>
              <w:rPr>
                <w:b/>
                <w:i/>
              </w:rPr>
              <w:t>постигане на</w:t>
            </w:r>
            <w:r>
              <w:t xml:space="preserve"> неутрална по отношение на въглеродните емисии икономика до 2050 г.</w:t>
            </w:r>
            <w:r>
              <w:rPr>
                <w:b/>
                <w:i/>
              </w:rPr>
              <w:t>, като част от по-широкия ангажимент на ЕС към екологичния преход, има потенциала да генерира значителни икономически, екологични и социални ползи, включително създаването на нови отрасли, възможности за работа и подобрено качество на живот;</w:t>
            </w:r>
            <w:r>
              <w:t xml:space="preserve"> </w:t>
            </w:r>
            <w:r>
              <w:rPr>
                <w:b/>
                <w:i/>
              </w:rPr>
              <w:t>като има предвид, че в същото време този преход може също така да изостри съществуващите различия и да създаде нови уязвимости, особено в</w:t>
            </w:r>
            <w:r>
              <w:t xml:space="preserve"> регионите, които са </w:t>
            </w:r>
            <w:r>
              <w:rPr>
                <w:b/>
                <w:i/>
              </w:rPr>
              <w:t>в неравностойно структурно положение, силно зависими от отраслите с високи въглеродни емисии или които не разполагат с инфраструктурата и достъпа до приобщаващи и справедливи възможности за образование и обучение, необходими за адаптиране към този бърз</w:t>
            </w:r>
            <w:r>
              <w:t xml:space="preserve"> преход; </w:t>
            </w:r>
            <w:r>
              <w:rPr>
                <w:b/>
                <w:i/>
              </w:rPr>
              <w:t>като има предвид, че тези предизвикателства са допълнително утежнени от продължаващата демографска криза, включително намаляването на населението и неговото застаряване, което рискува да подкопае способността на ЕС да изпълнява целите, залегнали в Договорите, по-специално тези, свързани с икономическото, социалното и териториалното сближаване, солидарността между държавите членки и насърчаването на сближаването във възходяща посока във всички региони;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А.</w:t>
            </w:r>
            <w:r>
              <w:tab/>
            </w:r>
            <w:r>
              <w:t>като има предвид, че амбициозната цел за преход към неутрална по отношение на въглеродните емисии икономика до 2050 г. може да създаде възможности, както и нови предизвикателства за регионите, които са неблагоприятно засегнати от този преход;</w:t>
            </w:r>
          </w:p>
        </w:tc>
        <w:tc>
          <w:tcPr>
            <w:tcW w:w="4876" w:type="dxa"/>
            <w:tcBorders>
              <w:top w:val="nil"/>
              <w:left w:val="nil"/>
              <w:bottom w:val="nil"/>
              <w:right w:val="nil"/>
            </w:tcBorders>
          </w:tcPr>
          <w:p>
            <w:pPr>
              <w:pStyle w:val="Normal6a"/>
            </w:pPr>
            <w:r>
              <w:t>А.</w:t>
            </w:r>
            <w:r>
              <w:tab/>
            </w:r>
            <w:r>
              <w:t xml:space="preserve">като има предвид, че амбициозната цел за преход към неутрална по отношение на въглеродните емисии икономика </w:t>
            </w:r>
            <w:r>
              <w:rPr>
                <w:b/>
                <w:i/>
              </w:rPr>
              <w:t>най-късно</w:t>
            </w:r>
            <w:r>
              <w:t xml:space="preserve"> до 2050 г. може да създаде възможности, както и нови предизвикателства за регионите, които са неблагоприятно засегнати от този преход; </w:t>
            </w:r>
            <w:r>
              <w:rPr>
                <w:b/>
                <w:i/>
              </w:rPr>
              <w:t>като има предвид, че замърсяването на въздуха и водите, наличието на риск за водата, както и енергийната бедност като цяло продължават да бъдат на твърде високи равнища в редица по-слабо развити региони;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А.</w:t>
            </w:r>
            <w:r>
              <w:tab/>
            </w:r>
            <w:r>
              <w:t xml:space="preserve">като има предвид, че амбициозната цел за преход към неутрална по отношение на въглеродните емисии икономика до 2050 г. </w:t>
            </w:r>
            <w:r>
              <w:rPr>
                <w:b/>
                <w:i/>
              </w:rPr>
              <w:t>може да създаде възможности, както и нови</w:t>
            </w:r>
            <w:r>
              <w:t xml:space="preserve"> предизвикателства за </w:t>
            </w:r>
            <w:r>
              <w:rPr>
                <w:b/>
                <w:i/>
              </w:rPr>
              <w:t>регионите, които са неблагоприятно засегнати от този преход</w:t>
            </w:r>
            <w:r>
              <w:t>;</w:t>
            </w:r>
          </w:p>
        </w:tc>
        <w:tc>
          <w:tcPr>
            <w:tcW w:w="4876" w:type="dxa"/>
            <w:tcBorders>
              <w:top w:val="nil"/>
              <w:left w:val="nil"/>
              <w:bottom w:val="nil"/>
              <w:right w:val="nil"/>
            </w:tcBorders>
          </w:tcPr>
          <w:p>
            <w:pPr>
              <w:pStyle w:val="Normal6a"/>
            </w:pPr>
            <w:r>
              <w:t>А.</w:t>
            </w:r>
            <w:r>
              <w:tab/>
            </w:r>
            <w:r>
              <w:t xml:space="preserve">като има предвид, че амбициозната цел за преход към неутрална по отношение на въглеродните емисии икономика до 2050 г. </w:t>
            </w:r>
            <w:r>
              <w:rPr>
                <w:b/>
                <w:i/>
              </w:rPr>
              <w:t>понастоящем причинява значителни трудности и сериозни</w:t>
            </w:r>
            <w:r>
              <w:t xml:space="preserve"> предизвикателства за </w:t>
            </w:r>
            <w:r>
              <w:rPr>
                <w:b/>
                <w:i/>
              </w:rPr>
              <w:t>много региони, въпреки че трябваше да бъде възможност и да създаде нови възможности за тях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Дан Барна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А.</w:t>
            </w:r>
            <w:r>
              <w:tab/>
            </w:r>
            <w:r>
              <w:t>като има предвид, че амбициозната цел за преход към неутрална по отношение на въглеродните емисии икономика до 2050 г. може да създаде възможности, както и нови предизвикателства за регионите, които са неблагоприятно засегнати от този преход;</w:t>
            </w:r>
          </w:p>
        </w:tc>
        <w:tc>
          <w:tcPr>
            <w:tcW w:w="4876" w:type="dxa"/>
            <w:tcBorders>
              <w:top w:val="nil"/>
              <w:left w:val="nil"/>
              <w:bottom w:val="nil"/>
              <w:right w:val="nil"/>
            </w:tcBorders>
          </w:tcPr>
          <w:p>
            <w:pPr>
              <w:pStyle w:val="Normal6a"/>
            </w:pPr>
            <w:r>
              <w:t>А.</w:t>
            </w:r>
            <w:r>
              <w:tab/>
            </w:r>
            <w:r>
              <w:t>като има предвид, че амбициозната цел за преход към неутрална по отношение на въглеродните емисии икономика до 2050 г. може да създаде възможности, както и нови предизвикателства за регионите, които са неблагоприятно засегнати от този преход</w:t>
            </w:r>
            <w:r>
              <w:rPr>
                <w:b/>
                <w:i/>
              </w:rPr>
              <w:t>, особено за въгледобивните райони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Андре Руже, Роди Толаси, Клара Досталова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А.</w:t>
            </w:r>
            <w:r>
              <w:tab/>
            </w:r>
            <w:r>
              <w:t xml:space="preserve">като има предвид, че </w:t>
            </w:r>
            <w:r>
              <w:rPr>
                <w:b/>
                <w:i/>
              </w:rPr>
              <w:t>амбициозната цел</w:t>
            </w:r>
            <w:r>
              <w:t xml:space="preserve"> за преход към неутрална по отношение на въглеродните емисии икономика до 2050 г. </w:t>
            </w:r>
            <w:r>
              <w:rPr>
                <w:b/>
                <w:i/>
              </w:rPr>
              <w:t>може да</w:t>
            </w:r>
            <w:r>
              <w:t xml:space="preserve"> създаде </w:t>
            </w:r>
            <w:r>
              <w:rPr>
                <w:b/>
                <w:i/>
              </w:rPr>
              <w:t>възможности, както и нови предизвикателства</w:t>
            </w:r>
            <w:r>
              <w:t xml:space="preserve"> за регионите, които са неблагоприятно засегнати от този преход;</w:t>
            </w:r>
          </w:p>
        </w:tc>
        <w:tc>
          <w:tcPr>
            <w:tcW w:w="4876" w:type="dxa"/>
            <w:tcBorders>
              <w:top w:val="nil"/>
              <w:left w:val="nil"/>
              <w:bottom w:val="nil"/>
              <w:right w:val="nil"/>
            </w:tcBorders>
          </w:tcPr>
          <w:p>
            <w:pPr>
              <w:pStyle w:val="Normal6a"/>
            </w:pPr>
            <w:r>
              <w:t>А.</w:t>
            </w:r>
            <w:r>
              <w:tab/>
            </w:r>
            <w:r>
              <w:t xml:space="preserve">като има предвид, че </w:t>
            </w:r>
            <w:r>
              <w:rPr>
                <w:b/>
                <w:i/>
              </w:rPr>
              <w:t>целта</w:t>
            </w:r>
            <w:r>
              <w:t xml:space="preserve"> за преход към неутрална по отношение на въглеродните емисии икономика до 2050 г. </w:t>
            </w:r>
            <w:r>
              <w:rPr>
                <w:b/>
                <w:i/>
              </w:rPr>
              <w:t>ще</w:t>
            </w:r>
            <w:r>
              <w:t xml:space="preserve"> създаде </w:t>
            </w:r>
            <w:r>
              <w:rPr>
                <w:b/>
                <w:i/>
              </w:rPr>
              <w:t>допълнителни и непреодолими трудности</w:t>
            </w:r>
            <w:r>
              <w:t xml:space="preserve"> за регионите, които </w:t>
            </w:r>
            <w:r>
              <w:rPr>
                <w:b/>
                <w:i/>
              </w:rPr>
              <w:t>вече</w:t>
            </w:r>
            <w:r>
              <w:t xml:space="preserve"> са неблагоприятно засегнати от този преход;</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Даниел Буда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Аа.</w:t>
            </w:r>
            <w:r>
              <w:tab/>
            </w:r>
            <w:r>
              <w:rPr>
                <w:b/>
                <w:i/>
              </w:rPr>
              <w:t>като има предвид, че е от съществено значение регионите, които са неблагоприятно засегнати от прехода към неутралност по отношение на климата, да получат подходяща подкрепа за управление на въздействието на този преход, като по този начин се гарантира, че те няма да претърпят икономическа стагнация или значителна загуба на работни места;</w:t>
            </w:r>
            <w:r>
              <w:t xml:space="preserve"> </w:t>
            </w:r>
            <w:r>
              <w:rPr>
                <w:b/>
                <w:i/>
              </w:rPr>
              <w:t>като има предвид, че тези региони трябва да се възползват от специфични механизми за преобразуване и подкрепа, за да превърнат предизвикателствата в нови икономически възможности;</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Аа.</w:t>
            </w:r>
            <w:r>
              <w:tab/>
            </w:r>
            <w:r>
              <w:rPr>
                <w:b/>
                <w:i/>
              </w:rPr>
              <w:t>като има предвид, че европейският континент се затопля по-бързо от останалите части от света и рисковете, породени от изменението на климата, стават по-сложни и пораждат по-големи предизвикателства;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 xml:space="preserve">като има предвид, че регионите на ЕС </w:t>
            </w:r>
            <w:r>
              <w:rPr>
                <w:b/>
                <w:i/>
              </w:rPr>
              <w:t>се различават значително по своите социално-икономически характеристики и</w:t>
            </w:r>
            <w:r>
              <w:t xml:space="preserve"> е ясно, че не съществува универсално решение, което да може адекватно да отговори на техните разнообразни териториални и социално-икономически потребности;</w:t>
            </w:r>
          </w:p>
        </w:tc>
        <w:tc>
          <w:tcPr>
            <w:tcW w:w="4876" w:type="dxa"/>
            <w:tcBorders>
              <w:top w:val="nil"/>
              <w:left w:val="nil"/>
              <w:bottom w:val="nil"/>
              <w:right w:val="nil"/>
            </w:tcBorders>
          </w:tcPr>
          <w:p>
            <w:pPr>
              <w:pStyle w:val="Normal6a"/>
            </w:pPr>
            <w:r>
              <w:t>Б.</w:t>
            </w:r>
            <w:r>
              <w:tab/>
            </w:r>
            <w:r>
              <w:t xml:space="preserve">като има предвид, че регионите на ЕС </w:t>
            </w:r>
            <w:r>
              <w:rPr>
                <w:b/>
                <w:i/>
              </w:rPr>
              <w:t>са белязани от висока степен на териториално, икономическо и социално многообразие, с различни равнища на развитие, инфраструктура, демографски тенденции и условия на пазара на труда, като</w:t>
            </w:r>
            <w:r>
              <w:t xml:space="preserve"> е ясно, че не съществува универсално решение, което да може адекватно да отговори на техните разнообразни териториални и социално-икономически потребности; </w:t>
            </w:r>
            <w:r>
              <w:rPr>
                <w:b/>
                <w:i/>
              </w:rPr>
              <w:t>като има предвид, че поради това програмите на политиката на сближаване следва да се изпълняват по начин, чрез който да се преодолеят тези различия, като се предоставят гъвкави, местни/регионални и съобразени с конкретните нужди решения, които отчитат специфичните нужди, характеристики и потенциал на всеки регион;</w:t>
            </w:r>
            <w:r>
              <w:t xml:space="preserve"> </w:t>
            </w:r>
            <w:r>
              <w:rPr>
                <w:b/>
                <w:i/>
              </w:rPr>
              <w:t>като има предвид, че подобен подход е от съществено значение, за да се гарантира, че нито един регион няма да бъде изоставен в екологичния и цифровия преход, и за да се укрепи икономическото, социалното и териториалното сближаване в целия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Пауло До Нашименто Кабрал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 xml:space="preserve">като има предвид, че регионите на </w:t>
            </w:r>
            <w:r>
              <w:rPr>
                <w:b/>
                <w:i/>
              </w:rPr>
              <w:t>ЕС</w:t>
            </w:r>
            <w:r>
              <w:t xml:space="preserve"> се различават значително по </w:t>
            </w:r>
            <w:r>
              <w:rPr>
                <w:b/>
                <w:i/>
              </w:rPr>
              <w:t>своите социално-икономически</w:t>
            </w:r>
            <w:r>
              <w:t xml:space="preserve"> характеристики и е </w:t>
            </w:r>
            <w:r>
              <w:rPr>
                <w:b/>
                <w:i/>
              </w:rPr>
              <w:t>ясно</w:t>
            </w:r>
            <w:r>
              <w:t xml:space="preserve">, че не съществува универсално решение, което да </w:t>
            </w:r>
            <w:r>
              <w:rPr>
                <w:b/>
                <w:i/>
              </w:rPr>
              <w:t>може адекватно</w:t>
            </w:r>
            <w:r>
              <w:t xml:space="preserve"> да отговори на техните разнообразни териториални и социално-икономически потребности;</w:t>
            </w:r>
          </w:p>
        </w:tc>
        <w:tc>
          <w:tcPr>
            <w:tcW w:w="4876" w:type="dxa"/>
            <w:tcBorders>
              <w:top w:val="nil"/>
              <w:left w:val="nil"/>
              <w:bottom w:val="nil"/>
              <w:right w:val="nil"/>
            </w:tcBorders>
          </w:tcPr>
          <w:p>
            <w:pPr>
              <w:pStyle w:val="Normal6a"/>
            </w:pPr>
            <w:r>
              <w:t>Б.</w:t>
            </w:r>
            <w:r>
              <w:tab/>
            </w:r>
            <w:r>
              <w:t xml:space="preserve">като има предвид, че регионите на </w:t>
            </w:r>
            <w:r>
              <w:rPr>
                <w:b/>
                <w:i/>
              </w:rPr>
              <w:t>Европейския съюз</w:t>
            </w:r>
            <w:r>
              <w:t xml:space="preserve"> се различават значително по </w:t>
            </w:r>
            <w:r>
              <w:rPr>
                <w:b/>
                <w:i/>
              </w:rPr>
              <w:t>отношение на социално-икономическите си</w:t>
            </w:r>
            <w:r>
              <w:t xml:space="preserve"> характеристики и е </w:t>
            </w:r>
            <w:r>
              <w:rPr>
                <w:b/>
                <w:i/>
              </w:rPr>
              <w:t>очевидно</w:t>
            </w:r>
            <w:r>
              <w:t xml:space="preserve">, че не съществува универсално решение, което да </w:t>
            </w:r>
            <w:r>
              <w:rPr>
                <w:b/>
                <w:i/>
              </w:rPr>
              <w:t>е в състояние</w:t>
            </w:r>
            <w:r>
              <w:t xml:space="preserve"> да отговори </w:t>
            </w:r>
            <w:r>
              <w:rPr>
                <w:b/>
                <w:i/>
              </w:rPr>
              <w:t>адекватно</w:t>
            </w:r>
            <w:r>
              <w:t xml:space="preserve"> на техните разнообразни териториални и социално-икономически потребности</w:t>
            </w:r>
            <w:r>
              <w:rPr>
                <w:b/>
                <w:i/>
              </w:rPr>
              <w:t>, поради което е от съществено значение да се запазят териториалните планове за справедлив преход, като същевременно се гарантира участието на регионалните и местните органи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като има предвид, че регионите на ЕС се различават значително по своите социално-икономически характеристики и е ясно, че не съществува универсално решение, което да може адекватно да отговори на техните разнообразни териториални и социално-икономически потребности;</w:t>
            </w:r>
          </w:p>
        </w:tc>
        <w:tc>
          <w:tcPr>
            <w:tcW w:w="4876" w:type="dxa"/>
            <w:tcBorders>
              <w:top w:val="nil"/>
              <w:left w:val="nil"/>
              <w:bottom w:val="nil"/>
              <w:right w:val="nil"/>
            </w:tcBorders>
          </w:tcPr>
          <w:p>
            <w:pPr>
              <w:pStyle w:val="Normal6a"/>
            </w:pPr>
            <w:r>
              <w:t>Б.</w:t>
            </w:r>
            <w:r>
              <w:tab/>
            </w:r>
            <w:r>
              <w:t xml:space="preserve">като има предвид, че регионите на ЕС се различават значително по своите социално-икономически характеристики и е ясно, че не съществува универсално решение, което да може адекватно да отговори на техните разнообразни териториални и социално-икономически потребности; </w:t>
            </w:r>
            <w:r>
              <w:rPr>
                <w:b/>
                <w:i/>
              </w:rPr>
              <w:t>като има предвид, че най-бедните региони страдат най-много от прехода, докато само най-богатите региони понастоящем могат да се възползват от него;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Ба.</w:t>
            </w:r>
            <w:r>
              <w:tab/>
            </w:r>
            <w:r>
              <w:rPr>
                <w:b/>
                <w:i/>
              </w:rPr>
              <w:t>като има предвид, че уязвимото положение на островите, островните и най-отдалечените региони се нуждае от специален акцент и подкрепа, като се имат предвид сериозните социално-икономически предизвикателства, пред които те са изправени при прехода към енергийните цели на ЕС за 2030 г. и целта за неутрална по отношение на климата икономика до 2050 г.;</w:t>
            </w:r>
            <w:r>
              <w:t xml:space="preserve"> </w:t>
            </w:r>
            <w:r>
              <w:rPr>
                <w:b/>
                <w:i/>
              </w:rPr>
              <w:t>като има предвид, че съществуващите едновременно неблагоприятни условия на островите, произтичащи от островния характер, съчетани със сериозното въздействие на кризата в областта на климата, поставят техните граждани в допълнително неравностойно положение, което изостря съществуващите социални и икономически различия;</w:t>
            </w:r>
            <w:r>
              <w:t xml:space="preserve"> </w:t>
            </w:r>
            <w:r>
              <w:rPr>
                <w:b/>
                <w:i/>
              </w:rPr>
              <w:t>като има предвид, че все по-честите екстремни метеорологични явления и природни бедствия, като например суши, наводнения и горски пожари, допълнително увеличават различията в развитието и възпрепятстват напредъка в устойчивото развитие на островните региони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Даниел Буда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Ба.</w:t>
            </w:r>
            <w:r>
              <w:tab/>
            </w:r>
            <w:r>
              <w:rPr>
                <w:b/>
                <w:i/>
              </w:rPr>
              <w:t>като има предвид, че регионите на ЕС се различават значително по своите социално-икономически характеристики и е ясно, че не съществува универсално решение, което да може адекватно да отговори на техните разнообразни териториални и социално-икономически потребности;</w:t>
            </w:r>
            <w:r>
              <w:t xml:space="preserve"> </w:t>
            </w:r>
            <w:r>
              <w:rPr>
                <w:b/>
                <w:i/>
              </w:rPr>
              <w:t>като има предвид, че в настоящия геополитически контекст, с неясното положение във връзка с енергийната сигурност и стабилността на международните пазари, може да се наложи някои региони да се върнат към традиционните икономически дейности, включително в сектори като минното дело или експлоатацията на природни ресурси, поне в краткосрочен план, за да се отговори на вътрешните нужди и да се намали зависимостта от външни енергийни източници;</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Дан-Щефан Мотряну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Ба.</w:t>
            </w:r>
            <w:r>
              <w:tab/>
            </w:r>
            <w:r>
              <w:rPr>
                <w:b/>
                <w:i/>
              </w:rPr>
              <w:t>като има предвид, че ефективността на стратегиите за справедлив преход зависи от съгласуваното и стратегическо използване на финансовите инструменти на ЕС;</w:t>
            </w:r>
            <w:r>
              <w:t xml:space="preserve"> </w:t>
            </w:r>
            <w:r>
              <w:rPr>
                <w:b/>
                <w:i/>
              </w:rPr>
              <w:t>като има предвид, че разпокъсаността на фондовете през настоящия програмен период има отрицателно въздействие в някои региони;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Ба.</w:t>
            </w:r>
            <w:r>
              <w:tab/>
            </w:r>
            <w:r>
              <w:rPr>
                <w:b/>
                <w:i/>
              </w:rPr>
              <w:t>като има предвид, че основната цел на политиката на сближаване беше (и продължава да бъде) икономическа конвергенция, но екологичният преход заплашва да обърне и унищожи тези стремежи чрез увеличаване на икономическото разделение между регионите;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Ба.</w:t>
            </w:r>
            <w:r>
              <w:tab/>
            </w:r>
            <w:r>
              <w:rPr>
                <w:b/>
                <w:i/>
              </w:rPr>
              <w:t>като има предвид, че климатичните рискове засягат непропорционално уязвимите групи от населението поради социално-икономически фактори, които допълнително възпрепятстват способността на уязвимите групи да се възстановяват от бедствия;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Бб.</w:t>
            </w:r>
            <w:r>
              <w:tab/>
            </w:r>
            <w:r>
              <w:rPr>
                <w:b/>
                <w:i/>
              </w:rPr>
              <w:t>като има предвид, че физическото изключване и изолацията на островите от континента представляват трайно структурно неблагоприятно положение, което засяга множество аспекти на икономическия и социалния живот, включително достъпа до пазара на труда, образованието, здравеопазването, мобилността и обществените услуги;</w:t>
            </w:r>
            <w:r>
              <w:t xml:space="preserve"> </w:t>
            </w:r>
            <w:r>
              <w:rPr>
                <w:b/>
                <w:i/>
              </w:rPr>
              <w:t>като има предвид, че ограничената територия на островите значително ограничава възможностите за професионално повишаване на квалификацията и преквалификация, като по този начин ограничава способността на работниците да се адаптират към структурни промени или секторни промени, като например тези, породени от екологичния и цифровия преход;</w:t>
            </w:r>
            <w:r>
              <w:t xml:space="preserve"> </w:t>
            </w:r>
            <w:r>
              <w:rPr>
                <w:b/>
                <w:i/>
              </w:rPr>
              <w:t>като има предвид, че в много случаи тази липса на алтернативи принуждава работниците да напуснат родните си региони, за да получат достъп до възможности за заетост другаде, което на практика подкопава тяхното „право на престой“ и допринася за обезлюдяването и изтичането на мозъци в островните територии;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Бб.</w:t>
            </w:r>
            <w:r>
              <w:tab/>
            </w:r>
            <w:r>
              <w:rPr>
                <w:b/>
                <w:i/>
              </w:rPr>
              <w:t>като има предвид, че най-неотложният проблем понастоящем е индустриализацията на по-бедните региони, а не тяхната деиндустриализация чрез екологичния преход;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в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Бв.</w:t>
            </w:r>
            <w:r>
              <w:tab/>
            </w:r>
            <w:r>
              <w:rPr>
                <w:b/>
                <w:i/>
              </w:rPr>
              <w:t>като има предвид, че най-бедните и най-уязвимите региони са разположени в източната част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г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Бг.</w:t>
            </w:r>
            <w:r>
              <w:tab/>
            </w:r>
            <w:r>
              <w:rPr>
                <w:b/>
                <w:i/>
              </w:rPr>
              <w:t>като има предвид, че войната в Украйна оказва допълнително отрицателно въздействие върху тези региони;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Андре Руже, Роди Толаси, Клара Досталова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В.</w:t>
            </w:r>
            <w:r>
              <w:tab/>
            </w:r>
            <w:r>
              <w:rPr>
                <w:b/>
                <w:i/>
              </w:rPr>
              <w:t>като има предвид, че много от отраслите, които са най-силно засегнати от декарбонизацията, имаха неблагоприятни условия на труд и зависимост от сезонни работници, търсещи социална справедливост преди прехода;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като има предвид, че много от отраслите, които са най-силно засегнати от декарбонизацията, имаха неблагоприятни условия на труд и зависимост от сезонни работници, търсещи социална справедливост преди прехода;</w:t>
            </w:r>
          </w:p>
        </w:tc>
        <w:tc>
          <w:tcPr>
            <w:tcW w:w="4876" w:type="dxa"/>
            <w:tcBorders>
              <w:top w:val="nil"/>
              <w:left w:val="nil"/>
              <w:bottom w:val="nil"/>
              <w:right w:val="nil"/>
            </w:tcBorders>
          </w:tcPr>
          <w:p>
            <w:pPr>
              <w:pStyle w:val="Normal6a"/>
            </w:pPr>
            <w:r>
              <w:t>В.</w:t>
            </w:r>
            <w:r>
              <w:tab/>
            </w:r>
            <w:r>
              <w:t xml:space="preserve">като има предвид, че много от отраслите, които са най-силно засегнати от декарбонизацията, имаха неблагоприятни условия на труд и зависимост от сезонни работници, търсещи социална справедливост преди прехода; </w:t>
            </w:r>
            <w:r>
              <w:rPr>
                <w:b/>
                <w:i/>
              </w:rPr>
              <w:t>като има предвид, че тези работници не са в състояние да преминат през сериозна преквалификация, което екологичният преход изисква от тях;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Пауло До Нашименто Кабрал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 xml:space="preserve">като има предвид, че </w:t>
            </w:r>
            <w:r>
              <w:rPr>
                <w:b/>
                <w:i/>
              </w:rPr>
              <w:t>много</w:t>
            </w:r>
            <w:r>
              <w:t xml:space="preserve"> от отраслите, които са най-силно засегнати от декарбонизацията, </w:t>
            </w:r>
            <w:r>
              <w:rPr>
                <w:b/>
                <w:i/>
              </w:rPr>
              <w:t>имаха</w:t>
            </w:r>
            <w:r>
              <w:t xml:space="preserve"> неблагоприятни условия на труд и зависимост от сезонни работници</w:t>
            </w:r>
            <w:r>
              <w:rPr>
                <w:b/>
                <w:i/>
              </w:rPr>
              <w:t>, търсещи социална справедливост преди прехода</w:t>
            </w:r>
            <w:r>
              <w:t>;</w:t>
            </w:r>
          </w:p>
        </w:tc>
        <w:tc>
          <w:tcPr>
            <w:tcW w:w="4876" w:type="dxa"/>
            <w:tcBorders>
              <w:top w:val="nil"/>
              <w:left w:val="nil"/>
              <w:bottom w:val="nil"/>
              <w:right w:val="nil"/>
            </w:tcBorders>
          </w:tcPr>
          <w:p>
            <w:pPr>
              <w:pStyle w:val="Normal6a"/>
            </w:pPr>
            <w:r>
              <w:t>В.</w:t>
            </w:r>
            <w:r>
              <w:tab/>
            </w:r>
            <w:r>
              <w:t xml:space="preserve">като има предвид, че </w:t>
            </w:r>
            <w:r>
              <w:rPr>
                <w:b/>
                <w:i/>
              </w:rPr>
              <w:t>някои</w:t>
            </w:r>
            <w:r>
              <w:t xml:space="preserve"> от отраслите, които са най-силно засегнати от декарбонизацията, </w:t>
            </w:r>
            <w:r>
              <w:rPr>
                <w:b/>
                <w:i/>
              </w:rPr>
              <w:t>бяха изправени пред</w:t>
            </w:r>
            <w:r>
              <w:t xml:space="preserve"> неблагоприятни условия на труд и зависимост от сезонни работници;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В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Ва.</w:t>
            </w:r>
            <w:r>
              <w:tab/>
            </w:r>
            <w:r>
              <w:rPr>
                <w:b/>
                <w:i/>
              </w:rPr>
              <w:t>като има предвид, че справедливият преход следва да даде приоритет на социалното приобщаване и да използва значителния му потенциал за създаване на качествена заетост на всички равнища на умения;</w:t>
            </w:r>
            <w:r>
              <w:t xml:space="preserve"> </w:t>
            </w:r>
            <w:r>
              <w:rPr>
                <w:b/>
                <w:i/>
              </w:rPr>
              <w:t>като има предвид, че той следва активно да се бори с дискриминацията на работното място, да гарантира достойни и качествени условия на труд и да повишава трудовите стандарти във всички сектори;</w:t>
            </w:r>
            <w:r>
              <w:t xml:space="preserve"> </w:t>
            </w:r>
            <w:r>
              <w:rPr>
                <w:b/>
                <w:i/>
              </w:rPr>
              <w:t>като има предвид, че политиките за справедлив преход следва да поставят специален акцент върху нуждите на най-засегнатите общности и най-уязвимите групи от населението;</w:t>
            </w:r>
            <w:r>
              <w:t xml:space="preserve"> </w:t>
            </w:r>
            <w:r>
              <w:rPr>
                <w:b/>
                <w:i/>
              </w:rPr>
              <w:t>като има предвид, че междусекторният подход следва да бъде систематично интегриран в законодателството и политиките на ЕС и на държавите членки, за да се гарантира пълното приобщаване на младите и по-възрастните работници, жените, хората с увреждания и работниците от необлагодетелствани региони и социално-икономически среди;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Елена Невадо Дел Кампо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В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Вa.</w:t>
            </w:r>
            <w:r>
              <w:tab/>
            </w:r>
            <w:r>
              <w:rPr>
                <w:b/>
                <w:i/>
              </w:rPr>
              <w:t>като има предвид, че ядрената енергия е включена в зелената таксономия и като има предвид, че поради това тя допринася за прехода към декарбонизирана икономика;</w:t>
            </w:r>
            <w:r>
              <w:t xml:space="preserve"> </w:t>
            </w:r>
            <w:r>
              <w:rPr>
                <w:b/>
                <w:i/>
              </w:rPr>
              <w:t>като има предвид, че повече инвестиции в тази енергийна форма биха спомогнали за постигането на стратегическата автономност на ЕС и за целите за намаляване на въглеродните емисии;</w:t>
            </w:r>
            <w:r>
              <w:t xml:space="preserve"> </w:t>
            </w:r>
            <w:r>
              <w:rPr>
                <w:b/>
                <w:i/>
              </w:rPr>
              <w:t>като има предвид освен това, че този енергиен източник би бил ефективен заместител по отношение на енергийните характеристики, създаването на работни места и икономическия растеж в регионите в преход;</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В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Ва.</w:t>
            </w:r>
            <w:r>
              <w:tab/>
            </w:r>
            <w:r>
              <w:rPr>
                <w:b/>
                <w:i/>
              </w:rPr>
              <w:t>като има предвид, че преходът към екологична устойчивост трябва да върви ръка за ръка с икономическа и социална справедливост;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Елена Невадо Дел Кампо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В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Вб.</w:t>
            </w:r>
            <w:r>
              <w:tab/>
            </w:r>
            <w:r>
              <w:rPr>
                <w:b/>
                <w:i/>
              </w:rPr>
              <w:t>като има предвид, че в ЕС средните емисии на CO2 от производството на електроенергия през 2023 г. варират значително между държавите членки с атомни електроцентрали и тези без тях, като емисиите на държавите членки с атомни електроцентрали бяха значително по-ниски;</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В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Вб.</w:t>
            </w:r>
            <w:r>
              <w:tab/>
            </w:r>
            <w:r>
              <w:rPr>
                <w:b/>
                <w:i/>
              </w:rPr>
              <w:t>като има предвид, че изтичането на мозъци засяга непропорционално по-слабо развитите региони и ако не се предприемат мерки, явлението ще има дългосрочни и постоянни последици за бъдещето на Европейския съюз;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Елена Невадо Дел Кампо, Сусана Солис Перес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В в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Вв.</w:t>
            </w:r>
            <w:r>
              <w:tab/>
            </w:r>
            <w:r>
              <w:rPr>
                <w:b/>
                <w:i/>
              </w:rPr>
              <w:t>като има предвид, че процесът на енергиен преход следва да върви ръка за ръка с икономическата конкурентоспособност и че е от съществено значение да се защити енергийната сигурност на тези райони;</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Елена Невадо Дел Кампо, Сусана Солис Перес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В г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Вг.</w:t>
            </w:r>
            <w:r>
              <w:tab/>
            </w:r>
            <w:r>
              <w:rPr>
                <w:b/>
                <w:i/>
              </w:rPr>
              <w:t>като има предвид, че за разлика от основните си конкуренти, ЕС е световен лидер в намаляването на емисиите, като същевременно се справя с много предизвикателства, породени от сложния глобален геополитически и икономически контекст;</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Елена Невадо Дел Кампо, Сусана Солис Перес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като има предвид, че Фондът на ЕС за справедлив преход (ФСП) трябваше да бъде ключов инструмент, за да се гарантира, че хората, живеещи в територии, засегнати от прехода към неутралност по отношение на климата, няма да бъдат изоставени; като има предвид, че до момента Фондът е постигнал степен на усвояване под 5%;</w:t>
            </w:r>
          </w:p>
        </w:tc>
        <w:tc>
          <w:tcPr>
            <w:tcW w:w="4876" w:type="dxa"/>
            <w:tcBorders>
              <w:top w:val="nil"/>
              <w:left w:val="nil"/>
              <w:bottom w:val="nil"/>
              <w:right w:val="nil"/>
            </w:tcBorders>
          </w:tcPr>
          <w:p>
            <w:pPr>
              <w:pStyle w:val="Normal6a"/>
            </w:pPr>
            <w:r>
              <w:t>Г.</w:t>
            </w:r>
            <w:r>
              <w:tab/>
            </w:r>
            <w:r>
              <w:t xml:space="preserve">като има предвид, че Фондът на ЕС за справедлив преход (ФСП) трябваше да бъде ключов инструмент, за да се гарантира, че хората, живеещи в територии, засегнати от прехода към неутралност по отношение на климата, няма да бъдат изоставени; като има предвид, че до момента Фондът е постигнал степен на усвояване под 5%; </w:t>
            </w:r>
            <w:r>
              <w:rPr>
                <w:b/>
                <w:i/>
              </w:rPr>
              <w:t>като има предвид обаче, че много засегнати общини не разполагат с основна инфраструктура и основни услуги, което затруднява привличането на продуктивни инвестиции, водещи до устойчиво икономическо възстановяване;</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Дан Барна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 xml:space="preserve">като има предвид, че Фондът на ЕС за справедлив преход (ФСП) трябваше да бъде </w:t>
            </w:r>
            <w:r>
              <w:rPr>
                <w:b/>
                <w:i/>
              </w:rPr>
              <w:t>ключов</w:t>
            </w:r>
            <w:r>
              <w:t xml:space="preserve"> инструмент</w:t>
            </w:r>
            <w:r>
              <w:rPr>
                <w:b/>
                <w:i/>
              </w:rPr>
              <w:t>, за да се гарантира, че хората, живеещи в територии,</w:t>
            </w:r>
            <w:r>
              <w:t xml:space="preserve"> засегнати от прехода към неутралност по отношение на климата, </w:t>
            </w:r>
            <w:r>
              <w:rPr>
                <w:b/>
                <w:i/>
              </w:rPr>
              <w:t>няма да бъдат изоставени</w:t>
            </w:r>
            <w:r>
              <w:t>; като има предвид, че до момента Фондът е постигнал степен на усвояване под 5%;</w:t>
            </w:r>
          </w:p>
        </w:tc>
        <w:tc>
          <w:tcPr>
            <w:tcW w:w="4876" w:type="dxa"/>
            <w:tcBorders>
              <w:top w:val="nil"/>
              <w:left w:val="nil"/>
              <w:bottom w:val="nil"/>
              <w:right w:val="nil"/>
            </w:tcBorders>
          </w:tcPr>
          <w:p>
            <w:pPr>
              <w:pStyle w:val="Normal6a"/>
            </w:pPr>
            <w:r>
              <w:t>Г.</w:t>
            </w:r>
            <w:r>
              <w:tab/>
            </w:r>
            <w:r>
              <w:t xml:space="preserve">като има предвид, че Фондът на ЕС за справедлив преход (ФСП) трябваше да бъде </w:t>
            </w:r>
            <w:r>
              <w:rPr>
                <w:b/>
                <w:i/>
              </w:rPr>
              <w:t>важен допълващ</w:t>
            </w:r>
            <w:r>
              <w:t xml:space="preserve"> инструмент </w:t>
            </w:r>
            <w:r>
              <w:rPr>
                <w:b/>
                <w:i/>
              </w:rPr>
              <w:t>в територии, разчитащи на изкопаеми горива, които са</w:t>
            </w:r>
            <w:r>
              <w:t xml:space="preserve"> засегнати от прехода към неутралност по отношение на климата, </w:t>
            </w:r>
            <w:r>
              <w:rPr>
                <w:b/>
                <w:i/>
              </w:rPr>
              <w:t>предназначен да допринесе за постигането на единствената конкретна цел да се даде възможност на регионите и хората да се справят със социалното, трудовото, икономическото и екологичното въздействие на прехода</w:t>
            </w:r>
            <w:r>
              <w:t>; като има предвид, че до момента Фондът е постигнал степен на усвояване под 5%</w:t>
            </w:r>
            <w:r>
              <w:rPr>
                <w:b/>
                <w:i/>
              </w:rPr>
              <w:t>, с процент на предварително финансиране над 31 %</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като има предвид, че Фондът на ЕС за справедлив преход (ФСП) трябваше да бъде ключов инструмент, за да се гарантира, че хората, живеещи в територии, засегнати от прехода към неутралност по отношение на климата, няма да бъдат изоставени; като има предвид, че до момента Фондът е постигнал степен на усвояване под 5%;</w:t>
            </w:r>
          </w:p>
        </w:tc>
        <w:tc>
          <w:tcPr>
            <w:tcW w:w="4876" w:type="dxa"/>
            <w:tcBorders>
              <w:top w:val="nil"/>
              <w:left w:val="nil"/>
              <w:bottom w:val="nil"/>
              <w:right w:val="nil"/>
            </w:tcBorders>
          </w:tcPr>
          <w:p>
            <w:pPr>
              <w:pStyle w:val="Normal6a"/>
            </w:pPr>
            <w:r>
              <w:t>Г.</w:t>
            </w:r>
            <w:r>
              <w:tab/>
            </w:r>
            <w:r>
              <w:t xml:space="preserve">като има предвид, че Фондът на ЕС за справедлив преход (ФСП) трябваше да бъде ключов инструмент, за да се гарантира, че хората, живеещи в територии, засегнати от прехода към неутралност по отношение на климата, няма да бъдат изоставени; като има предвид, че до момента Фондът е постигнал степен на усвояване под 5%; </w:t>
            </w:r>
            <w:r>
              <w:rPr>
                <w:b/>
                <w:i/>
              </w:rPr>
              <w:t>като има предвид, че екологичният и цифровият преход изискват ефективни предпазни мрежи и механизми за защита в подкрепа на работниците, чиито работни места са засегнати;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Пауло До Нашименто Кабрал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 xml:space="preserve">като има предвид, че Фондът на ЕС за справедлив преход (ФСП) </w:t>
            </w:r>
            <w:r>
              <w:rPr>
                <w:b/>
                <w:i/>
              </w:rPr>
              <w:t>трябваше</w:t>
            </w:r>
            <w:r>
              <w:t xml:space="preserve"> да бъде ключов инструмент, за да се гарантира, че хората, живеещи в територии, засегнати от прехода към неутралност по отношение на климата, няма да бъдат изоставени; </w:t>
            </w:r>
            <w:r>
              <w:rPr>
                <w:b/>
                <w:i/>
              </w:rPr>
              <w:t>като има предвид, че до момента Фондът е постигнал степен на усвояване под 5%;</w:t>
            </w:r>
          </w:p>
        </w:tc>
        <w:tc>
          <w:tcPr>
            <w:tcW w:w="4876" w:type="dxa"/>
            <w:tcBorders>
              <w:top w:val="nil"/>
              <w:left w:val="nil"/>
              <w:bottom w:val="nil"/>
              <w:right w:val="nil"/>
            </w:tcBorders>
          </w:tcPr>
          <w:p>
            <w:pPr>
              <w:pStyle w:val="Normal6a"/>
            </w:pPr>
            <w:r>
              <w:t>Г.</w:t>
            </w:r>
            <w:r>
              <w:tab/>
            </w:r>
            <w:r>
              <w:t xml:space="preserve">като има предвид, че Фондът на ЕС за справедлив преход (ФСП) </w:t>
            </w:r>
            <w:r>
              <w:rPr>
                <w:b/>
                <w:i/>
              </w:rPr>
              <w:t>трябва</w:t>
            </w:r>
            <w:r>
              <w:t xml:space="preserve"> да бъде ключов инструмент, за да се гарантира, че хората, живеещи в територии, засегнати от прехода към неутралност по отношение на климата, няма да бъдат изоставени;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Ян Фарски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 xml:space="preserve">като има предвид, че Фондът на ЕС за справедлив преход (ФСП) </w:t>
            </w:r>
            <w:r>
              <w:rPr>
                <w:b/>
                <w:i/>
              </w:rPr>
              <w:t>трябваше</w:t>
            </w:r>
            <w:r>
              <w:t xml:space="preserve"> да бъде ключов инструмент, за да се гарантира, че хората, живеещи в територии, засегнати от прехода към неутралност по отношение на климата, няма да бъдат изоставени; като има предвид, че до момента Фондът е постигнал степен на усвояване под 5%;</w:t>
            </w:r>
          </w:p>
        </w:tc>
        <w:tc>
          <w:tcPr>
            <w:tcW w:w="4876" w:type="dxa"/>
            <w:tcBorders>
              <w:top w:val="nil"/>
              <w:left w:val="nil"/>
              <w:bottom w:val="nil"/>
              <w:right w:val="nil"/>
            </w:tcBorders>
          </w:tcPr>
          <w:p>
            <w:pPr>
              <w:pStyle w:val="Normal6a"/>
            </w:pPr>
            <w:r>
              <w:t>Г.</w:t>
            </w:r>
            <w:r>
              <w:tab/>
            </w:r>
            <w:r>
              <w:t xml:space="preserve">като има предвид, че Фондът на ЕС за справедлив преход (ФСП) </w:t>
            </w:r>
            <w:r>
              <w:rPr>
                <w:b/>
                <w:i/>
              </w:rPr>
              <w:t>е и трябва да продължи</w:t>
            </w:r>
            <w:r>
              <w:t xml:space="preserve"> да бъде ключов инструмент, за да се гарантира, че хората, живеещи в територии, засегнати от прехода към неутралност по отношение на климата, няма да бъдат изоставени; като има предвид, че до момента Фондът е постигнал степен на усвояване под 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Д.</w:t>
            </w:r>
            <w:r>
              <w:tab/>
            </w:r>
            <w:r>
              <w:t>като има предвид, че ако не бъдат предприети подходящи мерки, бившите региони, произвеждащи торф, и миннодобивните региони рискуват да станат по-икономически неактивни;</w:t>
            </w:r>
          </w:p>
        </w:tc>
        <w:tc>
          <w:tcPr>
            <w:tcW w:w="4876" w:type="dxa"/>
            <w:tcBorders>
              <w:top w:val="nil"/>
              <w:left w:val="nil"/>
              <w:bottom w:val="nil"/>
              <w:right w:val="nil"/>
            </w:tcBorders>
          </w:tcPr>
          <w:p>
            <w:pPr>
              <w:pStyle w:val="Normal6a"/>
            </w:pPr>
            <w:r>
              <w:t>Д.</w:t>
            </w:r>
            <w:r>
              <w:tab/>
            </w:r>
            <w:r>
              <w:t xml:space="preserve">като има предвид, че ако не бъдат предприети подходящи мерки, бившите региони, произвеждащи торф, и миннодобивните региони рискуват да станат по-икономически неактивни </w:t>
            </w:r>
            <w:r>
              <w:rPr>
                <w:b/>
                <w:i/>
              </w:rPr>
              <w:t>и да изпаднат още повече в икономическа стагнация;</w:t>
            </w:r>
            <w:r>
              <w:t xml:space="preserve"> </w:t>
            </w:r>
            <w:r>
              <w:rPr>
                <w:b/>
                <w:i/>
              </w:rPr>
              <w:t>като има предвид, че в тези райони често се наблюдават трайно обезлюдяване, ограничен достъп до инвестиции, недостатъчна инфраструктура, недостатъчна свързаност и нарастваща разлика в производителността и възможностите за заетост в сравнение с по-динамичните региони;</w:t>
            </w:r>
            <w:r>
              <w:t xml:space="preserve"> </w:t>
            </w:r>
            <w:r>
              <w:rPr>
                <w:b/>
                <w:i/>
              </w:rPr>
              <w:t>като има предвид, че без всеобхватна подкрепа и стратегии за устойчиво развитие, съобразени с техните уникални географски и социално-икономически предизвикателства, тези региони са изложени на риск от дългосрочен упадък, по-нататъшно задълбочаване на териториалните различия и отслабване на цялостното икономическо и социално сближаване в целия ЕС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Роди Толаси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Д.</w:t>
            </w:r>
            <w:r>
              <w:tab/>
            </w:r>
            <w:r>
              <w:t>като има предвид, че ако не бъдат предприети подходящи мерки, бившите региони, произвеждащи торф, и миннодобивните региони рискуват да станат по-икономически неактивни;</w:t>
            </w:r>
          </w:p>
        </w:tc>
        <w:tc>
          <w:tcPr>
            <w:tcW w:w="4876" w:type="dxa"/>
            <w:tcBorders>
              <w:top w:val="nil"/>
              <w:left w:val="nil"/>
              <w:bottom w:val="nil"/>
              <w:right w:val="nil"/>
            </w:tcBorders>
          </w:tcPr>
          <w:p>
            <w:pPr>
              <w:pStyle w:val="Normal6a"/>
            </w:pPr>
            <w:r>
              <w:t>Д.</w:t>
            </w:r>
            <w:r>
              <w:tab/>
            </w:r>
            <w:r>
              <w:t>като има предвид, че ако не бъдат предприети подходящи мерки, бившите региони, произвеждащи торф, и миннодобивните региони рискуват да станат по-икономически неактивни</w:t>
            </w:r>
            <w:r>
              <w:rPr>
                <w:b/>
                <w:i/>
              </w:rPr>
              <w:t>, както и че най-отдалечените региони, изправени пред специфични предизвикателства по отношение на енергийните доставки, трябва да се възползват от специално разработени мерки за намаляване на зависимостта си от изкопаеми горива, по-специално нефт, в съответствие с целите на ЕС в областта на климата</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Пауло До Нашименто Кабрал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Д.</w:t>
            </w:r>
            <w:r>
              <w:tab/>
            </w:r>
            <w:r>
              <w:t xml:space="preserve">като има предвид, че ако не бъдат предприети подходящи мерки, </w:t>
            </w:r>
            <w:r>
              <w:rPr>
                <w:b/>
                <w:i/>
              </w:rPr>
              <w:t>бившите региони, произвеждащи</w:t>
            </w:r>
            <w:r>
              <w:t xml:space="preserve"> торф, </w:t>
            </w:r>
            <w:r>
              <w:rPr>
                <w:b/>
                <w:i/>
              </w:rPr>
              <w:t>и миннодобивните региони рискуват да станат по-икономически неактивни</w:t>
            </w:r>
            <w:r>
              <w:t>;</w:t>
            </w:r>
          </w:p>
        </w:tc>
        <w:tc>
          <w:tcPr>
            <w:tcW w:w="4876" w:type="dxa"/>
            <w:tcBorders>
              <w:top w:val="nil"/>
              <w:left w:val="nil"/>
              <w:bottom w:val="nil"/>
              <w:right w:val="nil"/>
            </w:tcBorders>
          </w:tcPr>
          <w:p>
            <w:pPr>
              <w:pStyle w:val="Normal6a"/>
            </w:pPr>
            <w:r>
              <w:t>Д.</w:t>
            </w:r>
            <w:r>
              <w:tab/>
            </w:r>
            <w:r>
              <w:t xml:space="preserve">като има предвид, че ако не бъдат предприети подходящи мерки, </w:t>
            </w:r>
            <w:r>
              <w:rPr>
                <w:b/>
                <w:i/>
              </w:rPr>
              <w:t>регионите, които преди са били зависими от производството на енергия на</w:t>
            </w:r>
            <w:r>
              <w:t xml:space="preserve"> торф, </w:t>
            </w:r>
            <w:r>
              <w:rPr>
                <w:b/>
                <w:i/>
              </w:rPr>
              <w:t>минното дело и рафинериите, са изправени пред риск от икономически упадък, което намалява тяхната конкурентоспособност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Д.</w:t>
            </w:r>
            <w:r>
              <w:tab/>
            </w:r>
            <w:r>
              <w:t>като има предвид, че ако не бъдат предприети подходящи мерки, бившите региони, произвеждащи торф, и миннодобивните региони рискуват да станат по-икономически неактивни;</w:t>
            </w:r>
          </w:p>
        </w:tc>
        <w:tc>
          <w:tcPr>
            <w:tcW w:w="4876" w:type="dxa"/>
            <w:tcBorders>
              <w:top w:val="nil"/>
              <w:left w:val="nil"/>
              <w:bottom w:val="nil"/>
              <w:right w:val="nil"/>
            </w:tcBorders>
          </w:tcPr>
          <w:p>
            <w:pPr>
              <w:pStyle w:val="Normal6a"/>
            </w:pPr>
            <w:r>
              <w:t>Д.</w:t>
            </w:r>
            <w:r>
              <w:tab/>
            </w:r>
            <w:r>
              <w:t>като има предвид, че ако не бъдат предприети подходящи мерки, бившите региони, произвеждащи торф, и миннодобивните региони</w:t>
            </w:r>
            <w:r>
              <w:rPr>
                <w:b/>
                <w:i/>
              </w:rPr>
              <w:t>, както и бившите металургични и други региони, развиващи тежка промишленост,</w:t>
            </w:r>
            <w:r>
              <w:t xml:space="preserve"> рискуват да станат по-икономически неактивни;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Д.</w:t>
            </w:r>
            <w:r>
              <w:tab/>
            </w:r>
            <w:r>
              <w:t>като има предвид, че ако не бъдат предприети подходящи мерки, бившите региони, произвеждащи торф, и миннодобивните региони рискуват да станат по-икономически неактивни;</w:t>
            </w:r>
          </w:p>
        </w:tc>
        <w:tc>
          <w:tcPr>
            <w:tcW w:w="4876" w:type="dxa"/>
            <w:tcBorders>
              <w:top w:val="nil"/>
              <w:left w:val="nil"/>
              <w:bottom w:val="nil"/>
              <w:right w:val="nil"/>
            </w:tcBorders>
          </w:tcPr>
          <w:p>
            <w:pPr>
              <w:pStyle w:val="Normal6a"/>
            </w:pPr>
            <w:r>
              <w:t>Д.</w:t>
            </w:r>
            <w:r>
              <w:tab/>
            </w:r>
            <w:r>
              <w:t xml:space="preserve">като има предвид, че ако не бъдат предприети подходящи </w:t>
            </w:r>
            <w:r>
              <w:rPr>
                <w:b/>
                <w:i/>
              </w:rPr>
              <w:t>и финансови</w:t>
            </w:r>
            <w:r>
              <w:t xml:space="preserve"> мерки, бившите региони, произвеждащи торф, и миннодобивните региони рискуват да станат по-икономически неактивни;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Андре Руже, Роди Толаси, Клара Досталова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Д.</w:t>
            </w:r>
            <w:r>
              <w:tab/>
            </w:r>
            <w:r>
              <w:t xml:space="preserve">като има предвид, че ако не бъдат предприети подходящи мерки, бившите региони, произвеждащи торф, и миннодобивните региони рискуват да станат </w:t>
            </w:r>
            <w:r>
              <w:rPr>
                <w:b/>
                <w:i/>
              </w:rPr>
              <w:t>по-икономически</w:t>
            </w:r>
            <w:r>
              <w:t xml:space="preserve"> неактивни;</w:t>
            </w:r>
          </w:p>
        </w:tc>
        <w:tc>
          <w:tcPr>
            <w:tcW w:w="4876" w:type="dxa"/>
            <w:tcBorders>
              <w:top w:val="nil"/>
              <w:left w:val="nil"/>
              <w:bottom w:val="nil"/>
              <w:right w:val="nil"/>
            </w:tcBorders>
          </w:tcPr>
          <w:p>
            <w:pPr>
              <w:pStyle w:val="Normal6a"/>
            </w:pPr>
            <w:r>
              <w:t>Д.</w:t>
            </w:r>
            <w:r>
              <w:tab/>
            </w:r>
            <w:r>
              <w:t xml:space="preserve">като има предвид, че ако не бъдат предприети подходящи мерки, бившите региони, произвеждащи торф, и миннодобивните региони рискуват да станат </w:t>
            </w:r>
            <w:r>
              <w:rPr>
                <w:b/>
                <w:i/>
              </w:rPr>
              <w:t>изцяло икономически</w:t>
            </w:r>
            <w:r>
              <w:t xml:space="preserve"> неактивни;</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Елена Невадо Дел Кампо, Борха Хименес Ларас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Д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Дa.</w:t>
            </w:r>
            <w:r>
              <w:tab/>
            </w:r>
            <w:r>
              <w:rPr>
                <w:b/>
                <w:i/>
              </w:rPr>
              <w:t>като има предвид, че ФСП е ограничен до определени територии и че при прилагане на принципа на субсидиарност би било целесъобразно да се възприеме подход на място във фазата на програмиране на финансовите ресурси след 2027 г., който да отчита повишената осведоменост на местните и регионалните органи в областите, обхванати от програмата, като ги насърчава, когато е целесъобразно, да разработват стратегии „отдолу нагоре“, които отчитат ролята на най-представителните образувания в териториите, които са обект на програмиране;</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Дан-Щефан Мотряну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Д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Да.</w:t>
            </w:r>
            <w:r>
              <w:tab/>
            </w:r>
            <w:r>
              <w:rPr>
                <w:b/>
                <w:i/>
              </w:rPr>
              <w:t>като има предвид, че демографските промени, включително обезлюдяването на селските райони и застаряването на населението, засилват уязвимостта на някои региони на ЕС към липсата на икономическа активност и следва да бъдат преодолени чрез специални механизми в бъдещата МФР;</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Д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Да.</w:t>
            </w:r>
            <w:r>
              <w:tab/>
            </w:r>
            <w:r>
              <w:rPr>
                <w:b/>
                <w:i/>
              </w:rPr>
              <w:t>като има предвид, че продължават да съществуват различия в скоростта на цифровия преход и свързаността в Европа, особено в селските и отдалечените региони;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Е.</w:t>
            </w:r>
            <w:r>
              <w:tab/>
            </w:r>
            <w:r>
              <w:t xml:space="preserve">като има предвид, че процесът на кандидатстване за ФСП трябва да бъде опростен и да стане по-гъвкав, за да се увеличи максимално </w:t>
            </w:r>
            <w:r>
              <w:rPr>
                <w:b/>
                <w:i/>
              </w:rPr>
              <w:t>неговото използване</w:t>
            </w:r>
            <w:r>
              <w:t>;</w:t>
            </w:r>
          </w:p>
        </w:tc>
        <w:tc>
          <w:tcPr>
            <w:tcW w:w="4876" w:type="dxa"/>
            <w:tcBorders>
              <w:top w:val="nil"/>
              <w:left w:val="nil"/>
              <w:bottom w:val="nil"/>
              <w:right w:val="nil"/>
            </w:tcBorders>
          </w:tcPr>
          <w:p>
            <w:pPr>
              <w:pStyle w:val="Normal6a"/>
            </w:pPr>
            <w:r>
              <w:t>Е.</w:t>
            </w:r>
            <w:r>
              <w:tab/>
            </w:r>
            <w:r>
              <w:t xml:space="preserve">като има предвид, че процесът на кандидатстване за ФСП трябва да бъде опростен и да стане по-гъвкав, за да се </w:t>
            </w:r>
            <w:r>
              <w:rPr>
                <w:b/>
                <w:i/>
              </w:rPr>
              <w:t>гарантира по-широка достъпност и да се даде възможност за по-бързо и по-ефективно разгръщане на ресурсите;</w:t>
            </w:r>
            <w:r>
              <w:t xml:space="preserve"> </w:t>
            </w:r>
            <w:r>
              <w:rPr>
                <w:b/>
                <w:i/>
              </w:rPr>
              <w:t>като има предвид, че опростяването на процедурите е от съществено значение, за да се</w:t>
            </w:r>
            <w:r>
              <w:t xml:space="preserve"> увеличи максимално </w:t>
            </w:r>
            <w:r>
              <w:rPr>
                <w:b/>
                <w:i/>
              </w:rPr>
              <w:t>въздействието на ФСП, особено за по-малките региони и местните органи с ограничен административен капацитет, и за да се гарантира, че подкрепата достига своевременно до общностите и работниците, които са най-силно засегнати от екологичния преход</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Е.</w:t>
            </w:r>
            <w:r>
              <w:tab/>
            </w:r>
            <w:r>
              <w:t>като има предвид, че процесът на кандидатстване за ФСП трябва да бъде опростен и да стане по-гъвкав, за да се увеличи максимално неговото използване;</w:t>
            </w:r>
          </w:p>
        </w:tc>
        <w:tc>
          <w:tcPr>
            <w:tcW w:w="4876" w:type="dxa"/>
            <w:tcBorders>
              <w:top w:val="nil"/>
              <w:left w:val="nil"/>
              <w:bottom w:val="nil"/>
              <w:right w:val="nil"/>
            </w:tcBorders>
          </w:tcPr>
          <w:p>
            <w:pPr>
              <w:pStyle w:val="Normal6a"/>
            </w:pPr>
            <w:r>
              <w:t>Е.</w:t>
            </w:r>
            <w:r>
              <w:tab/>
            </w:r>
            <w:r>
              <w:t xml:space="preserve">като има предвид, че процесът на кандидатстване за ФСП трябва да бъде опростен и </w:t>
            </w:r>
            <w:r>
              <w:rPr>
                <w:b/>
                <w:i/>
              </w:rPr>
              <w:t>рационализиран и</w:t>
            </w:r>
            <w:r>
              <w:t xml:space="preserve"> да стане по-гъвкав, за да се увеличи максимално неговото използване;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Еа.</w:t>
            </w:r>
            <w:r>
              <w:tab/>
            </w:r>
            <w:r>
              <w:rPr>
                <w:b/>
                <w:i/>
              </w:rPr>
              <w:t>като има предвид, че екологосъобразността на ФСП трябва да бъде засилена чрез прилагането на по-строги екологични условия, включително системното прилагане на принципа за ненанасяне на значителни вреди и прилагането на всеобхватни и прозрачни насоки и гаранции в областта на околната среда;</w:t>
            </w:r>
            <w:r>
              <w:t xml:space="preserve"> </w:t>
            </w:r>
            <w:r>
              <w:rPr>
                <w:b/>
                <w:i/>
              </w:rPr>
              <w:t>като има предвид, че стриктното прилагане на принципа „замърсителят плаща“ е от съществено значение, за да се гарантира, че разходите, свързани с възстановяването и опазването на природата, както и с промяната на предназначението на обектите, засегнати от вредни за околната среда дейности, се поемат изцяло от отговорните дружества и субекти, особено тези, които са се възползвали финансово от такива дейности;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Елена Невадо Дел Кампо, Сусана Солис Перес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Еa.</w:t>
            </w:r>
            <w:r>
              <w:tab/>
            </w:r>
            <w:r>
              <w:rPr>
                <w:b/>
                <w:i/>
              </w:rPr>
              <w:t>като има предвид, че някои държави членки, като например Испания, постепенно затварят своите въглеродноинтензивни отрасли в продължение на повече от десетилетие, което доведе до процес на значително обезлюдяване в много селски райони, в някои случаи над 50%, дори преди разгръщането на Фонда за справедлив преход;</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Дан-Щефан Мотряну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Еа.</w:t>
            </w:r>
            <w:r>
              <w:tab/>
            </w:r>
            <w:r>
              <w:rPr>
                <w:b/>
                <w:i/>
              </w:rPr>
              <w:t>като има предвид, че териториалният и ориентиран към местните условия подход е от ключово значение, за да се гарантира, че инструментите за финансиране отговарят ефективно на местните нужди, особено в подкрепа на трансформацията на промишлеността и повишаването на конкурентоспособността в регионите, изложени на риск да бъдат изоставени;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Еб.</w:t>
            </w:r>
            <w:r>
              <w:tab/>
            </w:r>
            <w:r>
              <w:rPr>
                <w:b/>
                <w:i/>
              </w:rPr>
              <w:t>като има предвид, че транспортът е от основно значение за постигането на неутралност по отношение на климата до 2050 г.;</w:t>
            </w:r>
            <w:r>
              <w:t xml:space="preserve"> </w:t>
            </w:r>
            <w:r>
              <w:rPr>
                <w:b/>
                <w:i/>
              </w:rPr>
              <w:t>като има предвид, че са необходими още инвестиции, за да се ускори преходът към устойчива и интелигентна мобилност по приобщаващ и социално справедлив начин, в съответствие със Зеления пакт;</w:t>
            </w:r>
            <w:r>
              <w:t xml:space="preserve"> </w:t>
            </w:r>
            <w:r>
              <w:rPr>
                <w:b/>
                <w:i/>
              </w:rPr>
              <w:t>като има предвид, че индивидуалната мобилност следва да остане достъпна и финансово приемлива за всички, особено за гражданите от селските, отдалечените и островните райони, които нямат или имат ограничен достъп до качествен обществен транспорт или други решения за мобилност;</w:t>
            </w:r>
            <w:r>
              <w:t xml:space="preserve"> </w:t>
            </w:r>
            <w:r>
              <w:rPr>
                <w:b/>
                <w:i/>
              </w:rPr>
              <w:t>като има предвид, че някои региони, общности и сектори, по-специално бившите торфени и миннодобивни региони, най-отдалечените региони и островите, са изправени пред уникални и значителни предизвикателства по отношение на мобилността при осъществяването на този преход;</w:t>
            </w:r>
            <w:r>
              <w:t xml:space="preserve"> </w:t>
            </w:r>
            <w:r>
              <w:rPr>
                <w:b/>
                <w:i/>
              </w:rPr>
              <w:t>като има предвид, че тези райони често изпитват утежнени трудности поради географската си изолация, ограничения достъп до модерна транспортна инфраструктура и прекомерното разчитане на традиционни видове транспорт с висок въглероден интензитет, което възпрепятства способността им да възприемат по-устойчиви алтернативи;</w:t>
            </w:r>
            <w:r>
              <w:t xml:space="preserve"> </w:t>
            </w:r>
            <w:r>
              <w:rPr>
                <w:b/>
                <w:i/>
              </w:rPr>
              <w:t>като има предвид, че политиката на сближаване следва да играе ключова роля за преодоляване на тези различия и за подкрепа на справедлив и ефективен преход към мобилност във всички региони;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 в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Ев.</w:t>
            </w:r>
            <w:r>
              <w:tab/>
            </w:r>
            <w:r>
              <w:rPr>
                <w:b/>
                <w:i/>
              </w:rPr>
              <w:t>като има предвид, че издръжливата, безопасна и устойчива инфраструктура е от основно значение за справяне с предизвикателствата на изменението на климата, за гарантиране на дългосрочна екологична и социална устойчивост и за насърчаване на приобщаващ икономически растеж;</w:t>
            </w:r>
            <w:r>
              <w:t xml:space="preserve"> </w:t>
            </w:r>
            <w:r>
              <w:rPr>
                <w:b/>
                <w:i/>
              </w:rPr>
              <w:t>като има предвид, че инфраструктурата във всички сектори трябва да бъде укрепена, за да се устои на нарастващото въздействие на свързаните с климата събития, като същевременно се допринася за постигането на неутрални по отношение на въглеродните емисии цели;</w:t>
            </w:r>
            <w:r>
              <w:t xml:space="preserve"> </w:t>
            </w:r>
            <w:r>
              <w:rPr>
                <w:b/>
                <w:i/>
              </w:rPr>
              <w:t>като има предвид, че модернизацията и диверсификацията на инфраструктурните системи могат да подобрят достъпността, да насърчат иновациите и да подкрепят прехода към зелена икономика;</w:t>
            </w:r>
            <w:r>
              <w:t xml:space="preserve"> </w:t>
            </w:r>
            <w:r>
              <w:rPr>
                <w:b/>
                <w:i/>
              </w:rPr>
              <w:t>като има предвид, че регионите, особено тези, които са географски изолирани или икономически необлагодетелствани, са непропорционално засегнати от недостига на инфраструктура и липсата на достъп до модерни услуги;</w:t>
            </w:r>
            <w:r>
              <w:t xml:space="preserve"> </w:t>
            </w:r>
            <w:r>
              <w:rPr>
                <w:b/>
                <w:i/>
              </w:rPr>
              <w:t>като има предвид, че целенасочените инвестиции в устойчива инфраструктура ще създадат възможности за работа, ще подобрят социалната справедливост и ще насърчат по-силни общности, като гарантират, че всички райони се възползват от устойчива, надеждна и достъпна инфраструктура; като има предвид, че политиката на сближаване следва да играе стратегическа роля за преодоляване на инфраструктурните пропуски, насърчаване на териториалното сближаване и гарантиране, че нито един регион няма да бъде изоставен в екологичния преход;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 г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Ег.</w:t>
            </w:r>
            <w:r>
              <w:tab/>
            </w:r>
            <w:r>
              <w:rPr>
                <w:b/>
                <w:i/>
              </w:rPr>
              <w:t>като има предвид, че туризмът е ключов сектор на икономиката на ЕС, който пряко и косвено допринася за над 10% от БВП на ЕС и играе жизненоважна роля за повишаване на конкурентоспособността, социалното благосъстояние и създаването на устойчиви работни места, особено в регионите, които са силно зависими от туризма;</w:t>
            </w:r>
            <w:r>
              <w:t xml:space="preserve"> </w:t>
            </w:r>
            <w:r>
              <w:rPr>
                <w:b/>
                <w:i/>
              </w:rPr>
              <w:t>като има предвид, че туризмът има потенциала да допринесе значително за териториалното сближаване, особено в отдалечените, селските, крайбрежните, най-отдалечените и островните региони, и може да подкрепи икономическата диверсификация и справедливия преход в районите, изправени пред структурни предизвикателства, намаляване на населението или зависимост от отрасли с висок въглероден интензитет;</w:t>
            </w:r>
            <w:r>
              <w:t xml:space="preserve"> </w:t>
            </w:r>
            <w:r>
              <w:rPr>
                <w:b/>
                <w:i/>
              </w:rPr>
              <w:t>като има предвид, че туристическият сектор на ЕС, съставен предимно от 2,3 милиона МСП, осигурява заетост на приблизително 12,3 милиона души и представлява основна икономическа дейност със силен мултиплициращ ефект в различни сектори;</w:t>
            </w:r>
            <w:r>
              <w:t xml:space="preserve"> </w:t>
            </w:r>
            <w:r>
              <w:rPr>
                <w:b/>
                <w:i/>
              </w:rPr>
              <w:t>като има предвид, че политиката на сближаване следва да подкрепя стратегиите за устойчив туризъм като част от справедливия преход, като насърчава устойчивостта, иновациите, екологичната и цифровата трансформация в сектора на туризма, като същевременно насърчава приобщаващия растеж и опазването на културното и природното наследство;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Елена Невадо Дел Кампо, Сусана Солис Перес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Подзаглавие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Насочване към райони, характеризиращи се със загуба на работни места</w:t>
            </w:r>
          </w:p>
        </w:tc>
        <w:tc>
          <w:tcPr>
            <w:tcW w:w="4876" w:type="dxa"/>
            <w:tcBorders>
              <w:top w:val="nil"/>
              <w:left w:val="nil"/>
              <w:bottom w:val="nil"/>
              <w:right w:val="nil"/>
            </w:tcBorders>
          </w:tcPr>
          <w:p>
            <w:pPr>
              <w:pStyle w:val="Normal6a"/>
            </w:pPr>
            <w:r>
              <w:t>Насочване към райони, характеризиращи се със загуба на работни места</w:t>
            </w:r>
            <w:r>
              <w:rPr>
                <w:b/>
                <w:i/>
              </w:rPr>
              <w:t>, преразглеждане на сроковете и електрически мрежи</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Ян Фарски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Подзаглавие 1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подчертава значението на продължаването на ФСП в многогодишната финансова рамка за периода след 2027 г., за да се предотврати загубата на работни места и да се подпомогнат регионите по ФСП в прехода им към неутрална по отношение на въглеродните емисии икономика;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Изабел Льо Каленек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призовава Комисията да улесни създаването на специални икономически зони по ФСП </w:t>
            </w:r>
            <w:r>
              <w:rPr>
                <w:b/>
                <w:i/>
              </w:rPr>
              <w:t>за районите, засегнати от затварянето на обекти, като приоритетният достъп до финансиране първоначално се предоставя на места в радиус от 50 километра от местата на загуба на работни места и други райони, където въздействието на тези загуби би оправдало достъпа до ФСП;</w:t>
            </w:r>
          </w:p>
        </w:tc>
        <w:tc>
          <w:tcPr>
            <w:tcW w:w="4876" w:type="dxa"/>
            <w:tcBorders>
              <w:top w:val="nil"/>
              <w:left w:val="nil"/>
              <w:bottom w:val="nil"/>
              <w:right w:val="nil"/>
            </w:tcBorders>
          </w:tcPr>
          <w:p>
            <w:pPr>
              <w:pStyle w:val="Normal6a"/>
            </w:pPr>
            <w:r>
              <w:t>1.</w:t>
            </w:r>
            <w:r>
              <w:tab/>
            </w:r>
            <w:r>
              <w:t xml:space="preserve">призовава Комисията да улесни създаването на специални икономически зони по ФСП </w:t>
            </w:r>
            <w:r>
              <w:rPr>
                <w:b/>
                <w:i/>
              </w:rPr>
              <w:t>в партньорство с държавите членки и регионите.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Нора Мебарек, Сержио Гонсалвеш, Адриан-Драгош Беня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призовава Комисията да улесни създаването на специални икономически зони по ФСП за районите, засегнати от затварянето на обекти, като </w:t>
            </w:r>
            <w:r>
              <w:rPr>
                <w:b/>
                <w:i/>
              </w:rPr>
              <w:t>приоритетният достъп до финансиране първоначално се предоставя на места в радиус от 50 километра от местата на загуба на работни места и други райони, където въздействието на тези загуби би оправдало достъпа до ФСП</w:t>
            </w:r>
            <w:r>
              <w:t>;</w:t>
            </w:r>
          </w:p>
        </w:tc>
        <w:tc>
          <w:tcPr>
            <w:tcW w:w="4876" w:type="dxa"/>
            <w:tcBorders>
              <w:top w:val="nil"/>
              <w:left w:val="nil"/>
              <w:bottom w:val="nil"/>
              <w:right w:val="nil"/>
            </w:tcBorders>
          </w:tcPr>
          <w:p>
            <w:pPr>
              <w:pStyle w:val="Normal6a"/>
            </w:pPr>
            <w:r>
              <w:t>1.</w:t>
            </w:r>
            <w:r>
              <w:tab/>
            </w:r>
            <w:r>
              <w:t xml:space="preserve">призовава Комисията да улесни създаването на специални икономически зони по ФСП за районите, засегнати от затварянето на обекти, като </w:t>
            </w:r>
            <w:r>
              <w:rPr>
                <w:b/>
                <w:i/>
              </w:rPr>
              <w:t>се вземат предвид не само географските, но и социалните критерии, като например местните равнища на безработица, социално-икономическата несигурност и повишените рискове от социално изключване;</w:t>
            </w:r>
            <w:r>
              <w:t xml:space="preserve"> </w:t>
            </w:r>
            <w:r>
              <w:rPr>
                <w:b/>
                <w:i/>
              </w:rPr>
              <w:t>подчертава, че достъпът до финансиране следва да се основава на задълбочен анализ на действителните социални и икономически въздействия, а не на простата логика на географската близост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Пауло До Нашименто Кабрал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призовава Комисията да улесни създаването на специални икономически зони по ФСП за районите, засегнати от затварянето на обекти, като приоритетният достъп до финансиране първоначално се предоставя на места в радиус от 50 километра от </w:t>
            </w:r>
            <w:r>
              <w:rPr>
                <w:b/>
                <w:i/>
              </w:rPr>
              <w:t>местата на загуба на</w:t>
            </w:r>
            <w:r>
              <w:t xml:space="preserve"> работни места </w:t>
            </w:r>
            <w:r>
              <w:rPr>
                <w:b/>
                <w:i/>
              </w:rPr>
              <w:t>и</w:t>
            </w:r>
            <w:r>
              <w:t xml:space="preserve"> други райони, </w:t>
            </w:r>
            <w:r>
              <w:rPr>
                <w:b/>
                <w:i/>
              </w:rPr>
              <w:t>където въздействието</w:t>
            </w:r>
            <w:r>
              <w:t xml:space="preserve"> на тези </w:t>
            </w:r>
            <w:r>
              <w:rPr>
                <w:b/>
                <w:i/>
              </w:rPr>
              <w:t>загуби би оправдало достъпа</w:t>
            </w:r>
            <w:r>
              <w:t xml:space="preserve"> до ФСП;</w:t>
            </w:r>
          </w:p>
        </w:tc>
        <w:tc>
          <w:tcPr>
            <w:tcW w:w="4876" w:type="dxa"/>
            <w:tcBorders>
              <w:top w:val="nil"/>
              <w:left w:val="nil"/>
              <w:bottom w:val="nil"/>
              <w:right w:val="nil"/>
            </w:tcBorders>
          </w:tcPr>
          <w:p>
            <w:pPr>
              <w:pStyle w:val="Normal6a"/>
            </w:pPr>
            <w:r>
              <w:t>1.</w:t>
            </w:r>
            <w:r>
              <w:tab/>
            </w:r>
            <w:r>
              <w:t>призовава Комисията</w:t>
            </w:r>
            <w:r>
              <w:rPr>
                <w:b/>
                <w:i/>
              </w:rPr>
              <w:t>, по предложение на държава членка,</w:t>
            </w:r>
            <w:r>
              <w:t xml:space="preserve"> да улесни създаването на специални икономически зони по ФСП за районите, засегнати от затварянето на обекти, като приоритетният достъп до финансиране първоначално се предоставя на места</w:t>
            </w:r>
            <w:r>
              <w:rPr>
                <w:b/>
                <w:i/>
              </w:rPr>
              <w:t>, които са пряко засегнати,</w:t>
            </w:r>
            <w:r>
              <w:t xml:space="preserve"> в радиус от 50 километра от </w:t>
            </w:r>
            <w:r>
              <w:rPr>
                <w:b/>
                <w:i/>
              </w:rPr>
              <w:t>зоната, в която са били закрити</w:t>
            </w:r>
            <w:r>
              <w:t xml:space="preserve"> работни места</w:t>
            </w:r>
            <w:r>
              <w:rPr>
                <w:b/>
                <w:i/>
              </w:rPr>
              <w:t>, както и на</w:t>
            </w:r>
            <w:r>
              <w:t xml:space="preserve"> други райони, </w:t>
            </w:r>
            <w:r>
              <w:rPr>
                <w:b/>
                <w:i/>
              </w:rPr>
              <w:t>при условие че е надлежно обосновано, че прякото или непрякото въздействие</w:t>
            </w:r>
            <w:r>
              <w:t xml:space="preserve"> на тези </w:t>
            </w:r>
            <w:r>
              <w:rPr>
                <w:b/>
                <w:i/>
              </w:rPr>
              <w:t>закривания дава основание за достъп</w:t>
            </w:r>
            <w:r>
              <w:t xml:space="preserve"> до ФСП;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Кирън Мълули, Любица Карвашова, Ракел Гарсия Ермида-ван дер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призовава Комисията да улесни създаването на специални икономически зони по ФСП за районите, засегнати от затварянето на обекти, като приоритетният достъп до финансиране първоначално се предоставя на места в радиус от 50 километра от местата на загуба на работни места и други райони, където въздействието на тези загуби би оправдало достъпа до ФСП;</w:t>
            </w:r>
          </w:p>
        </w:tc>
        <w:tc>
          <w:tcPr>
            <w:tcW w:w="4876" w:type="dxa"/>
            <w:tcBorders>
              <w:top w:val="nil"/>
              <w:left w:val="nil"/>
              <w:bottom w:val="nil"/>
              <w:right w:val="nil"/>
            </w:tcBorders>
          </w:tcPr>
          <w:p>
            <w:pPr>
              <w:pStyle w:val="Normal6a"/>
            </w:pPr>
            <w:r>
              <w:t>1.</w:t>
            </w:r>
            <w:r>
              <w:tab/>
            </w:r>
            <w:r>
              <w:t>призовава Комисията да улесни създаването на специални икономически зони по ФСП за районите, засегнати от затварянето на обекти, като приоритетният достъп до финансиране първоначално се предоставя на места в радиус от 50 километра от местата на загуба на работни места и други райони, където въздействието на тези загуби би оправдало достъпа до ФСП</w:t>
            </w:r>
            <w:r>
              <w:rPr>
                <w:b/>
                <w:i/>
              </w:rPr>
              <w:t>, гарантирайки по този начин, че икономическото възстановяване се ръководи от общностите и е устойчиво</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Елена Невадо Дел Кампо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призовава Комисията да улесни създаването на специални икономически зони по ФСП за районите, засегнати от затварянето на обекти, като приоритетният достъп до финансиране първоначално се предоставя на места в радиус от 50 километра от местата на загуба на работни места и други райони, където въздействието на тези загуби би оправдало достъпа до ФСП;</w:t>
            </w:r>
          </w:p>
        </w:tc>
        <w:tc>
          <w:tcPr>
            <w:tcW w:w="4876" w:type="dxa"/>
            <w:tcBorders>
              <w:top w:val="nil"/>
              <w:left w:val="nil"/>
              <w:bottom w:val="nil"/>
              <w:right w:val="nil"/>
            </w:tcBorders>
          </w:tcPr>
          <w:p>
            <w:pPr>
              <w:pStyle w:val="Normal6a"/>
            </w:pPr>
            <w:r>
              <w:t>1.</w:t>
            </w:r>
            <w:r>
              <w:tab/>
            </w:r>
            <w:r>
              <w:t>призовава Комисията да улесни създаването на специални икономически зони по ФСП за районите, засегнати от затварянето на обекти, като приоритетният достъп до финансиране първоначално се предоставя на места в радиус от 50 километра от местата на загуба на работни места и други райони, където въздействието на тези загуби би оправдало достъпа до ФСП</w:t>
            </w:r>
            <w:r>
              <w:rPr>
                <w:b/>
                <w:i/>
              </w:rPr>
              <w:t>, като се вземат предвид приносите на местните органи</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призовава Комисията да улесни създаването на специални икономически зони по ФСП за районите, засегнати от затварянето на обекти, като приоритетният достъп до финансиране първоначално се предоставя на места в радиус от </w:t>
            </w:r>
            <w:r>
              <w:rPr>
                <w:b/>
                <w:i/>
              </w:rPr>
              <w:t>50</w:t>
            </w:r>
            <w:r>
              <w:t xml:space="preserve"> километра от местата на загуба на работни места и други райони, където въздействието на тези загуби би оправдало достъпа до ФСП;</w:t>
            </w:r>
          </w:p>
        </w:tc>
        <w:tc>
          <w:tcPr>
            <w:tcW w:w="4876" w:type="dxa"/>
            <w:tcBorders>
              <w:top w:val="nil"/>
              <w:left w:val="nil"/>
              <w:bottom w:val="nil"/>
              <w:right w:val="nil"/>
            </w:tcBorders>
          </w:tcPr>
          <w:p>
            <w:pPr>
              <w:pStyle w:val="Normal6a"/>
            </w:pPr>
            <w:r>
              <w:t>1.</w:t>
            </w:r>
            <w:r>
              <w:tab/>
            </w:r>
            <w:r>
              <w:t xml:space="preserve">призовава Комисията да улесни създаването на специални икономически зони по ФСП за районите, засегнати от затварянето на обекти, като приоритетният достъп до финансиране първоначално се предоставя на места в радиус от </w:t>
            </w:r>
            <w:r>
              <w:rPr>
                <w:b/>
                <w:i/>
              </w:rPr>
              <w:t>80</w:t>
            </w:r>
            <w:r>
              <w:t> километра от местата на загуба на работни места и други райони, където въздействието на тези загуби би оправдало достъпа до ФСП;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Елена Невадо Дел Кампо, Сусана Солис Перес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1а.</w:t>
            </w:r>
            <w:r>
              <w:tab/>
            </w:r>
            <w:r>
              <w:rPr>
                <w:b/>
                <w:i/>
              </w:rPr>
              <w:t>подчертава необходимостта от по-точно определяне на териториалния обхват на прилагането на фондовете, като например местните административни единици, определени в Регламент (ЕО) № 1059/2003, които имат ниска гъстота на населението, в съответствие с критериите, определени в Насоките за регионална държавна помощ (2021/C 153/01), за да се гарантира, че инвестициите действително достигат до общините, които са пряко засегнати от затварянето на съоръжения с висок въглероден интензитет, а не са съсредоточени единствено в големите градски центрове в района на NUTS3;</w:t>
            </w:r>
            <w:r>
              <w:t xml:space="preserve"> </w:t>
            </w:r>
            <w:r>
              <w:rPr>
                <w:b/>
                <w:i/>
              </w:rPr>
              <w:t>предлага да се въведат ефективни данъчни стимули, така че дружествата да извършват дейност в тези общини по смисъла на член 107, параграф 3, буква а) и буква в) от ДФЕС;</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Матиас Еке, Нора Мебарек, Сержио Гонсалвеш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1а.</w:t>
            </w:r>
            <w:r>
              <w:tab/>
            </w:r>
            <w:r>
              <w:rPr>
                <w:b/>
                <w:i/>
              </w:rPr>
              <w:t>подчертава, че европейските структурни и инвестиционни фондове трябва да бъдат развити в истински инструмент за трансформация, който гарантира социално справедлив преход;</w:t>
            </w:r>
            <w:r>
              <w:t xml:space="preserve"> </w:t>
            </w:r>
            <w:r>
              <w:rPr>
                <w:b/>
                <w:i/>
              </w:rPr>
              <w:t>призовава Фондът за справедлив преход (ФСП) да бъде съхранен в бъдещата структура на финансиране и да се разшири ФСП, така че да обхване регионите, които са особено засегнати от прехода към неутрална по отношение на климата икономика поради секторния характер на тяхната икономика;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Даниел Буда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1а.</w:t>
            </w:r>
            <w:r>
              <w:tab/>
            </w:r>
            <w:r>
              <w:rPr>
                <w:b/>
                <w:i/>
              </w:rPr>
              <w:t>счита, че е необходимо да се приемат мерки за ускоряване на степента на усвояване на средствата по ФСП, включително чрез опростяване на административните процедури и създаване на механизми за подкрепа и консултации за местните органи, за да се гарантира максимално усвояване на тези съществени фондове;</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Пауло До Нашименто Кабрал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1а.</w:t>
            </w:r>
            <w:r>
              <w:tab/>
            </w:r>
            <w:r>
              <w:rPr>
                <w:b/>
                <w:i/>
              </w:rPr>
              <w:t>евентуалното създаване на специални икономически зони по ФСП следва да се основава на обективни критерии, като се вземат предвид икономическите, социалните и трудовите въздействия на тези области, произтичащи от процеса на преход;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1а.</w:t>
            </w:r>
            <w:r>
              <w:tab/>
            </w:r>
            <w:r>
              <w:rPr>
                <w:b/>
                <w:i/>
              </w:rPr>
              <w:t>подчертава, че настоящата и бъдещата политика на сближаване следва да бъде силно съсредоточена върху по-слабите региони и че смекчаването на отрицателните последици от екологичния преход следва да бъде един от нейните приоритети;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Елена Невадо Дел Кампо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1б.</w:t>
            </w:r>
            <w:r>
              <w:tab/>
            </w:r>
            <w:r>
              <w:rPr>
                <w:b/>
                <w:i/>
              </w:rPr>
              <w:t>подчертава, че въпреки че използването на ниво NUTS 3 е стъпка в правилната посока по отношение на териториалното насочване, в много случаи то все още не може да гарантира, че ресурсите достигат до общините, които са най-пряко засегнати от енергийния преход;</w:t>
            </w:r>
            <w:r>
              <w:t xml:space="preserve"> </w:t>
            </w:r>
            <w:r>
              <w:rPr>
                <w:b/>
                <w:i/>
              </w:rPr>
              <w:t>призовава да се проучи жизнеспособността на механизмите за прилагане или приоритизиране на равнището на местните административни единици (LAU), особено в селските или обезлюдените райони, където замърсяващите съоръжения са били затворени в действителност;</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1б.</w:t>
            </w:r>
            <w:r>
              <w:tab/>
            </w:r>
            <w:r>
              <w:rPr>
                <w:b/>
                <w:i/>
              </w:rPr>
              <w:t>подчертава, че политиката на сближаване е правилният отговор на икономическите различия и че тази роля е особено важна сега с оглед на заплахата от деиндустриализация;</w:t>
            </w:r>
            <w:r>
              <w:t xml:space="preserve"> </w:t>
            </w:r>
            <w:r>
              <w:rPr>
                <w:b/>
                <w:i/>
              </w:rPr>
              <w:t>категорично подчертава, че екологичният преход не следва да вреди на сближаването;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Нора Мебарек, Сержио Гонсалвеш, Адриан-Драгош Беня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призовава за въвеждането на специални разпоредби в тези зони, включително по-ниски данъчни ставки за предприятията и инвестициите, заедно с по-бързи решения за планиране;</w:t>
            </w:r>
            <w:r>
              <w:t xml:space="preserve"> </w:t>
            </w:r>
            <w:r>
              <w:rPr>
                <w:b/>
                <w:i/>
              </w:rPr>
              <w:t>отново потвърждава, че подобни мерки могат да създадат работни места и да предоставят възможности за хората, живеещи в тези региони;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призовава за въвеждането на специални разпоредби в тези зони, включително по-ниски данъчни ставки за предприятията и инвестициите, заедно с по-бързи решения за планиране; отново потвърждава, че подобни мерки могат да създадат работни места и да предоставят възможности за хората, живеещи в тези региони;</w:t>
            </w:r>
          </w:p>
        </w:tc>
        <w:tc>
          <w:tcPr>
            <w:tcW w:w="4876" w:type="dxa"/>
            <w:tcBorders>
              <w:top w:val="nil"/>
              <w:left w:val="nil"/>
              <w:bottom w:val="nil"/>
              <w:right w:val="nil"/>
            </w:tcBorders>
          </w:tcPr>
          <w:p>
            <w:pPr>
              <w:pStyle w:val="Normal6a"/>
            </w:pPr>
            <w:r>
              <w:t>2.</w:t>
            </w:r>
            <w:r>
              <w:tab/>
            </w:r>
            <w:r>
              <w:t>призовава за въвеждането на специални разпоредби</w:t>
            </w:r>
            <w:r>
              <w:rPr>
                <w:b/>
                <w:i/>
              </w:rPr>
              <w:t>, финансови инструменти и стимули</w:t>
            </w:r>
            <w:r>
              <w:t xml:space="preserve"> в тези зони, включително </w:t>
            </w:r>
            <w:r>
              <w:rPr>
                <w:b/>
                <w:i/>
              </w:rPr>
              <w:t>временни и целенасочени</w:t>
            </w:r>
            <w:r>
              <w:t xml:space="preserve"> по-ниски данъчни ставки за предприятията и инвестициите, </w:t>
            </w:r>
            <w:r>
              <w:rPr>
                <w:b/>
                <w:i/>
              </w:rPr>
              <w:t>въз основа на строги социални условия,</w:t>
            </w:r>
            <w:r>
              <w:t xml:space="preserve"> заедно с по-бързи решения за планиране; отново потвърждава, че подобни мерки могат да създадат работни места</w:t>
            </w:r>
            <w:r>
              <w:rPr>
                <w:b/>
                <w:i/>
              </w:rPr>
              <w:t>, да подкрепят МСП</w:t>
            </w:r>
            <w:r>
              <w:t xml:space="preserve"> и да предоставят възможности за хората, живеещи в тези региони</w:t>
            </w:r>
            <w:r>
              <w:rPr>
                <w:b/>
                <w:i/>
              </w:rPr>
              <w:t>, включително микропредприятията и тези, които управляват традиционни местни и семейни предприятия</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Пауло До Нашименто Кабрал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призовава за въвеждането на специални разпоредби в тези зони, включително по-ниски данъчни ставки за предприятията и инвестициите, заедно с по-бързи решения за планиране; отново потвърждава, че подобни мерки могат да създадат работни места и да предоставят възможности за хората, живеещи в тези региони;</w:t>
            </w:r>
          </w:p>
        </w:tc>
        <w:tc>
          <w:tcPr>
            <w:tcW w:w="4876" w:type="dxa"/>
            <w:tcBorders>
              <w:top w:val="nil"/>
              <w:left w:val="nil"/>
              <w:bottom w:val="nil"/>
              <w:right w:val="nil"/>
            </w:tcBorders>
          </w:tcPr>
          <w:p>
            <w:pPr>
              <w:pStyle w:val="Normal6a"/>
            </w:pPr>
            <w:r>
              <w:t>2.</w:t>
            </w:r>
            <w:r>
              <w:tab/>
            </w:r>
            <w:r>
              <w:t>призовава за въвеждането на специални разпоредби в тези зони, включително по-ниски данъчни ставки </w:t>
            </w:r>
            <w:r>
              <w:rPr>
                <w:b/>
                <w:i/>
              </w:rPr>
              <w:t>, при условие че те не подкопават принципа на стабилност на единния пазар,</w:t>
            </w:r>
            <w:r>
              <w:t xml:space="preserve"> за предприятията и инвестициите, заедно с по-бързи решения за планиране; отново потвърждава, че подобни мерки могат да създадат работни места и да предоставят възможности за хората, живеещи в тези региони</w:t>
            </w:r>
            <w:r>
              <w:rPr>
                <w:b/>
                <w:i/>
              </w:rPr>
              <w:t>, като засилят регионалното развитие и конкурентоспособността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призовава за въвеждането на специални разпоредби в тези зони, включително по-ниски данъчни ставки за предприятията и инвестициите, заедно с по-бързи решения за планиране; отново потвърждава, че подобни мерки могат да създадат работни места и да предоставят възможности за хората, живеещи в тези региони;</w:t>
            </w:r>
          </w:p>
        </w:tc>
        <w:tc>
          <w:tcPr>
            <w:tcW w:w="4876" w:type="dxa"/>
            <w:tcBorders>
              <w:top w:val="nil"/>
              <w:left w:val="nil"/>
              <w:bottom w:val="nil"/>
              <w:right w:val="nil"/>
            </w:tcBorders>
          </w:tcPr>
          <w:p>
            <w:pPr>
              <w:pStyle w:val="Normal6a"/>
            </w:pPr>
            <w:r>
              <w:t>2.</w:t>
            </w:r>
            <w:r>
              <w:tab/>
            </w:r>
            <w:r>
              <w:t xml:space="preserve">призовава за въвеждането на специални разпоредби в тези зони, включително </w:t>
            </w:r>
            <w:r>
              <w:rPr>
                <w:b/>
                <w:i/>
              </w:rPr>
              <w:t>временни и целенасочени</w:t>
            </w:r>
            <w:r>
              <w:t xml:space="preserve"> по-ниски данъчни ставки за предприятията и инвестициите, </w:t>
            </w:r>
            <w:r>
              <w:rPr>
                <w:b/>
                <w:i/>
              </w:rPr>
              <w:t>въз основа на строги социални условия,</w:t>
            </w:r>
            <w:r>
              <w:t xml:space="preserve"> заедно с по-бързи решения за планиране; отново потвърждава, че подобни мерки могат да създадат </w:t>
            </w:r>
            <w:r>
              <w:rPr>
                <w:b/>
                <w:i/>
              </w:rPr>
              <w:t>екологични</w:t>
            </w:r>
            <w:r>
              <w:t xml:space="preserve"> работни места и да предоставят възможности за хората, живеещи в тези региони;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Дан Барна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призовава за въвеждането на специални разпоредби в тези зони, </w:t>
            </w:r>
            <w:r>
              <w:rPr>
                <w:b/>
                <w:i/>
              </w:rPr>
              <w:t>включително по-ниски данъчни ставки</w:t>
            </w:r>
            <w:r>
              <w:t xml:space="preserve"> за предприятията и инвестициите, заедно с по-бързи решения за планиране; отново потвърждава, че подобни мерки </w:t>
            </w:r>
            <w:r>
              <w:rPr>
                <w:b/>
                <w:i/>
              </w:rPr>
              <w:t>могат</w:t>
            </w:r>
            <w:r>
              <w:t xml:space="preserve"> да създадат работни места и да предоставят възможности за хората, живеещи в тези региони;</w:t>
            </w:r>
          </w:p>
        </w:tc>
        <w:tc>
          <w:tcPr>
            <w:tcW w:w="4876" w:type="dxa"/>
            <w:tcBorders>
              <w:top w:val="nil"/>
              <w:left w:val="nil"/>
              <w:bottom w:val="nil"/>
              <w:right w:val="nil"/>
            </w:tcBorders>
          </w:tcPr>
          <w:p>
            <w:pPr>
              <w:pStyle w:val="Normal6a"/>
            </w:pPr>
            <w:r>
              <w:t>2.</w:t>
            </w:r>
            <w:r>
              <w:tab/>
            </w:r>
            <w:r>
              <w:t xml:space="preserve">призовава за въвеждането на специални </w:t>
            </w:r>
            <w:r>
              <w:rPr>
                <w:b/>
                <w:i/>
              </w:rPr>
              <w:t>мерки и</w:t>
            </w:r>
            <w:r>
              <w:t xml:space="preserve"> разпоредби в тези зони, </w:t>
            </w:r>
            <w:r>
              <w:rPr>
                <w:b/>
                <w:i/>
              </w:rPr>
              <w:t>като например стимули</w:t>
            </w:r>
            <w:r>
              <w:t xml:space="preserve"> за предприятията и инвестициите, заедно с по-бързи решения за планиране; отново потвърждава, че подобни мерки </w:t>
            </w:r>
            <w:r>
              <w:rPr>
                <w:b/>
                <w:i/>
              </w:rPr>
              <w:t>биха могли</w:t>
            </w:r>
            <w:r>
              <w:t xml:space="preserve"> да създадат работни места и да предоставят възможности за </w:t>
            </w:r>
            <w:r>
              <w:rPr>
                <w:b/>
                <w:i/>
              </w:rPr>
              <w:t>стопанските субекти и</w:t>
            </w:r>
            <w:r>
              <w:t xml:space="preserve"> хората, живеещи в тези региони;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2а.</w:t>
            </w:r>
            <w:r>
              <w:tab/>
            </w:r>
            <w:r>
              <w:rPr>
                <w:b/>
                <w:i/>
              </w:rPr>
              <w:t>призовава за включването на островните региони като допустими райони за прилагането на намалени данъчни ставки в рамките на островните икономически зони на ФСП с цел справяне с непропорционално високите разходи за живот в тези територии – положение, което се изостря допълнително от въздействието на екологичния и енергийния преход;</w:t>
            </w:r>
            <w:r>
              <w:t xml:space="preserve"> </w:t>
            </w:r>
            <w:r>
              <w:rPr>
                <w:b/>
                <w:i/>
              </w:rPr>
              <w:t>подчертава, че тези фискални мерки са от съществено значение за повишаване на икономическата жизнеспособност на островните общности, за подкрепа на местните предприятия и за привличане на устойчиви инвестиции;</w:t>
            </w:r>
            <w:r>
              <w:t xml:space="preserve"> </w:t>
            </w:r>
            <w:r>
              <w:rPr>
                <w:b/>
                <w:i/>
              </w:rPr>
              <w:t>подчертава, че целенасочените данъчни стимули могат да служат като ефективен инструмент за противодействие на трайната тенденция на обезлюдяване на островите, за насърчаване на създаването на работни места и за насърчаване на устойчиви, самоподдържащи се местни икономики, като същевременно се гарантира справедлив и приобщаващ преход към неутралност по отношение на климата;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Елена Невадо Дел Кампо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2а.</w:t>
            </w:r>
            <w:r>
              <w:tab/>
            </w:r>
            <w:r>
              <w:rPr>
                <w:b/>
                <w:i/>
              </w:rPr>
              <w:t>настоятелно призовава Комисията и държавите членки да прилагат действителна и ефективна положителна дискриминация в критериите за подбор на проекти, допустими за финансиране по линия на ФСП, като увеличат резултатите на предприемаческите инициативи, които се намират изцяло в общините, засегнати от закриването на сектори с висок въглероден интензитет, като по този начин гарантират, че този стимул води до осезаеми резултати;</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Елена Невадо Дел Кампо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2б.</w:t>
            </w:r>
            <w:r>
              <w:tab/>
            </w:r>
            <w:r>
              <w:rPr>
                <w:b/>
                <w:i/>
              </w:rPr>
              <w:t>призовава да се обърне специално внимание на необходимостта да се подкрепят електроенергийните връзки за проекти, осъществявани в специални икономически зони, и да се подпомогне преструктурирането и повторната индустриализация на тези райони;</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Нора Мебарек, Сержио Гонсалвеш, Адриан-Драгош Беня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подчертава, че </w:t>
            </w:r>
            <w:r>
              <w:rPr>
                <w:b/>
                <w:i/>
              </w:rPr>
              <w:t>е доказано, че</w:t>
            </w:r>
            <w:r>
              <w:t xml:space="preserve"> специалните икономически зони стимулират инвестициите и растежа в региони като специалните икономически зони, създадени на летище „Шанън“ в графство Клеър, Ирландия през 1959 г., и в Катовице, регион Силезия, Полша през 1996 г.;</w:t>
            </w:r>
          </w:p>
        </w:tc>
        <w:tc>
          <w:tcPr>
            <w:tcW w:w="4876" w:type="dxa"/>
            <w:tcBorders>
              <w:top w:val="nil"/>
              <w:left w:val="nil"/>
              <w:bottom w:val="nil"/>
              <w:right w:val="nil"/>
            </w:tcBorders>
          </w:tcPr>
          <w:p>
            <w:pPr>
              <w:pStyle w:val="Normal6a"/>
            </w:pPr>
            <w:r>
              <w:t>3.</w:t>
            </w:r>
            <w:r>
              <w:tab/>
            </w:r>
            <w:r>
              <w:t xml:space="preserve">подчертава, че специалните икономически зони </w:t>
            </w:r>
            <w:r>
              <w:rPr>
                <w:b/>
                <w:i/>
              </w:rPr>
              <w:t>могат да</w:t>
            </w:r>
            <w:r>
              <w:t xml:space="preserve"> стимулират инвестициите и растежа в региони като специалните икономически зони, създадени на летище „Шанън“ в графство Клеър, Ирландия през 1959 г., и в Катовице, регион Силезия, Полша през 1996 г.; </w:t>
            </w:r>
            <w:r>
              <w:rPr>
                <w:b/>
                <w:i/>
              </w:rPr>
              <w:t>настоява обаче, че тези механизми трябва да се ръководят от строги европейски правила, за да се гарантира, че икономическите ползи достигат ефективно до местното население, предотвратяват всяка форма на социален или фискален дъмпинг и подлежат на строги критерии за социална, икономическа и екологична устойчивост;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Елена Невадо Дел Кампо, Сусана Солис Перес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3а.</w:t>
            </w:r>
            <w:r>
              <w:tab/>
            </w:r>
            <w:r>
              <w:rPr>
                <w:b/>
                <w:i/>
              </w:rPr>
              <w:t>призовава за оценка на това дали сроковете за изпълнение следва да бъдат удължени след края на програмния период, за да се даде възможност на тези региони да постигнат поставените цели на прехода;</w:t>
            </w:r>
            <w:r>
              <w:t xml:space="preserve"> </w:t>
            </w:r>
            <w:r>
              <w:rPr>
                <w:b/>
                <w:i/>
              </w:rPr>
              <w:t>подчертава, че преходът на регионите, които отговарят на условията за подкрепа по линия на ФСП, все още не е завършен и ще продължи да се нуждае от конкретна помощ за справяне с различните предизвикателства, свързани с енергийния преход в бъдеще;</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3а.</w:t>
            </w:r>
            <w:r>
              <w:tab/>
            </w:r>
            <w:r>
              <w:rPr>
                <w:b/>
                <w:i/>
              </w:rPr>
              <w:t>подчертава, че регионите с демографски спад изискват специално внимание при разработването и изпълнението на проекти, които разглеждат полезните взаимодействия между ФСП и ЕФРР, особено по отношение на инфраструктурата за насърчаване на мобилността на работниците;</w:t>
            </w:r>
            <w:r>
              <w:t xml:space="preserve"> </w:t>
            </w:r>
            <w:r>
              <w:rPr>
                <w:b/>
                <w:i/>
              </w:rPr>
              <w:t>освен това призовава за разширяване на допустимите територии по ФСП и за обмисляне на полезни взаимодействия със Социалния фонд за климата, за да се включат семействата, които изпитват енергийна бедност или са изложени на риск от енергийна бедност;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Нора Мебарек, Маркос Рос Семпере, Хонас Фернандес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3а.</w:t>
            </w:r>
            <w:r>
              <w:tab/>
            </w:r>
            <w:r>
              <w:rPr>
                <w:b/>
                <w:i/>
              </w:rPr>
              <w:t>призовава Комисията да се съсредоточи по-специално върху общините под административното равнище по NUTS 3, които са по-пряко засегнати от социалните, териториалните и икономическите предизвикателства, свързани с прехода;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Елена Невадо Дел Кампо, Сусана Солис Перес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3б.</w:t>
            </w:r>
            <w:r>
              <w:tab/>
            </w:r>
            <w:r>
              <w:rPr>
                <w:b/>
                <w:i/>
              </w:rPr>
              <w:t>подчертава необходимостта от разширяване на електроразпределителните мрежи като необходим елемент за ефективен енергиен преход във въпросните територии;</w:t>
            </w:r>
            <w:r>
              <w:t xml:space="preserve"> </w:t>
            </w:r>
            <w:r>
              <w:rPr>
                <w:b/>
                <w:i/>
              </w:rPr>
              <w:t>подчертава по-специално, че за да се проправи пътят за увеличаване на инвестициите във възобновяеми енергийни източници, е необходимо да се увеличи капацитетът за хостинг на мрежата и да се подсилят системите за съхранение на енергия;</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Нора Мебарек, Маркос Рос Семпере, Хонас Фернандес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3б.</w:t>
            </w:r>
            <w:r>
              <w:tab/>
            </w:r>
            <w:r>
              <w:rPr>
                <w:b/>
                <w:i/>
              </w:rPr>
              <w:t>призовава за адекватна оценка на предизвикателствата, възникващи в териториите, където намаляването на населението е реалност;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Елена Невадо Дел Кампо, Сусана Солис Перес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3в.</w:t>
            </w:r>
            <w:r>
              <w:tab/>
            </w:r>
            <w:r>
              <w:rPr>
                <w:b/>
                <w:i/>
              </w:rPr>
              <w:t>настоятелно призовава Комисията и държавите членки да използват средствата, налични по линия на Механизма за възстановяване и устойчивост (МВУ), за да подкрепят процеса на преход във въпросните територии;</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Кирън Мълули, Любица Карвашова, Ракел Гарсия Ермида-ван дер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отново заявява, че много от регионите по ФСП се гордеят с традициите на обучение и чиракуване и че тяхното продължаване следва да бъде приоритет;</w:t>
            </w:r>
          </w:p>
        </w:tc>
        <w:tc>
          <w:tcPr>
            <w:tcW w:w="4876" w:type="dxa"/>
            <w:tcBorders>
              <w:top w:val="nil"/>
              <w:left w:val="nil"/>
              <w:bottom w:val="nil"/>
              <w:right w:val="nil"/>
            </w:tcBorders>
          </w:tcPr>
          <w:p>
            <w:pPr>
              <w:pStyle w:val="Normal6a"/>
            </w:pPr>
            <w:r>
              <w:t>4.</w:t>
            </w:r>
            <w:r>
              <w:tab/>
            </w:r>
            <w:r>
              <w:t xml:space="preserve">отново заявява, че много от регионите по ФСП се гордеят с традициите на обучение и чиракуване и че тяхното продължаване следва да бъде приоритет; </w:t>
            </w:r>
            <w:r>
              <w:rPr>
                <w:b/>
                <w:i/>
              </w:rPr>
              <w:t>призовава за специфични потоци на финансиране в рамките на ФСП в подкрепа на жените, младите хора и маргинализираните общности при достъпа до възможности за обучение и чиракуване;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Пауло До Нашименто Кабрал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отново заявява, че много от регионите </w:t>
            </w:r>
            <w:r>
              <w:rPr>
                <w:b/>
                <w:i/>
              </w:rPr>
              <w:t>по ФСП</w:t>
            </w:r>
            <w:r>
              <w:t xml:space="preserve"> се гордеят с традициите на обучение и чиракуване </w:t>
            </w:r>
            <w:r>
              <w:rPr>
                <w:b/>
                <w:i/>
              </w:rPr>
              <w:t>и че тяхното продължаване следва да бъде приоритет</w:t>
            </w:r>
            <w:r>
              <w:t>;</w:t>
            </w:r>
          </w:p>
        </w:tc>
        <w:tc>
          <w:tcPr>
            <w:tcW w:w="4876" w:type="dxa"/>
            <w:tcBorders>
              <w:top w:val="nil"/>
              <w:left w:val="nil"/>
              <w:bottom w:val="nil"/>
              <w:right w:val="nil"/>
            </w:tcBorders>
          </w:tcPr>
          <w:p>
            <w:pPr>
              <w:pStyle w:val="Normal6a"/>
            </w:pPr>
            <w:r>
              <w:t>4.</w:t>
            </w:r>
            <w:r>
              <w:tab/>
            </w:r>
            <w:r>
              <w:t>отново заявява, че много от регионите</w:t>
            </w:r>
            <w:r>
              <w:rPr>
                <w:b/>
                <w:i/>
              </w:rPr>
              <w:t>, обхванати от ФСП,</w:t>
            </w:r>
            <w:r>
              <w:t xml:space="preserve"> се гордеят с традициите на обучение и чиракуване</w:t>
            </w:r>
            <w:r>
              <w:rPr>
                <w:b/>
                <w:i/>
              </w:rPr>
              <w:t>, което обстоятелство е от съществено значение за преквалификацията на работниците в отговор на новите изисквания на пазара на труда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отново заявява, че много от регионите по ФСП се гордеят с </w:t>
            </w:r>
            <w:r>
              <w:rPr>
                <w:b/>
                <w:i/>
              </w:rPr>
              <w:t>традициите</w:t>
            </w:r>
            <w:r>
              <w:t xml:space="preserve"> на обучение и чиракуване и че тяхното продължаване следва да бъде приоритет;</w:t>
            </w:r>
          </w:p>
        </w:tc>
        <w:tc>
          <w:tcPr>
            <w:tcW w:w="4876" w:type="dxa"/>
            <w:tcBorders>
              <w:top w:val="nil"/>
              <w:left w:val="nil"/>
              <w:bottom w:val="nil"/>
              <w:right w:val="nil"/>
            </w:tcBorders>
          </w:tcPr>
          <w:p>
            <w:pPr>
              <w:pStyle w:val="Normal6a"/>
            </w:pPr>
            <w:r>
              <w:t>4.</w:t>
            </w:r>
            <w:r>
              <w:tab/>
            </w:r>
            <w:r>
              <w:t xml:space="preserve">отново заявява, че много от регионите по ФСП се гордеят с </w:t>
            </w:r>
            <w:r>
              <w:rPr>
                <w:b/>
                <w:i/>
              </w:rPr>
              <w:t>богатите си традиции</w:t>
            </w:r>
            <w:r>
              <w:t xml:space="preserve"> на обучение и чиракуване и че тяхното продължаване следва да бъде приоритет;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Кирън Мълули, Любица Карвашова, Ракел Гарсия Ермида-ван дер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4а.</w:t>
            </w:r>
            <w:r>
              <w:tab/>
            </w:r>
            <w:r>
              <w:rPr>
                <w:b/>
                <w:i/>
              </w:rPr>
              <w:t>подчертава, че е важно да се гарантира, че ФСП насърчава приобщаването на хората с увреждания, като подкрепя създаването на нови форми на устойчива заетост, съобразени с техните потребности;</w:t>
            </w:r>
            <w:r>
              <w:t xml:space="preserve"> </w:t>
            </w:r>
            <w:r>
              <w:rPr>
                <w:b/>
                <w:i/>
              </w:rPr>
              <w:t>подчертава необходимостта да се гарантира, че проектите, финансирани по линия на ФСП, са проектирани така, че да бъдат приобщаващи и достъпни, като се насърчават равните възможности за хората с увреждания;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4а.</w:t>
            </w:r>
            <w:r>
              <w:tab/>
            </w:r>
            <w:r>
              <w:rPr>
                <w:b/>
                <w:i/>
              </w:rPr>
              <w:t>счита, че професионалното обучение е необходим отговор на икономическата трансформация на регионите;</w:t>
            </w:r>
            <w:r>
              <w:t xml:space="preserve"> </w:t>
            </w:r>
            <w:r>
              <w:rPr>
                <w:b/>
                <w:i/>
              </w:rPr>
              <w:t>отбелязва, че професионалното обучение има само ограничен капацитет и че търсенето му показва наличието на кризисна ситуация, причинена от екологичния преход;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Нора Мебарек, Сержио Гонсалвеш, Роса Мария Серано Сиера, Адриан-Драгош Беня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подчертава в този контекст необходимостта да се отдава приоритет на инвестициите на всички равнища на образование и обучение в засегнатите райони; подчертава необходимостта от финансиране за обучение и образование;</w:t>
            </w:r>
          </w:p>
        </w:tc>
        <w:tc>
          <w:tcPr>
            <w:tcW w:w="4876" w:type="dxa"/>
            <w:tcBorders>
              <w:top w:val="nil"/>
              <w:left w:val="nil"/>
              <w:bottom w:val="nil"/>
              <w:right w:val="nil"/>
            </w:tcBorders>
          </w:tcPr>
          <w:p>
            <w:pPr>
              <w:pStyle w:val="Normal6a"/>
            </w:pPr>
            <w:r>
              <w:t>5.</w:t>
            </w:r>
            <w:r>
              <w:tab/>
            </w:r>
            <w:r>
              <w:t>подчертава в този контекст необходимостта да се отдава приоритет на инвестициите на всички равнища на образование и обучение в засегнатите райони</w:t>
            </w:r>
            <w:r>
              <w:rPr>
                <w:b/>
                <w:i/>
              </w:rPr>
              <w:t>, включително чрез интегриране на цифровите умения, езиковата и основната математическа грамотност, както и уменията в областта на НТИМ в програмите за обучение, в съответствие с неотдавнашните съобщения на Комисията относно Съюза на уменията, Плана за действие за основните умения и стратегическата рамка за образование в областта на НТИМ;</w:t>
            </w:r>
            <w:r>
              <w:t xml:space="preserve"> </w:t>
            </w:r>
            <w:r>
              <w:rPr>
                <w:b/>
                <w:i/>
              </w:rPr>
              <w:t>подчертава значението на целенасоченото финансиране за укрепване на основните цифрови и технически умения за повишаване на пригодността за заетост и конкурентоспособността</w:t>
            </w:r>
            <w:r>
              <w:t>; подчертава необходимостта от финансиране за обучение и образование;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подчертава в този контекст необходимостта да се отдава приоритет на инвестициите на всички равнища на образование и обучение в засегнатите райони; подчертава необходимостта от финансиране за обучение и образование;</w:t>
            </w:r>
          </w:p>
        </w:tc>
        <w:tc>
          <w:tcPr>
            <w:tcW w:w="4876" w:type="dxa"/>
            <w:tcBorders>
              <w:top w:val="nil"/>
              <w:left w:val="nil"/>
              <w:bottom w:val="nil"/>
              <w:right w:val="nil"/>
            </w:tcBorders>
          </w:tcPr>
          <w:p>
            <w:pPr>
              <w:pStyle w:val="Normal6a"/>
            </w:pPr>
            <w:r>
              <w:t>5.</w:t>
            </w:r>
            <w:r>
              <w:tab/>
            </w:r>
            <w:r>
              <w:t xml:space="preserve">подчертава в този контекст необходимостта да се отдава приоритет на инвестициите на всички равнища на образование и обучение в засегнатите райони; подчертава необходимостта от финансиране за обучение и образование; </w:t>
            </w:r>
            <w:r>
              <w:rPr>
                <w:b/>
                <w:i/>
              </w:rPr>
              <w:t>отбелязва, че обучението и преквалификацията на работниците, повишаването на квалификацията, преквалификацията и образованието през целия живот трябва да гарантират, че никой, независимо от професионалния си сектор, вид договор, пол или географско местоположение, не е забравен по пътя към екологичния и цифровия преход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Дан Барна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подчертава в този контекст необходимостта да се отдава приоритет на инвестициите на всички равнища на образование и обучение в засегнатите райони; подчертава необходимостта от финансиране за обучение </w:t>
            </w:r>
            <w:r>
              <w:rPr>
                <w:b/>
                <w:i/>
              </w:rPr>
              <w:t>и</w:t>
            </w:r>
            <w:r>
              <w:t xml:space="preserve"> образование;</w:t>
            </w:r>
          </w:p>
        </w:tc>
        <w:tc>
          <w:tcPr>
            <w:tcW w:w="4876" w:type="dxa"/>
            <w:tcBorders>
              <w:top w:val="nil"/>
              <w:left w:val="nil"/>
              <w:bottom w:val="nil"/>
              <w:right w:val="nil"/>
            </w:tcBorders>
          </w:tcPr>
          <w:p>
            <w:pPr>
              <w:pStyle w:val="Normal6a"/>
            </w:pPr>
            <w:r>
              <w:t>5.</w:t>
            </w:r>
            <w:r>
              <w:tab/>
            </w:r>
            <w:r>
              <w:t xml:space="preserve">подчертава в този контекст необходимостта да се отдава приоритет на инвестициите на всички равнища на образование и обучение в засегнатите райони; подчертава необходимостта от финансиране за обучение </w:t>
            </w:r>
            <w:r>
              <w:rPr>
                <w:b/>
                <w:i/>
              </w:rPr>
              <w:t>за децата и учещите, идващи от засегнатите райони, включително финансова подкрепа за висшето</w:t>
            </w:r>
            <w:r>
              <w:t xml:space="preserve"> образование </w:t>
            </w:r>
            <w:r>
              <w:rPr>
                <w:b/>
                <w:i/>
              </w:rPr>
              <w:t>до университетското равнище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подчертава в този контекст необходимостта да се отдава приоритет на инвестициите на всички равнища на образование и обучение в засегнатите райони; подчертава необходимостта от финансиране за обучение и образование;</w:t>
            </w:r>
          </w:p>
        </w:tc>
        <w:tc>
          <w:tcPr>
            <w:tcW w:w="4876" w:type="dxa"/>
            <w:tcBorders>
              <w:top w:val="nil"/>
              <w:left w:val="nil"/>
              <w:bottom w:val="nil"/>
              <w:right w:val="nil"/>
            </w:tcBorders>
          </w:tcPr>
          <w:p>
            <w:pPr>
              <w:pStyle w:val="Normal6a"/>
            </w:pPr>
            <w:r>
              <w:t>5.</w:t>
            </w:r>
            <w:r>
              <w:tab/>
            </w:r>
            <w:r>
              <w:t>подчертава в този контекст необходимостта да се отдава приоритет на инвестициите на всички равнища на образование и обучение</w:t>
            </w:r>
            <w:r>
              <w:rPr>
                <w:b/>
                <w:i/>
              </w:rPr>
              <w:t>, повишаване на квалификацията и преквалификация на работниците за алтернативна заетост, включително чрез помощ при търсене на работа</w:t>
            </w:r>
            <w:r>
              <w:t xml:space="preserve"> в засегнатите райони; подчертава необходимостта от финансиране за обучение и образование;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подчертава в този контекст необходимостта да се отдава приоритет на инвестициите на всички равнища на образование и обучение в засегнатите райони; подчертава необходимостта от финансиране за обучение и образование;</w:t>
            </w:r>
          </w:p>
        </w:tc>
        <w:tc>
          <w:tcPr>
            <w:tcW w:w="4876" w:type="dxa"/>
            <w:tcBorders>
              <w:top w:val="nil"/>
              <w:left w:val="nil"/>
              <w:bottom w:val="nil"/>
              <w:right w:val="nil"/>
            </w:tcBorders>
          </w:tcPr>
          <w:p>
            <w:pPr>
              <w:pStyle w:val="Normal6a"/>
            </w:pPr>
            <w:r>
              <w:t>5.</w:t>
            </w:r>
            <w:r>
              <w:tab/>
            </w:r>
            <w:r>
              <w:t>подчертава в този контекст необходимостта да се отдава приоритет на инвестициите на всички равнища на образование и обучение в засегнатите райони</w:t>
            </w:r>
            <w:r>
              <w:rPr>
                <w:b/>
                <w:i/>
              </w:rPr>
              <w:t>, включително в областта на екологичните и цифровите умения</w:t>
            </w:r>
            <w:r>
              <w:t>; подчертава необходимостта от финансиране за обучение и образование;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Елена Невадо Дел Кампо, Сусана Солис Перес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подчертава в този контекст необходимостта да се отдава приоритет на инвестициите на всички равнища на образование и обучение в засегнатите райони; подчертава необходимостта от финансиране </w:t>
            </w:r>
            <w:r>
              <w:rPr>
                <w:b/>
                <w:i/>
              </w:rPr>
              <w:t>за обучение и образование</w:t>
            </w:r>
            <w:r>
              <w:t>;</w:t>
            </w:r>
          </w:p>
        </w:tc>
        <w:tc>
          <w:tcPr>
            <w:tcW w:w="4876" w:type="dxa"/>
            <w:tcBorders>
              <w:top w:val="nil"/>
              <w:left w:val="nil"/>
              <w:bottom w:val="nil"/>
              <w:right w:val="nil"/>
            </w:tcBorders>
          </w:tcPr>
          <w:p>
            <w:pPr>
              <w:pStyle w:val="Normal6a"/>
            </w:pPr>
            <w:r>
              <w:t>5.</w:t>
            </w:r>
            <w:r>
              <w:tab/>
            </w:r>
            <w:r>
              <w:t xml:space="preserve">подчертава в този контекст необходимостта да се отдава приоритет на инвестициите на всички равнища на образование и обучение в засегнатите райони; подчертава необходимостта от финансиране </w:t>
            </w:r>
            <w:r>
              <w:rPr>
                <w:b/>
                <w:i/>
              </w:rPr>
              <w:t>на мерки, свързани с обучението</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Пауло До Нашименто Кабрал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подчертава в този контекст необходимостта да се отдава приоритет на инвестициите на всички равнища на образование и обучение в засегнатите райони; подчертава необходимостта от финансиране за обучение и образование;</w:t>
            </w:r>
          </w:p>
        </w:tc>
        <w:tc>
          <w:tcPr>
            <w:tcW w:w="4876" w:type="dxa"/>
            <w:tcBorders>
              <w:top w:val="nil"/>
              <w:left w:val="nil"/>
              <w:bottom w:val="nil"/>
              <w:right w:val="nil"/>
            </w:tcBorders>
          </w:tcPr>
          <w:p>
            <w:pPr>
              <w:pStyle w:val="Normal6a"/>
            </w:pPr>
            <w:r>
              <w:t>5.</w:t>
            </w:r>
            <w:r>
              <w:tab/>
            </w:r>
            <w:r>
              <w:t xml:space="preserve">подчертава в този контекст необходимостта да се отдава приоритет на инвестициите на всички равнища на образование и обучение в засегнатите райони; подчертава необходимостта от </w:t>
            </w:r>
            <w:r>
              <w:rPr>
                <w:b/>
                <w:i/>
              </w:rPr>
              <w:t>адекватно</w:t>
            </w:r>
            <w:r>
              <w:t xml:space="preserve"> финансиране </w:t>
            </w:r>
            <w:r>
              <w:rPr>
                <w:b/>
                <w:i/>
              </w:rPr>
              <w:t>от ЕС</w:t>
            </w:r>
            <w:r>
              <w:t xml:space="preserve"> за обучение и образование;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Изабел Льо Каленек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подчертава в този контекст необходимостта да се отдава приоритет на инвестициите на всички равнища на образование и обучение в засегнатите райони; подчертава </w:t>
            </w:r>
            <w:r>
              <w:rPr>
                <w:b/>
                <w:i/>
              </w:rPr>
              <w:t>необходимостта от</w:t>
            </w:r>
            <w:r>
              <w:t xml:space="preserve"> финансиране за обучение и образование;</w:t>
            </w:r>
          </w:p>
        </w:tc>
        <w:tc>
          <w:tcPr>
            <w:tcW w:w="4876" w:type="dxa"/>
            <w:tcBorders>
              <w:top w:val="nil"/>
              <w:left w:val="nil"/>
              <w:bottom w:val="nil"/>
              <w:right w:val="nil"/>
            </w:tcBorders>
          </w:tcPr>
          <w:p>
            <w:pPr>
              <w:pStyle w:val="Normal6a"/>
            </w:pPr>
            <w:r>
              <w:t>5.</w:t>
            </w:r>
            <w:r>
              <w:tab/>
            </w:r>
            <w:r>
              <w:t xml:space="preserve">подчертава в този контекст необходимостта да се отдава приоритет на инвестициите на всички равнища на образование и обучение в засегнатите райони; подчертава </w:t>
            </w:r>
            <w:r>
              <w:rPr>
                <w:b/>
                <w:i/>
              </w:rPr>
              <w:t>възможността за</w:t>
            </w:r>
            <w:r>
              <w:t xml:space="preserve"> финансиране за обучение и образование;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5а.</w:t>
            </w:r>
            <w:r>
              <w:tab/>
            </w:r>
            <w:r>
              <w:rPr>
                <w:b/>
                <w:i/>
              </w:rPr>
              <w:t>подчертава ключовата роля, която инвестициите във висококачествени обществени услуги играят за изграждането на социална устойчивост и справянето с икономически и социални кризи;</w:t>
            </w:r>
            <w:r>
              <w:t xml:space="preserve"> </w:t>
            </w:r>
            <w:r>
              <w:rPr>
                <w:b/>
                <w:i/>
              </w:rPr>
              <w:t>освен това счита, че финансирането следва да бъде насочено в по-голяма степен към инвестиции в хората, тъй като икономиките на регионите на ЕС могат да бъдат стимулирани чрез ефективна комбинация от инвестиции в иновации, човешки капитал, добро управление и институционален капацитет;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Елена Невадо Дел Кампо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призовава най-малко 50 % от средствата за образование в засегнатите региони да се използват за чиракуване, като се признават вече направените инвестиции в чиракуване;</w:t>
            </w:r>
          </w:p>
        </w:tc>
        <w:tc>
          <w:tcPr>
            <w:tcW w:w="4876" w:type="dxa"/>
            <w:tcBorders>
              <w:top w:val="nil"/>
              <w:left w:val="nil"/>
              <w:bottom w:val="nil"/>
              <w:right w:val="nil"/>
            </w:tcBorders>
          </w:tcPr>
          <w:p>
            <w:pPr>
              <w:pStyle w:val="Normal6a"/>
            </w:pPr>
            <w:r>
              <w:t>6.</w:t>
            </w:r>
            <w:r>
              <w:tab/>
            </w:r>
            <w:r>
              <w:t xml:space="preserve">призовава най-малко 50 % от средствата за образование в засегнатите региони да се използват за чиракуване, като се признават вече направените инвестиции в чиракуване </w:t>
            </w:r>
            <w:r>
              <w:rPr>
                <w:b/>
                <w:i/>
              </w:rPr>
              <w:t>и като се дава приоритет, наред с другото, на обучението за полагане на грижи за възрастни хора и на насърчаването на местното предприемачество чрез програми в подкрепа на създаването на микропредприятия, кооперации и социална икономика, съобразени с характеристиките на района</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Валентина Палмизано, 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призовава най-малко </w:t>
            </w:r>
            <w:r>
              <w:rPr>
                <w:b/>
                <w:i/>
              </w:rPr>
              <w:t>50 %</w:t>
            </w:r>
            <w:r>
              <w:t xml:space="preserve"> от средствата за образование в засегнатите региони да </w:t>
            </w:r>
            <w:r>
              <w:rPr>
                <w:b/>
                <w:i/>
              </w:rPr>
              <w:t>се използват</w:t>
            </w:r>
            <w:r>
              <w:t xml:space="preserve"> за чиракуване, като се признават вече направените инвестиции в чиракуване;</w:t>
            </w:r>
          </w:p>
        </w:tc>
        <w:tc>
          <w:tcPr>
            <w:tcW w:w="4876" w:type="dxa"/>
            <w:tcBorders>
              <w:top w:val="nil"/>
              <w:left w:val="nil"/>
              <w:bottom w:val="nil"/>
              <w:right w:val="nil"/>
            </w:tcBorders>
          </w:tcPr>
          <w:p>
            <w:pPr>
              <w:pStyle w:val="Normal6a"/>
            </w:pPr>
            <w:r>
              <w:t>6.</w:t>
            </w:r>
            <w:r>
              <w:tab/>
            </w:r>
            <w:r>
              <w:t xml:space="preserve">призовава най-малко </w:t>
            </w:r>
            <w:r>
              <w:rPr>
                <w:b/>
                <w:i/>
              </w:rPr>
              <w:t>50%</w:t>
            </w:r>
            <w:r>
              <w:t xml:space="preserve"> от средствата за образование в засегнатите региони да </w:t>
            </w:r>
            <w:r>
              <w:rPr>
                <w:b/>
                <w:i/>
              </w:rPr>
              <w:t>бъдат разпределени за висококачествени програми</w:t>
            </w:r>
            <w:r>
              <w:t xml:space="preserve"> за чиракуване</w:t>
            </w:r>
            <w:r>
              <w:rPr>
                <w:b/>
                <w:i/>
              </w:rPr>
              <w:t>, като се гарантира, че тези програми предлагат адекватно възнаграждение, достойни условия на труд и качествено обучение в съответствие с принципите на Директива (ЕС) 2022/2041 относно адекватната минимална работна заплата</w:t>
            </w:r>
            <w:r>
              <w:t>, като се признават вече направените инвестиции в чиракуване;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Дан Барна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призовава най-малко </w:t>
            </w:r>
            <w:r>
              <w:rPr>
                <w:b/>
                <w:i/>
              </w:rPr>
              <w:t>50 %</w:t>
            </w:r>
            <w:r>
              <w:t xml:space="preserve"> от средствата за образование в засегнатите региони да се използват за чиракуване, като се признават вече направените инвестиции в чиракуване;</w:t>
            </w:r>
          </w:p>
        </w:tc>
        <w:tc>
          <w:tcPr>
            <w:tcW w:w="4876" w:type="dxa"/>
            <w:tcBorders>
              <w:top w:val="nil"/>
              <w:left w:val="nil"/>
              <w:bottom w:val="nil"/>
              <w:right w:val="nil"/>
            </w:tcBorders>
          </w:tcPr>
          <w:p>
            <w:pPr>
              <w:pStyle w:val="Normal6a"/>
            </w:pPr>
            <w:r>
              <w:t>6.</w:t>
            </w:r>
            <w:r>
              <w:tab/>
            </w:r>
            <w:r>
              <w:t xml:space="preserve">призовава най-малко </w:t>
            </w:r>
            <w:r>
              <w:rPr>
                <w:b/>
                <w:i/>
              </w:rPr>
              <w:t>50%</w:t>
            </w:r>
            <w:r>
              <w:t xml:space="preserve"> от средствата за образование в засегнатите региони да се използват за чиракуване, </w:t>
            </w:r>
            <w:r>
              <w:rPr>
                <w:b/>
                <w:i/>
              </w:rPr>
              <w:t>преквалификация и повишаване на квалификацията,</w:t>
            </w:r>
            <w:r>
              <w:t xml:space="preserve"> като се признават вече направените инвестиции в чиракуване; </w:t>
            </w:r>
            <w:r>
              <w:rPr>
                <w:b/>
                <w:i/>
              </w:rPr>
              <w:t>отбелязва, че програмата следва да насърчава ученето през целия живот за всички работници в региона;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Кирън Мълули, Любица Карвашова, Ракел Гарсия Ермида-ван дер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призовава най-малко </w:t>
            </w:r>
            <w:r>
              <w:rPr>
                <w:b/>
                <w:i/>
              </w:rPr>
              <w:t>50 %</w:t>
            </w:r>
            <w:r>
              <w:t xml:space="preserve"> от средствата за образование в засегнатите региони да се използват за чиракуване</w:t>
            </w:r>
            <w:r>
              <w:rPr>
                <w:b/>
                <w:i/>
              </w:rPr>
              <w:t>, като</w:t>
            </w:r>
            <w:r>
              <w:t xml:space="preserve"> се признават вече направените инвестиции в чиракуване;</w:t>
            </w:r>
          </w:p>
        </w:tc>
        <w:tc>
          <w:tcPr>
            <w:tcW w:w="4876" w:type="dxa"/>
            <w:tcBorders>
              <w:top w:val="nil"/>
              <w:left w:val="nil"/>
              <w:bottom w:val="nil"/>
              <w:right w:val="nil"/>
            </w:tcBorders>
          </w:tcPr>
          <w:p>
            <w:pPr>
              <w:pStyle w:val="Normal6a"/>
            </w:pPr>
            <w:r>
              <w:t>6.</w:t>
            </w:r>
            <w:r>
              <w:tab/>
            </w:r>
            <w:r>
              <w:t xml:space="preserve">призовава най-малко </w:t>
            </w:r>
            <w:r>
              <w:rPr>
                <w:b/>
                <w:i/>
              </w:rPr>
              <w:t>50%</w:t>
            </w:r>
            <w:r>
              <w:t xml:space="preserve"> от средствата за образование в засегнатите региони да се използват за чиракуване </w:t>
            </w:r>
            <w:r>
              <w:rPr>
                <w:b/>
                <w:i/>
              </w:rPr>
              <w:t>и професионално обучение, които отговарят на нуждите на местната общност, като същевременно</w:t>
            </w:r>
            <w:r>
              <w:t xml:space="preserve"> се признават вече направените инвестиции в чиракуване;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Изабел Льо Каленек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призовава </w:t>
            </w:r>
            <w:r>
              <w:rPr>
                <w:b/>
                <w:i/>
              </w:rPr>
              <w:t>най-малко 50 %</w:t>
            </w:r>
            <w:r>
              <w:t xml:space="preserve"> от средствата за образование в засегнатите региони да се </w:t>
            </w:r>
            <w:r>
              <w:rPr>
                <w:b/>
                <w:i/>
              </w:rPr>
              <w:t>използват</w:t>
            </w:r>
            <w:r>
              <w:t xml:space="preserve"> за чиракуване, като се признават вече направените инвестиции в чиракуване;</w:t>
            </w:r>
          </w:p>
        </w:tc>
        <w:tc>
          <w:tcPr>
            <w:tcW w:w="4876" w:type="dxa"/>
            <w:tcBorders>
              <w:top w:val="nil"/>
              <w:left w:val="nil"/>
              <w:bottom w:val="nil"/>
              <w:right w:val="nil"/>
            </w:tcBorders>
          </w:tcPr>
          <w:p>
            <w:pPr>
              <w:pStyle w:val="Normal6a"/>
            </w:pPr>
            <w:r>
              <w:t>6.</w:t>
            </w:r>
            <w:r>
              <w:tab/>
            </w:r>
            <w:r>
              <w:t xml:space="preserve">призовава </w:t>
            </w:r>
            <w:r>
              <w:rPr>
                <w:b/>
                <w:i/>
              </w:rPr>
              <w:t>значителна част</w:t>
            </w:r>
            <w:r>
              <w:t xml:space="preserve"> от средствата за образование в засегнатите региони да се </w:t>
            </w:r>
            <w:r>
              <w:rPr>
                <w:b/>
                <w:i/>
              </w:rPr>
              <w:t>използва</w:t>
            </w:r>
            <w:r>
              <w:t xml:space="preserve"> за чиракуване, като се признават вече направените инвестиции в чиракуване;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Пауло До Нашименто Кабрал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призовава </w:t>
            </w:r>
            <w:r>
              <w:rPr>
                <w:b/>
                <w:i/>
              </w:rPr>
              <w:t>най-малко 50 % от средствата за образование в засегнатите региони да се използват за чиракуване, като се признават вече направените инвестиции в чиракуване</w:t>
            </w:r>
            <w:r>
              <w:t>;</w:t>
            </w:r>
          </w:p>
        </w:tc>
        <w:tc>
          <w:tcPr>
            <w:tcW w:w="4876" w:type="dxa"/>
            <w:tcBorders>
              <w:top w:val="nil"/>
              <w:left w:val="nil"/>
              <w:bottom w:val="nil"/>
              <w:right w:val="nil"/>
            </w:tcBorders>
          </w:tcPr>
          <w:p>
            <w:pPr>
              <w:pStyle w:val="Normal6a"/>
            </w:pPr>
            <w:r>
              <w:t>6.</w:t>
            </w:r>
            <w:r>
              <w:tab/>
            </w:r>
            <w:r>
              <w:t xml:space="preserve">призовава </w:t>
            </w:r>
            <w:r>
              <w:rPr>
                <w:b/>
                <w:i/>
              </w:rPr>
              <w:t>държавите членки да включат целенасочен подход към образованието и чиракуването в териториалните планове за справедлив преход</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Андре Руже, Роди Толаси, Клара Досталова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6а.</w:t>
            </w:r>
            <w:r>
              <w:tab/>
            </w:r>
            <w:r>
              <w:rPr>
                <w:b/>
                <w:i/>
              </w:rPr>
              <w:t>призовава Комисията да въведе специален механизъм във Фонда за справедлив преход, за да се гарантира, че критериите за допустимост и процентите на съфинансиране за НОР и ОСТ са адаптирани, като по този начин се отговори по-добре на конкретните предизвикателства, свързани с техния островен характер, отдалеченост и икономическа уязвимост;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Изабел Льо Каленек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призовава финансирането от Европейския социален фонд плюс (ЕСФ +) да бъде насочено в по-голяма степен към регионите и за повече полезни взаимодействия между ЕСФ + и ФСП, особено по отношение на образованието и обучението;</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Пауло До Нашименто Кабрал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призовава </w:t>
            </w:r>
            <w:r>
              <w:rPr>
                <w:b/>
                <w:i/>
              </w:rPr>
              <w:t>финансирането от</w:t>
            </w:r>
            <w:r>
              <w:t xml:space="preserve"> Европейския социален фонд плюс (ЕСФ +) да бъде насочено в по-голяма степен към регионите и за повече полезни взаимодействия между ЕСФ + и ФСП, </w:t>
            </w:r>
            <w:r>
              <w:rPr>
                <w:b/>
                <w:i/>
              </w:rPr>
              <w:t>особено</w:t>
            </w:r>
            <w:r>
              <w:t xml:space="preserve"> по отношение на образованието и обучението;</w:t>
            </w:r>
          </w:p>
        </w:tc>
        <w:tc>
          <w:tcPr>
            <w:tcW w:w="4876" w:type="dxa"/>
            <w:tcBorders>
              <w:top w:val="nil"/>
              <w:left w:val="nil"/>
              <w:bottom w:val="nil"/>
              <w:right w:val="nil"/>
            </w:tcBorders>
          </w:tcPr>
          <w:p>
            <w:pPr>
              <w:pStyle w:val="Normal6a"/>
            </w:pPr>
            <w:r>
              <w:t>7.</w:t>
            </w:r>
            <w:r>
              <w:tab/>
            </w:r>
            <w:r>
              <w:t xml:space="preserve">призовава </w:t>
            </w:r>
            <w:r>
              <w:rPr>
                <w:b/>
                <w:i/>
              </w:rPr>
              <w:t>управлението на</w:t>
            </w:r>
            <w:r>
              <w:t xml:space="preserve"> Европейския социален фонд плюс (ЕСФ +) да </w:t>
            </w:r>
            <w:r>
              <w:rPr>
                <w:b/>
                <w:i/>
              </w:rPr>
              <w:t>се ръководи от многостепенен подход, включващ финансиране от националните, регионалните и местните органи, което да</w:t>
            </w:r>
            <w:r>
              <w:t xml:space="preserve"> бъде насочено в по-голяма степен към регионите</w:t>
            </w:r>
            <w:r>
              <w:rPr>
                <w:b/>
                <w:i/>
              </w:rPr>
              <w:t>, както</w:t>
            </w:r>
            <w:r>
              <w:t xml:space="preserve"> и за повече полезни взаимодействия между ЕСФ + и ФСП, </w:t>
            </w:r>
            <w:r>
              <w:rPr>
                <w:b/>
                <w:i/>
              </w:rPr>
              <w:t>по-специално</w:t>
            </w:r>
            <w:r>
              <w:t xml:space="preserve"> по отношение на образованието и обучението;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призовава финансирането от Европейския социален фонд плюс (ЕСФ +) да бъде насочено в по-голяма степен към регионите и за повече полезни взаимодействия между ЕСФ + и ФСП, особено по отношение на образованието и обучението;</w:t>
            </w:r>
          </w:p>
        </w:tc>
        <w:tc>
          <w:tcPr>
            <w:tcW w:w="4876" w:type="dxa"/>
            <w:tcBorders>
              <w:top w:val="nil"/>
              <w:left w:val="nil"/>
              <w:bottom w:val="nil"/>
              <w:right w:val="nil"/>
            </w:tcBorders>
          </w:tcPr>
          <w:p>
            <w:pPr>
              <w:pStyle w:val="Normal6a"/>
            </w:pPr>
            <w:r>
              <w:t>7.</w:t>
            </w:r>
            <w:r>
              <w:tab/>
            </w:r>
            <w:r>
              <w:t xml:space="preserve">призовава финансирането от Европейския социален фонд плюс (ЕСФ +) да бъде насочено в по-голяма степен към регионите и за повече </w:t>
            </w:r>
            <w:r>
              <w:rPr>
                <w:b/>
                <w:i/>
              </w:rPr>
              <w:t>и по-добри</w:t>
            </w:r>
            <w:r>
              <w:t xml:space="preserve"> полезни взаимодействия между ЕСФ + и ФСП, особено по отношение на образованието и обучението</w:t>
            </w:r>
            <w:r>
              <w:rPr>
                <w:b/>
                <w:i/>
              </w:rPr>
              <w:t>, както и във връзка с мобилността на работниците от регионите с демографски спад</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Любица Карвашова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признава ключовата роля на автомобилната промишленост в Европейския съюз, включително по отношение на заетостта в различни региони;</w:t>
            </w:r>
            <w:r>
              <w:t xml:space="preserve"> </w:t>
            </w:r>
            <w:r>
              <w:rPr>
                <w:b/>
                <w:i/>
              </w:rPr>
              <w:t>счита, че включването на автомобилния сектор в обхвата на справедливия преход е от съществено значение, като се имат предвид предизвикателствата, породени от глобалната конкуренция при преминаването към електромобилност, и въздействието на необоснованите пречки пред търговията;</w:t>
            </w:r>
            <w:r>
              <w:t xml:space="preserve"> </w:t>
            </w:r>
            <w:r>
              <w:rPr>
                <w:b/>
                <w:i/>
              </w:rPr>
              <w:t>подчертава необходимостта от целенасочени политики, които дават приоритет на преквалификацията на работниците, и от инициативи, насочени към диверсифициране на икономическия модел на регионите със силно развита автомобилна промишленост;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признава, че проблемите с ликвидността възпират потенциалните бенефициери, като например общините, да кандидатстват за проекти, финансирани по линия на политиката на сближаване, и поради това призовава за значително и съобразено с нуждите увеличение на предварителното финансиране в такива случаи;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7б.</w:t>
            </w:r>
            <w:r>
              <w:tab/>
            </w:r>
            <w:r>
              <w:rPr>
                <w:b/>
                <w:i/>
              </w:rPr>
              <w:t>отбелязва, че екологичният преход има силно изразено социално измерение на пола, като жените обикновено са по-слабо представени при екологичните работни места, а мъжете са по-силно засегнати от изчезването на работните места, свързани с високи въглеродни емисии;</w:t>
            </w:r>
            <w:r>
              <w:t xml:space="preserve"> </w:t>
            </w:r>
            <w:r>
              <w:rPr>
                <w:b/>
                <w:i/>
              </w:rPr>
              <w:t>следователно подчертава необходимостта от перспектива за равенство между половете при разработването и прилагането на всички политики за преход, за да се избегне задълбочаване на разделението в рамките на местните пазари на труда;</w:t>
            </w:r>
            <w:r>
              <w:t xml:space="preserve"> </w:t>
            </w:r>
            <w:r>
              <w:rPr>
                <w:b/>
                <w:i/>
              </w:rPr>
              <w:t>припомня значението на социално справедливия екологичен преход на икономиката, свързана с полагането на грижи, и на сектора на грижите (например грижите за малки деца или дългосрочните грижи) – доминирана от жени сфера на работа, в която създаването на работни места е абсолютно необходимо за преразпределяне на неплатения труд по полагане на грижи и предварително условие за гарантиране на това, че жените имат равни възможности за работа в прехода като мъжете, включително с оглед на новите заплахи за здравето, свързани с изменението на климата и замърсяването;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7в.</w:t>
            </w:r>
            <w:r>
              <w:tab/>
            </w:r>
            <w:r>
              <w:rPr>
                <w:b/>
                <w:i/>
              </w:rPr>
              <w:t>счита, че рамката за управление е от ключово значение за осъществяването на справедливия преход и че всички засегнати граждани и заинтересовани страни трябва да участват в процеса на трансформация и в процеса на вземане на решения относно съвместното бъдеще;</w:t>
            </w:r>
            <w:r>
              <w:t xml:space="preserve"> </w:t>
            </w:r>
            <w:r>
              <w:rPr>
                <w:b/>
                <w:i/>
              </w:rPr>
              <w:t>във връзка с това на всички етапи трябва да се прилагат основан на участието подход и непрекъснат диалог, включително за изготвянето на дългосрочна стратегия за развитие, създаването на схема за мониторинг и оценка и междусекторен подход;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Нора Мебарек, Сержио Гонсалвеш, Роса Мария Серано Сиера, Адриан-Драгош Беня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призовава Комисията да работи с държавите членки, за да гарантира, че работниците, които са загубили работата си, </w:t>
            </w:r>
            <w:r>
              <w:rPr>
                <w:b/>
                <w:i/>
              </w:rPr>
              <w:t>получават специален статут за участие</w:t>
            </w:r>
            <w:r>
              <w:t xml:space="preserve"> в подпомагани от ЕСФ + схеми за заетост и обучение в </w:t>
            </w:r>
            <w:r>
              <w:rPr>
                <w:b/>
                <w:i/>
              </w:rPr>
              <w:t>своето населено място</w:t>
            </w:r>
            <w:r>
              <w:t>;</w:t>
            </w:r>
          </w:p>
        </w:tc>
        <w:tc>
          <w:tcPr>
            <w:tcW w:w="4876" w:type="dxa"/>
            <w:tcBorders>
              <w:top w:val="nil"/>
              <w:left w:val="nil"/>
              <w:bottom w:val="nil"/>
              <w:right w:val="nil"/>
            </w:tcBorders>
          </w:tcPr>
          <w:p>
            <w:pPr>
              <w:pStyle w:val="Normal6a"/>
            </w:pPr>
            <w:r>
              <w:t>8.</w:t>
            </w:r>
            <w:r>
              <w:tab/>
            </w:r>
            <w:r>
              <w:t xml:space="preserve">призовава Комисията да работи с държавите членки, </w:t>
            </w:r>
            <w:r>
              <w:rPr>
                <w:b/>
                <w:i/>
              </w:rPr>
              <w:t>местните и регионалните органи, синдикалните организации и местните предприятия,</w:t>
            </w:r>
            <w:r>
              <w:t xml:space="preserve"> за да гарантира, че </w:t>
            </w:r>
            <w:r>
              <w:rPr>
                <w:b/>
                <w:i/>
              </w:rPr>
              <w:t>се обръща специално внимание на това</w:t>
            </w:r>
            <w:r>
              <w:t xml:space="preserve"> работниците, които са загубили работата си, </w:t>
            </w:r>
            <w:r>
              <w:rPr>
                <w:b/>
                <w:i/>
              </w:rPr>
              <w:t>да участват</w:t>
            </w:r>
            <w:r>
              <w:t xml:space="preserve"> в подпомагани от ЕСФ + схеми за заетост и обучение в </w:t>
            </w:r>
            <w:r>
              <w:rPr>
                <w:b/>
                <w:i/>
              </w:rPr>
              <w:t>своите населени места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призовава Комисията да работи с държавите членки, за да гарантира, че работниците, които са загубили работата си, получават специален статут за участие в подпомагани от ЕСФ + схеми за заетост и обучение в своето населено място;</w:t>
            </w:r>
          </w:p>
        </w:tc>
        <w:tc>
          <w:tcPr>
            <w:tcW w:w="4876" w:type="dxa"/>
            <w:tcBorders>
              <w:top w:val="nil"/>
              <w:left w:val="nil"/>
              <w:bottom w:val="nil"/>
              <w:right w:val="nil"/>
            </w:tcBorders>
          </w:tcPr>
          <w:p>
            <w:pPr>
              <w:pStyle w:val="Normal6a"/>
            </w:pPr>
            <w:r>
              <w:t>8.</w:t>
            </w:r>
            <w:r>
              <w:tab/>
            </w:r>
            <w:r>
              <w:t xml:space="preserve">призовава Комисията да работи с държавите членки, за да гарантира, че работниците, които са загубили работата си, получават специален статут за участие в подпомагани от ЕСФ + </w:t>
            </w:r>
            <w:r>
              <w:rPr>
                <w:b/>
                <w:i/>
              </w:rPr>
              <w:t>или други програми на ЕС за финансиране</w:t>
            </w:r>
            <w:r>
              <w:t xml:space="preserve"> схеми за заетост и обучение в своето населено място;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Пауло До Нашименто Кабрал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призовава Комисията да работи с държавите членки, за да гарантира, че работниците, които са загубили работата си</w:t>
            </w:r>
            <w:r>
              <w:rPr>
                <w:b/>
                <w:i/>
              </w:rPr>
              <w:t>, получават специален статут за участие в подпомагани от ЕСФ + схеми</w:t>
            </w:r>
            <w:r>
              <w:t xml:space="preserve"> за заетост и обучение </w:t>
            </w:r>
            <w:r>
              <w:rPr>
                <w:b/>
                <w:i/>
              </w:rPr>
              <w:t>в своето населено място</w:t>
            </w:r>
            <w:r>
              <w:t>;</w:t>
            </w:r>
          </w:p>
        </w:tc>
        <w:tc>
          <w:tcPr>
            <w:tcW w:w="4876" w:type="dxa"/>
            <w:tcBorders>
              <w:top w:val="nil"/>
              <w:left w:val="nil"/>
              <w:bottom w:val="nil"/>
              <w:right w:val="nil"/>
            </w:tcBorders>
          </w:tcPr>
          <w:p>
            <w:pPr>
              <w:pStyle w:val="Normal6a"/>
            </w:pPr>
            <w:r>
              <w:t>8.</w:t>
            </w:r>
            <w:r>
              <w:tab/>
            </w:r>
            <w:r>
              <w:t xml:space="preserve">призовава Комисията да работи с държавите членки, за да гарантира, че работниците, които са загубили работата си </w:t>
            </w:r>
            <w:r>
              <w:rPr>
                <w:b/>
                <w:i/>
              </w:rPr>
              <w:t>в този контекст, имат приоритетен достъп до участие в програми</w:t>
            </w:r>
            <w:r>
              <w:t xml:space="preserve"> за заетост и обучение</w:t>
            </w:r>
            <w:r>
              <w:rPr>
                <w:b/>
                <w:i/>
              </w:rPr>
              <w:t>, подкрепяни от ЕСФ +, в своите общности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Нора Мебарек, Сержио Гонсалвеш, Роса Мария Серано Сиера, Адриан-Драгош Беня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подчертава необходимостта от създаване, чрез ФСП, на амбициозни и целенасочени програми за професионално обучение и преквалификация също и за търсещите работа лица и работниците, пряко засегнати от икономическите преходи, породени от декарбонизацията, особено в приоритетни сектори като енергията от възобновяеми източници, кръговата икономика, устойчивото строителство и мобилността, за да се предотврати появата на дългосрочна структурна безработица и да се смекчи социалното напрежение;</w:t>
            </w:r>
            <w:r>
              <w:t xml:space="preserve"> </w:t>
            </w:r>
            <w:r>
              <w:rPr>
                <w:b/>
                <w:i/>
              </w:rPr>
              <w:t>настоява, че е необходимо да се отпусне специално финансиране за тези действия в териториалните планове за справедлив преход;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Подчертава необходимостта от разработване на схеми за чиракуване за засегнатите райони в сътрудничество с местните предприятия, за да се предостави на учещите опит в техните общности, като им се предоставя „право на оставане“;</w:t>
            </w:r>
          </w:p>
        </w:tc>
        <w:tc>
          <w:tcPr>
            <w:tcW w:w="4876" w:type="dxa"/>
            <w:tcBorders>
              <w:top w:val="nil"/>
              <w:left w:val="nil"/>
              <w:bottom w:val="nil"/>
              <w:right w:val="nil"/>
            </w:tcBorders>
          </w:tcPr>
          <w:p>
            <w:pPr>
              <w:pStyle w:val="Normal6a"/>
            </w:pPr>
            <w:r>
              <w:t>9.</w:t>
            </w:r>
            <w:r>
              <w:tab/>
            </w:r>
            <w:r>
              <w:t xml:space="preserve">Подчертава необходимостта от разработване на схеми за чиракуване за засегнатите райони в сътрудничество с местните предприятия, за да се предостави на учещите опит в техните общности, като им се предоставя „право на оставане“; </w:t>
            </w:r>
            <w:r>
              <w:rPr>
                <w:b/>
                <w:i/>
              </w:rPr>
              <w:t>призовава Комисията да издаде конкретни насоки за това как да се изпълнява и прилага този принцип във всички политики на ЕС;</w:t>
            </w:r>
            <w:r>
              <w:t xml:space="preserve"> </w:t>
            </w:r>
            <w:r>
              <w:rPr>
                <w:b/>
                <w:i/>
              </w:rPr>
              <w:t>призовава за по-силно интегриране на този принцип като хоризонтален принцип във всички политики на ЕС, така че те да подкрепят целите на социалното, икономическото и териториалното сближаване, посочени в членове 3 и 174 от ДФЕС;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Пауло До Нашименто Кабрал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Подчертава необходимостта от разработване на </w:t>
            </w:r>
            <w:r>
              <w:rPr>
                <w:b/>
                <w:i/>
              </w:rPr>
              <w:t>схеми</w:t>
            </w:r>
            <w:r>
              <w:t xml:space="preserve"> за чиракуване </w:t>
            </w:r>
            <w:r>
              <w:rPr>
                <w:b/>
                <w:i/>
              </w:rPr>
              <w:t>за засегнатите райони в сътрудничество с местните предприятия, за да се предостави на учещите опит в техните</w:t>
            </w:r>
            <w:r>
              <w:t xml:space="preserve"> общности, </w:t>
            </w:r>
            <w:r>
              <w:rPr>
                <w:b/>
                <w:i/>
              </w:rPr>
              <w:t>като им се предоставя</w:t>
            </w:r>
            <w:r>
              <w:t xml:space="preserve"> „право на оставане“;</w:t>
            </w:r>
          </w:p>
        </w:tc>
        <w:tc>
          <w:tcPr>
            <w:tcW w:w="4876" w:type="dxa"/>
            <w:tcBorders>
              <w:top w:val="nil"/>
              <w:left w:val="nil"/>
              <w:bottom w:val="nil"/>
              <w:right w:val="nil"/>
            </w:tcBorders>
          </w:tcPr>
          <w:p>
            <w:pPr>
              <w:pStyle w:val="Normal6a"/>
            </w:pPr>
            <w:r>
              <w:t>9.</w:t>
            </w:r>
            <w:r>
              <w:tab/>
            </w:r>
            <w:r>
              <w:t xml:space="preserve">подчертава необходимостта от разработване на </w:t>
            </w:r>
            <w:r>
              <w:rPr>
                <w:b/>
                <w:i/>
              </w:rPr>
              <w:t>програми</w:t>
            </w:r>
            <w:r>
              <w:t xml:space="preserve"> за чиракуване </w:t>
            </w:r>
            <w:r>
              <w:rPr>
                <w:b/>
                <w:i/>
              </w:rPr>
              <w:t>и обучение за районите, засегнати от процеса на преход, като се насърчава сътрудничеството между предприятията и местната общност;</w:t>
            </w:r>
            <w:r>
              <w:t xml:space="preserve"> </w:t>
            </w:r>
            <w:r>
              <w:rPr>
                <w:b/>
                <w:i/>
              </w:rPr>
              <w:t>подчертава, че когато частният сектор не е достатъчен в това отношение, публичният сектор следва също така да играе активна роля, като гарантира, че стажантите имат възможности в рамките на своите</w:t>
            </w:r>
            <w:r>
              <w:t xml:space="preserve"> общности, </w:t>
            </w:r>
            <w:r>
              <w:rPr>
                <w:b/>
                <w:i/>
              </w:rPr>
              <w:t>и като защитава тяхното</w:t>
            </w:r>
            <w:r>
              <w:t xml:space="preserve"> „право на оставане“;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Дан Барна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Подчертава необходимостта от разработване на схеми за чиракуване за засегнатите райони в сътрудничество с местните предприятия, за да се предостави на учещите опит в техните общности, като им се предоставя </w:t>
            </w:r>
            <w:r>
              <w:rPr>
                <w:b/>
                <w:i/>
              </w:rPr>
              <w:t>„право на оставане“</w:t>
            </w:r>
            <w:r>
              <w:t>;</w:t>
            </w:r>
          </w:p>
        </w:tc>
        <w:tc>
          <w:tcPr>
            <w:tcW w:w="4876" w:type="dxa"/>
            <w:tcBorders>
              <w:top w:val="nil"/>
              <w:left w:val="nil"/>
              <w:bottom w:val="nil"/>
              <w:right w:val="nil"/>
            </w:tcBorders>
          </w:tcPr>
          <w:p>
            <w:pPr>
              <w:pStyle w:val="Normal6a"/>
            </w:pPr>
            <w:r>
              <w:t>9.</w:t>
            </w:r>
            <w:r>
              <w:tab/>
            </w:r>
            <w:r>
              <w:t xml:space="preserve">подчертава необходимостта от разработване на схеми за чиракуване </w:t>
            </w:r>
            <w:r>
              <w:rPr>
                <w:b/>
                <w:i/>
              </w:rPr>
              <w:t>и различни програми за гъвкаво обучение на всички равнища</w:t>
            </w:r>
            <w:r>
              <w:t xml:space="preserve"> за засегнатите райони в сътрудничество с местните предприятия, за да се предостави на учещите </w:t>
            </w:r>
            <w:r>
              <w:rPr>
                <w:b/>
                <w:i/>
              </w:rPr>
              <w:t>и безработните работници</w:t>
            </w:r>
            <w:r>
              <w:t xml:space="preserve"> опит в техните общности </w:t>
            </w:r>
            <w:r>
              <w:rPr>
                <w:b/>
                <w:i/>
              </w:rPr>
              <w:t>и в нови професионални области</w:t>
            </w:r>
            <w:r>
              <w:t xml:space="preserve">, като им се предоставя </w:t>
            </w:r>
            <w:r>
              <w:rPr>
                <w:b/>
                <w:i/>
              </w:rPr>
              <w:t>възможност да останат и да изградят успешни животи в родните си градове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Подчертава необходимостта от разработване на схеми за чиракуване за засегнатите райони в сътрудничество с местните предприятия, за да се </w:t>
            </w:r>
            <w:r>
              <w:rPr>
                <w:b/>
                <w:i/>
              </w:rPr>
              <w:t>предостави</w:t>
            </w:r>
            <w:r>
              <w:t xml:space="preserve"> на учещите </w:t>
            </w:r>
            <w:r>
              <w:rPr>
                <w:b/>
                <w:i/>
              </w:rPr>
              <w:t>опит</w:t>
            </w:r>
            <w:r>
              <w:t xml:space="preserve"> в техните общности, като им се предоставя „право на оставане“;</w:t>
            </w:r>
          </w:p>
        </w:tc>
        <w:tc>
          <w:tcPr>
            <w:tcW w:w="4876" w:type="dxa"/>
            <w:tcBorders>
              <w:top w:val="nil"/>
              <w:left w:val="nil"/>
              <w:bottom w:val="nil"/>
              <w:right w:val="nil"/>
            </w:tcBorders>
          </w:tcPr>
          <w:p>
            <w:pPr>
              <w:pStyle w:val="Normal6a"/>
            </w:pPr>
            <w:r>
              <w:t>9.</w:t>
            </w:r>
            <w:r>
              <w:tab/>
            </w:r>
            <w:r>
              <w:t xml:space="preserve">подчертава необходимостта от разработване на схеми за чиракуване за засегнатите райони в сътрудничество с местните предприятия, </w:t>
            </w:r>
            <w:r>
              <w:rPr>
                <w:b/>
                <w:i/>
              </w:rPr>
              <w:t>висшите учебни заведения (ВУЗ), университетските центрове за обучение и учене през целия живот и публичната администрация,</w:t>
            </w:r>
            <w:r>
              <w:t xml:space="preserve"> за да се </w:t>
            </w:r>
            <w:r>
              <w:rPr>
                <w:b/>
                <w:i/>
              </w:rPr>
              <w:t>изгради професионалното бъдеще</w:t>
            </w:r>
            <w:r>
              <w:t xml:space="preserve"> на учещите в техните общности, като им се предоставя „право на оставане“;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Валентина Палмизано, 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Подчертава необходимостта от разработване на схеми за чиракуване за засегнатите райони в сътрудничество с местните предприятия, за да се </w:t>
            </w:r>
            <w:r>
              <w:rPr>
                <w:b/>
                <w:i/>
              </w:rPr>
              <w:t>предостави на учещите опит</w:t>
            </w:r>
            <w:r>
              <w:t xml:space="preserve"> в техните общности, като им се предоставя „право на оставане“;</w:t>
            </w:r>
          </w:p>
        </w:tc>
        <w:tc>
          <w:tcPr>
            <w:tcW w:w="4876" w:type="dxa"/>
            <w:tcBorders>
              <w:top w:val="nil"/>
              <w:left w:val="nil"/>
              <w:bottom w:val="nil"/>
              <w:right w:val="nil"/>
            </w:tcBorders>
          </w:tcPr>
          <w:p>
            <w:pPr>
              <w:pStyle w:val="Normal6a"/>
            </w:pPr>
            <w:r>
              <w:t>9.</w:t>
            </w:r>
            <w:r>
              <w:tab/>
            </w:r>
            <w:r>
              <w:t xml:space="preserve">подчертава необходимостта от разработване на схеми за чиракуване за засегнатите райони в сътрудничество с местните предприятия </w:t>
            </w:r>
            <w:r>
              <w:rPr>
                <w:b/>
                <w:i/>
              </w:rPr>
              <w:t>и публичните администрации</w:t>
            </w:r>
            <w:r>
              <w:t xml:space="preserve">, за да се </w:t>
            </w:r>
            <w:r>
              <w:rPr>
                <w:b/>
                <w:i/>
              </w:rPr>
              <w:t>изгради професионалното им бъдеще</w:t>
            </w:r>
            <w:r>
              <w:t xml:space="preserve"> в техните общности, </w:t>
            </w:r>
            <w:r>
              <w:rPr>
                <w:b/>
                <w:i/>
              </w:rPr>
              <w:t>като им се предложи съдържателен опит и</w:t>
            </w:r>
            <w:r>
              <w:t xml:space="preserve"> като им се предоставя „право на оставане“;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Подчертава необходимостта от разработване на схеми за чиракуване за засегнатите райони в сътрудничество с местните предприятия, за да се предостави на учещите опит в техните общности, като им се предоставя „право на оставане“;</w:t>
            </w:r>
          </w:p>
        </w:tc>
        <w:tc>
          <w:tcPr>
            <w:tcW w:w="4876" w:type="dxa"/>
            <w:tcBorders>
              <w:top w:val="nil"/>
              <w:left w:val="nil"/>
              <w:bottom w:val="nil"/>
              <w:right w:val="nil"/>
            </w:tcBorders>
          </w:tcPr>
          <w:p>
            <w:pPr>
              <w:pStyle w:val="Normal6a"/>
            </w:pPr>
            <w:r>
              <w:t>9.</w:t>
            </w:r>
            <w:r>
              <w:tab/>
            </w:r>
            <w:r>
              <w:t>подчертава необходимостта от разработване на схеми за чиракуване за засегнатите райони в сътрудничество с местните предприятия, за да се предостави на учещите опит в техните общности, като им се предоставя „право на оставане“</w:t>
            </w:r>
            <w:r>
              <w:rPr>
                <w:b/>
                <w:i/>
              </w:rPr>
              <w:t>, което от гледна точка на политиката на сближаване е абсолютен приоритет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Нора Мебарек, Сержио Гонсалвеш, Роса Мария Серано Сиера, Адриан-Драгош Беня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Подчертава необходимостта от разработване на схеми за чиракуване за засегнатите райони в сътрудничество с местните предприятия, за да се предостави на учещите опит в техните общности, като им се предоставя „право на оставане“;</w:t>
            </w:r>
          </w:p>
        </w:tc>
        <w:tc>
          <w:tcPr>
            <w:tcW w:w="4876" w:type="dxa"/>
            <w:tcBorders>
              <w:top w:val="nil"/>
              <w:left w:val="nil"/>
              <w:bottom w:val="nil"/>
              <w:right w:val="nil"/>
            </w:tcBorders>
          </w:tcPr>
          <w:p>
            <w:pPr>
              <w:pStyle w:val="Normal6a"/>
            </w:pPr>
            <w:r>
              <w:t>9.</w:t>
            </w:r>
            <w:r>
              <w:tab/>
            </w:r>
            <w:r>
              <w:t xml:space="preserve">подчертава необходимостта от разработване на схеми за чиракуване за засегнатите райони в сътрудничество с местните предприятия, </w:t>
            </w:r>
            <w:r>
              <w:rPr>
                <w:b/>
                <w:i/>
              </w:rPr>
              <w:t>синдикати и регионални и местни органи,</w:t>
            </w:r>
            <w:r>
              <w:t xml:space="preserve"> за да се предостави на учещите опит в техните общности, като им се предоставя „право на оставане“;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подчертава, че ефективните програми за преквалификация и повишаване на квалификацията изискват подходящо планиране и подготовка достатъчно време преди всяко постепенно прекратяване на дейности или значителни индустриални промени;</w:t>
            </w:r>
            <w:r>
              <w:t xml:space="preserve"> </w:t>
            </w:r>
            <w:r>
              <w:rPr>
                <w:b/>
                <w:i/>
              </w:rPr>
              <w:t>признава, че постигането на това изисква да се гарантира, че работниците имат право на платено обучение в работно време, като се преодолеят основните пречки, които възпрепятстват работниците да участват в обучение, а именно разходите, семейните ангажименти и ограниченията при планирането;</w:t>
            </w:r>
            <w:r>
              <w:t xml:space="preserve"> </w:t>
            </w:r>
            <w:r>
              <w:rPr>
                <w:b/>
                <w:i/>
              </w:rPr>
              <w:t>поради това призовава за засилени законодателни мерки на ЕС за улесняване на проактивното предвиждане и планиране на потребностите от умения и за гарантиране на тези права за всички засегнати работници;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подчертава, че ефективните програми за преквалификация и повишаване на квалификацията изискват подходящо планиране и подготовка достатъчно време преди всяко постепенно прекратяване на дейности или значителни индустриални промени;</w:t>
            </w:r>
            <w:r>
              <w:t xml:space="preserve"> </w:t>
            </w:r>
            <w:r>
              <w:rPr>
                <w:b/>
                <w:i/>
              </w:rPr>
              <w:t>признава, че постигането на това изисква да се гарантира, че работниците имат право на платено обучение в работно време, като се преодолеят основните пречки, които възпрепятстват работниците да участват в обучение, а именно разходите, семейните ангажименти и ограниченията при планирането;</w:t>
            </w:r>
            <w:r>
              <w:t xml:space="preserve"> </w:t>
            </w:r>
            <w:r>
              <w:rPr>
                <w:b/>
                <w:i/>
              </w:rPr>
              <w:t>поради това призовава за засилени законодателни мерки на ЕС за улесняване на проактивното предвиждане и планиране на потребностите от умения и за гарантиране на тези права за всички засегнати работници;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Нора Мебарек, Сержио Гонсалвеш, Роса Мария Серано Сиера, Адриан-Драгош Беня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призовава Комисията да предложи директива относно справедливия преход в сферата на труда, за да се гарантира справедлива рамка за тези преходи, като се използват инструментите на политиката на сближаване за финансиране на безплатно обучение в работно време, признаване на придобитите умения и засилена подкрепа за засегнатите работници;</w:t>
            </w:r>
            <w:r>
              <w:t xml:space="preserve"> </w:t>
            </w:r>
            <w:r>
              <w:rPr>
                <w:b/>
                <w:i/>
              </w:rPr>
              <w:t>настоятелно призовава също така за по-голяма координация между Фонда за справедлив преход, Европейския социален фонд + и Европейския фонд за регионално развитие, за да се увеличи максимално тяхното въздействие върху преразпределението и преквалификацията на работниците, засегнати от промишлени преструктурирания;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Даниел Буда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предлага създаването на регионален механизъм за наблюдение и оценка на въздействието на схемите за чиракуване с участието на всички заинтересовани страни, а именно местните органи, работодателите, образователните институции и младите хора.</w:t>
            </w:r>
            <w:r>
              <w:t xml:space="preserve"> </w:t>
            </w:r>
            <w:r>
              <w:rPr>
                <w:b/>
                <w:i/>
              </w:rPr>
              <w:t>Това би позволило стратегиите за обучение да бъдат бързо адаптирани към изискванията на пазара на труда и пряката обратна връзка от участниците, като по този начин се гарантира устойчивостта и ефективността на чиракуването в дългосрочен план;</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подчертава, че екологичният преход в много случаи е унищожил икономическите традиции, социалните и икономическите връзки в много области, като е причинил не само икономическа, но и социална криза, която се проявява, наред с другото, в психически проблеми на служителите.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9б.</w:t>
            </w:r>
            <w:r>
              <w:tab/>
            </w:r>
            <w:r>
              <w:rPr>
                <w:b/>
                <w:i/>
              </w:rPr>
              <w:t>подчертава значението на спазването на принципа на партньорство и на Европейския кодекс на поведение относно партньорството през целия процес на програмиране, изпълнение и мониторинг на политиката на сближаване на ЕС и за установяване на тясно сътрудничество между регионалните и местните органи, неправителствените организации и заинтересованите страни, включително екологичните неправителствени организации;</w:t>
            </w:r>
            <w:r>
              <w:t xml:space="preserve"> </w:t>
            </w:r>
            <w:r>
              <w:rPr>
                <w:b/>
                <w:i/>
              </w:rPr>
              <w:t>подчертава, че този процес трябва също така да отчита свързаните с пола аспекти;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Андре Руже, Роди Толаси, Клара Досталова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счита, че справедливият преход е пренебрегнал уникалното положение на засегнатите работници на пълно работно време, работниците на непълно работно време и студентите; счита, че е е било обмисляно в незначителна степен или изобщо не е било обмисляно </w:t>
            </w:r>
            <w:r>
              <w:rPr>
                <w:b/>
                <w:i/>
              </w:rPr>
              <w:t>предоставянето на</w:t>
            </w:r>
            <w:r>
              <w:t xml:space="preserve"> сезонна заетост </w:t>
            </w:r>
            <w:r>
              <w:rPr>
                <w:b/>
                <w:i/>
              </w:rPr>
              <w:t>за заместване</w:t>
            </w:r>
            <w:r>
              <w:t>;</w:t>
            </w:r>
          </w:p>
        </w:tc>
        <w:tc>
          <w:tcPr>
            <w:tcW w:w="4876" w:type="dxa"/>
            <w:tcBorders>
              <w:top w:val="nil"/>
              <w:left w:val="nil"/>
              <w:bottom w:val="nil"/>
              <w:right w:val="nil"/>
            </w:tcBorders>
          </w:tcPr>
          <w:p>
            <w:pPr>
              <w:pStyle w:val="Normal6a"/>
            </w:pPr>
            <w:r>
              <w:t>10.</w:t>
            </w:r>
            <w:r>
              <w:tab/>
            </w:r>
            <w:r>
              <w:t xml:space="preserve">счита, че справедливият преход е пренебрегнал уникалното положение на засегнатите работници на пълно работно време, работниците на непълно работно време и студентите; счита, че е е било обмисляно в незначителна степен или изобщо не е било обмисляно </w:t>
            </w:r>
            <w:r>
              <w:rPr>
                <w:b/>
                <w:i/>
              </w:rPr>
              <w:t>да се замени</w:t>
            </w:r>
            <w:r>
              <w:t xml:space="preserve"> сезонна заетост </w:t>
            </w:r>
            <w:r>
              <w:rPr>
                <w:b/>
                <w:i/>
              </w:rPr>
              <w:t>и подчертава необходимостта от по-голяма подкрепа за отдалечените райони като НОР и ОСТ, където възможностите за преквалификация са по-ограничени поради особеностите на местния пазар на труда</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Пауло До Нашименто Кабрал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счита, че справедливият преход </w:t>
            </w:r>
            <w:r>
              <w:rPr>
                <w:b/>
                <w:i/>
              </w:rPr>
              <w:t>е пренебрегнал уникалното положение на засегнатите работници на пълно работно време,</w:t>
            </w:r>
            <w:r>
              <w:t xml:space="preserve"> работниците </w:t>
            </w:r>
            <w:r>
              <w:rPr>
                <w:b/>
                <w:i/>
              </w:rPr>
              <w:t>на непълно работно време и студентите;</w:t>
            </w:r>
            <w:r>
              <w:t xml:space="preserve"> </w:t>
            </w:r>
            <w:r>
              <w:rPr>
                <w:b/>
                <w:i/>
              </w:rPr>
              <w:t>счита, че е е било обмисляно в незначителна степен или изобщо не е било обмисляно предоставянето на сезонна заетост за заместване</w:t>
            </w:r>
            <w:r>
              <w:t>;</w:t>
            </w:r>
          </w:p>
        </w:tc>
        <w:tc>
          <w:tcPr>
            <w:tcW w:w="4876" w:type="dxa"/>
            <w:tcBorders>
              <w:top w:val="nil"/>
              <w:left w:val="nil"/>
              <w:bottom w:val="nil"/>
              <w:right w:val="nil"/>
            </w:tcBorders>
          </w:tcPr>
          <w:p>
            <w:pPr>
              <w:pStyle w:val="Normal6a"/>
            </w:pPr>
            <w:r>
              <w:t>10.</w:t>
            </w:r>
            <w:r>
              <w:tab/>
            </w:r>
            <w:r>
              <w:t xml:space="preserve">счита, че справедливият преход </w:t>
            </w:r>
            <w:r>
              <w:rPr>
                <w:b/>
                <w:i/>
              </w:rPr>
              <w:t>не е взел предвид в достатъчна степен особеностите на различните профили на</w:t>
            </w:r>
            <w:r>
              <w:t xml:space="preserve"> работниците </w:t>
            </w:r>
            <w:r>
              <w:rPr>
                <w:b/>
                <w:i/>
              </w:rPr>
              <w:t>и засегнатите общности;</w:t>
            </w:r>
            <w:r>
              <w:t xml:space="preserve"> </w:t>
            </w:r>
            <w:r>
              <w:rPr>
                <w:b/>
                <w:i/>
              </w:rPr>
              <w:t>изразява съжаление също така, че не са създадени алтернативи за сезонна работа както като източник на допълнителни доходи за работниците, така и като възможност за доходи за учещите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Дан Барна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счита, че справедливият преход </w:t>
            </w:r>
            <w:r>
              <w:rPr>
                <w:b/>
                <w:i/>
              </w:rPr>
              <w:t>е пренебрегнал</w:t>
            </w:r>
            <w:r>
              <w:t xml:space="preserve"> уникалното положение на засегнатите работници на пълно работно време, работниците на непълно работно време и студентите; счита, че е е било обмисляно в незначителна степен или изобщо не е било обмисляно предоставянето на сезонна заетост за заместване;</w:t>
            </w:r>
          </w:p>
        </w:tc>
        <w:tc>
          <w:tcPr>
            <w:tcW w:w="4876" w:type="dxa"/>
            <w:tcBorders>
              <w:top w:val="nil"/>
              <w:left w:val="nil"/>
              <w:bottom w:val="nil"/>
              <w:right w:val="nil"/>
            </w:tcBorders>
          </w:tcPr>
          <w:p>
            <w:pPr>
              <w:pStyle w:val="Normal6a"/>
            </w:pPr>
            <w:r>
              <w:t>10.</w:t>
            </w:r>
            <w:r>
              <w:tab/>
            </w:r>
            <w:r>
              <w:t xml:space="preserve">счита, че справедливият преход </w:t>
            </w:r>
            <w:r>
              <w:rPr>
                <w:b/>
                <w:i/>
              </w:rPr>
              <w:t>не е дал приоритет на</w:t>
            </w:r>
            <w:r>
              <w:t xml:space="preserve"> уникалното положение на засегнатите работници на пълно работно време, работниците на непълно работно време и студентите; счита, че е е било обмисляно в незначителна степен или изобщо не е било обмисляно предоставянето на сезонна заетост за заместване;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Нора Мебарек, Сержио Гонсалвеш, Адриан-Драгош Беня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счита</w:t>
            </w:r>
            <w:r>
              <w:t xml:space="preserve">, че справедливият преход е пренебрегнал уникалното положение на засегнатите работници на пълно работно време, работниците на непълно работно време и студентите; </w:t>
            </w:r>
            <w:r>
              <w:rPr>
                <w:b/>
                <w:i/>
              </w:rPr>
              <w:t>счита</w:t>
            </w:r>
            <w:r>
              <w:t>, че е е било обмисляно в незначителна степен или изобщо не е било обмисляно предоставянето на сезонна заетост за заместване;</w:t>
            </w:r>
          </w:p>
        </w:tc>
        <w:tc>
          <w:tcPr>
            <w:tcW w:w="4876" w:type="dxa"/>
            <w:tcBorders>
              <w:top w:val="nil"/>
              <w:left w:val="nil"/>
              <w:bottom w:val="nil"/>
              <w:right w:val="nil"/>
            </w:tcBorders>
          </w:tcPr>
          <w:p>
            <w:pPr>
              <w:pStyle w:val="Normal6a"/>
            </w:pPr>
            <w:r>
              <w:t>10.</w:t>
            </w:r>
            <w:r>
              <w:tab/>
            </w:r>
            <w:r>
              <w:rPr>
                <w:b/>
                <w:i/>
              </w:rPr>
              <w:t>отбелязва</w:t>
            </w:r>
            <w:r>
              <w:t xml:space="preserve">, че справедливият преход е пренебрегнал уникалното положение на засегнатите работници на пълно работно време, работниците на непълно работно време и студентите; </w:t>
            </w:r>
            <w:r>
              <w:rPr>
                <w:b/>
                <w:i/>
              </w:rPr>
              <w:t>отбелязва</w:t>
            </w:r>
            <w:r>
              <w:t>, че е е било обмисляно в незначителна степен или изобщо не е било обмисляно предоставянето на сезонна заетост за заместване;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Пауло До Нашименто Кабрал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предупреждава, че някои от отраслите, които са прекратили или са в процес на прекратяване на дейността си, предлагат условия на труд над средното икономическо равнище, включително по-високи заплати, обезщетения за риск и здравно осигуряване за работниците и техните семейства;</w:t>
            </w:r>
            <w:r>
              <w:t xml:space="preserve"> </w:t>
            </w:r>
            <w:r>
              <w:rPr>
                <w:b/>
                <w:i/>
              </w:rPr>
              <w:t>поради това подчертава необходимостта от временно финансиране в рамките на ФСП, за да се компенсира разликата между обезщетенията за безработица и новата заплата, като се даде възможност за по-плавен преход и се гарантира изпълнението на всички поети по-рано договорни задължения;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Пауло До Нашименто Кабрал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подчертава необходимостта от </w:t>
            </w:r>
            <w:r>
              <w:rPr>
                <w:b/>
                <w:i/>
              </w:rPr>
              <w:t>финансиране</w:t>
            </w:r>
            <w:r>
              <w:t xml:space="preserve"> на съвети за висше образование и обучение </w:t>
            </w:r>
            <w:r>
              <w:rPr>
                <w:b/>
                <w:i/>
              </w:rPr>
              <w:t>за преквалификация на работниците и техните семейства, особено на тези на възраст над 50 години</w:t>
            </w:r>
            <w:r>
              <w:t xml:space="preserve">, които </w:t>
            </w:r>
            <w:r>
              <w:rPr>
                <w:b/>
                <w:i/>
              </w:rPr>
              <w:t>са загубили работата си;</w:t>
            </w:r>
            <w:r>
              <w:t xml:space="preserve"> </w:t>
            </w:r>
            <w:r>
              <w:rPr>
                <w:b/>
                <w:i/>
              </w:rPr>
              <w:t>предлага ФСП да предлага също така възможности за преквалификация на партньорите и съпрузите на засегнатите работници</w:t>
            </w:r>
            <w:r>
              <w:t>;</w:t>
            </w:r>
          </w:p>
        </w:tc>
        <w:tc>
          <w:tcPr>
            <w:tcW w:w="4876" w:type="dxa"/>
            <w:tcBorders>
              <w:top w:val="nil"/>
              <w:left w:val="nil"/>
              <w:bottom w:val="nil"/>
              <w:right w:val="nil"/>
            </w:tcBorders>
          </w:tcPr>
          <w:p>
            <w:pPr>
              <w:pStyle w:val="Normal6a"/>
            </w:pPr>
            <w:r>
              <w:t>11.</w:t>
            </w:r>
            <w:r>
              <w:tab/>
            </w:r>
            <w:r>
              <w:t xml:space="preserve">подчертава необходимостта от </w:t>
            </w:r>
            <w:r>
              <w:rPr>
                <w:b/>
                <w:i/>
              </w:rPr>
              <w:t>допълване на финансирането</w:t>
            </w:r>
            <w:r>
              <w:t xml:space="preserve"> на съвети за висше образование и обучение</w:t>
            </w:r>
            <w:r>
              <w:rPr>
                <w:b/>
                <w:i/>
              </w:rPr>
              <w:t>, за да се гарантира преквалификацията на работниците</w:t>
            </w:r>
            <w:r>
              <w:t xml:space="preserve">, които </w:t>
            </w:r>
            <w:r>
              <w:rPr>
                <w:b/>
                <w:i/>
              </w:rPr>
              <w:t>обмислят промяна на професионалния си профил, както и на техните семейства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подчертава необходимостта от финансиране на съвети за висше образование и обучение за преквалификация на работниците и техните семейства, особено на тези на възраст над 50 години, които са загубили работата си; предлага ФСП да предлага също така възможности за преквалификация на партньорите и съпрузите на засегнатите работници;</w:t>
            </w:r>
          </w:p>
        </w:tc>
        <w:tc>
          <w:tcPr>
            <w:tcW w:w="4876" w:type="dxa"/>
            <w:tcBorders>
              <w:top w:val="nil"/>
              <w:left w:val="nil"/>
              <w:bottom w:val="nil"/>
              <w:right w:val="nil"/>
            </w:tcBorders>
          </w:tcPr>
          <w:p>
            <w:pPr>
              <w:pStyle w:val="Normal6a"/>
            </w:pPr>
            <w:r>
              <w:t>11.</w:t>
            </w:r>
            <w:r>
              <w:tab/>
            </w:r>
            <w:r>
              <w:t>подчертава необходимостта от финансиране на съвети за висше образование и обучение за преквалификация на работниците и техните семейства, особено на тези на възраст над 50 години, които са загубили работата си</w:t>
            </w:r>
            <w:r>
              <w:rPr>
                <w:b/>
                <w:i/>
              </w:rPr>
              <w:t>, и особено на жените</w:t>
            </w:r>
            <w:r>
              <w:t>; предлага ФСП да предлага също така възможности за преквалификация на партньорите и съпрузите на засегнатите работници;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Дан Барна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подчертава необходимостта от финансиране на съвети за висше образование и обучение за преквалификация на работниците и техните семейства, особено на тези на възраст над 50 години, които са загубили работата си; предлага ФСП да предлага също така възможности за преквалификация на партньорите и съпрузите на засегнатите работници;</w:t>
            </w:r>
          </w:p>
        </w:tc>
        <w:tc>
          <w:tcPr>
            <w:tcW w:w="4876" w:type="dxa"/>
            <w:tcBorders>
              <w:top w:val="nil"/>
              <w:left w:val="nil"/>
              <w:bottom w:val="nil"/>
              <w:right w:val="nil"/>
            </w:tcBorders>
          </w:tcPr>
          <w:p>
            <w:pPr>
              <w:pStyle w:val="Normal6a"/>
            </w:pPr>
            <w:r>
              <w:t>11.</w:t>
            </w:r>
            <w:r>
              <w:tab/>
            </w:r>
            <w:r>
              <w:t xml:space="preserve">подчертава необходимостта от финансиране на съвети за висше образование и обучение за преквалификация на работниците и техните семейства, особено на тези на възраст над 50 години, които са загубили работата си; предлага ФСП да предлага също така възможности за преквалификация </w:t>
            </w:r>
            <w:r>
              <w:rPr>
                <w:b/>
                <w:i/>
              </w:rPr>
              <w:t>и образование</w:t>
            </w:r>
            <w:r>
              <w:t xml:space="preserve"> на партньорите и съпрузите на засегнатите работници;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подчертава необходимостта от финансиране на съвети за висше образование и обучение за преквалификация на работниците и техните семейства, особено на тези на възраст над 50 години, които са загубили работата си; предлага ФСП да предлага също така възможности за преквалификация на </w:t>
            </w:r>
            <w:r>
              <w:rPr>
                <w:b/>
                <w:i/>
              </w:rPr>
              <w:t>партньорите и съпрузите</w:t>
            </w:r>
            <w:r>
              <w:t xml:space="preserve"> на засегнатите работници;</w:t>
            </w:r>
          </w:p>
        </w:tc>
        <w:tc>
          <w:tcPr>
            <w:tcW w:w="4876" w:type="dxa"/>
            <w:tcBorders>
              <w:top w:val="nil"/>
              <w:left w:val="nil"/>
              <w:bottom w:val="nil"/>
              <w:right w:val="nil"/>
            </w:tcBorders>
          </w:tcPr>
          <w:p>
            <w:pPr>
              <w:pStyle w:val="Normal6a"/>
            </w:pPr>
            <w:r>
              <w:t>11.</w:t>
            </w:r>
            <w:r>
              <w:tab/>
            </w:r>
            <w:r>
              <w:t xml:space="preserve">подчертава необходимостта от финансиране на съвети за висше образование и обучение за преквалификация на работниците и техните семейства, особено на тези на възраст над 50 години, които са загубили работата си; предлага ФСП да предлага също така възможности за преквалификация на </w:t>
            </w:r>
            <w:r>
              <w:rPr>
                <w:b/>
                <w:i/>
              </w:rPr>
              <w:t>членовете на семействата</w:t>
            </w:r>
            <w:r>
              <w:t xml:space="preserve"> на засегнатите работници;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Нора Мебарек, Сержио Гонсалвеш, Роса Мария Серано Сиера, Адриан-Драгош Беня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подчертава необходимостта от финансиране на съвети за висше образование и обучение за преквалификация на работниците и техните семейства, особено на тези на възраст над 50 години, които са загубили работата си; предлага ФСП </w:t>
            </w:r>
            <w:r>
              <w:rPr>
                <w:b/>
                <w:i/>
              </w:rPr>
              <w:t>да предлага също така</w:t>
            </w:r>
            <w:r>
              <w:t xml:space="preserve"> възможности за преквалификация на </w:t>
            </w:r>
            <w:r>
              <w:rPr>
                <w:b/>
                <w:i/>
              </w:rPr>
              <w:t>партньорите и съпрузите на засегнатите работници</w:t>
            </w:r>
            <w:r>
              <w:t>;</w:t>
            </w:r>
          </w:p>
        </w:tc>
        <w:tc>
          <w:tcPr>
            <w:tcW w:w="4876" w:type="dxa"/>
            <w:tcBorders>
              <w:top w:val="nil"/>
              <w:left w:val="nil"/>
              <w:bottom w:val="nil"/>
              <w:right w:val="nil"/>
            </w:tcBorders>
          </w:tcPr>
          <w:p>
            <w:pPr>
              <w:pStyle w:val="Normal6a"/>
            </w:pPr>
            <w:r>
              <w:t>11.</w:t>
            </w:r>
            <w:r>
              <w:tab/>
            </w:r>
            <w:r>
              <w:t xml:space="preserve">подчертава необходимостта от финансиране на съвети за висше образование и обучение за преквалификация на работниците и техните семейства, особено на тези на възраст над 50 години, които са загубили работата си; предлага ФСП </w:t>
            </w:r>
            <w:r>
              <w:rPr>
                <w:b/>
                <w:i/>
              </w:rPr>
              <w:t>също така да продължи да предоставя</w:t>
            </w:r>
            <w:r>
              <w:t xml:space="preserve"> възможности за преквалификация на </w:t>
            </w:r>
            <w:r>
              <w:rPr>
                <w:b/>
                <w:i/>
              </w:rPr>
              <w:t>лица, търсещи работа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обръща внимание на безработицата, и по-специално сред младежите, в много региони, селски райони и държави членки и поради това подчертава необходимостта от достъпност на жилищното настаняване, транспорта и образованието, както и от приобщаване на младите поколения, по-специално тези от домакинствата с ниски доходи;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Нора Мебарек, Сержио Гонсалвеш, Адриан-Драгош Беня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подчертава, че държавите членки трябва да отдават приоритет на достъпа до държавна земя и сгради за нови проекти за заетост по линия на ФСП и че следва да има надзор върху този процес;</w:t>
            </w:r>
          </w:p>
        </w:tc>
        <w:tc>
          <w:tcPr>
            <w:tcW w:w="4876" w:type="dxa"/>
            <w:tcBorders>
              <w:top w:val="nil"/>
              <w:left w:val="nil"/>
              <w:bottom w:val="nil"/>
              <w:right w:val="nil"/>
            </w:tcBorders>
          </w:tcPr>
          <w:p>
            <w:pPr>
              <w:pStyle w:val="Normal6a"/>
            </w:pPr>
            <w:r>
              <w:t>12.</w:t>
            </w:r>
            <w:r>
              <w:tab/>
            </w:r>
            <w:r>
              <w:t>подчертава, че държавите членки трябва да отдават приоритет на достъпа до държавна земя и сгради за нови проекти за заетост по линия на ФСП</w:t>
            </w:r>
            <w:r>
              <w:rPr>
                <w:b/>
                <w:i/>
              </w:rPr>
              <w:t>, особено в секторите на енергията от възобновяеми източници, енергийното саниране или екологичната реиндустриализация,</w:t>
            </w:r>
            <w:r>
              <w:t xml:space="preserve"> и че следва да има надзор върху този процес;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Кирън Мълули, Любица Карвашова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подчертава, че държавите членки трябва да отдават приоритет на достъпа до държавна земя </w:t>
            </w:r>
            <w:r>
              <w:rPr>
                <w:b/>
                <w:i/>
              </w:rPr>
              <w:t>и сгради</w:t>
            </w:r>
            <w:r>
              <w:t xml:space="preserve"> за нови проекти за заетост по линия на ФСП и че следва да има надзор върху този процес;</w:t>
            </w:r>
          </w:p>
        </w:tc>
        <w:tc>
          <w:tcPr>
            <w:tcW w:w="4876" w:type="dxa"/>
            <w:tcBorders>
              <w:top w:val="nil"/>
              <w:left w:val="nil"/>
              <w:bottom w:val="nil"/>
              <w:right w:val="nil"/>
            </w:tcBorders>
          </w:tcPr>
          <w:p>
            <w:pPr>
              <w:pStyle w:val="Normal6a"/>
            </w:pPr>
            <w:r>
              <w:t>12.</w:t>
            </w:r>
            <w:r>
              <w:tab/>
            </w:r>
            <w:r>
              <w:t>подчертава, че държавите членки трябва да отдават приоритет на достъпа до държавна земя</w:t>
            </w:r>
            <w:r>
              <w:rPr>
                <w:b/>
                <w:i/>
              </w:rPr>
              <w:t>, сгради и други активи</w:t>
            </w:r>
            <w:r>
              <w:t xml:space="preserve"> за нови проекти за заетост по линия на ФСП</w:t>
            </w:r>
            <w:r>
              <w:rPr>
                <w:b/>
                <w:i/>
              </w:rPr>
              <w:t>, включително възобновяеми енергийни източници,</w:t>
            </w:r>
            <w:r>
              <w:t> и че следва да има надзор върху този процес;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Дан Барна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подчертава, че държавите членки трябва да отдават приоритет на достъпа до държавна земя и сгради за нови проекти за заетост по линия на ФСП и че следва да има надзор върху този процес;</w:t>
            </w:r>
          </w:p>
        </w:tc>
        <w:tc>
          <w:tcPr>
            <w:tcW w:w="4876" w:type="dxa"/>
            <w:tcBorders>
              <w:top w:val="nil"/>
              <w:left w:val="nil"/>
              <w:bottom w:val="nil"/>
              <w:right w:val="nil"/>
            </w:tcBorders>
          </w:tcPr>
          <w:p>
            <w:pPr>
              <w:pStyle w:val="Normal6a"/>
            </w:pPr>
            <w:r>
              <w:t>12.</w:t>
            </w:r>
            <w:r>
              <w:tab/>
            </w:r>
            <w:r>
              <w:t>подчертава, че държавите членки трябва да отдават приоритет на достъпа до държавна земя и сгради за нови проекти за заетост по линия на ФСП</w:t>
            </w:r>
            <w:r>
              <w:rPr>
                <w:b/>
                <w:i/>
              </w:rPr>
              <w:t>, когато е възможно,</w:t>
            </w:r>
            <w:r>
              <w:t xml:space="preserve"> и че следва да има надзор върху този процес;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подчертава, че държавите членки трябва да отдават приоритет на достъпа до държавна земя и сгради за нови проекти за заетост по линия на ФСП и че следва да има надзор върху този процес;</w:t>
            </w:r>
          </w:p>
        </w:tc>
        <w:tc>
          <w:tcPr>
            <w:tcW w:w="4876" w:type="dxa"/>
            <w:tcBorders>
              <w:top w:val="nil"/>
              <w:left w:val="nil"/>
              <w:bottom w:val="nil"/>
              <w:right w:val="nil"/>
            </w:tcBorders>
          </w:tcPr>
          <w:p>
            <w:pPr>
              <w:pStyle w:val="Normal6a"/>
            </w:pPr>
            <w:r>
              <w:t>12.</w:t>
            </w:r>
            <w:r>
              <w:tab/>
            </w:r>
            <w:r>
              <w:t xml:space="preserve">подчертава, че държавите членки трябва да отдават приоритет на достъпа до държавна земя и сгради за нови проекти за заетост по линия на ФСП и че следва да има надзор </w:t>
            </w:r>
            <w:r>
              <w:rPr>
                <w:b/>
                <w:i/>
              </w:rPr>
              <w:t>и мониторинг</w:t>
            </w:r>
            <w:r>
              <w:t xml:space="preserve"> върху този процес;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подчертава, че </w:t>
            </w:r>
            <w:r>
              <w:rPr>
                <w:b/>
                <w:i/>
              </w:rPr>
              <w:t>държавите членки трябва да отдават приоритет на достъпа до държавна земя и сгради за нови проекти за заетост по линия на ФСП и че следва да има надзор върху този процес</w:t>
            </w:r>
            <w:r>
              <w:t>;</w:t>
            </w:r>
          </w:p>
        </w:tc>
        <w:tc>
          <w:tcPr>
            <w:tcW w:w="4876" w:type="dxa"/>
            <w:tcBorders>
              <w:top w:val="nil"/>
              <w:left w:val="nil"/>
              <w:bottom w:val="nil"/>
              <w:right w:val="nil"/>
            </w:tcBorders>
          </w:tcPr>
          <w:p>
            <w:pPr>
              <w:pStyle w:val="Normal6a"/>
            </w:pPr>
            <w:r>
              <w:t>12.</w:t>
            </w:r>
            <w:r>
              <w:tab/>
            </w:r>
            <w:r>
              <w:t xml:space="preserve">подчертава, че </w:t>
            </w:r>
            <w:r>
              <w:rPr>
                <w:b/>
                <w:i/>
              </w:rPr>
              <w:t>проектите по линия на ФСП следва да бъдат координирани и свързани с местни и национални стратегии и инициативи, за да се увеличи тяхното въздействие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Изабел Льо Каленек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подчертава, че държавите членки трябва да отдават </w:t>
            </w:r>
            <w:r>
              <w:rPr>
                <w:b/>
                <w:i/>
              </w:rPr>
              <w:t>приоритет</w:t>
            </w:r>
            <w:r>
              <w:t xml:space="preserve"> на достъпа до държавна земя и сгради за нови проекти за заетост по линия на ФСП и че следва да има надзор върху този процес;</w:t>
            </w:r>
          </w:p>
        </w:tc>
        <w:tc>
          <w:tcPr>
            <w:tcW w:w="4876" w:type="dxa"/>
            <w:tcBorders>
              <w:top w:val="nil"/>
              <w:left w:val="nil"/>
              <w:bottom w:val="nil"/>
              <w:right w:val="nil"/>
            </w:tcBorders>
          </w:tcPr>
          <w:p>
            <w:pPr>
              <w:pStyle w:val="Normal6a"/>
            </w:pPr>
            <w:r>
              <w:t>12.</w:t>
            </w:r>
            <w:r>
              <w:tab/>
            </w:r>
            <w:r>
              <w:t xml:space="preserve">подчертава, че държавите членки трябва да отдават </w:t>
            </w:r>
            <w:r>
              <w:rPr>
                <w:b/>
                <w:i/>
              </w:rPr>
              <w:t>предпочитание</w:t>
            </w:r>
            <w:r>
              <w:t xml:space="preserve"> на достъпа до държавна земя и сгради за нови проекти за заетост по линия на ФСП и че следва да има надзор върху този процес;</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Пауло До Нашименто Кабрал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подчертава, че държавите членки </w:t>
            </w:r>
            <w:r>
              <w:rPr>
                <w:b/>
                <w:i/>
              </w:rPr>
              <w:t>трябва да отдават приоритет на достъпа до държавна земя и</w:t>
            </w:r>
            <w:r>
              <w:t xml:space="preserve"> сгради за </w:t>
            </w:r>
            <w:r>
              <w:rPr>
                <w:b/>
                <w:i/>
              </w:rPr>
              <w:t>нови</w:t>
            </w:r>
            <w:r>
              <w:t xml:space="preserve"> проекти </w:t>
            </w:r>
            <w:r>
              <w:rPr>
                <w:b/>
                <w:i/>
              </w:rPr>
              <w:t>за заетост по линия</w:t>
            </w:r>
            <w:r>
              <w:t xml:space="preserve"> на ФСП </w:t>
            </w:r>
            <w:r>
              <w:rPr>
                <w:b/>
                <w:i/>
              </w:rPr>
              <w:t>и че следва да има надзор върху този процес</w:t>
            </w:r>
            <w:r>
              <w:t>;</w:t>
            </w:r>
          </w:p>
        </w:tc>
        <w:tc>
          <w:tcPr>
            <w:tcW w:w="4876" w:type="dxa"/>
            <w:tcBorders>
              <w:top w:val="nil"/>
              <w:left w:val="nil"/>
              <w:bottom w:val="nil"/>
              <w:right w:val="nil"/>
            </w:tcBorders>
          </w:tcPr>
          <w:p>
            <w:pPr>
              <w:pStyle w:val="Normal6a"/>
            </w:pPr>
            <w:r>
              <w:t>12.</w:t>
            </w:r>
            <w:r>
              <w:tab/>
            </w:r>
            <w:r>
              <w:t xml:space="preserve">подчертава, че държавите членки </w:t>
            </w:r>
            <w:r>
              <w:rPr>
                <w:b/>
                <w:i/>
              </w:rPr>
              <w:t>следва, когато е възможно, да възстановяват, рехабилитират и пренасочват</w:t>
            </w:r>
            <w:r>
              <w:t xml:space="preserve"> сгради за проекти</w:t>
            </w:r>
            <w:r>
              <w:rPr>
                <w:b/>
                <w:i/>
              </w:rPr>
              <w:t>, финансирани по рамката</w:t>
            </w:r>
            <w:r>
              <w:t xml:space="preserve"> на ФСП;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подчертава, че публичното финансиране, предоставено чрез ФСП, ЕСФ + и други програми на ЕС за финансиране и национални схеми, следва да бъде обвързано с ясни ангажименти от страна на предприятията да инвестират в повишаване на квалификацията и преквалификация на работниците;</w:t>
            </w:r>
            <w:r>
              <w:t xml:space="preserve"> </w:t>
            </w:r>
            <w:r>
              <w:rPr>
                <w:b/>
                <w:i/>
              </w:rPr>
              <w:t>подчертава, че солидните социални условия, изрично свързани с обучението на работната сила, гарантират, че мерките за преход не само защитават заетостта, но и повишават дългосрочната пригодност за заетост на работниците;</w:t>
            </w:r>
            <w:r>
              <w:t xml:space="preserve"> </w:t>
            </w:r>
            <w:r>
              <w:rPr>
                <w:b/>
                <w:i/>
              </w:rPr>
              <w:t>поради това призовава Комисията и държавите членки системно да интегрират изискванията за инвестиции в умения във всички съответни инструменти за финансиране;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отбелязва със загриженост драстичния спад през последните години по отношение на адекватното равнище на национално финансиране в държавите членки за техните най-бедни региони;</w:t>
            </w:r>
            <w:r>
              <w:t xml:space="preserve"> </w:t>
            </w:r>
            <w:r>
              <w:rPr>
                <w:b/>
                <w:i/>
              </w:rPr>
              <w:t>припомня колко е важно да се зачита принципът на ЕС за допълняемост;</w:t>
            </w:r>
            <w:r>
              <w:t xml:space="preserve"> </w:t>
            </w:r>
            <w:r>
              <w:rPr>
                <w:b/>
                <w:i/>
              </w:rPr>
              <w:t>призовава Комисията да гарантира, че националните органи отчитат надлежно вътрешното сближаване, когато изготвят и изпълняват проекти по структурните и инвестиционни фондове;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Габриела Гержени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припомня</w:t>
            </w:r>
            <w:r>
              <w:t>, че някои региони на ЕС са изправени пред непрекъснат отлив на млади и квалифицирани работници поради демографските промени и миграцията, като селските райони са особено засегнати;</w:t>
            </w:r>
          </w:p>
        </w:tc>
        <w:tc>
          <w:tcPr>
            <w:tcW w:w="4876" w:type="dxa"/>
            <w:tcBorders>
              <w:top w:val="nil"/>
              <w:left w:val="nil"/>
              <w:bottom w:val="nil"/>
              <w:right w:val="nil"/>
            </w:tcBorders>
          </w:tcPr>
          <w:p>
            <w:pPr>
              <w:pStyle w:val="Normal6a"/>
            </w:pPr>
            <w:r>
              <w:t>13.</w:t>
            </w:r>
            <w:r>
              <w:tab/>
            </w:r>
            <w:r>
              <w:rPr>
                <w:b/>
                <w:i/>
              </w:rPr>
              <w:t>изразява съжаление</w:t>
            </w:r>
            <w:r>
              <w:t xml:space="preserve">, че някои региони на ЕС са изправени пред непрекъснат отлив на млади и квалифицирани работници поради демографските промени и миграцията, като селските райони са особено засегнати; </w:t>
            </w:r>
            <w:r>
              <w:rPr>
                <w:b/>
                <w:i/>
              </w:rPr>
              <w:t>припомня, че такива случаи на миграция и обезлюдяване сериозно засягат конкурентоспособността, икономическия растеж, продоволствената сигурност, производителността и устойчивостта;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припомня, че някои региони на ЕС са изправени пред непрекъснат отлив на млади и квалифицирани работници поради демографските промени и миграцията, като селските райони са особено засегнати;</w:t>
            </w:r>
          </w:p>
        </w:tc>
        <w:tc>
          <w:tcPr>
            <w:tcW w:w="4876" w:type="dxa"/>
            <w:tcBorders>
              <w:top w:val="nil"/>
              <w:left w:val="nil"/>
              <w:bottom w:val="nil"/>
              <w:right w:val="nil"/>
            </w:tcBorders>
          </w:tcPr>
          <w:p>
            <w:pPr>
              <w:pStyle w:val="Normal6a"/>
            </w:pPr>
            <w:r>
              <w:t>13.</w:t>
            </w:r>
            <w:r>
              <w:tab/>
            </w:r>
            <w:r>
              <w:t xml:space="preserve">припомня, че някои региони на ЕС са изправени пред непрекъснат отлив на млади и квалифицирани работници поради демографските промени и миграцията, като селските райони са особено засегнати; </w:t>
            </w:r>
            <w:r>
              <w:rPr>
                <w:b/>
                <w:i/>
              </w:rPr>
              <w:t>припомня значението на солидните връзки между селските и градските райони, както и на специалната подкрепа за жените в селските райони;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Пауло До Нашименто Кабрал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припомня, че някои региони на ЕС са изправени пред непрекъснат отлив на млади и квалифицирани работници поради демографските промени и миграцията, като селските райони са особено засегнати;</w:t>
            </w:r>
          </w:p>
        </w:tc>
        <w:tc>
          <w:tcPr>
            <w:tcW w:w="4876" w:type="dxa"/>
            <w:tcBorders>
              <w:top w:val="nil"/>
              <w:left w:val="nil"/>
              <w:bottom w:val="nil"/>
              <w:right w:val="nil"/>
            </w:tcBorders>
          </w:tcPr>
          <w:p>
            <w:pPr>
              <w:pStyle w:val="Normal6a"/>
            </w:pPr>
            <w:r>
              <w:t>13.</w:t>
            </w:r>
            <w:r>
              <w:tab/>
            </w:r>
            <w:r>
              <w:t xml:space="preserve">припомня, че някои региони на ЕС са изправени пред непрекъснат отлив на млади и квалифицирани работници поради демографските промени и миграцията </w:t>
            </w:r>
            <w:r>
              <w:rPr>
                <w:b/>
                <w:i/>
              </w:rPr>
              <w:t>в рамките на Европейския съюз и извън него</w:t>
            </w:r>
            <w:r>
              <w:t>, като селските райони</w:t>
            </w:r>
            <w:r>
              <w:rPr>
                <w:b/>
                <w:i/>
              </w:rPr>
              <w:t>, вътрешните райони и най-отдалечените региони</w:t>
            </w:r>
            <w:r>
              <w:t xml:space="preserve"> са особено засегнати;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припомня, че някои региони на ЕС са изправени пред непрекъснат отлив на млади и квалифицирани работници поради демографските промени и миграцията, като селските райони са особено засегнати;</w:t>
            </w:r>
          </w:p>
        </w:tc>
        <w:tc>
          <w:tcPr>
            <w:tcW w:w="4876" w:type="dxa"/>
            <w:tcBorders>
              <w:top w:val="nil"/>
              <w:left w:val="nil"/>
              <w:bottom w:val="nil"/>
              <w:right w:val="nil"/>
            </w:tcBorders>
          </w:tcPr>
          <w:p>
            <w:pPr>
              <w:pStyle w:val="Normal6a"/>
            </w:pPr>
            <w:r>
              <w:t>13.</w:t>
            </w:r>
            <w:r>
              <w:tab/>
            </w:r>
            <w:r>
              <w:t xml:space="preserve">припомня, че някои региони на ЕС са изправени пред непрекъснат отлив на млади и квалифицирани работници поради демографските промени и миграцията, като селските райони са особено засегнати; </w:t>
            </w:r>
            <w:r>
              <w:rPr>
                <w:b/>
                <w:i/>
              </w:rPr>
              <w:t>подчертава стратегическото значение на въпроса за „правото на престой“;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припомня, че някои региони на ЕС са изправени пред непрекъснат отлив на млади и квалифицирани работници поради демографските промени и миграцията, като селските райони са особено засегнати;</w:t>
            </w:r>
          </w:p>
        </w:tc>
        <w:tc>
          <w:tcPr>
            <w:tcW w:w="4876" w:type="dxa"/>
            <w:tcBorders>
              <w:top w:val="nil"/>
              <w:left w:val="nil"/>
              <w:bottom w:val="nil"/>
              <w:right w:val="nil"/>
            </w:tcBorders>
          </w:tcPr>
          <w:p>
            <w:pPr>
              <w:pStyle w:val="Normal6a"/>
            </w:pPr>
            <w:r>
              <w:t>13.</w:t>
            </w:r>
            <w:r>
              <w:tab/>
            </w:r>
            <w:r>
              <w:t>припомня, че някои региони на ЕС са изправени пред непрекъснат отлив на млади и квалифицирани работници поради демографските промени и миграцията, като селските райони</w:t>
            </w:r>
            <w:r>
              <w:rPr>
                <w:b/>
                <w:i/>
              </w:rPr>
              <w:t>, островите и отдалечените райони</w:t>
            </w:r>
            <w:r>
              <w:t xml:space="preserve"> са особено засегнати;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Дан Барна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припомня, че някои региони на ЕС са изправени пред непрекъснат отлив на млади и квалифицирани работници поради демографските промени и миграцията, като селските райони са особено засегнати;</w:t>
            </w:r>
          </w:p>
        </w:tc>
        <w:tc>
          <w:tcPr>
            <w:tcW w:w="4876" w:type="dxa"/>
            <w:tcBorders>
              <w:top w:val="nil"/>
              <w:left w:val="nil"/>
              <w:bottom w:val="nil"/>
              <w:right w:val="nil"/>
            </w:tcBorders>
          </w:tcPr>
          <w:p>
            <w:pPr>
              <w:pStyle w:val="Normal6a"/>
            </w:pPr>
            <w:r>
              <w:t>13.</w:t>
            </w:r>
            <w:r>
              <w:tab/>
            </w:r>
            <w:r>
              <w:t xml:space="preserve">припомня, че някои </w:t>
            </w:r>
            <w:r>
              <w:rPr>
                <w:b/>
                <w:i/>
              </w:rPr>
              <w:t>въгледобивни</w:t>
            </w:r>
            <w:r>
              <w:t xml:space="preserve"> региони на ЕС са изправени пред непрекъснат отлив на млади и квалифицирани работници поради демографските промени и миграцията, като селските райони са особено засегнати;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Даниел Буда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посочва, че регионите, засегнати от екологичния преход, са изправени пред недостиг на умения и работна ръка, докато в много от градските райони на Европа има жилищна криза и пренаселеност, и предлага създаването на програма за жилища на достъпни цени в тези региони.</w:t>
            </w:r>
            <w:r>
              <w:t xml:space="preserve"> </w:t>
            </w:r>
            <w:r>
              <w:rPr>
                <w:b/>
                <w:i/>
              </w:rPr>
              <w:t>Програмата следва да привлече млади хора, като по този начин допринесе за икономическото и социалното съживяване на тези райони;</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Дан-Щефан Мотряну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подчертава неотложната необходимост от интегриране на демографските съображения в бъдещите бюджетни рамки на ЕС;</w:t>
            </w:r>
            <w:r>
              <w:t xml:space="preserve"> </w:t>
            </w:r>
            <w:r>
              <w:rPr>
                <w:b/>
                <w:i/>
              </w:rPr>
              <w:t>призовава за включването на демографски показатели, регионални цели и инструменти на политиката за реагиране в подкрепа на териториите, които са непропорционално засегнати от застаряването на населението, миграцията на младите хора или устойчивия спад на населението;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Изабел Льо Каленек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подчертава необходимостта от одобряване от страна на Комисията на „социални споразумения“ за работниците и служителите за периода 2025—2049 г.;</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Елена Невадо Дел Кампо, Сусана Солис Перес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подчертава необходимостта от одобряване от страна на Комисията на „социални споразумения“ за работниците и служителите за периода 2025—2049 г.;</w:t>
            </w:r>
          </w:p>
        </w:tc>
        <w:tc>
          <w:tcPr>
            <w:tcW w:w="4876" w:type="dxa"/>
            <w:tcBorders>
              <w:top w:val="nil"/>
              <w:left w:val="nil"/>
              <w:bottom w:val="nil"/>
              <w:right w:val="nil"/>
            </w:tcBorders>
          </w:tcPr>
          <w:p>
            <w:pPr>
              <w:pStyle w:val="Normal6a"/>
            </w:pPr>
            <w:r>
              <w:t>14.</w:t>
            </w:r>
            <w:r>
              <w:tab/>
            </w:r>
            <w:r>
              <w:t>подчертава необходимостта от одобряване от страна на Комисията на „социални споразумения“ за работниците и служителите за периода 2025—2049 г.</w:t>
            </w:r>
            <w:r>
              <w:rPr>
                <w:b/>
                <w:i/>
              </w:rPr>
              <w:t> и включва като допълнителен критерий за разпределянето на средствата по ФСП обезлюдяването на териториите, пострадали от преждевременното затваряне на отраслите си с висок въглероден интензитет, като например в Испания, където в някои общини е налице демографска загуба до 50 %</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подчертава необходимостта от одобряване от страна на Комисията на „социални споразумения“ за работниците и служителите за периода 2025—2049 г.;</w:t>
            </w:r>
          </w:p>
        </w:tc>
        <w:tc>
          <w:tcPr>
            <w:tcW w:w="4876" w:type="dxa"/>
            <w:tcBorders>
              <w:top w:val="nil"/>
              <w:left w:val="nil"/>
              <w:bottom w:val="nil"/>
              <w:right w:val="nil"/>
            </w:tcBorders>
          </w:tcPr>
          <w:p>
            <w:pPr>
              <w:pStyle w:val="Normal6a"/>
            </w:pPr>
            <w:r>
              <w:t>14.</w:t>
            </w:r>
            <w:r>
              <w:tab/>
            </w:r>
            <w:r>
              <w:t xml:space="preserve">подчертава необходимостта от одобряване от страна на Комисията на „социални споразумения“ за работниците и служителите за периода 2025—2049 г.; </w:t>
            </w:r>
            <w:r>
              <w:rPr>
                <w:b/>
                <w:i/>
              </w:rPr>
              <w:t>подчертава, че това следва да се основава на солидна диагноза и икономически прогнози;</w:t>
            </w:r>
            <w:r>
              <w:t xml:space="preserve"> </w:t>
            </w:r>
            <w:r>
              <w:rPr>
                <w:b/>
                <w:i/>
              </w:rPr>
              <w:t>настоява, че предложенията на Комисията в това отношение следва да вземат предвид различното положение на регионите и техните икономически традиции и особености;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Кирън Мълули, Любица Карвашова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подчертава необходимостта от одобряване от страна на Комисията на „социални споразумения“ за работниците и служителите за периода 2025—2049 г.;</w:t>
            </w:r>
          </w:p>
        </w:tc>
        <w:tc>
          <w:tcPr>
            <w:tcW w:w="4876" w:type="dxa"/>
            <w:tcBorders>
              <w:top w:val="nil"/>
              <w:left w:val="nil"/>
              <w:bottom w:val="nil"/>
              <w:right w:val="nil"/>
            </w:tcBorders>
          </w:tcPr>
          <w:p>
            <w:pPr>
              <w:pStyle w:val="Normal6a"/>
            </w:pPr>
            <w:r>
              <w:t>14.</w:t>
            </w:r>
            <w:r>
              <w:tab/>
            </w:r>
            <w:r>
              <w:t xml:space="preserve">подчертава необходимостта от одобряване от страна на Комисията на „социални споразумения“ за работниците и служителите за периода 2025—2049 г. </w:t>
            </w:r>
            <w:r>
              <w:rPr>
                <w:b/>
                <w:i/>
              </w:rPr>
              <w:t>и насърчава създаването на сдружения на работниците в засегнатите от прехода отрасли, които позволяват на бившите служители да се възползват пряко от регионалното икономическо обновяване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Пауло До Нашименто Кабрал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подчертава необходимостта </w:t>
            </w:r>
            <w:r>
              <w:rPr>
                <w:b/>
                <w:i/>
              </w:rPr>
              <w:t>от одобряване от страна на Комисията на „социални споразумения“ за работниците и служителите за периода 2025—2049 г.</w:t>
            </w:r>
            <w:r>
              <w:t>;</w:t>
            </w:r>
          </w:p>
        </w:tc>
        <w:tc>
          <w:tcPr>
            <w:tcW w:w="4876" w:type="dxa"/>
            <w:tcBorders>
              <w:top w:val="nil"/>
              <w:left w:val="nil"/>
              <w:bottom w:val="nil"/>
              <w:right w:val="nil"/>
            </w:tcBorders>
          </w:tcPr>
          <w:p>
            <w:pPr>
              <w:pStyle w:val="Normal6a"/>
            </w:pPr>
            <w:r>
              <w:t>14.</w:t>
            </w:r>
            <w:r>
              <w:tab/>
            </w:r>
            <w:r>
              <w:t xml:space="preserve">подчертава необходимостта </w:t>
            </w:r>
            <w:r>
              <w:rPr>
                <w:b/>
                <w:i/>
              </w:rPr>
              <w:t>„социалните договори“, сключени за икономическите отрасли в процес на справедлив преход и за които Комисията е уведомена, да бъдат незабавно одобрени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призовава за създаването на общоевропейска схема SURE 2.0 за запазване на заетостта и промишления капацитет по време на бързи икономически, технологични и енергийни преходи;</w:t>
            </w:r>
            <w:r>
              <w:t xml:space="preserve"> </w:t>
            </w:r>
            <w:r>
              <w:rPr>
                <w:b/>
                <w:i/>
              </w:rPr>
              <w:t>подчертава, че подобна схема, която се основава на успешния опит от първоначалната програма SURE по време на Covid-19, би гарантирала запазване на работните места, повишаване на квалификацията на работната сила и структурирана промишлена трансформация, особено в секторите, изложени на висок риск от загуба на работни места;</w:t>
            </w:r>
            <w:r>
              <w:t xml:space="preserve"> </w:t>
            </w:r>
            <w:r>
              <w:rPr>
                <w:b/>
                <w:i/>
              </w:rPr>
              <w:t>разбира, че когато промишленият капацитет и умения в даден регион се изгубят, връщането им е изключително трудно, и подчертава, че финансовата подкрепа чрез SURE 2.0 следва да зависи от солидна социална закрила, проактивно планиране на прехода, консултации с работниците и инвестиции в умения на работната сила, като по този начин се предотвратява загубата на работни места със социални разходи и икономически вреди и се защитават регионите в неравностойно положение;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Подзаглавие 4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подчертава ключовата роля, която политиката на сближаване играе за изпълнението на приоритетите на политиката на ЕС и за стимулирането на икономиката на ЕС, като допринася за справедлив, приобщаващ и устойчив преход и развитие, и насърчава икономическото и социалното сближаване между държавите и регионите, както и иновациите и заетостта;</w:t>
            </w:r>
            <w:r>
              <w:t xml:space="preserve"> </w:t>
            </w:r>
            <w:r>
              <w:rPr>
                <w:b/>
                <w:i/>
              </w:rPr>
              <w:t>изразява съжаление, че поради ограничената гъвкавост на действащата МФР Комисията прибягна до преориентиране на политиката на сближаване, която не е инструмент за реагиране на кризи, но въпреки това неколкократно беше използвана за компенсиране на слабости в бюджетната гъвкавост или в механизмите за реакция при кризи в МФР за сметка на нейните дългосрочни цели на политиката;</w:t>
            </w:r>
            <w:r>
              <w:t xml:space="preserve"> </w:t>
            </w:r>
            <w:r>
              <w:rPr>
                <w:b/>
                <w:i/>
              </w:rPr>
              <w:t>призовава Комисията и държавите членки да ускорят прилагането на политиката на сближаване;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Андре Руже, Роди Толаси, Клара Досталова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приема, че изпълнението на процеса на ФСП е въпрос от компетентността на държавите членки, но подчертава необходимостта от опростяване и Комисията да възприеме по-спешен подход към уведомяването на държавите членки;</w:t>
            </w:r>
          </w:p>
        </w:tc>
        <w:tc>
          <w:tcPr>
            <w:tcW w:w="4876" w:type="dxa"/>
            <w:tcBorders>
              <w:top w:val="nil"/>
              <w:left w:val="nil"/>
              <w:bottom w:val="nil"/>
              <w:right w:val="nil"/>
            </w:tcBorders>
          </w:tcPr>
          <w:p>
            <w:pPr>
              <w:pStyle w:val="Normal6a"/>
            </w:pPr>
            <w:r>
              <w:t>15.</w:t>
            </w:r>
            <w:r>
              <w:tab/>
            </w:r>
            <w:r>
              <w:t xml:space="preserve">приема, че изпълнението на процеса на ФСП е въпрос от компетентността на държавите членки, но подчертава необходимостта от опростяване и Комисията да възприеме по-спешен подход към уведомяването на държавите членки; </w:t>
            </w:r>
            <w:r>
              <w:rPr>
                <w:b/>
                <w:i/>
              </w:rPr>
              <w:t>подчертава необходимостта да им се предостави по-голяма автономност при управлението на финансирането, по-специално чрез облекчаване на административните ограничения, наложени от Комисията, и да им се позволи да адаптират критериите за подбор към националните и регионалните условия;</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Пауло До Нашименто Кабрал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приема, че</w:t>
            </w:r>
            <w:r>
              <w:t xml:space="preserve"> изпълнението на процеса на ФСП е въпрос от компетентността на държавите членки, </w:t>
            </w:r>
            <w:r>
              <w:rPr>
                <w:b/>
                <w:i/>
              </w:rPr>
              <w:t>но подчертава необходимостта от опростяване и Комисията да възприеме по-спешен подход към уведомяването на</w:t>
            </w:r>
            <w:r>
              <w:t xml:space="preserve"> държавите членки;</w:t>
            </w:r>
          </w:p>
        </w:tc>
        <w:tc>
          <w:tcPr>
            <w:tcW w:w="4876" w:type="dxa"/>
            <w:tcBorders>
              <w:top w:val="nil"/>
              <w:left w:val="nil"/>
              <w:bottom w:val="nil"/>
              <w:right w:val="nil"/>
            </w:tcBorders>
          </w:tcPr>
          <w:p>
            <w:pPr>
              <w:pStyle w:val="Normal6a"/>
            </w:pPr>
            <w:r>
              <w:t>15.</w:t>
            </w:r>
            <w:r>
              <w:tab/>
            </w:r>
            <w:r>
              <w:rPr>
                <w:b/>
                <w:i/>
              </w:rPr>
              <w:t>подчертава, че въпреки че</w:t>
            </w:r>
            <w:r>
              <w:t xml:space="preserve"> изпълнението на процеса на ФСП е въпрос от компетентността на държавите членки, </w:t>
            </w:r>
            <w:r>
              <w:rPr>
                <w:b/>
                <w:i/>
              </w:rPr>
              <w:t>от решаващо значение е да се опрости достъпът до заявленията и да се разшири обхватът на фонда, като той стане по-гъвкав, за да се позволи на други също толкова засегнати региони да се възползват от тази подкрепа;</w:t>
            </w:r>
            <w:r>
              <w:t xml:space="preserve"> </w:t>
            </w:r>
            <w:r>
              <w:rPr>
                <w:b/>
                <w:i/>
              </w:rPr>
              <w:t>подчертава, че Комисията, в сътрудничество с</w:t>
            </w:r>
            <w:r>
              <w:t xml:space="preserve"> държавите членки</w:t>
            </w:r>
            <w:r>
              <w:rPr>
                <w:b/>
                <w:i/>
              </w:rPr>
              <w:t>, следва да издаде тълкувателни насоки по онези свързани с прилагането въпроси, които пораждат най-голяма несигурност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Кирън Мълули, Любица Карвашова, Ракел Гарсия Ермида-ван дер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приема, че изпълнението на процеса на ФСП е въпрос от компетентността на държавите членки, но подчертава необходимостта от опростяване и Комисията да възприеме по-спешен подход към уведомяването на държавите членки;</w:t>
            </w:r>
          </w:p>
        </w:tc>
        <w:tc>
          <w:tcPr>
            <w:tcW w:w="4876" w:type="dxa"/>
            <w:tcBorders>
              <w:top w:val="nil"/>
              <w:left w:val="nil"/>
              <w:bottom w:val="nil"/>
              <w:right w:val="nil"/>
            </w:tcBorders>
          </w:tcPr>
          <w:p>
            <w:pPr>
              <w:pStyle w:val="Normal6a"/>
            </w:pPr>
            <w:r>
              <w:t>15.</w:t>
            </w:r>
            <w:r>
              <w:tab/>
            </w:r>
            <w:r>
              <w:t>приема, че изпълнението на процеса на ФСП е въпрос от компетентността на държавите членки, но </w:t>
            </w:r>
            <w:r>
              <w:rPr>
                <w:b/>
                <w:i/>
              </w:rPr>
              <w:t>призовава за по-солидна роля на местните и регионалните власти и на тези по места в процеса на вземане на решения, като се гарантира, че стратегиите за финансиране са в съответствие със специфичните нужди на общностите, засегнати от прехода;</w:t>
            </w:r>
            <w:r>
              <w:t xml:space="preserve"> </w:t>
            </w:r>
            <w:r>
              <w:rPr>
                <w:b/>
                <w:i/>
              </w:rPr>
              <w:t> </w:t>
            </w:r>
            <w:r>
              <w:t>подчертава необходимостта от опростяване и Комисията да възприеме по-спешен подход към уведомяването на държавите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Даниел Буда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приема, че изпълнението на процеса на ФСП е въпрос от компетентността на държавите членки, но подчертава необходимостта от опростяване и Комисията да възприеме по-спешен подход към уведомяването на държавите членки;</w:t>
            </w:r>
          </w:p>
        </w:tc>
        <w:tc>
          <w:tcPr>
            <w:tcW w:w="4876" w:type="dxa"/>
            <w:tcBorders>
              <w:top w:val="nil"/>
              <w:left w:val="nil"/>
              <w:bottom w:val="nil"/>
              <w:right w:val="nil"/>
            </w:tcBorders>
          </w:tcPr>
          <w:p>
            <w:pPr>
              <w:pStyle w:val="Normal6a"/>
            </w:pPr>
            <w:r>
              <w:t>15.</w:t>
            </w:r>
            <w:r>
              <w:tab/>
            </w:r>
            <w:r>
              <w:t xml:space="preserve">приема, че изпълнението на процеса на ФСП е въпрос от компетентността на държавите членки, но подчертава необходимостта от опростяване и Комисията да възприеме по-спешен подход към уведомяването на държавите членки; </w:t>
            </w:r>
            <w:r>
              <w:rPr>
                <w:b/>
                <w:i/>
              </w:rPr>
              <w:t>и да осигури по-добра координация между националните и европейските органи, за да се ускори разпределението на средствата и ефективното изпълнение на инициативите на ФСП;</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Габриела Гержени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приема, че изпълнението на процеса на ФСП е въпрос от компетентността на държавите членки, но подчертава необходимостта от опростяване и Комисията да възприеме по-спешен подход към уведомяването на държавите членки;</w:t>
            </w:r>
          </w:p>
        </w:tc>
        <w:tc>
          <w:tcPr>
            <w:tcW w:w="4876" w:type="dxa"/>
            <w:tcBorders>
              <w:top w:val="nil"/>
              <w:left w:val="nil"/>
              <w:bottom w:val="nil"/>
              <w:right w:val="nil"/>
            </w:tcBorders>
          </w:tcPr>
          <w:p>
            <w:pPr>
              <w:pStyle w:val="Normal6a"/>
            </w:pPr>
            <w:r>
              <w:t>15.</w:t>
            </w:r>
            <w:r>
              <w:tab/>
            </w:r>
            <w:r>
              <w:t xml:space="preserve">приема, че изпълнението на процеса на ФСП е въпрос от компетентността на държавите членки, но подчертава необходимостта от опростяване и Комисията да възприеме по-спешен подход към уведомяването на държавите членки; </w:t>
            </w:r>
            <w:r>
              <w:rPr>
                <w:b/>
                <w:i/>
              </w:rPr>
              <w:t>призовава държавите членки да прилагат последователен подход между ФСП и инвестициите в рамките на други стратегически фондове, свързани със справедливия преход;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Дан Барна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приема</w:t>
            </w:r>
            <w:r>
              <w:t xml:space="preserve">, че изпълнението на процеса на ФСП е въпрос от компетентността на държавите членки, </w:t>
            </w:r>
            <w:r>
              <w:rPr>
                <w:b/>
                <w:i/>
              </w:rPr>
              <w:t>но</w:t>
            </w:r>
            <w:r>
              <w:t xml:space="preserve"> подчертава необходимостта от опростяване и Комисията да възприеме по-спешен подход </w:t>
            </w:r>
            <w:r>
              <w:rPr>
                <w:b/>
                <w:i/>
              </w:rPr>
              <w:t>към уведомяването на</w:t>
            </w:r>
            <w:r>
              <w:t xml:space="preserve"> държавите членки;</w:t>
            </w:r>
          </w:p>
        </w:tc>
        <w:tc>
          <w:tcPr>
            <w:tcW w:w="4876" w:type="dxa"/>
            <w:tcBorders>
              <w:top w:val="nil"/>
              <w:left w:val="nil"/>
              <w:bottom w:val="nil"/>
              <w:right w:val="nil"/>
            </w:tcBorders>
          </w:tcPr>
          <w:p>
            <w:pPr>
              <w:pStyle w:val="Normal6a"/>
            </w:pPr>
            <w:r>
              <w:t>15.</w:t>
            </w:r>
            <w:r>
              <w:tab/>
            </w:r>
            <w:r>
              <w:rPr>
                <w:b/>
                <w:i/>
              </w:rPr>
              <w:t>признава</w:t>
            </w:r>
            <w:r>
              <w:t xml:space="preserve">, че изпълнението на процеса на ФСП е въпрос от компетентността на държавите членки, </w:t>
            </w:r>
            <w:r>
              <w:rPr>
                <w:b/>
                <w:i/>
              </w:rPr>
              <w:t>обаче</w:t>
            </w:r>
            <w:r>
              <w:t xml:space="preserve"> подчертава необходимостта от опростяване и </w:t>
            </w:r>
            <w:r>
              <w:rPr>
                <w:b/>
                <w:i/>
              </w:rPr>
              <w:t>призовава</w:t>
            </w:r>
            <w:r>
              <w:t xml:space="preserve"> Комисията да възприеме по-спешен подход </w:t>
            </w:r>
            <w:r>
              <w:rPr>
                <w:b/>
                <w:i/>
              </w:rPr>
              <w:t>за сътрудничество с</w:t>
            </w:r>
            <w:r>
              <w:t xml:space="preserve"> държавите членки </w:t>
            </w:r>
            <w:r>
              <w:rPr>
                <w:b/>
                <w:i/>
              </w:rPr>
              <w:t>за намиране на съобразени с конкретните нужди решения при пълно зачитане на принципа на субсидиарност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Дан-Щефан Мотряну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15а.</w:t>
            </w:r>
            <w:r>
              <w:tab/>
            </w:r>
            <w:r>
              <w:rPr>
                <w:b/>
                <w:i/>
              </w:rPr>
              <w:t>настоятелно призовава Европейската комисия да рационализира и съгласува финансовите инструменти в рамките на многогодишната финансова рамка (МФР) за периода след 2027 г., като гарантира съгласуван и координиран подход в подкрепа на стратегиите за справедлив преход;</w:t>
            </w:r>
            <w:r>
              <w:t xml:space="preserve"> </w:t>
            </w:r>
            <w:r>
              <w:rPr>
                <w:b/>
                <w:i/>
              </w:rPr>
              <w:t>подчертава, че фрагментираните потоци на финансиране възпрепятстват въздействието и ефективността, и поради това призовава за единна стратегическа рамка, която позволява полезни взаимодействия между всички съответни фондове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Нора Мебарек, Сержио Гонсалвеш, Роса Мария Серано Сиера, Адриан-Драгош Беня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15а.</w:t>
            </w:r>
            <w:r>
              <w:tab/>
            </w:r>
            <w:r>
              <w:rPr>
                <w:b/>
                <w:i/>
              </w:rPr>
              <w:t>призовава Комисията да насърчава системното създаване на местни консултативни органи на териториите, които се възползват от ФСП, за да се осигури пълноценното участие на местните органи, профсъюзите, предприятията и гражданското общество в управлението, подбора и мониторинга на финансираните проекти и по този начин се гарантира легитимността и ефективността на териториалните планове за справедлив преход;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15а.</w:t>
            </w:r>
            <w:r>
              <w:tab/>
            </w:r>
            <w:r>
              <w:rPr>
                <w:b/>
                <w:i/>
              </w:rPr>
              <w:t>подчертава, че ФСП следва да бъде достатъчно гъвкав, за да подкрепя много различни инициативи в зависимост от местните и регионалните нужди;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Нора Мебарек, Сержио Гонсалвеш, Роса Мария Серано Сиера, Адриан-Драгош Беня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15б.</w:t>
            </w:r>
            <w:r>
              <w:tab/>
            </w:r>
            <w:r>
              <w:rPr>
                <w:b/>
                <w:i/>
              </w:rPr>
              <w:t>приканва държавите членки и регионалните органи да създадат „местни съвети по уменията“ или подобни многостранни органи, както се препоръчва в съобщението относно Съюза на уменията, които имат за задача да диагностицират недостига на умения на местно равнище, да предвиждат нуждите от умения, свързани с екологичния и цифровия преход, и да предоставят консултации относно целевите инвестиции по линия на ФСП и ЕСФ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Роди Толаси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счита, че Комисията следва да е определила ясни параметри за всяка държава членка в области като инвестиране в образование и обучение и предоставяне на възможност на инвеститорите – трети страни, да запазват културата и традициите на бившите въгледобивни региони и на регионите, произвеждащи торф;</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Изабел Льо Каленек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счита, че Комисията следва да е определила ясни параметри за всяка държава членка в области като инвестиране в образование и обучение и предоставяне на възможност на инвеститорите – трети страни, да запазват културата и традициите на бившите въгледобивни региони и на регионите, произвеждащи торф;</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счита, че Комисията следва да е определила ясни параметри за всяка държава членка в области като инвестиране в образование и обучение и предоставяне на възможност на инвеститорите – трети страни, да запазват културата и традициите на бившите въгледобивни региони и на регионите, произвеждащи торф;</w:t>
            </w:r>
          </w:p>
        </w:tc>
        <w:tc>
          <w:tcPr>
            <w:tcW w:w="4876" w:type="dxa"/>
            <w:tcBorders>
              <w:top w:val="nil"/>
              <w:left w:val="nil"/>
              <w:bottom w:val="nil"/>
              <w:right w:val="nil"/>
            </w:tcBorders>
          </w:tcPr>
          <w:p>
            <w:pPr>
              <w:pStyle w:val="Normal6a"/>
            </w:pPr>
            <w:r>
              <w:t>16.</w:t>
            </w:r>
            <w:r>
              <w:tab/>
            </w:r>
            <w:r>
              <w:t>счита, че Комисията следва да е определила ясни параметри за всяка държава членка в области като инвестиране в образование и обучение</w:t>
            </w:r>
            <w:r>
              <w:rPr>
                <w:b/>
                <w:i/>
              </w:rPr>
              <w:t>, повишаване на квалификацията и преквалификация на работниците за алтернативна заетост</w:t>
            </w:r>
            <w:r>
              <w:t xml:space="preserve"> и предоставяне на възможност на инвеститорите – трети страни, да запазват културата и традициите на бившите въгледобивни региони и на регионите, произвеждащи торф; </w:t>
            </w:r>
            <w:r>
              <w:rPr>
                <w:b/>
                <w:i/>
              </w:rPr>
              <w:t>насърчава обмена на ноу-хау и най-добри практики между регионите в преход, като се стимулират взаимното обучение, изграждането на капацитет и ускоряването на устойчивото развитие;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счита, че Комисията следва да е определила ясни параметри за всяка държава членка в области като инвестиране в образование </w:t>
            </w:r>
            <w:r>
              <w:rPr>
                <w:b/>
                <w:i/>
              </w:rPr>
              <w:t>и</w:t>
            </w:r>
            <w:r>
              <w:t xml:space="preserve"> обучение и предоставяне на възможност на инвеститорите – трети страни, да запазват културата и традициите на бившите въгледобивни региони и на регионите, произвеждащи торф;</w:t>
            </w:r>
          </w:p>
        </w:tc>
        <w:tc>
          <w:tcPr>
            <w:tcW w:w="4876" w:type="dxa"/>
            <w:tcBorders>
              <w:top w:val="nil"/>
              <w:left w:val="nil"/>
              <w:bottom w:val="nil"/>
              <w:right w:val="nil"/>
            </w:tcBorders>
          </w:tcPr>
          <w:p>
            <w:pPr>
              <w:pStyle w:val="Normal6a"/>
            </w:pPr>
            <w:r>
              <w:t>16.</w:t>
            </w:r>
            <w:r>
              <w:tab/>
            </w:r>
            <w:r>
              <w:t>счита, че Комисията следва да е определила ясни параметри за всяка държава членка в области като инвестиране в образование</w:t>
            </w:r>
            <w:r>
              <w:rPr>
                <w:b/>
                <w:i/>
              </w:rPr>
              <w:t>, повишаване на квалификацията и преквалификация,</w:t>
            </w:r>
            <w:r>
              <w:t xml:space="preserve"> обучение и предоставяне на възможност на инвеститорите – трети страни, да запазват културата и традициите на бившите въгледобивни региони и на регионите, произвеждащи торф; </w:t>
            </w:r>
            <w:r>
              <w:rPr>
                <w:b/>
                <w:i/>
              </w:rPr>
              <w:t>освен това призовава за полезни взаимодействия с инициативата „Нов европейски Баухаус“, за да се обмислят проекти, които пренасочват стари промишлени съоръжения към социални и културни обекти, особено в пренебрегваните съседни райони;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Дан Барна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счита, че Комисията следва да е определила ясни параметри за всяка държава членка в области като инвестиране в образование и обучение и предоставяне на възможност на инвеститорите – трети страни, да запазват културата и традициите на бившите въгледобивни региони и на регионите, произвеждащи торф;</w:t>
            </w:r>
          </w:p>
        </w:tc>
        <w:tc>
          <w:tcPr>
            <w:tcW w:w="4876" w:type="dxa"/>
            <w:tcBorders>
              <w:top w:val="nil"/>
              <w:left w:val="nil"/>
              <w:bottom w:val="nil"/>
              <w:right w:val="nil"/>
            </w:tcBorders>
          </w:tcPr>
          <w:p>
            <w:pPr>
              <w:pStyle w:val="Normal6a"/>
            </w:pPr>
            <w:r>
              <w:t>16.</w:t>
            </w:r>
            <w:r>
              <w:tab/>
            </w:r>
            <w:r>
              <w:t>счита, че Комисията следва да е определила ясни параметри за всяка държава членка в области като инвестиране в образование и обучение и предоставяне на възможност на инвеститорите – трети страни, да запазват културата и традициите на бившите въгледобивни региони и на регионите, произвеждащи торф</w:t>
            </w:r>
            <w:r>
              <w:rPr>
                <w:b/>
                <w:i/>
              </w:rPr>
              <w:t>, както и почистване на замърсената зона около местата за добив</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Любица Карвашова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16а.</w:t>
            </w:r>
            <w:r>
              <w:tab/>
            </w:r>
            <w:r>
              <w:rPr>
                <w:b/>
                <w:i/>
              </w:rPr>
              <w:t>признава съществената роля на Европейската инвестиционна банка в подкрепа на справедливия преход;</w:t>
            </w:r>
            <w:r>
              <w:t xml:space="preserve"> </w:t>
            </w:r>
            <w:r>
              <w:rPr>
                <w:b/>
                <w:i/>
              </w:rPr>
              <w:t>подчертава необходимостта от продължаване на укрепването на сътрудничеството между публичните и частните финансови институции с цел привличане на допълнителни инвестиции, като се гарантира, че нито един регион или общност няма да бъдат изоставени в прехода към устойчива икономика;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Дан-Щефан Мотряну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16а.</w:t>
            </w:r>
            <w:r>
              <w:tab/>
            </w:r>
            <w:r>
              <w:rPr>
                <w:b/>
                <w:i/>
              </w:rPr>
              <w:t>подчертава, че териториалният, ориентиран към местните условия подход трябва да бъде в основата на всички финансови инструменти в подкрепа на справедливия преход, особено тези, които насърчават устойчивостта и иновациите на промишлеността;</w:t>
            </w:r>
            <w:r>
              <w:t xml:space="preserve"> </w:t>
            </w:r>
            <w:r>
              <w:rPr>
                <w:b/>
                <w:i/>
              </w:rPr>
              <w:t>подчертава, че подобен подход е от съществено значение за ефективното справяне с различните регионални предизвикателства и за отключване на потенциала за местно развитие;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Кирън Мълули, Любица Карвашова, Ракел Гарсия Ермида-ван дер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16а.</w:t>
            </w:r>
            <w:r>
              <w:tab/>
            </w:r>
            <w:r>
              <w:rPr>
                <w:b/>
                <w:i/>
              </w:rPr>
              <w:t>подчертава необходимостта плановете за областите на справедлив преход да включват ясен ангажимент за разработване на стратегически инициативи за възстановяване и развитие, със специален акцент върху развитието на предприятията и създаването на работни места в областите, които са най-силно засегнати от затварянето на производството на изкопаеми горива;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16а.</w:t>
            </w:r>
            <w:r>
              <w:tab/>
            </w:r>
            <w:r>
              <w:rPr>
                <w:b/>
                <w:i/>
              </w:rPr>
              <w:t>подчертава значението на съсредоточаването върху действия като промяна на предназначението на стари промишлени съоръжения и минни обекти в нови иновативни, екологосъобразни и интерактивни центрове за култура и други многофункционални дейности;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Елена Невадо Дел Кампо, Сусана Солис Перес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16а.</w:t>
            </w:r>
            <w:r>
              <w:tab/>
            </w:r>
            <w:r>
              <w:rPr>
                <w:b/>
                <w:i/>
              </w:rPr>
              <w:t>призовава за предоставяне на по-голяма свобода на избор по пътя на декарбонизацията на местно равнище чрез насърчаване на редица решения в съответствие с технологичната, политическата и икономическата перспектива;</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16б.</w:t>
            </w:r>
            <w:r>
              <w:tab/>
            </w:r>
            <w:r>
              <w:rPr>
                <w:b/>
                <w:i/>
              </w:rPr>
              <w:t>счита, че инвестициите с положително въздействие следва да бъдат приоритет и следва да се насочват към местна екологосъобразна инфраструктура и проекти за възобновяема енергия с акцент върху подобряването на енергийната ефективност, като например саниране, развитие и модернизиране на енергийно ефективни сгради, местна инфраструктура за рециклиране и управление на отпадъците, разширяване на регионалните и местните инсталации за слънчева, вятърна и водноелектрическа енергия, устойчив транспорт, който стимулира местните икономики и предлага голям потенциал за създаване на работни места на местно равнище, които в областта на строителството, инженерството, поддръжката и свързаните с тях отрасли не могат да бъдат преместени;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Елена Невадо Дел Кампо, Сусана Солис Перес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16б.</w:t>
            </w:r>
            <w:r>
              <w:tab/>
            </w:r>
            <w:r>
              <w:rPr>
                <w:b/>
                <w:i/>
              </w:rPr>
              <w:t>призовава за засилване на взаимодействието между публичния и частния сектор, така че те да могат да се справят съвместно с процеса на преход, като по този начин се проправи пътят за продуктивно преобразуване на въпросните територии;</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признава, че съществува недостиг на финансиране за мащабни проекти „отдолу нагоре“; препоръчва ФСП да запълва тези пропуски, когато бъде установена необходимост;</w:t>
            </w:r>
          </w:p>
        </w:tc>
        <w:tc>
          <w:tcPr>
            <w:tcW w:w="4876" w:type="dxa"/>
            <w:tcBorders>
              <w:top w:val="nil"/>
              <w:left w:val="nil"/>
              <w:bottom w:val="nil"/>
              <w:right w:val="nil"/>
            </w:tcBorders>
          </w:tcPr>
          <w:p>
            <w:pPr>
              <w:pStyle w:val="Normal6a"/>
            </w:pPr>
            <w:r>
              <w:t>17.</w:t>
            </w:r>
            <w:r>
              <w:tab/>
            </w:r>
            <w:r>
              <w:t xml:space="preserve">признава, че съществува недостиг на финансиране за мащабни проекти „отдолу нагоре“; препоръчва ФСП да запълва тези пропуски, когато бъде установена необходимост; </w:t>
            </w:r>
            <w:r>
              <w:rPr>
                <w:b/>
                <w:i/>
              </w:rPr>
              <w:t>подчертава значението на предоставянето на специална техническа подкрепа на регионите от най-ранните етапи, за да се укрепи техният капацитет за планиране „отдолу нагоре“ и да се подпомогнат потенциалните бенефициери при изготвянето на висококачествени проекти с ефективно въздействие;</w:t>
            </w:r>
            <w:r>
              <w:t xml:space="preserve"> </w:t>
            </w:r>
            <w:r>
              <w:rPr>
                <w:b/>
                <w:i/>
              </w:rPr>
              <w:t>призовава за създаването на стабилен механизъм за координация с цел активно ангажиране на регионалните и местните органи в разработването, изпълнението и надзора на териториалните планове за справедлив преход;</w:t>
            </w:r>
            <w:r>
              <w:t xml:space="preserve"> </w:t>
            </w:r>
            <w:r>
              <w:rPr>
                <w:b/>
                <w:i/>
              </w:rPr>
              <w:t>подчертава необходимостта от пълно отразяване на териториалните особености и от гарантиране на пълноценно участие на местните заинтересовани страни, като например гражданското общество, профсъюзите, висшите учебни заведения и търговските камари, в процеса на вземане на решения;</w:t>
            </w:r>
            <w:r>
              <w:t xml:space="preserve"> </w:t>
            </w:r>
            <w:r>
              <w:rPr>
                <w:b/>
                <w:i/>
              </w:rPr>
              <w:t>призовава за разработването на ясна и оперативна стратегия за подобряване на усвояването на средствата от управляващите органи, като се съчетава практическа помощ с подкрепа за капиталови инвестиции и се насърчава използването на практически инструменти като механизми за техническа помощ и създаване на регионални звена за обслужване на едно гише с цел рационализиране на достъпа до финансиране и подобряване на ефективността на изпълнението;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Елена Невадо Дел Кампо, Сусана Солис Перес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признава, че съществува недостиг на финансиране за мащабни проекти „отдолу нагоре“; препоръчва ФСП да запълва тези пропуски, </w:t>
            </w:r>
            <w:r>
              <w:rPr>
                <w:b/>
                <w:i/>
              </w:rPr>
              <w:t>когато бъде установена необходимост</w:t>
            </w:r>
            <w:r>
              <w:t>;</w:t>
            </w:r>
          </w:p>
        </w:tc>
        <w:tc>
          <w:tcPr>
            <w:tcW w:w="4876" w:type="dxa"/>
            <w:tcBorders>
              <w:top w:val="nil"/>
              <w:left w:val="nil"/>
              <w:bottom w:val="nil"/>
              <w:right w:val="nil"/>
            </w:tcBorders>
          </w:tcPr>
          <w:p>
            <w:pPr>
              <w:pStyle w:val="Normal6a"/>
            </w:pPr>
            <w:r>
              <w:t>17.</w:t>
            </w:r>
            <w:r>
              <w:tab/>
            </w:r>
            <w:r>
              <w:t xml:space="preserve">признава, че съществува недостиг на финансиране за мащабни проекти „отдолу нагоре“; препоръчва ФСП да запълва тези пропуски, </w:t>
            </w:r>
            <w:r>
              <w:rPr>
                <w:b/>
                <w:i/>
              </w:rPr>
              <w:t>а средствата от ЕФРР и ФСП да дават приоритет конкретно на инвестициите в основна инфраструктура, социални услуги, логистични мрежи и свързаност с цел новите бизнес проекти да станат жизнеспособни в общините в преход</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Кирън Мълули, Любица Карвашова, Ракел Гарсия Ермида-ван дер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признава, че съществува недостиг на финансиране за мащабни проекти „отдолу нагоре“; препоръчва </w:t>
            </w:r>
            <w:r>
              <w:rPr>
                <w:b/>
                <w:i/>
              </w:rPr>
              <w:t>ФСП</w:t>
            </w:r>
            <w:r>
              <w:t xml:space="preserve"> да запълва тези пропуски, когато бъде установена необходимост;</w:t>
            </w:r>
          </w:p>
        </w:tc>
        <w:tc>
          <w:tcPr>
            <w:tcW w:w="4876" w:type="dxa"/>
            <w:tcBorders>
              <w:top w:val="nil"/>
              <w:left w:val="nil"/>
              <w:bottom w:val="nil"/>
              <w:right w:val="nil"/>
            </w:tcBorders>
          </w:tcPr>
          <w:p>
            <w:pPr>
              <w:pStyle w:val="Normal6a"/>
            </w:pPr>
            <w:r>
              <w:t>17.</w:t>
            </w:r>
            <w:r>
              <w:tab/>
            </w:r>
            <w:r>
              <w:t xml:space="preserve">признава, че съществува недостиг на финансиране за мащабни проекти „отдолу нагоре“; препоръчва </w:t>
            </w:r>
            <w:r>
              <w:rPr>
                <w:b/>
                <w:i/>
              </w:rPr>
              <w:t>продължаването на фонда за справедлив преход</w:t>
            </w:r>
            <w:r>
              <w:t xml:space="preserve"> да запълва тези пропуски, когато бъде установена необходимост;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признава, че съществува недостиг на финансиране за мащабни проекти „отдолу нагоре“; препоръчва ФСП да запълва тези пропуски, когато бъде установена необходимост;</w:t>
            </w:r>
          </w:p>
        </w:tc>
        <w:tc>
          <w:tcPr>
            <w:tcW w:w="4876" w:type="dxa"/>
            <w:tcBorders>
              <w:top w:val="nil"/>
              <w:left w:val="nil"/>
              <w:bottom w:val="nil"/>
              <w:right w:val="nil"/>
            </w:tcBorders>
          </w:tcPr>
          <w:p>
            <w:pPr>
              <w:pStyle w:val="Normal6a"/>
            </w:pPr>
            <w:r>
              <w:t>17.</w:t>
            </w:r>
            <w:r>
              <w:tab/>
            </w:r>
            <w:r>
              <w:t xml:space="preserve">признава, че съществува недостиг на финансиране за мащабни проекти „отдолу нагоре“; препоръчва ФСП </w:t>
            </w:r>
            <w:r>
              <w:rPr>
                <w:b/>
                <w:i/>
              </w:rPr>
              <w:t>— или друг бъдещ механизъм —</w:t>
            </w:r>
            <w:r>
              <w:t xml:space="preserve"> да запълва тези пропуски, когато бъде установена необходимост;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17а.</w:t>
            </w:r>
            <w:r>
              <w:tab/>
            </w:r>
            <w:r>
              <w:rPr>
                <w:b/>
                <w:i/>
              </w:rPr>
              <w:t>подчертава, че демократичното и основано на участието екологично планиране имат потенциал за създаване на работни места;</w:t>
            </w:r>
            <w:r>
              <w:t xml:space="preserve"> </w:t>
            </w:r>
            <w:r>
              <w:rPr>
                <w:b/>
                <w:i/>
              </w:rPr>
              <w:t>подчертава, че с цел да се постигне напредък по отношение на екологичния и справедлив преход, капацитетът на всички равнища, но по-специално на местните и регионалните администрации, трябва да бъде укрепен и добре обезпечен с ресурси, за да се гарантират основано на участието екологично планиране, качествени оценки на въздействието върху околната среда на проектите, солиден анализ на принципа за ненанасяне на значителни вреди и ефективно прилагане на законодателството в областта на околната среда и климата; също така е необходимо да се гарантира усвояването на средствата на ЕС, като същевременно се намали рискът от отмяна на бюджетни кредити в края на периодите на финансиране;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Елена Невадо Дел Кампо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17а.</w:t>
            </w:r>
            <w:r>
              <w:tab/>
            </w:r>
            <w:r>
              <w:rPr>
                <w:b/>
                <w:i/>
              </w:rPr>
              <w:t>призовава Комисията и държавите членки да създадат механизми, които предвиждат ефективно участие на местните органи в планирането, подбора и изпълнението на проекти, финансирани от ФСП, като се отиде по-далеч от обикновена обществена консултация, в съответствие с принципа на многостепенно управление, установен в Регламент (ЕС) 2021/1060;</w:t>
            </w:r>
            <w:r>
              <w:t xml:space="preserve"> </w:t>
            </w:r>
            <w:r>
              <w:rPr>
                <w:b/>
                <w:i/>
              </w:rPr>
              <w:t>подчертава, че подобно участие би подобрило приспособяването на проектите към реалните нужди на териториите;</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Нора Мебарек, Сержио Гонсалвеш, Роса Мария Серано Сиера, Адриан-Драгош Беня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17а.</w:t>
            </w:r>
            <w:r>
              <w:tab/>
            </w:r>
            <w:r>
              <w:rPr>
                <w:b/>
                <w:i/>
              </w:rPr>
              <w:t>подчертава, че е важно политиката на сближаване, включително ФСП, да бъде приведена в съответствие с регионалните стратегии за иновации и приоритетите за интелигентна специализация, за да се повиши регионалната конкурентоспособност, като се гарантира, че инвестициите в образованието, научните изследвания, иновациите и цифровизацията пряко подкрепят икономическата диверсификация и устойчивостта на преходните области;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Дан-Щефан Мотряну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17а.</w:t>
            </w:r>
            <w:r>
              <w:tab/>
            </w:r>
            <w:r>
              <w:rPr>
                <w:b/>
                <w:i/>
              </w:rPr>
              <w:t>подчертава значението на приспособяването на механизмите на ЕС за финансиране, за да се подпомогнат по-добре регионите, изправени пред най-значителните предизвикателства при постигането на екологичен преход;</w:t>
            </w:r>
            <w:r>
              <w:t xml:space="preserve"> </w:t>
            </w:r>
            <w:r>
              <w:rPr>
                <w:b/>
                <w:i/>
              </w:rPr>
              <w:t>подчертава, че следващата МФР трябва да вземе предвид асиметричните въздействия на декарбонизацията, които рискуват да изострят съществуващите икономически и социални различия на поднационално равнище;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Андре Руже, Роди Толаси, Клара Досталова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17а.</w:t>
            </w:r>
            <w:r>
              <w:tab/>
            </w:r>
            <w:r>
              <w:rPr>
                <w:b/>
                <w:i/>
              </w:rPr>
              <w:t>препоръчва да се предостави на държавите членки свободата да преразпределят част от финансирането по ФСП към други свързани приоритети в съответствие със специфичните икономически и социални потребности на техните региони, без да е необходимо системно предварително одобрение от Комисията;</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Ана Миранда, 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17б.</w:t>
            </w:r>
            <w:r>
              <w:tab/>
            </w:r>
            <w:r>
              <w:rPr>
                <w:b/>
                <w:i/>
              </w:rPr>
              <w:t>подчертава, че ФСП следва да играе решаваща роля за стимулиране на декарбонизацията и следва да гарантира забраняването на достъп до средства от ЕС за проекти, насърчаващи подвеждащи твърдения за екологосъобразност;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17в.</w:t>
            </w:r>
            <w:r>
              <w:tab/>
            </w:r>
            <w:r>
              <w:rPr>
                <w:b/>
                <w:i/>
              </w:rPr>
              <w:t>подчертава необходимостта от включването в по-голяма степен на гражданското общество в процеса на вземане на решения, както и насърчаването на подходи „отдолу нагоре“, които да отговорят най-добре на местните и регионалните нужди;</w:t>
            </w:r>
            <w:r>
              <w:t xml:space="preserve"> </w:t>
            </w:r>
            <w:r>
              <w:rPr>
                <w:b/>
                <w:i/>
              </w:rPr>
              <w:t>поради това настоятелно призовава Комисията да засили подхода „отдолу нагоре“ в предстоящото опростяване на политиката на сближаване, като гарантира подходящо консултиране и участие на МРВ, НПО и МСП;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признава липсата на съответстващо финансиране за групи в доброволческия сектор, кандидатстващи за ФСП;</w:t>
            </w:r>
            <w:r>
              <w:t xml:space="preserve"> </w:t>
            </w:r>
            <w:r>
              <w:rPr>
                <w:b/>
                <w:i/>
              </w:rPr>
              <w:t>предлага да се увеличи с до 90% от финансирането за групи, за които се счита, че са с нисък риск, като по този начин се гарантира, че тези групи избягват високи лихвени проценти за съчетаване и свързване на финансирането;</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Изабел Льо Каленек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признава липсата на съответстващо финансиране за групи в доброволческия сектор, кандидатстващи за ФСП; </w:t>
            </w:r>
            <w:r>
              <w:rPr>
                <w:b/>
                <w:i/>
              </w:rPr>
              <w:t>предлага да се увеличи с до 90% от финансирането за групи, за които се счита, че са с нисък риск, като по този начин се гарантира, че тези групи избягват високи лихвени проценти за съчетаване и свързване на финансирането;</w:t>
            </w:r>
          </w:p>
        </w:tc>
        <w:tc>
          <w:tcPr>
            <w:tcW w:w="4876" w:type="dxa"/>
            <w:tcBorders>
              <w:top w:val="nil"/>
              <w:left w:val="nil"/>
              <w:bottom w:val="nil"/>
              <w:right w:val="nil"/>
            </w:tcBorders>
          </w:tcPr>
          <w:p>
            <w:pPr>
              <w:pStyle w:val="Normal6a"/>
            </w:pPr>
            <w:r>
              <w:t>18.</w:t>
            </w:r>
            <w:r>
              <w:tab/>
            </w:r>
            <w:r>
              <w:t>признава липсата на съответстващо финансиране за групи в доброволческия сектор, кандидатстващи за ФСП;</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Кирън Мълули, Любица Карвашова, Ракел Гарсия Ермида-ван дер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признава липсата на съответстващо финансиране за групи в доброволческия сектор, кандидатстващи за ФСП</w:t>
            </w:r>
            <w:r>
              <w:rPr>
                <w:b/>
                <w:i/>
              </w:rPr>
              <w:t>;</w:t>
            </w:r>
            <w:r>
              <w:t xml:space="preserve"> </w:t>
            </w:r>
            <w:r>
              <w:rPr>
                <w:b/>
                <w:i/>
              </w:rPr>
              <w:t>предлага да се увеличи с до 90% от финансирането</w:t>
            </w:r>
            <w:r>
              <w:t xml:space="preserve"> за групи, за които се счита, че са с нисък риск, като по този начин се гарантира, че тези групи избягват високи лихвени проценти за съчетаване и свързване на финансирането;</w:t>
            </w:r>
          </w:p>
        </w:tc>
        <w:tc>
          <w:tcPr>
            <w:tcW w:w="4876" w:type="dxa"/>
            <w:tcBorders>
              <w:top w:val="nil"/>
              <w:left w:val="nil"/>
              <w:bottom w:val="nil"/>
              <w:right w:val="nil"/>
            </w:tcBorders>
          </w:tcPr>
          <w:p>
            <w:pPr>
              <w:pStyle w:val="Normal6a"/>
            </w:pPr>
            <w:r>
              <w:t>18.</w:t>
            </w:r>
            <w:r>
              <w:tab/>
            </w:r>
            <w:r>
              <w:t>признава липсата на съответстващо финансиране за групи в доброволческия сектор, кандидатстващи за ФСП</w:t>
            </w:r>
            <w:r>
              <w:rPr>
                <w:b/>
                <w:i/>
              </w:rPr>
              <w:t>, и призовава за опростен механизъм за финансиране, включително предварително финансиране в размер до 90 %</w:t>
            </w:r>
            <w:r>
              <w:t xml:space="preserve"> за групи, за които се счита, че са с нисък риск, като по този начин се гарантира, че тези групи избягват високи лихвени проценти за съчетаване и свързване на финансирането </w:t>
            </w:r>
            <w:r>
              <w:rPr>
                <w:b/>
                <w:i/>
              </w:rPr>
              <w:t>и се оправомощават местните доброволчески и общностни организации за ефективно изпълнение на проекти, свързани с прехода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Нора Мебарек, Сержио Гонсалвеш, Адриан-Драгош Беня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признава липсата на съответстващо финансиране за групи в доброволческия сектор, кандидатстващи за ФСП; </w:t>
            </w:r>
            <w:r>
              <w:rPr>
                <w:b/>
                <w:i/>
              </w:rPr>
              <w:t>предлага да се увеличи с до 90% от</w:t>
            </w:r>
            <w:r>
              <w:t xml:space="preserve"> финансирането за групи, за които се счита, че са с нисък риск, като по този начин се гарантира, че тези групи избягват високи лихвени проценти за съчетаване и свързване на финансирането;</w:t>
            </w:r>
          </w:p>
        </w:tc>
        <w:tc>
          <w:tcPr>
            <w:tcW w:w="4876" w:type="dxa"/>
            <w:tcBorders>
              <w:top w:val="nil"/>
              <w:left w:val="nil"/>
              <w:bottom w:val="nil"/>
              <w:right w:val="nil"/>
            </w:tcBorders>
          </w:tcPr>
          <w:p>
            <w:pPr>
              <w:pStyle w:val="Normal6a"/>
            </w:pPr>
            <w:r>
              <w:t>18.</w:t>
            </w:r>
            <w:r>
              <w:tab/>
            </w:r>
            <w:r>
              <w:t xml:space="preserve">признава липсата на съответстващо финансиране за групи в доброволческия сектор, кандидатстващи за ФСП; </w:t>
            </w:r>
            <w:r>
              <w:rPr>
                <w:b/>
                <w:i/>
              </w:rPr>
              <w:t>подчертава значението на предоставянето на достатъчно авансови средства за</w:t>
            </w:r>
            <w:r>
              <w:t xml:space="preserve"> финансирането за групи, за които се счита, че са с нисък риск, като по този начин се гарантира, че тези групи избягват високи лихвени проценти за съчетаване и свързване на финансирането;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признава липсата на съответстващо финансиране за групи в доброволческия сектор, кандидатстващи за ФСП; предлага да се увеличи с до 90% от финансирането за групи, за които се счита, че са с нисък риск, като по този начин се гарантира, че тези групи избягват високи лихвени проценти за съчетаване и свързване на финансирането;</w:t>
            </w:r>
          </w:p>
        </w:tc>
        <w:tc>
          <w:tcPr>
            <w:tcW w:w="4876" w:type="dxa"/>
            <w:tcBorders>
              <w:top w:val="nil"/>
              <w:left w:val="nil"/>
              <w:bottom w:val="nil"/>
              <w:right w:val="nil"/>
            </w:tcBorders>
          </w:tcPr>
          <w:p>
            <w:pPr>
              <w:pStyle w:val="Normal6a"/>
            </w:pPr>
            <w:r>
              <w:t>18.</w:t>
            </w:r>
            <w:r>
              <w:tab/>
            </w:r>
            <w:r>
              <w:t xml:space="preserve">признава липсата на съответстващо финансиране за групи в доброволческия сектор, кандидатстващи за ФСП; предлага да се увеличи с до 90% от финансирането за групи, за които се счита, че са с нисък риск, като по този начин се гарантира, че тези групи избягват високи лихвени проценти </w:t>
            </w:r>
            <w:r>
              <w:rPr>
                <w:b/>
                <w:i/>
              </w:rPr>
              <w:t>и такси</w:t>
            </w:r>
            <w:r>
              <w:t xml:space="preserve"> за съчетаване и свързване на финансирането;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подчертава отрицателното въздействие на правилата за държавна помощ върху доброволческите групи и групите с нестопанска цел; настоятелно призовава на доброволческите групи, за които се счита, че са с нисък риск, да се предоставя </w:t>
            </w:r>
            <w:r>
              <w:rPr>
                <w:b/>
                <w:i/>
              </w:rPr>
              <w:t>по‑голяма</w:t>
            </w:r>
            <w:r>
              <w:t xml:space="preserve"> гъвкавост за постигане на целите в областта на заетостта;</w:t>
            </w:r>
          </w:p>
        </w:tc>
        <w:tc>
          <w:tcPr>
            <w:tcW w:w="4876" w:type="dxa"/>
            <w:tcBorders>
              <w:top w:val="nil"/>
              <w:left w:val="nil"/>
              <w:bottom w:val="nil"/>
              <w:right w:val="nil"/>
            </w:tcBorders>
          </w:tcPr>
          <w:p>
            <w:pPr>
              <w:pStyle w:val="Normal6a"/>
            </w:pPr>
            <w:r>
              <w:t>19.</w:t>
            </w:r>
            <w:r>
              <w:tab/>
            </w:r>
            <w:r>
              <w:t xml:space="preserve">подчертава отрицателното въздействие на правилата за държавна помощ върху доброволческите групи и групите с нестопанска цел; настоятелно призовава на доброволческите групи, за които се счита, че са с нисък риск, да се предоставя </w:t>
            </w:r>
            <w:r>
              <w:rPr>
                <w:b/>
                <w:i/>
              </w:rPr>
              <w:t>по-голяма</w:t>
            </w:r>
            <w:r>
              <w:t xml:space="preserve"> гъвкавост за постигане на целите в областта на заетостта; </w:t>
            </w:r>
            <w:r>
              <w:rPr>
                <w:b/>
                <w:i/>
              </w:rPr>
              <w:t>подчертава съществената роля на субектите на социалната икономика за предоставянето на конкретни, основани на общността отговори на социалните нужди на гражданите на ЕС и за подкрепата на приобщаващи, ориентирани към хората решения за справедлив преход;</w:t>
            </w:r>
            <w:r>
              <w:t xml:space="preserve"> </w:t>
            </w:r>
            <w:r>
              <w:rPr>
                <w:b/>
                <w:i/>
              </w:rPr>
              <w:t>призовава Комисията да преразгледа и адаптира съществуващите правила за държавна помощ, включително чрез корекция във възходяща посока на максималните прагове за държавна помощ за дейности, насочени към реинтеграция на пазара на труда;</w:t>
            </w:r>
            <w:r>
              <w:t xml:space="preserve"> </w:t>
            </w:r>
            <w:r>
              <w:rPr>
                <w:b/>
                <w:i/>
              </w:rPr>
              <w:t>подчертава, че такива корекции са необходими, за да се даде възможност на участниците в социалната икономика да допринасят пълноценно за целите на ЕС в областта на заетостта и сближаването, особено в уязвимите региони и регионите в преход;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Пауло До Нашименто Кабрал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подчертава </w:t>
            </w:r>
            <w:r>
              <w:rPr>
                <w:b/>
                <w:i/>
              </w:rPr>
              <w:t>отрицателното въздействие на</w:t>
            </w:r>
            <w:r>
              <w:t xml:space="preserve"> правилата за държавна помощ </w:t>
            </w:r>
            <w:r>
              <w:rPr>
                <w:b/>
                <w:i/>
              </w:rPr>
              <w:t>върху доброволческите групи и групите с нестопанска цел;</w:t>
            </w:r>
            <w:r>
              <w:t xml:space="preserve"> </w:t>
            </w:r>
            <w:r>
              <w:rPr>
                <w:b/>
                <w:i/>
              </w:rPr>
              <w:t>настоятелно призовава на доброволческите групи, за които се счита, че са с нисък риск, да се предоставя по‑голяма гъвкавост за постигане на целите в областта на заетостта</w:t>
            </w:r>
            <w:r>
              <w:t>;</w:t>
            </w:r>
          </w:p>
        </w:tc>
        <w:tc>
          <w:tcPr>
            <w:tcW w:w="4876" w:type="dxa"/>
            <w:tcBorders>
              <w:top w:val="nil"/>
              <w:left w:val="nil"/>
              <w:bottom w:val="nil"/>
              <w:right w:val="nil"/>
            </w:tcBorders>
          </w:tcPr>
          <w:p>
            <w:pPr>
              <w:pStyle w:val="Normal6a"/>
            </w:pPr>
            <w:r>
              <w:t>19.</w:t>
            </w:r>
            <w:r>
              <w:tab/>
            </w:r>
            <w:r>
              <w:t>подчертава</w:t>
            </w:r>
            <w:r>
              <w:rPr>
                <w:b/>
                <w:i/>
              </w:rPr>
              <w:t>, че</w:t>
            </w:r>
            <w:r>
              <w:t xml:space="preserve"> правилата за държавна помощ </w:t>
            </w:r>
            <w:r>
              <w:rPr>
                <w:b/>
                <w:i/>
              </w:rPr>
              <w:t>могат да бъдат облекчени, при обосновани условия, за доброволни групи и групи с нестопанска цел</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подчертава отрицателното въздействие на правилата за държавна помощ върху доброволческите групи и групите с нестопанска цел; настоятелно призовава на доброволческите групи, за които се счита, че са с нисък риск, да се предоставя </w:t>
            </w:r>
            <w:r>
              <w:rPr>
                <w:b/>
                <w:i/>
              </w:rPr>
              <w:t>по‑голяма</w:t>
            </w:r>
            <w:r>
              <w:t xml:space="preserve"> гъвкавост за постигане на целите в областта на заетостта;</w:t>
            </w:r>
          </w:p>
        </w:tc>
        <w:tc>
          <w:tcPr>
            <w:tcW w:w="4876" w:type="dxa"/>
            <w:tcBorders>
              <w:top w:val="nil"/>
              <w:left w:val="nil"/>
              <w:bottom w:val="nil"/>
              <w:right w:val="nil"/>
            </w:tcBorders>
          </w:tcPr>
          <w:p>
            <w:pPr>
              <w:pStyle w:val="Normal6a"/>
            </w:pPr>
            <w:r>
              <w:t>19.</w:t>
            </w:r>
            <w:r>
              <w:tab/>
            </w:r>
            <w:r>
              <w:t xml:space="preserve">подчертава </w:t>
            </w:r>
            <w:r>
              <w:rPr>
                <w:b/>
                <w:i/>
              </w:rPr>
              <w:t>пречките и</w:t>
            </w:r>
            <w:r>
              <w:t xml:space="preserve"> отрицателното въздействие на правилата за държавна помощ върху доброволческите групи и групите с нестопанска цел; настоятелно призовава на доброволческите групи, за които се счита, че са с нисък риск, да се предоставя </w:t>
            </w:r>
            <w:r>
              <w:rPr>
                <w:b/>
                <w:i/>
              </w:rPr>
              <w:t>по-голяма</w:t>
            </w:r>
            <w:r>
              <w:t xml:space="preserve"> гъвкавост за постигане на целите в областта на заетостта;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Андре Руже, Роди Толаси, Клара Досталова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призовава Комисията да </w:t>
            </w:r>
            <w:r>
              <w:rPr>
                <w:b/>
                <w:i/>
              </w:rPr>
              <w:t>работи с</w:t>
            </w:r>
            <w:r>
              <w:t xml:space="preserve"> държавите членки</w:t>
            </w:r>
            <w:r>
              <w:rPr>
                <w:b/>
                <w:i/>
              </w:rPr>
              <w:t>, за да може да има по-голяма последователност и яснота при тълкуването на законодателството на ЕС в областта на държавните помощи, доколкото те се прилагат за общностни групи и групи с нестопанска цел</w:t>
            </w:r>
            <w:r>
              <w:t>;</w:t>
            </w:r>
          </w:p>
        </w:tc>
        <w:tc>
          <w:tcPr>
            <w:tcW w:w="4876" w:type="dxa"/>
            <w:tcBorders>
              <w:top w:val="nil"/>
              <w:left w:val="nil"/>
              <w:bottom w:val="nil"/>
              <w:right w:val="nil"/>
            </w:tcBorders>
          </w:tcPr>
          <w:p>
            <w:pPr>
              <w:pStyle w:val="Normal6a"/>
            </w:pPr>
            <w:r>
              <w:t>20.</w:t>
            </w:r>
            <w:r>
              <w:tab/>
            </w:r>
            <w:r>
              <w:t xml:space="preserve">призовава Комисията да </w:t>
            </w:r>
            <w:r>
              <w:rPr>
                <w:b/>
                <w:i/>
              </w:rPr>
              <w:t>предостави на</w:t>
            </w:r>
            <w:r>
              <w:t xml:space="preserve"> държавите членки </w:t>
            </w:r>
            <w:r>
              <w:rPr>
                <w:b/>
                <w:i/>
              </w:rPr>
              <w:t>повече гъвкавост при прилагането на правилата за държавна помощ по отношение на проекти по ФСП, за да се предотврати задушаването на националните инициативи, насочени към постигане на справедлив преход, чрез прекалено строго регулиране</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Нора Мебарек, Маркос Рос Семпере, Хонас Фернандес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20а.</w:t>
            </w:r>
            <w:r>
              <w:tab/>
            </w:r>
            <w:r>
              <w:rPr>
                <w:b/>
                <w:i/>
              </w:rPr>
              <w:t>призовава Комисията да работи с държавите членки за постигане на по-голямо участие на регионалните и местните органи в определянето и изпълнението на проекти, свързани с ФСП;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Изабел Льо Каленек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призовава Комисията да улесни създаването на схема за зелена общност, която дава възможност за местно участие в общностни проекти за зелена енергия и позволява на бивши работници и техните семейства да инвестират или да участват;</w:t>
            </w:r>
            <w:r>
              <w:t xml:space="preserve"> </w:t>
            </w:r>
            <w:r>
              <w:rPr>
                <w:b/>
                <w:i/>
              </w:rPr>
              <w:t>отбелязва успеха на подобни инициативи;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Елена Невадо Дел Кампо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призовава Комисията да улесни създаването на схема за зелена общност, която дава възможност за местно участие в общностни проекти за зелена енергия и позволява на бивши работници и техните семейства да инвестират или да участват;</w:t>
            </w:r>
            <w:r>
              <w:t xml:space="preserve"> </w:t>
            </w:r>
            <w:r>
              <w:rPr>
                <w:b/>
                <w:i/>
              </w:rPr>
              <w:t>отбелязва успеха на подобни инициативи;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призовава Комисията да улесни създаването на схема за зелена общност, която дава възможност за местно участие в общностни проекти за зелена енергия и позволява на бивши работници и техните семейства да инвестират или да участват;</w:t>
            </w:r>
            <w:r>
              <w:t xml:space="preserve"> </w:t>
            </w:r>
            <w:r>
              <w:rPr>
                <w:b/>
                <w:i/>
              </w:rPr>
              <w:t>отбелязва успеха на подобни инициативи;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Кирън Мълули, Любица Карвашова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призовава Комисията да улесни създаването на схема за зелена общност, която дава възможност за местно участие в общностни проекти за зелена енергия и позволява на бивши работници и техните семейства да инвестират или да участват; отбелязва успеха на подобни инициативи;</w:t>
            </w:r>
          </w:p>
        </w:tc>
        <w:tc>
          <w:tcPr>
            <w:tcW w:w="4876" w:type="dxa"/>
            <w:tcBorders>
              <w:top w:val="nil"/>
              <w:left w:val="nil"/>
              <w:bottom w:val="nil"/>
              <w:right w:val="nil"/>
            </w:tcBorders>
          </w:tcPr>
          <w:p>
            <w:pPr>
              <w:pStyle w:val="Normal6a"/>
            </w:pPr>
            <w:r>
              <w:t>21.</w:t>
            </w:r>
            <w:r>
              <w:tab/>
            </w:r>
            <w:r>
              <w:t xml:space="preserve">призовава Комисията да улесни създаването на схема за зелена общност, която дава възможност за местно участие в общностни проекти за зелена енергия и позволява на бивши работници и техните семейства да инвестират или да участват; отбелязва успеха на подобни инициативи; </w:t>
            </w:r>
            <w:r>
              <w:rPr>
                <w:b/>
                <w:i/>
              </w:rPr>
              <w:t>подчертава необходимостта от разработване на подобрен модел за ползи за общността, специфичен за региона на справедлив преход, за да се осигурят допълнителни приходи и споделяне на печалбата от държавни и частни разработки в областта на енергията от възобновяеми източници за по-дълъг период от време, с по-голяма гъвкавост при използването на средствата, за да се включи развитието на предприятията и създаването на работни места;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Нора Мебарек, Сержио Гонсалвеш, Адриан-Драгош Беня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призовава </w:t>
            </w:r>
            <w:r>
              <w:rPr>
                <w:b/>
                <w:i/>
              </w:rPr>
              <w:t>Комисията да улесни създаването на схема за зелена общност, която дава възможност за местно участие в общностни</w:t>
            </w:r>
            <w:r>
              <w:t xml:space="preserve"> проекти за </w:t>
            </w:r>
            <w:r>
              <w:rPr>
                <w:b/>
                <w:i/>
              </w:rPr>
              <w:t>зелена</w:t>
            </w:r>
            <w:r>
              <w:t xml:space="preserve"> енергия </w:t>
            </w:r>
            <w:r>
              <w:rPr>
                <w:b/>
                <w:i/>
              </w:rPr>
              <w:t>и позволява на бивши работници и техните семейства да инвестират или да участват;</w:t>
            </w:r>
            <w:r>
              <w:t xml:space="preserve"> </w:t>
            </w:r>
            <w:r>
              <w:rPr>
                <w:b/>
                <w:i/>
              </w:rPr>
              <w:t>отбелязва успеха на подобни инициативи</w:t>
            </w:r>
            <w:r>
              <w:t>;</w:t>
            </w:r>
          </w:p>
        </w:tc>
        <w:tc>
          <w:tcPr>
            <w:tcW w:w="4876" w:type="dxa"/>
            <w:tcBorders>
              <w:top w:val="nil"/>
              <w:left w:val="nil"/>
              <w:bottom w:val="nil"/>
              <w:right w:val="nil"/>
            </w:tcBorders>
          </w:tcPr>
          <w:p>
            <w:pPr>
              <w:pStyle w:val="Normal6a"/>
            </w:pPr>
            <w:r>
              <w:t>21.</w:t>
            </w:r>
            <w:r>
              <w:tab/>
            </w:r>
            <w:r>
              <w:t xml:space="preserve">призовава </w:t>
            </w:r>
            <w:r>
              <w:rPr>
                <w:b/>
                <w:i/>
              </w:rPr>
              <w:t>държавите членки и управляващите органи да разпределят дял от средствата по ФСП за подкрепа на социалните иновации и социалната и солидарната икономика, по-специално чрез финансиране на граждански енергийни кооперации, основани на участието местни</w:t>
            </w:r>
            <w:r>
              <w:t xml:space="preserve"> проекти за </w:t>
            </w:r>
            <w:r>
              <w:rPr>
                <w:b/>
                <w:i/>
              </w:rPr>
              <w:t>производство на</w:t>
            </w:r>
            <w:r>
              <w:t xml:space="preserve"> енергия </w:t>
            </w:r>
            <w:r>
              <w:rPr>
                <w:b/>
                <w:i/>
              </w:rPr>
              <w:t>от възобновяеми източници и инициативи за насърчаване на местна кръгова икономика, като по този начин се укрепи връзката между екологичния преход и социалното приобщаване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Андре Руже, Роди Толаси, Клара Досталова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призовава Комисията да улесни създаването на схема за зелена общност, която дава възможност за местно участие в общностни проекти за </w:t>
            </w:r>
            <w:r>
              <w:rPr>
                <w:b/>
                <w:i/>
              </w:rPr>
              <w:t>зелена</w:t>
            </w:r>
            <w:r>
              <w:t xml:space="preserve"> енергия и позволява на бивши работници и техните семейства да инвестират или да участват; отбелязва успеха на подобни инициативи;</w:t>
            </w:r>
          </w:p>
        </w:tc>
        <w:tc>
          <w:tcPr>
            <w:tcW w:w="4876" w:type="dxa"/>
            <w:tcBorders>
              <w:top w:val="nil"/>
              <w:left w:val="nil"/>
              <w:bottom w:val="nil"/>
              <w:right w:val="nil"/>
            </w:tcBorders>
          </w:tcPr>
          <w:p>
            <w:pPr>
              <w:pStyle w:val="Normal6a"/>
            </w:pPr>
            <w:r>
              <w:t>21.</w:t>
            </w:r>
            <w:r>
              <w:tab/>
            </w:r>
            <w:r>
              <w:t xml:space="preserve">призовава Комисията да улесни създаването на схема за зелена общност, която дава възможност за местно участие в общностни проекти за </w:t>
            </w:r>
            <w:r>
              <w:rPr>
                <w:b/>
                <w:i/>
              </w:rPr>
              <w:t>декарбонизирана</w:t>
            </w:r>
            <w:r>
              <w:t xml:space="preserve"> енергия и позволява на бивши работници и техните семейства да инвестират или да участват; отбелязва успеха на подобни инициативи;</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Валентина Палмизано, 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21а.</w:t>
            </w:r>
            <w:r>
              <w:tab/>
            </w:r>
            <w:r>
              <w:rPr>
                <w:b/>
                <w:i/>
              </w:rPr>
              <w:t>призовава Комисията да предвиди план за енергиен преход, предназначен за най-уязвимите семейства, за да се предотврати рискът те да понесат високите разходи за устойчиви енергийни модели в процеса на преход;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Кирън Мълули, Любица Карвашова, Ракел Гарсия Ермида-ван дер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21а.</w:t>
            </w:r>
            <w:r>
              <w:tab/>
            </w:r>
            <w:r>
              <w:rPr>
                <w:b/>
                <w:i/>
              </w:rPr>
              <w:t>призовава Комисията да насърчава държавите членки да прилагат изцяло разпоредбите на Европейската директива 2019/994 относно гражданските енергийни общности;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призовава Комисията да улесни създаването на схема за социално обучение на </w:t>
            </w:r>
            <w:r>
              <w:rPr>
                <w:b/>
                <w:i/>
              </w:rPr>
              <w:t>по‑възрастните</w:t>
            </w:r>
            <w:r>
              <w:t xml:space="preserve"> безработни лица, които не са в състояние да се преквалифицират и да придобият нови работни места; подчертава, че това би могло да запълни разликата между заетост и пенсиониране за някои работници;</w:t>
            </w:r>
          </w:p>
        </w:tc>
        <w:tc>
          <w:tcPr>
            <w:tcW w:w="4876" w:type="dxa"/>
            <w:tcBorders>
              <w:top w:val="nil"/>
              <w:left w:val="nil"/>
              <w:bottom w:val="nil"/>
              <w:right w:val="nil"/>
            </w:tcBorders>
          </w:tcPr>
          <w:p>
            <w:pPr>
              <w:pStyle w:val="Normal6a"/>
            </w:pPr>
            <w:r>
              <w:t>22.</w:t>
            </w:r>
            <w:r>
              <w:tab/>
            </w:r>
            <w:r>
              <w:t xml:space="preserve">призовава Комисията да улесни създаването на схема за социално обучение на </w:t>
            </w:r>
            <w:r>
              <w:rPr>
                <w:b/>
                <w:i/>
              </w:rPr>
              <w:t>по-възрастните</w:t>
            </w:r>
            <w:r>
              <w:t xml:space="preserve"> безработни лица, </w:t>
            </w:r>
            <w:r>
              <w:rPr>
                <w:b/>
                <w:i/>
              </w:rPr>
              <w:t>особено на жените и дългосрочно безработните, </w:t>
            </w:r>
            <w:r>
              <w:t xml:space="preserve">които не са в състояние да се преквалифицират и да придобият нови работни места; подчертава, че това би могло да запълни разликата между заетост и пенсиониране за някои работници; </w:t>
            </w:r>
            <w:r>
              <w:rPr>
                <w:b/>
                <w:i/>
              </w:rPr>
              <w:t>счита, че всяка инициатива трябва да включва подробен план за преквалификация и повишаване на квалификацията на работниците, като се предоставят алтернативни възможности за заетост за хората, които понастоящем работят, чрез благоприятстване на планове за подмладяване на персонала чрез частично пенсиониране;</w:t>
            </w:r>
            <w:r>
              <w:t xml:space="preserve"> </w:t>
            </w:r>
            <w:r>
              <w:rPr>
                <w:b/>
                <w:i/>
              </w:rPr>
              <w:t>както и насърчаване на социалния диалог и колективното договаряне в сектора;</w:t>
            </w:r>
            <w:r>
              <w:t xml:space="preserve"> </w:t>
            </w:r>
            <w:r>
              <w:rPr>
                <w:b/>
                <w:i/>
              </w:rPr>
              <w:t>подчертава необходимостта от засилване на ролята на жените и от насърчаване на интеграцията на хората с увреждания;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Пауло До Нашименто Кабрал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призовава Комисията да улесни създаването на схема за социално обучение на по‑възрастните безработни лица, които не са в състояние да се преквалифицират и да придобият нови работни места; подчертава, че това би могло да запълни разликата между заетост и пенсиониране за някои работници;</w:t>
            </w:r>
          </w:p>
        </w:tc>
        <w:tc>
          <w:tcPr>
            <w:tcW w:w="4876" w:type="dxa"/>
            <w:tcBorders>
              <w:top w:val="nil"/>
              <w:left w:val="nil"/>
              <w:bottom w:val="nil"/>
              <w:right w:val="nil"/>
            </w:tcBorders>
          </w:tcPr>
          <w:p>
            <w:pPr>
              <w:pStyle w:val="Normal6a"/>
            </w:pPr>
            <w:r>
              <w:t>22.</w:t>
            </w:r>
            <w:r>
              <w:tab/>
            </w:r>
            <w:r>
              <w:t>призовава Комисията да улесни създаването на схема за социално обучение на по‑възрастните безработни лица, които не са в състояние да се преквалифицират и да придобият нови работни места</w:t>
            </w:r>
            <w:r>
              <w:rPr>
                <w:b/>
                <w:i/>
              </w:rPr>
              <w:t>, като гарантира, че те получават подкрепа, за да им се осигури достоен стандарт на живот</w:t>
            </w:r>
            <w:r>
              <w:t>; подчертава, че това би могло да запълни разликата между заетост и пенсиониране за някои работници;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Нора Мебарек, Сержио Гонсалвеш, Роса Мария Серано Сиера, Адриан-Драгош Беня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22а.</w:t>
            </w:r>
            <w:r>
              <w:tab/>
            </w:r>
            <w:r>
              <w:rPr>
                <w:b/>
                <w:i/>
              </w:rPr>
              <w:t>призовава Комисията да обмисли създаването, чрез бъдещия ФСП, на засилен временен механизъм за социална закрила за работниците, пряко засегнати от индустриалния и енергийния преход, включително мерки като доход при професионален преход, целево удължаване на обезщетенията за безработица и специални услуги за психологическа и социална подкрепа, за да се предотврати повишен риск от несигурност в териториите, които са най-изложени в социално-икономическо отношение на прехода към въглеродна неутралност;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22а.</w:t>
            </w:r>
            <w:r>
              <w:tab/>
            </w:r>
            <w:r>
              <w:rPr>
                <w:b/>
                <w:i/>
              </w:rPr>
              <w:t>припомня значението на социално справедливия екологичен преход на икономиката, свързана с полагането на грижи, и на сектора на грижите (например грижите за малки деца или дългосрочните грижи) – доминирана от жени сфера на работа, в която създаването на работни места е абсолютно необходимо за преразпределяне на неплатения труд по полагане на грижи и предварително условие за гарантиране на това, че жените имат равни възможности за работа в прехода като мъжете, включително с оглед на новите заплахи за здравето, свързани с изменението на климата и замърсяването;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Елена Невадо Дел Кампо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22а.</w:t>
            </w:r>
            <w:r>
              <w:tab/>
            </w:r>
            <w:r>
              <w:rPr>
                <w:b/>
                <w:i/>
              </w:rPr>
              <w:t>настоятелно призовава Комисията при разпределянето на средствата по ФСП между държавите членки да вземе предвид критерия за кумулативно обезлюдяване в резултат на процеси на предсрочно закриване на промишлени отрасли, например въглищни електроцентрали и други отрасли, изпускащи емисии, особено в държавите, които предсрочно са постигнали целите за намаляване на емисиите;</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Изабел Льо Каленек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23.</w:t>
            </w:r>
            <w:r>
              <w:tab/>
            </w:r>
            <w:r>
              <w:rPr>
                <w:b/>
                <w:i/>
              </w:rPr>
              <w:t>призовава ФСП да намали административната тежест за общностите чрез наемане на „практически“ мениджъри в градовете и селата, които да съдействат при изготвянето на заявления и предложения за финансиране;</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призовава ФСП да намали административната тежест за общностите чрез наемане на „практически“ мениджъри в градовете и селата, които да съдействат при изготвянето на заявления и предложения за финансиране;</w:t>
            </w:r>
          </w:p>
        </w:tc>
        <w:tc>
          <w:tcPr>
            <w:tcW w:w="4876" w:type="dxa"/>
            <w:tcBorders>
              <w:top w:val="nil"/>
              <w:left w:val="nil"/>
              <w:bottom w:val="nil"/>
              <w:right w:val="nil"/>
            </w:tcBorders>
          </w:tcPr>
          <w:p>
            <w:pPr>
              <w:pStyle w:val="Normal6a"/>
            </w:pPr>
            <w:r>
              <w:t>23.</w:t>
            </w:r>
            <w:r>
              <w:tab/>
            </w:r>
            <w:r>
              <w:t xml:space="preserve">призовава ФСП да намали административната тежест за общностите чрез наемане на „практически“ мениджъри в градовете и селата, които да съдействат при изготвянето на заявления и предложения за финансиране; </w:t>
            </w:r>
            <w:r>
              <w:rPr>
                <w:b/>
                <w:i/>
              </w:rPr>
              <w:t>подчертава, че местните и регионалните власти играят ключова роля за гарантиране на ефективното разработване, изпълнение и мониторинг на програмите на ЕС, като се има предвид тяхната близост до гражданите и задълбоченото разбиране на териториалните нужди;</w:t>
            </w:r>
            <w:r>
              <w:t xml:space="preserve"> </w:t>
            </w:r>
            <w:r>
              <w:rPr>
                <w:b/>
                <w:i/>
              </w:rPr>
              <w:t>призовава да бъдат укрепени капацитетът на местно и регионално равнище и институционалната подкрепа от ФСП по допълващ се начин, включително чрез подходящо, достъпно и навременно финансиране за съответните действия и институции;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Кирън Мълули, Любица Карвашова, Ракел Гарсия Ермида-ван дер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призовава ФСП да намали административната тежест за общностите чрез наемане на „практически“ мениджъри в градовете и селата, които да съдействат при изготвянето на заявления и предложения за финансиране;</w:t>
            </w:r>
          </w:p>
        </w:tc>
        <w:tc>
          <w:tcPr>
            <w:tcW w:w="4876" w:type="dxa"/>
            <w:tcBorders>
              <w:top w:val="nil"/>
              <w:left w:val="nil"/>
              <w:bottom w:val="nil"/>
              <w:right w:val="nil"/>
            </w:tcBorders>
          </w:tcPr>
          <w:p>
            <w:pPr>
              <w:pStyle w:val="Normal6a"/>
            </w:pPr>
            <w:r>
              <w:t>23.</w:t>
            </w:r>
            <w:r>
              <w:tab/>
            </w:r>
            <w:r>
              <w:t>призовава ФСП да намали административната тежест за общностите чрез наемане на „практически“ мениджъри в градовете и селата, които да съдействат при изготвянето на заявления и предложения за финансиране</w:t>
            </w:r>
            <w:r>
              <w:rPr>
                <w:b/>
                <w:i/>
              </w:rPr>
              <w:t>, като гарантират, че тези региони също имат равен достъп до фондовете на ЕС и спомагат за преодоляване на регионалните различия</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Дан Барна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призовава ФСП да намали административната тежест за общностите </w:t>
            </w:r>
            <w:r>
              <w:rPr>
                <w:b/>
                <w:i/>
              </w:rPr>
              <w:t>чрез наемане</w:t>
            </w:r>
            <w:r>
              <w:t xml:space="preserve"> на „практически“ </w:t>
            </w:r>
            <w:r>
              <w:rPr>
                <w:b/>
                <w:i/>
              </w:rPr>
              <w:t>мениджъри в градовете и селата</w:t>
            </w:r>
            <w:r>
              <w:t>, които да съдействат при изготвянето на заявления и предложения за финансиране;</w:t>
            </w:r>
          </w:p>
        </w:tc>
        <w:tc>
          <w:tcPr>
            <w:tcW w:w="4876" w:type="dxa"/>
            <w:tcBorders>
              <w:top w:val="nil"/>
              <w:left w:val="nil"/>
              <w:bottom w:val="nil"/>
              <w:right w:val="nil"/>
            </w:tcBorders>
          </w:tcPr>
          <w:p>
            <w:pPr>
              <w:pStyle w:val="Normal6a"/>
            </w:pPr>
            <w:r>
              <w:t>23.</w:t>
            </w:r>
            <w:r>
              <w:tab/>
            </w:r>
            <w:r>
              <w:t>призовава ФСП да намали административната тежест за общностите</w:t>
            </w:r>
            <w:r>
              <w:rPr>
                <w:b/>
                <w:i/>
              </w:rPr>
              <w:t>, като гарантира допустимостта</w:t>
            </w:r>
            <w:r>
              <w:t xml:space="preserve"> на „практически“ </w:t>
            </w:r>
            <w:r>
              <w:rPr>
                <w:b/>
                <w:i/>
              </w:rPr>
              <w:t>консултанти в проекти</w:t>
            </w:r>
            <w:r>
              <w:t>, които да съдействат при изготвянето на заявления и предложения за финансиране</w:t>
            </w:r>
            <w:r>
              <w:rPr>
                <w:b/>
                <w:i/>
              </w:rPr>
              <w:t>, както и при управление на проектите, след като те бъдат избрани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Габриела Гержени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призовава ФСП да намали административната тежест за общностите чрез наемане на „практически“ мениджъри в градовете и селата, които да съдействат при изготвянето на заявления и предложения за финансиране;</w:t>
            </w:r>
          </w:p>
        </w:tc>
        <w:tc>
          <w:tcPr>
            <w:tcW w:w="4876" w:type="dxa"/>
            <w:tcBorders>
              <w:top w:val="nil"/>
              <w:left w:val="nil"/>
              <w:bottom w:val="nil"/>
              <w:right w:val="nil"/>
            </w:tcBorders>
          </w:tcPr>
          <w:p>
            <w:pPr>
              <w:pStyle w:val="Normal6a"/>
            </w:pPr>
            <w:r>
              <w:t>23.</w:t>
            </w:r>
            <w:r>
              <w:tab/>
            </w:r>
            <w:r>
              <w:t xml:space="preserve">призовава ФСП да намали административната тежест за общностите чрез наемане на „практически“ мениджъри в градовете и селата, които да съдействат при изготвянето на заявления и предложения за финансиране </w:t>
            </w:r>
            <w:r>
              <w:rPr>
                <w:b/>
                <w:i/>
              </w:rPr>
              <w:t>чрез разработване на обслужване на едно гише и подходящи цифрови платформи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Пауло До Нашименто Кабрал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призовава </w:t>
            </w:r>
            <w:r>
              <w:rPr>
                <w:b/>
                <w:i/>
              </w:rPr>
              <w:t>ФСП да намали</w:t>
            </w:r>
            <w:r>
              <w:t xml:space="preserve"> административната тежест за общностите чрез </w:t>
            </w:r>
            <w:r>
              <w:rPr>
                <w:b/>
                <w:i/>
              </w:rPr>
              <w:t>наемане на „практически“ мениджъри в градовете и селата, които да съдействат при изготвянето</w:t>
            </w:r>
            <w:r>
              <w:t xml:space="preserve"> на заявления </w:t>
            </w:r>
            <w:r>
              <w:rPr>
                <w:b/>
                <w:i/>
              </w:rPr>
              <w:t>и предложения за финансиране</w:t>
            </w:r>
            <w:r>
              <w:t>;</w:t>
            </w:r>
          </w:p>
        </w:tc>
        <w:tc>
          <w:tcPr>
            <w:tcW w:w="4876" w:type="dxa"/>
            <w:tcBorders>
              <w:top w:val="nil"/>
              <w:left w:val="nil"/>
              <w:bottom w:val="nil"/>
              <w:right w:val="nil"/>
            </w:tcBorders>
          </w:tcPr>
          <w:p>
            <w:pPr>
              <w:pStyle w:val="Normal6a"/>
            </w:pPr>
            <w:r>
              <w:t>23.</w:t>
            </w:r>
            <w:r>
              <w:tab/>
            </w:r>
            <w:r>
              <w:t xml:space="preserve">призовава </w:t>
            </w:r>
            <w:r>
              <w:rPr>
                <w:b/>
                <w:i/>
              </w:rPr>
              <w:t>за намаляване на</w:t>
            </w:r>
            <w:r>
              <w:t xml:space="preserve"> административната тежест </w:t>
            </w:r>
            <w:r>
              <w:rPr>
                <w:b/>
                <w:i/>
              </w:rPr>
              <w:t>на ФСП</w:t>
            </w:r>
            <w:r>
              <w:t xml:space="preserve"> за общностите чрез </w:t>
            </w:r>
            <w:r>
              <w:rPr>
                <w:b/>
                <w:i/>
              </w:rPr>
              <w:t>създаване на специализирани екипи за обработване</w:t>
            </w:r>
            <w:r>
              <w:t xml:space="preserve"> на заявления;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призовава ФСП да намали административната тежест за общностите чрез наемане на „практически“ мениджъри в градовете и селата, които да съдействат при изготвянето на заявления и предложения за финансиране;</w:t>
            </w:r>
          </w:p>
        </w:tc>
        <w:tc>
          <w:tcPr>
            <w:tcW w:w="4876" w:type="dxa"/>
            <w:tcBorders>
              <w:top w:val="nil"/>
              <w:left w:val="nil"/>
              <w:bottom w:val="nil"/>
              <w:right w:val="nil"/>
            </w:tcBorders>
          </w:tcPr>
          <w:p>
            <w:pPr>
              <w:pStyle w:val="Normal6a"/>
            </w:pPr>
            <w:r>
              <w:t>23.</w:t>
            </w:r>
            <w:r>
              <w:tab/>
            </w:r>
            <w:r>
              <w:t xml:space="preserve">призовава ФСП да намали административната тежест за общностите чрез наемане на „практически“ мениджъри в градовете и селата, които да </w:t>
            </w:r>
            <w:r>
              <w:rPr>
                <w:b/>
                <w:i/>
              </w:rPr>
              <w:t>оказват подкрепа и да</w:t>
            </w:r>
            <w:r>
              <w:t xml:space="preserve"> съдействат при изготвянето на заявления и предложения за финансиране;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Нора Мебарек, Сержио Гонсалвеш, Роса Мария Серано Сиера, Адриан-Драгош Беня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призовава </w:t>
            </w:r>
            <w:r>
              <w:rPr>
                <w:b/>
                <w:i/>
              </w:rPr>
              <w:t>ФСП да намали административната тежест за общностите чрез наемане на „практически“ мениджъри в градовете и селата, които да съдействат при изготвянето на заявления и предложения за финансиране</w:t>
            </w:r>
            <w:r>
              <w:t>;</w:t>
            </w:r>
          </w:p>
        </w:tc>
        <w:tc>
          <w:tcPr>
            <w:tcW w:w="4876" w:type="dxa"/>
            <w:tcBorders>
              <w:top w:val="nil"/>
              <w:left w:val="nil"/>
              <w:bottom w:val="nil"/>
              <w:right w:val="nil"/>
            </w:tcBorders>
          </w:tcPr>
          <w:p>
            <w:pPr>
              <w:pStyle w:val="Normal6a"/>
            </w:pPr>
            <w:r>
              <w:t>23.</w:t>
            </w:r>
            <w:r>
              <w:tab/>
            </w:r>
            <w:r>
              <w:t xml:space="preserve">призовава </w:t>
            </w:r>
            <w:r>
              <w:rPr>
                <w:b/>
                <w:i/>
              </w:rPr>
              <w:t>Комисията да предложи, по време на средносрочния преглед на програмите, подкрепяни от европейските структурни и инвестиционни фондове, законодателни предложения за улесняване на използването на ФСП от всички заинтересовани страни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23а.</w:t>
            </w:r>
            <w:r>
              <w:tab/>
            </w:r>
            <w:r>
              <w:rPr>
                <w:b/>
                <w:i/>
              </w:rPr>
              <w:t>изисква местните и регионалните органи, както и гражданите и НПО да участват в по-голяма степен в процесите на вземане на решения и на финансиране, за да се гарантира, че нуждите се разглеждат по подходящ начин;</w:t>
            </w:r>
            <w:r>
              <w:t xml:space="preserve"> </w:t>
            </w:r>
            <w:r>
              <w:rPr>
                <w:b/>
                <w:i/>
              </w:rPr>
              <w:t>отбелязва, че потенциалът, който съществува на местно равнище, може да бъде мобилизиран по-добре, а инвестициите в регионално развитие да бъдат по-ефикасни, ако се засилят и подпомогнат участието на гражданите, воденото от общностите местно развитие и подобни инструменти с подход „от горе надолу“;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Андре Руже, Роди Толаси, Клара Досталова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23а.</w:t>
            </w:r>
            <w:r>
              <w:tab/>
            </w:r>
            <w:r>
              <w:rPr>
                <w:b/>
                <w:i/>
              </w:rPr>
              <w:t>призовава да бъде предоставена допълнителна техническа помощ на органите в НОР и ОСТ за управлението и изпълнението на фондовете, включително създаването на обслужване на едно гише в подкрепа на местните проекти за справедлив преход;</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Изабел Льо Каленек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24.</w:t>
            </w:r>
            <w:r>
              <w:tab/>
            </w:r>
            <w:r>
              <w:rPr>
                <w:b/>
                <w:i/>
              </w:rPr>
              <w:t>призовава ФСП да цени високо наследството на засегнатите общности и да организира обучение за екскурзоводи за културното наследство;</w:t>
            </w:r>
            <w:r>
              <w:t xml:space="preserve"> </w:t>
            </w:r>
            <w:r>
              <w:rPr>
                <w:b/>
                <w:i/>
              </w:rPr>
              <w:t>подкрепя създаването на центрове за посетители, които подчертават местната история;</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призовава ФСП да </w:t>
            </w:r>
            <w:r>
              <w:rPr>
                <w:b/>
                <w:i/>
              </w:rPr>
              <w:t>цени високо наследството</w:t>
            </w:r>
            <w:r>
              <w:t xml:space="preserve"> на засегнатите общности </w:t>
            </w:r>
            <w:r>
              <w:rPr>
                <w:b/>
                <w:i/>
              </w:rPr>
              <w:t>и да организира</w:t>
            </w:r>
            <w:r>
              <w:t xml:space="preserve"> обучение за екскурзоводи за културното наследство; подкрепя създаването на центрове за посетители, които </w:t>
            </w:r>
            <w:r>
              <w:rPr>
                <w:b/>
                <w:i/>
              </w:rPr>
              <w:t>подчертават</w:t>
            </w:r>
            <w:r>
              <w:t xml:space="preserve"> местната история;</w:t>
            </w:r>
          </w:p>
        </w:tc>
        <w:tc>
          <w:tcPr>
            <w:tcW w:w="4876" w:type="dxa"/>
            <w:tcBorders>
              <w:top w:val="nil"/>
              <w:left w:val="nil"/>
              <w:bottom w:val="nil"/>
              <w:right w:val="nil"/>
            </w:tcBorders>
          </w:tcPr>
          <w:p>
            <w:pPr>
              <w:pStyle w:val="Normal6a"/>
            </w:pPr>
            <w:r>
              <w:t>24.</w:t>
            </w:r>
            <w:r>
              <w:tab/>
            </w:r>
            <w:r>
              <w:t xml:space="preserve">призовава ФСП да </w:t>
            </w:r>
            <w:r>
              <w:rPr>
                <w:b/>
                <w:i/>
              </w:rPr>
              <w:t>подкрепя опазването и честването на културното и промишленото наследство</w:t>
            </w:r>
            <w:r>
              <w:t xml:space="preserve"> на засегнатите общности</w:t>
            </w:r>
            <w:r>
              <w:rPr>
                <w:b/>
                <w:i/>
              </w:rPr>
              <w:t>, като го признае за жизненоважен компонент на регионалната идентичност, социалното сближаване и устойчивото развитие на туризма;</w:t>
            </w:r>
            <w:r>
              <w:t xml:space="preserve"> </w:t>
            </w:r>
            <w:r>
              <w:rPr>
                <w:b/>
                <w:i/>
              </w:rPr>
              <w:t>насърчава създаването на специални програми за</w:t>
            </w:r>
            <w:r>
              <w:t xml:space="preserve"> обучение за екскурзоводи за културното наследство </w:t>
            </w:r>
            <w:r>
              <w:rPr>
                <w:b/>
                <w:i/>
              </w:rPr>
              <w:t>с цел стимулиране на местната заетост и културната приемственост</w:t>
            </w:r>
            <w:r>
              <w:t xml:space="preserve">; подкрепя създаването на центрове за посетители </w:t>
            </w:r>
            <w:r>
              <w:rPr>
                <w:b/>
                <w:i/>
              </w:rPr>
              <w:t>и тълкувателни пространства</w:t>
            </w:r>
            <w:r>
              <w:t xml:space="preserve">, които </w:t>
            </w:r>
            <w:r>
              <w:rPr>
                <w:b/>
                <w:i/>
              </w:rPr>
              <w:t>показват</w:t>
            </w:r>
            <w:r>
              <w:t xml:space="preserve"> местната история</w:t>
            </w:r>
            <w:r>
              <w:rPr>
                <w:b/>
                <w:i/>
              </w:rPr>
              <w:t>, традиции и трансформацията на тези региони, като по този начин се укрепи местната идентичност и се привлече културен и образователен туризъм</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Кирън Мълули, Любица Карвашова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призовава ФСП да цени високо наследството на засегнатите общности </w:t>
            </w:r>
            <w:r>
              <w:rPr>
                <w:b/>
                <w:i/>
              </w:rPr>
              <w:t>и да организира</w:t>
            </w:r>
            <w:r>
              <w:t xml:space="preserve"> обучение за екскурзоводи за културното наследство</w:t>
            </w:r>
            <w:r>
              <w:rPr>
                <w:b/>
                <w:i/>
              </w:rPr>
              <w:t>;</w:t>
            </w:r>
            <w:r>
              <w:t xml:space="preserve"> </w:t>
            </w:r>
            <w:r>
              <w:rPr>
                <w:b/>
                <w:i/>
              </w:rPr>
              <w:t>подкрепя</w:t>
            </w:r>
            <w:r>
              <w:t xml:space="preserve"> създаването на центрове за посетители, които подчертават местната история;</w:t>
            </w:r>
          </w:p>
        </w:tc>
        <w:tc>
          <w:tcPr>
            <w:tcW w:w="4876" w:type="dxa"/>
            <w:tcBorders>
              <w:top w:val="nil"/>
              <w:left w:val="nil"/>
              <w:bottom w:val="nil"/>
              <w:right w:val="nil"/>
            </w:tcBorders>
          </w:tcPr>
          <w:p>
            <w:pPr>
              <w:pStyle w:val="Normal6a"/>
            </w:pPr>
            <w:r>
              <w:t>24.</w:t>
            </w:r>
            <w:r>
              <w:tab/>
            </w:r>
            <w:r>
              <w:t xml:space="preserve">призовава ФСП да цени високо наследството на засегнатите общности </w:t>
            </w:r>
            <w:r>
              <w:rPr>
                <w:b/>
                <w:i/>
              </w:rPr>
              <w:t>чрез подкрепа за устойчивото развитие на туризма, включително</w:t>
            </w:r>
            <w:r>
              <w:t xml:space="preserve"> обучение за екскурзоводи за културното наследство </w:t>
            </w:r>
            <w:r>
              <w:rPr>
                <w:b/>
                <w:i/>
              </w:rPr>
              <w:t>и подкрепа за</w:t>
            </w:r>
            <w:r>
              <w:t xml:space="preserve"> създаването на центрове за посетители, които подчертават местната история</w:t>
            </w:r>
            <w:r>
              <w:rPr>
                <w:b/>
                <w:i/>
              </w:rPr>
              <w:t>, като по този начин се създава местна заетост и се запазва културната идентичност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Роди Толаси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призовава ФСП да цени високо наследството на засегнатите общности и да организира обучение за екскурзоводи за културното наследство; подкрепя създаването на центрове за посетители, които подчертават местната история;</w:t>
            </w:r>
          </w:p>
        </w:tc>
        <w:tc>
          <w:tcPr>
            <w:tcW w:w="4876" w:type="dxa"/>
            <w:tcBorders>
              <w:top w:val="nil"/>
              <w:left w:val="nil"/>
              <w:bottom w:val="nil"/>
              <w:right w:val="nil"/>
            </w:tcBorders>
          </w:tcPr>
          <w:p>
            <w:pPr>
              <w:pStyle w:val="Normal6a"/>
            </w:pPr>
            <w:r>
              <w:t>24.</w:t>
            </w:r>
            <w:r>
              <w:tab/>
            </w:r>
            <w:r>
              <w:t>призовава ФСП да цени високо наследството на засегнатите общности</w:t>
            </w:r>
            <w:r>
              <w:rPr>
                <w:b/>
                <w:i/>
              </w:rPr>
              <w:t>, включително чрез възстановяването на промишлени обекти (бивши захарни насаждения в НОР),</w:t>
            </w:r>
            <w:r>
              <w:t xml:space="preserve"> и да организира обучение за екскурзоводи за културното наследство; подкрепя създаването на </w:t>
            </w:r>
            <w:r>
              <w:rPr>
                <w:b/>
                <w:i/>
              </w:rPr>
              <w:t>модерни и цифрови</w:t>
            </w:r>
            <w:r>
              <w:t xml:space="preserve"> центрове за посетители, които подчертават местната история;</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призовава ФСП да цени високо наследството на засегнатите общности и да организира обучение за екскурзоводи за културното наследство; подкрепя създаването на центрове за посетители, които подчертават местната история;</w:t>
            </w:r>
          </w:p>
        </w:tc>
        <w:tc>
          <w:tcPr>
            <w:tcW w:w="4876" w:type="dxa"/>
            <w:tcBorders>
              <w:top w:val="nil"/>
              <w:left w:val="nil"/>
              <w:bottom w:val="nil"/>
              <w:right w:val="nil"/>
            </w:tcBorders>
          </w:tcPr>
          <w:p>
            <w:pPr>
              <w:pStyle w:val="Normal6a"/>
            </w:pPr>
            <w:r>
              <w:t>24.</w:t>
            </w:r>
            <w:r>
              <w:tab/>
            </w:r>
            <w:r>
              <w:t xml:space="preserve">призовава ФСП да цени високо наследството на засегнатите общности и да организира обучение за екскурзоводи за културното наследство; подкрепя създаването на центрове за посетители, които подчертават местната история </w:t>
            </w:r>
            <w:r>
              <w:rPr>
                <w:b/>
                <w:i/>
              </w:rPr>
              <w:t>и традиции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Нора Мебарек, Сержио Гонсалвеш, Роса Мария Серано Сиера, Адриан-Драгош Беня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призовава ФСП да </w:t>
            </w:r>
            <w:r>
              <w:rPr>
                <w:b/>
                <w:i/>
              </w:rPr>
              <w:t>цени високо</w:t>
            </w:r>
            <w:r>
              <w:t xml:space="preserve"> наследството на засегнатите общности и да организира обучение за екскурзоводи за културното наследство; подкрепя създаването на центрове за посетители, които подчертават местната история;</w:t>
            </w:r>
          </w:p>
        </w:tc>
        <w:tc>
          <w:tcPr>
            <w:tcW w:w="4876" w:type="dxa"/>
            <w:tcBorders>
              <w:top w:val="nil"/>
              <w:left w:val="nil"/>
              <w:bottom w:val="nil"/>
              <w:right w:val="nil"/>
            </w:tcBorders>
          </w:tcPr>
          <w:p>
            <w:pPr>
              <w:pStyle w:val="Normal6a"/>
            </w:pPr>
            <w:r>
              <w:t>24.</w:t>
            </w:r>
            <w:r>
              <w:tab/>
            </w:r>
            <w:r>
              <w:t xml:space="preserve">призовава ФСП да </w:t>
            </w:r>
            <w:r>
              <w:rPr>
                <w:b/>
                <w:i/>
              </w:rPr>
              <w:t>подчертава</w:t>
            </w:r>
            <w:r>
              <w:t xml:space="preserve"> наследството на засегнатите общности и да организира обучение за екскурзоводи за културното наследство; подкрепя създаването на центрове за посетители, които подчертават местната история;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Изабел Льо Каленек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счита, че промените в геополитическия пейзаж, наред с други фактори, причиняват огромни промени във функционирането на икономиката на ЕС;</w:t>
            </w:r>
            <w:r>
              <w:t xml:space="preserve"> </w:t>
            </w:r>
            <w:r>
              <w:rPr>
                <w:b/>
                <w:i/>
              </w:rPr>
              <w:t>поради това настоятелно призовава Комисията да преразгледа сроковете за затваряне на ключови участници в областта на енергетиката в ЕС;</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Кирън Мълули, Любица Карвашова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счита, че промените в геополитическия пейзаж, наред с други фактори, причиняват огромни промени във функционирането на икономиката на ЕС; поради това настоятелно призовава Комисията да преразгледа сроковете за затваряне на ключови участници в областта на енергетиката в ЕС;</w:t>
            </w:r>
          </w:p>
        </w:tc>
        <w:tc>
          <w:tcPr>
            <w:tcW w:w="4876" w:type="dxa"/>
            <w:tcBorders>
              <w:top w:val="nil"/>
              <w:left w:val="nil"/>
              <w:bottom w:val="nil"/>
              <w:right w:val="nil"/>
            </w:tcBorders>
          </w:tcPr>
          <w:p>
            <w:pPr>
              <w:pStyle w:val="Normal6a"/>
            </w:pPr>
            <w:r>
              <w:t>25.</w:t>
            </w:r>
            <w:r>
              <w:tab/>
            </w:r>
            <w:r>
              <w:t xml:space="preserve">счита, че промените в геополитическия пейзаж, наред с други фактори, причиняват огромни промени във функционирането на икономиката на ЕС; поради това настоятелно призовава Комисията да преразгледа сроковете за затваряне на ключови участници в областта на енергетиката в ЕС </w:t>
            </w:r>
            <w:r>
              <w:rPr>
                <w:b/>
                <w:i/>
              </w:rPr>
              <w:t>и да обвърже затварянето с доказуемо предоставяне на алтернативна заетост, като гарантира „справедливост преди прехода“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Елена Невадо Дел Кампо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счита, че промените в геополитическия пейзаж, наред с други фактори, причиняват огромни промени във функционирането на икономиката на ЕС; поради това настоятелно призовава Комисията </w:t>
            </w:r>
            <w:r>
              <w:rPr>
                <w:b/>
                <w:i/>
              </w:rPr>
              <w:t>да преразгледа</w:t>
            </w:r>
            <w:r>
              <w:t xml:space="preserve"> сроковете за затваряне на ключови участници в областта на енергетиката в ЕС;</w:t>
            </w:r>
          </w:p>
        </w:tc>
        <w:tc>
          <w:tcPr>
            <w:tcW w:w="4876" w:type="dxa"/>
            <w:tcBorders>
              <w:top w:val="nil"/>
              <w:left w:val="nil"/>
              <w:bottom w:val="nil"/>
              <w:right w:val="nil"/>
            </w:tcBorders>
          </w:tcPr>
          <w:p>
            <w:pPr>
              <w:pStyle w:val="Normal6a"/>
            </w:pPr>
            <w:r>
              <w:t>25.</w:t>
            </w:r>
            <w:r>
              <w:tab/>
            </w:r>
            <w:r>
              <w:t xml:space="preserve">счита, че промените в геополитическия пейзаж, наред с други фактори, причиняват огромни промени във функционирането на икономиката на ЕС; поради това настоятелно призовава Комисията </w:t>
            </w:r>
            <w:r>
              <w:rPr>
                <w:b/>
                <w:i/>
              </w:rPr>
              <w:t>и държавите членки да преразгледат</w:t>
            </w:r>
            <w:r>
              <w:t xml:space="preserve"> сроковете за затваряне на ключови участници в областта на енергетиката в ЕС</w:t>
            </w:r>
            <w:r>
              <w:rPr>
                <w:b/>
                <w:i/>
              </w:rPr>
              <w:t>, и по-специално да спрат оперативното затваряне на атомни електроцентрали</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счита, че промените в геополитическия пейзаж, наред с други фактори, причиняват огромни промени във функционирането на икономиката на ЕС; поради това настоятелно призовава Комисията да преразгледа сроковете за затваряне на ключови участници в областта на енергетиката в ЕС;</w:t>
            </w:r>
          </w:p>
        </w:tc>
        <w:tc>
          <w:tcPr>
            <w:tcW w:w="4876" w:type="dxa"/>
            <w:tcBorders>
              <w:top w:val="nil"/>
              <w:left w:val="nil"/>
              <w:bottom w:val="nil"/>
              <w:right w:val="nil"/>
            </w:tcBorders>
          </w:tcPr>
          <w:p>
            <w:pPr>
              <w:pStyle w:val="Normal6a"/>
            </w:pPr>
            <w:r>
              <w:t>25.</w:t>
            </w:r>
            <w:r>
              <w:tab/>
            </w:r>
            <w:r>
              <w:t>счита, че промените в геополитическия пейзаж, наред с други фактори, причиняват огромни промени във функционирането на икономиката на ЕС; поради това настоятелно призовава Комисията да преразгледа сроковете за затваряне на ключови участници в областта на енергетиката в ЕС</w:t>
            </w:r>
            <w:r>
              <w:rPr>
                <w:b/>
                <w:i/>
              </w:rPr>
              <w:t>, както и да направи общ преглед на планираните дейности в рамките на екологичния преход</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Пауло До Нашименто Кабрал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счита, че промените в геополитическия пейзаж, наред с други фактори, причиняват огромни промени във функционирането на икономиката на ЕС; поради това настоятелно призовава Комисията да преразгледа сроковете за затваряне на ключови участници в областта на енергетиката в ЕС;</w:t>
            </w:r>
          </w:p>
        </w:tc>
        <w:tc>
          <w:tcPr>
            <w:tcW w:w="4876" w:type="dxa"/>
            <w:tcBorders>
              <w:top w:val="nil"/>
              <w:left w:val="nil"/>
              <w:bottom w:val="nil"/>
              <w:right w:val="nil"/>
            </w:tcBorders>
          </w:tcPr>
          <w:p>
            <w:pPr>
              <w:pStyle w:val="Normal6a"/>
            </w:pPr>
            <w:r>
              <w:t>25.</w:t>
            </w:r>
            <w:r>
              <w:tab/>
            </w:r>
            <w:r>
              <w:t xml:space="preserve">счита, че промените в геополитическия пейзаж, наред с други фактори, причиняват огромни промени във функционирането на икономиката на ЕС; поради това настоятелно призовава Комисията да преразгледа </w:t>
            </w:r>
            <w:r>
              <w:rPr>
                <w:b/>
                <w:i/>
              </w:rPr>
              <w:t>позицията си относно</w:t>
            </w:r>
            <w:r>
              <w:t xml:space="preserve"> сроковете за затваряне на ключови участници в областта на енергетиката в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счита, че промените в геополитическия пейзаж, наред с други фактори, причиняват огромни промени във функционирането на икономиката на ЕС; поради това настоятелно призовава Комисията да </w:t>
            </w:r>
            <w:r>
              <w:rPr>
                <w:b/>
                <w:i/>
              </w:rPr>
              <w:t>преразгледа сроковете за затваряне на ключови участници в областта на енергетиката в ЕС</w:t>
            </w:r>
            <w:r>
              <w:t>;</w:t>
            </w:r>
          </w:p>
        </w:tc>
        <w:tc>
          <w:tcPr>
            <w:tcW w:w="4876" w:type="dxa"/>
            <w:tcBorders>
              <w:top w:val="nil"/>
              <w:left w:val="nil"/>
              <w:bottom w:val="nil"/>
              <w:right w:val="nil"/>
            </w:tcBorders>
          </w:tcPr>
          <w:p>
            <w:pPr>
              <w:pStyle w:val="Normal6a"/>
            </w:pPr>
            <w:r>
              <w:t>25.</w:t>
            </w:r>
            <w:r>
              <w:tab/>
            </w:r>
            <w:r>
              <w:t xml:space="preserve">счита, че промените в геополитическия пейзаж, наред с други фактори, причиняват огромни промени във функционирането на икономиката на ЕС; поради това настоятелно призовава Комисията да </w:t>
            </w:r>
            <w:r>
              <w:rPr>
                <w:b/>
                <w:i/>
              </w:rPr>
              <w:t>увеличи инвестициите в екологосъобразна, устойчива и възобновяема енергия</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Елена Невадо Дел Кампо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25а.</w:t>
            </w:r>
            <w:r>
              <w:tab/>
            </w:r>
            <w:r>
              <w:rPr>
                <w:b/>
                <w:i/>
              </w:rPr>
              <w:t>припомня, че Комисията включва ядрената енергия сред технологиите за нулеви нетни емисии и че поради това тази форма на енергия ще се счита за част от категорията „екологична енергия“;</w:t>
            </w:r>
            <w:r>
              <w:t xml:space="preserve"> </w:t>
            </w:r>
            <w:r>
              <w:rPr>
                <w:b/>
                <w:i/>
              </w:rPr>
              <w:t>счита, че подкрепата за създаването и оперативната поддръжка на ядрените електроцентрали допринася за целите за неутралност по отношение на климата и стратегическа автономност, като намалява зависимостта от изкопаеми горива и външни източници;</w:t>
            </w:r>
            <w:r>
              <w:t xml:space="preserve"> </w:t>
            </w:r>
            <w:r>
              <w:rPr>
                <w:b/>
                <w:i/>
              </w:rPr>
              <w:t>счита, че инвестициите в ядрена енергия биха спомогнали за спиране на загубата на работни места, намаляване на енергийната бедност и насърчаване на икономическия растеж в областите, засегнати от този преход;</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Елена Невадо Дел Кампо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25б.</w:t>
            </w:r>
            <w:r>
              <w:tab/>
            </w:r>
            <w:r>
              <w:rPr>
                <w:b/>
                <w:i/>
              </w:rPr>
              <w:t>призовава за преразглеждане на член 9 от Регламент (ЕС) 2021/1056, за да се улесни използването на наличното финансиране по линия на фонда за развитието и експлоатацията на атомни електроцентрали в регионите в преход;</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Изабел Льо Каленек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26.</w:t>
            </w:r>
            <w:r>
              <w:tab/>
            </w:r>
            <w:r>
              <w:rPr>
                <w:b/>
                <w:i/>
              </w:rPr>
              <w:t>призовава Комисията да насърчава държавите членки да прилагат разпоредбите на Директива (ЕС) 2019/994 относно гражданските енергийни общности;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Валентина Палмизано, 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призовава Комисията да насърчава държавите членки да прилагат разпоредбите на Директива (ЕС) 2019/994 относно гражданските енергийни общности;</w:t>
            </w:r>
          </w:p>
        </w:tc>
        <w:tc>
          <w:tcPr>
            <w:tcW w:w="4876" w:type="dxa"/>
            <w:tcBorders>
              <w:top w:val="nil"/>
              <w:left w:val="nil"/>
              <w:bottom w:val="nil"/>
              <w:right w:val="nil"/>
            </w:tcBorders>
          </w:tcPr>
          <w:p>
            <w:pPr>
              <w:pStyle w:val="Normal6a"/>
            </w:pPr>
            <w:r>
              <w:t>26.</w:t>
            </w:r>
            <w:r>
              <w:tab/>
            </w:r>
            <w:r>
              <w:t>призовава Комисията да насърчава държавите членки да прилагат разпоредбите на Директива (ЕС) 2019/994 относно гражданските енергийни общности</w:t>
            </w:r>
            <w:r>
              <w:rPr>
                <w:b/>
                <w:i/>
              </w:rPr>
              <w:t>, като предвидят конкретни мерки за защита на уязвимите домакинства от енергийна бедност в регионите по ФСП чрез насърчаване на евтини общностни енергийни модели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26а.</w:t>
            </w:r>
            <w:r>
              <w:tab/>
            </w:r>
            <w:r>
              <w:rPr>
                <w:b/>
                <w:i/>
              </w:rPr>
              <w:t>призовава Комисията да представи предложение за директива за справедлив преход в сферата на труда, която да гарантира навременно и ефективно информиране и консултиране на работниците и профсъюзите относно плановете и стратегиите на дружествата, които оказват въздействие върху работните места в контекста на справедлив преход и с цел запазване на работните места и условията на труд, избягване на съкращенията и укрепване на демокрацията на работното място по отношение на мерките, свързани с изменението на климата, цифровата трансформация и преструктурирането, както и предвиждането и управлението на промените;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26а.</w:t>
            </w:r>
            <w:r>
              <w:tab/>
            </w:r>
            <w:r>
              <w:rPr>
                <w:b/>
                <w:i/>
              </w:rPr>
              <w:t>призовава за еднакво и съгласувано прилагане на принципите за справедлив преход във всички фондове на ЕС в рамките на многогодишната финансова рамка (МФР) за периода след 2027 г.;</w:t>
            </w:r>
            <w:r>
              <w:t xml:space="preserve"> </w:t>
            </w:r>
            <w:r>
              <w:rPr>
                <w:b/>
                <w:i/>
              </w:rPr>
              <w:t>подчертава значението на интегрирането на ясни социални и екологични условия, за да се гарантира, че всички финансирани от ЕС действия допринасят пълноценно за справедлив, приобщаващ и устойчив преход, като същевременно се укрепва териториалното сближаване и се защитават уязвимите региони и общности от изоставане;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26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26б.</w:t>
            </w:r>
            <w:r>
              <w:tab/>
            </w:r>
            <w:r>
              <w:rPr>
                <w:b/>
                <w:i/>
              </w:rPr>
              <w:t>подчертава значението на държавите членки за насърчаване на секторния социален диалог и колективното договаряне, особено в нововъзникващите екологични индустрии, както и за гарантиране на включването на малките и средните предприятия, в т.ч. предприятията на социалната икономика;</w:t>
            </w:r>
            <w:r>
              <w:t xml:space="preserve"> </w:t>
            </w:r>
            <w:r>
              <w:rPr>
                <w:b/>
                <w:i/>
              </w:rPr>
              <w:t>подчертава, че Директивата относно минималните работни заплати представлява чудесна възможност за подобряване на колективното договаряне във връзка с определянето на размера на възнагражденията и присъствието на социалните партньори в нововъзникващите сектори;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26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26в.</w:t>
            </w:r>
            <w:r>
              <w:tab/>
            </w:r>
            <w:r>
              <w:rPr>
                <w:b/>
                <w:i/>
              </w:rPr>
              <w:t>отново призовава проектите и получателите на финансиране от ЕС, включително и на държавни помощи, да гарантират съгласуваност с целите на публичната политика, и по-специално социалните и екологичните изисквания, и да изпълняват всички правни задължения;</w:t>
            </w:r>
            <w:r>
              <w:t xml:space="preserve"> </w:t>
            </w:r>
            <w:r>
              <w:rPr>
                <w:b/>
                <w:i/>
              </w:rPr>
              <w:t>призовава държавите членки да гарантират, че осигуряваната за предприятията публична финансова подкрепа се обвързва с условието финансирането да се използва за служителите, а дружествата получатели да се въздържат от изплащане на бонуси на ръководството или дивиденти или да предлагат схеми за обратно изкупуване на акции, докато получават тези средства;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26 г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26г.</w:t>
            </w:r>
            <w:r>
              <w:tab/>
            </w:r>
            <w:r>
              <w:rPr>
                <w:b/>
                <w:i/>
              </w:rPr>
              <w:t>подчертава, че публичните органи следва да служат за пример и да определят строги социални критерии при възлагането на обществени поръчки;</w:t>
            </w:r>
            <w:r>
              <w:t xml:space="preserve"> </w:t>
            </w:r>
            <w:r>
              <w:rPr>
                <w:b/>
                <w:i/>
              </w:rPr>
              <w:t>призовава Комисията да обмисли преразглеждане на Директивата за обществените поръчки, за да подобри допълнително социалната клауза и да гарантира, че облагодетелстваните дружества и подизпълнителите подкрепят колективното договаряне и зачитат правата на работниците, качествените работни места, качественото чиракуване, достойното и равно заплащане и обучението;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Изабел Льо Каленек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27.</w:t>
            </w:r>
            <w:r>
              <w:tab/>
            </w:r>
            <w:r>
              <w:rPr>
                <w:b/>
                <w:i/>
              </w:rPr>
              <w:t>призовава Комисията да предложи нов фонд, ФСП II, за програмния период след 2027 г., като гарантира, че той функционира съгласно принципите на споделено управление и партньорство;</w:t>
            </w:r>
            <w:r>
              <w:t xml:space="preserve"> </w:t>
            </w:r>
            <w:r>
              <w:rPr>
                <w:b/>
                <w:i/>
              </w:rPr>
              <w:t>подчертава, че този фонд следва да разполага с по‑големи финансови ресурси от настоящия ФСП;</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призовава Комисията да предложи нов фонд, ФСП II, за програмния период след 2027 г., </w:t>
            </w:r>
            <w:r>
              <w:rPr>
                <w:b/>
                <w:i/>
              </w:rPr>
              <w:t>като</w:t>
            </w:r>
            <w:r>
              <w:t xml:space="preserve"> гарантира, че той функционира съгласно принципите на споделено управление и партньорство; подчертава, че този фонд следва да разполага </w:t>
            </w:r>
            <w:r>
              <w:rPr>
                <w:b/>
                <w:i/>
              </w:rPr>
              <w:t>с по‑големи</w:t>
            </w:r>
            <w:r>
              <w:t xml:space="preserve"> финансови ресурси от настоящия ФСП;</w:t>
            </w:r>
          </w:p>
        </w:tc>
        <w:tc>
          <w:tcPr>
            <w:tcW w:w="4876" w:type="dxa"/>
            <w:tcBorders>
              <w:top w:val="nil"/>
              <w:left w:val="nil"/>
              <w:bottom w:val="nil"/>
              <w:right w:val="nil"/>
            </w:tcBorders>
          </w:tcPr>
          <w:p>
            <w:pPr>
              <w:pStyle w:val="Normal6a"/>
            </w:pPr>
            <w:r>
              <w:t>27.</w:t>
            </w:r>
            <w:r>
              <w:tab/>
            </w:r>
            <w:r>
              <w:t xml:space="preserve">призовава Комисията да предложи нов фонд, ФСП II, за програмния период след 2027 г., </w:t>
            </w:r>
            <w:r>
              <w:rPr>
                <w:b/>
                <w:i/>
              </w:rPr>
              <w:t>който да дава възможност на регионите и хората да се справят с въздействието върху заетостта и социалното, демографското, икономическото и екологичното въздействие на прехода към целите на Съюза за 2030 г. в областта на енергетиката и неутралната по отношение на климата икономика на Съюза до 2050 г., и да</w:t>
            </w:r>
            <w:r>
              <w:t xml:space="preserve"> гарантира, че той функционира съгласно принципите на споделено управление и </w:t>
            </w:r>
            <w:r>
              <w:rPr>
                <w:b/>
                <w:i/>
              </w:rPr>
              <w:t>зависи от задоволителното участие в принципите на</w:t>
            </w:r>
            <w:r>
              <w:t xml:space="preserve"> партньорство; подчертава, че този фонд следва да разполага </w:t>
            </w:r>
            <w:r>
              <w:rPr>
                <w:b/>
                <w:i/>
              </w:rPr>
              <w:t>със значително по-големи</w:t>
            </w:r>
            <w:r>
              <w:t xml:space="preserve"> финансови ресурси от настоящия ФСП;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призовава Комисията да предложи нов фонд, ФСП II, за програмния период след 2027 г., като гарантира, че той функционира съгласно принципите на споделено управление и партньорство; подчертава, че този фонд следва да разполага с </w:t>
            </w:r>
            <w:r>
              <w:rPr>
                <w:b/>
                <w:i/>
              </w:rPr>
              <w:t>по‑големи</w:t>
            </w:r>
            <w:r>
              <w:t xml:space="preserve"> финансови ресурси от настоящия ФСП;</w:t>
            </w:r>
          </w:p>
        </w:tc>
        <w:tc>
          <w:tcPr>
            <w:tcW w:w="4876" w:type="dxa"/>
            <w:tcBorders>
              <w:top w:val="nil"/>
              <w:left w:val="nil"/>
              <w:bottom w:val="nil"/>
              <w:right w:val="nil"/>
            </w:tcBorders>
          </w:tcPr>
          <w:p>
            <w:pPr>
              <w:pStyle w:val="Normal6a"/>
            </w:pPr>
            <w:r>
              <w:t>27.</w:t>
            </w:r>
            <w:r>
              <w:tab/>
            </w:r>
            <w:r>
              <w:t xml:space="preserve">призовава Комисията да предложи нов фонд, ФСП II, за програмния период след 2027 г., като гарантира, че той функционира съгласно принципите на споделено управление и партньорство; подчертава, че този фонд следва да разполага с </w:t>
            </w:r>
            <w:r>
              <w:rPr>
                <w:b/>
                <w:i/>
              </w:rPr>
              <w:t>по-големи</w:t>
            </w:r>
            <w:r>
              <w:t xml:space="preserve"> финансови ресурси от настоящия ФСП; </w:t>
            </w:r>
            <w:r>
              <w:rPr>
                <w:b/>
                <w:i/>
              </w:rPr>
              <w:t>предлага да се обмислят и други допълнителни механизми и бързо действащи програми за в бъдеще — за подкрепа и допълване на ФСП;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Нора Мебарек, Сержио Гонсалвеш, Роса Мария Серано Сиера, Адриан-Драгош Беня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призовава Комисията да предложи нов фонд, ФСП II, за програмния период след 2027 г., като гарантира, че той функционира съгласно принципите на споделено управление и партньорство; подчертава, че този фонд следва да разполага с по‑големи финансови ресурси от настоящия ФСП;</w:t>
            </w:r>
          </w:p>
        </w:tc>
        <w:tc>
          <w:tcPr>
            <w:tcW w:w="4876" w:type="dxa"/>
            <w:tcBorders>
              <w:top w:val="nil"/>
              <w:left w:val="nil"/>
              <w:bottom w:val="nil"/>
              <w:right w:val="nil"/>
            </w:tcBorders>
          </w:tcPr>
          <w:p>
            <w:pPr>
              <w:pStyle w:val="Normal6a"/>
            </w:pPr>
            <w:r>
              <w:t>27.</w:t>
            </w:r>
            <w:r>
              <w:tab/>
            </w:r>
            <w:r>
              <w:t>призовава Комисията да предложи нов фонд, ФСП II, за програмния период след 2027 г., като гарантира, че той функционира съгласно принципите на споделено управление и партньорство; подчертава, че този фонд следва да разполага с по‑големи финансови ресурси от настоящия ФСП</w:t>
            </w:r>
            <w:r>
              <w:rPr>
                <w:b/>
                <w:i/>
              </w:rPr>
              <w:t>, за да се гарантира капацитет за намеса, съизмерим с мащаба на социално-икономическите предизвикателства, свързани с климатичния преход</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Кирън Мълули, Любица Карвашова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призовава Комисията да предложи нов фонд, ФСП II, за програмния период след 2027 г., като гарантира, че той функционира съгласно принципите на споделено управление и партньорство; подчертава, че този фонд следва да разполага с </w:t>
            </w:r>
            <w:r>
              <w:rPr>
                <w:b/>
                <w:i/>
              </w:rPr>
              <w:t>по‑големи</w:t>
            </w:r>
            <w:r>
              <w:t xml:space="preserve"> финансови ресурси от настоящия ФСП;</w:t>
            </w:r>
          </w:p>
        </w:tc>
        <w:tc>
          <w:tcPr>
            <w:tcW w:w="4876" w:type="dxa"/>
            <w:tcBorders>
              <w:top w:val="nil"/>
              <w:left w:val="nil"/>
              <w:bottom w:val="nil"/>
              <w:right w:val="nil"/>
            </w:tcBorders>
          </w:tcPr>
          <w:p>
            <w:pPr>
              <w:pStyle w:val="Normal6a"/>
            </w:pPr>
            <w:r>
              <w:t>27.</w:t>
            </w:r>
            <w:r>
              <w:tab/>
            </w:r>
            <w:r>
              <w:t>призовава Комисията да предложи нов фонд, ФСП II, за програмния период след 2027 г., като гарантира, че той функционира съгласно принципите на споделено управление и партньорство</w:t>
            </w:r>
            <w:r>
              <w:rPr>
                <w:b/>
                <w:i/>
              </w:rPr>
              <w:t>, като предоставя пряка подкрепа за домакинствата и общностите за преход и гарантира, че този преход е наистина справедлив</w:t>
            </w:r>
            <w:r>
              <w:t xml:space="preserve">; подчертава, че този фонд следва да разполага с </w:t>
            </w:r>
            <w:r>
              <w:rPr>
                <w:b/>
                <w:i/>
              </w:rPr>
              <w:t>по-големи</w:t>
            </w:r>
            <w:r>
              <w:t xml:space="preserve"> финансови ресурси от настоящия ФСП;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Пауло До Нашименто Кабрал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призовава Комисията да предложи нов фонд, ФСП II, за програмния период след 2027 г., като гарантира, че той функционира съгласно принципите на споделено управление и партньорство; подчертава, че този фонд следва да разполага </w:t>
            </w:r>
            <w:r>
              <w:rPr>
                <w:b/>
                <w:i/>
              </w:rPr>
              <w:t>с по‑големи финансови ресурси от настоящия ФСП;</w:t>
            </w:r>
          </w:p>
        </w:tc>
        <w:tc>
          <w:tcPr>
            <w:tcW w:w="4876" w:type="dxa"/>
            <w:tcBorders>
              <w:top w:val="nil"/>
              <w:left w:val="nil"/>
              <w:bottom w:val="nil"/>
              <w:right w:val="nil"/>
            </w:tcBorders>
          </w:tcPr>
          <w:p>
            <w:pPr>
              <w:pStyle w:val="Normal6a"/>
            </w:pPr>
            <w:r>
              <w:t>27.</w:t>
            </w:r>
            <w:r>
              <w:tab/>
            </w:r>
            <w:r>
              <w:t xml:space="preserve">призовава Комисията да предложи нов фонд, ФСП II, за програмния период след 2027 г., като гарантира, че той функционира съгласно принципите на споделено управление и партньорство; подчертава, че този фонд следва да разполага </w:t>
            </w:r>
            <w:r>
              <w:rPr>
                <w:b/>
                <w:i/>
              </w:rPr>
              <w:t>със собствени предвидими бюджетни средства, като неговата автономност бъде гарантирана от извънредни инструменти за реакция при кризи, например Next Generation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Елена Невадо Дел Кампо, Сусана Солис Перес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призовава Комисията да </w:t>
            </w:r>
            <w:r>
              <w:rPr>
                <w:b/>
                <w:i/>
              </w:rPr>
              <w:t>предложи нов фонд, ФСП II,</w:t>
            </w:r>
            <w:r>
              <w:t xml:space="preserve"> за програмния период след 2027 г., като гарантира, че той функционира съгласно принципите на споделено управление и партньорство; подчертава, че този фонд следва да разполага с </w:t>
            </w:r>
            <w:r>
              <w:rPr>
                <w:b/>
                <w:i/>
              </w:rPr>
              <w:t>по‑големи</w:t>
            </w:r>
            <w:r>
              <w:t xml:space="preserve"> финансови ресурси от настоящия ФСП;</w:t>
            </w:r>
          </w:p>
        </w:tc>
        <w:tc>
          <w:tcPr>
            <w:tcW w:w="4876" w:type="dxa"/>
            <w:tcBorders>
              <w:top w:val="nil"/>
              <w:left w:val="nil"/>
              <w:bottom w:val="nil"/>
              <w:right w:val="nil"/>
            </w:tcBorders>
          </w:tcPr>
          <w:p>
            <w:pPr>
              <w:pStyle w:val="Normal6a"/>
            </w:pPr>
            <w:r>
              <w:t>27.</w:t>
            </w:r>
            <w:r>
              <w:tab/>
            </w:r>
            <w:r>
              <w:t xml:space="preserve">призовава Комисията да </w:t>
            </w:r>
            <w:r>
              <w:rPr>
                <w:b/>
                <w:i/>
              </w:rPr>
              <w:t>запази справедливия преход като процес в рамките на политиката на сближаване</w:t>
            </w:r>
            <w:r>
              <w:t xml:space="preserve"> за програмния период след 2027 г., като гарантира, че той функционира съгласно принципите на споделено управление и партньорство; подчертава, че този фонд следва да разполага с </w:t>
            </w:r>
            <w:r>
              <w:rPr>
                <w:b/>
                <w:i/>
              </w:rPr>
              <w:t>по-големи</w:t>
            </w:r>
            <w:r>
              <w:t xml:space="preserve"> финансови ресурси от настоящия ФСП;</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призовава Комисията да предложи нов фонд, ФСП II, за програмния период след 2027 г., като гарантира, че той функционира съгласно принципите на споделено управление и партньорство; подчертава, че този фонд следва да разполага с </w:t>
            </w:r>
            <w:r>
              <w:rPr>
                <w:b/>
                <w:i/>
              </w:rPr>
              <w:t>по‑големи</w:t>
            </w:r>
            <w:r>
              <w:t xml:space="preserve"> финансови ресурси от настоящия ФСП;</w:t>
            </w:r>
          </w:p>
        </w:tc>
        <w:tc>
          <w:tcPr>
            <w:tcW w:w="4876" w:type="dxa"/>
            <w:tcBorders>
              <w:top w:val="nil"/>
              <w:left w:val="nil"/>
              <w:bottom w:val="nil"/>
              <w:right w:val="nil"/>
            </w:tcBorders>
          </w:tcPr>
          <w:p>
            <w:pPr>
              <w:pStyle w:val="Normal6a"/>
            </w:pPr>
            <w:r>
              <w:t>27.</w:t>
            </w:r>
            <w:r>
              <w:tab/>
            </w:r>
            <w:r>
              <w:t xml:space="preserve">призовава Комисията да предложи нов фонд, ФСП II, за програмния период след 2027 г., като гарантира, че той функционира съгласно принципите на споделено управление и </w:t>
            </w:r>
            <w:r>
              <w:rPr>
                <w:b/>
                <w:i/>
              </w:rPr>
              <w:t>зависи от задоволителното участие в принципите на</w:t>
            </w:r>
            <w:r>
              <w:t xml:space="preserve"> партньорство; подчертава, че този фонд следва да разполага с </w:t>
            </w:r>
            <w:r>
              <w:rPr>
                <w:b/>
                <w:i/>
              </w:rPr>
              <w:t>по-големи</w:t>
            </w:r>
            <w:r>
              <w:t xml:space="preserve"> финансови ресурси от настоящия ФСП;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27а.</w:t>
            </w:r>
            <w:r>
              <w:tab/>
            </w:r>
            <w:r>
              <w:rPr>
                <w:b/>
                <w:i/>
              </w:rPr>
              <w:t>подчертава, че е важно да се запази стратегическата цел за отдаване на приоритет на подкрепата за регионите, които са най-силно засегнати от прехода към неутрална по отношение на климата икономика, по-специално въз основа на икономическите и социалните последици, произтичащи от постепенното премахване на отраслите с висок въглероден интензитет;</w:t>
            </w:r>
            <w:r>
              <w:t xml:space="preserve"> </w:t>
            </w:r>
            <w:r>
              <w:rPr>
                <w:b/>
                <w:i/>
              </w:rPr>
              <w:t>отново потвърждава, че основният акцент на ФСП трябва да остане върху териториите в процес на преход от въглища, лигнит, торф и битуминозни шисти, които продължават да са изправени пред несъразмерни структурни предизвикателства и социално-икономическа уязвимост;</w:t>
            </w:r>
            <w:r>
              <w:t xml:space="preserve"> </w:t>
            </w:r>
            <w:r>
              <w:rPr>
                <w:b/>
                <w:i/>
              </w:rPr>
              <w:t>призовава за по-справедливо разпределение на финансирането, което да отразява реалностите на място, като критериите за разпределение се адаптират към ниво NUTS 3, по-специално като се използва БВП на глава от населението, вместо да се разчита единствено на по-широки данни по NUTS 2, както се прави понастоящем в рамките на общата политика на сближаване;</w:t>
            </w:r>
            <w:r>
              <w:t xml:space="preserve"> </w:t>
            </w:r>
            <w:r>
              <w:rPr>
                <w:b/>
                <w:i/>
              </w:rPr>
              <w:t>подчертава, че много зависими от въглища подрегиони показват значително по-нисък БВП на глава от населението в сравнение с техните по-широки региони на ниво NUTS 2 и следователно заслужават по-голяма финансова подкрепа и по-ниски изисквания за национално съфинансиране по линия на ФСП;</w:t>
            </w:r>
            <w:r>
              <w:t xml:space="preserve"> </w:t>
            </w:r>
            <w:r>
              <w:rPr>
                <w:b/>
                <w:i/>
              </w:rPr>
              <w:t>подчертава, че такъв усъвършенстван и чувствителен от териториална гледна точка подход е от съществено значение, за да се гарантира справедлив и целенасочен преход в условия на равнопоставеност;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Дан-Щефан Мотряну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27а.</w:t>
            </w:r>
            <w:r>
              <w:tab/>
            </w:r>
            <w:r>
              <w:rPr>
                <w:b/>
                <w:i/>
              </w:rPr>
              <w:t>отново потвърждава, че политиката на сближаване трябва да остане твърдо залегнала в основополагащите принципи, установени в членове 174—176 от Договора за функционирането на Европейския съюз, с постоянен акцент върху насърчаването на балансирано и приобщаващо териториално развитие;</w:t>
            </w:r>
            <w:r>
              <w:t xml:space="preserve"> </w:t>
            </w:r>
            <w:r>
              <w:rPr>
                <w:b/>
                <w:i/>
              </w:rPr>
              <w:t>настоява в бъдещите усилия за сближаване да се обръща специално внимание на селските райони, деиндустриализираните региони и регионите със структурни недостатъци, в т.ч. островите, граничните райони и планинските територии;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Андре Руже, Роди Толаси, Клара Досталова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27а.</w:t>
            </w:r>
            <w:r>
              <w:tab/>
            </w:r>
            <w:r>
              <w:rPr>
                <w:b/>
                <w:i/>
              </w:rPr>
              <w:t>призовава бъдещият ФСП II да бъде разработен в тясно сътрудничество с държавите членки, за да се гарантира, че управлението на финансирането е по-малко централизирано и че фондът е по-добре адаптиран към местните обстоятелства, като същевременно се запазват принципите на споделено управление;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Пауло До Нашименто Кабрал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27а.</w:t>
            </w:r>
            <w:r>
              <w:tab/>
            </w:r>
            <w:r>
              <w:rPr>
                <w:b/>
                <w:i/>
              </w:rPr>
              <w:t>подчертава, че ФСП II следва да бъде съсредоточен върху съчетаването на устойчивото развитие с конкурентоспособността, като се гарантира, че регионите в преход могат да процъфтяват икономически, без да се излагат на риск техните екологични и социални цели.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27б.</w:t>
            </w:r>
            <w:r>
              <w:tab/>
            </w:r>
            <w:r>
              <w:rPr>
                <w:b/>
                <w:i/>
              </w:rPr>
              <w:t>подчертава, че устойчивият туризъм може да бъде мощен инструмент в борбата с икономическия спад и безработицата в засегнатите региони;</w:t>
            </w:r>
            <w:r>
              <w:t xml:space="preserve"> </w:t>
            </w:r>
            <w:r>
              <w:rPr>
                <w:b/>
                <w:i/>
              </w:rPr>
              <w:t>подчертава, че политиката на сближаване следва да подкрепя стратегиите за устойчив туризъм като част от справедливия преход, като насърчава устойчивостта, иновациите, екологичната трансформация и същевременно приобщаващия растеж, създаването на нови работни места и опазването на местното културно и природно наследство;</w:t>
            </w:r>
            <w:r>
              <w:t xml:space="preserve"> </w:t>
            </w:r>
            <w:r>
              <w:rPr>
                <w:b/>
                <w:i/>
              </w:rPr>
              <w:t>подчертава необходимостта от допълнителни инвестиции в интелигентни инструменти и техники, които могат да подобрят потребителския опит и да насърчат прехода към по-цифрова и устойчива туристическа екосистема, наред с другото, чрез подобряване на управлението на дестинации в полза на местните общества и икономики и туристите, допринасяне за пренасочването на туристическите потоци към по-слабо развитите региони и през различните сезони, както и по-добра подготовка и по-добро управление на кризи, например пандемии, екстремни метеорологични условия и други природни или причинени от човека бедствия;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Пауло До Нашименто Кабрал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27б.</w:t>
            </w:r>
            <w:r>
              <w:tab/>
            </w:r>
            <w:r>
              <w:rPr>
                <w:b/>
                <w:i/>
              </w:rPr>
              <w:t>подчертава, че ФСП II би могъл да разшири обхвата си в съответствие с предложенията на държавите членки, като гарантира, че от него могат да се възползват повече територии, засегнати от процесите на преход, като същевременно правилата относно разпределянето на средствата бъдат гъвкави, както беше поискано от държавите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27в.</w:t>
            </w:r>
            <w:r>
              <w:tab/>
            </w:r>
            <w:r>
              <w:rPr>
                <w:b/>
                <w:i/>
              </w:rPr>
              <w:t>подчертава, че транспортът е един от основните икономически сектори, значително допринасящи за емисиите на парникови газове;</w:t>
            </w:r>
            <w:r>
              <w:t xml:space="preserve"> </w:t>
            </w:r>
            <w:r>
              <w:rPr>
                <w:b/>
                <w:i/>
              </w:rPr>
              <w:t>подчертава, че политиката на ЕС в областта на транспорта е от съществено значение за икономическото, социалното и екологичното развитие на Европа и за нейната устойчивост;</w:t>
            </w:r>
            <w:r>
              <w:t xml:space="preserve"> </w:t>
            </w:r>
            <w:r>
              <w:rPr>
                <w:b/>
                <w:i/>
              </w:rPr>
              <w:t>поради това настоятелно изисква транспортната политика на ЕС да получи подходящо и достатъчно финансиране, за да се развият устойчиви видове транспорт и да се осигурят работни места в транспортните сектори, засегнати от екологичния преход, включително в отдалечените географски райони, като например островите и островните региони;</w:t>
            </w:r>
            <w:r>
              <w:t xml:space="preserve"> </w:t>
            </w:r>
            <w:r>
              <w:rPr>
                <w:b/>
                <w:i/>
              </w:rPr>
              <w:t>подчертава, че политиката на сближаване следва да играе ключова роля в този процес, като подкрепя равния достъп до решения за устойчива мобилност във всички региони, намалява териториалните различия и гарантира, че нито един регион няма да бъде изоставен в прехода към по-екологична транспортна система;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Пауло До Нашименто Кабрал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27в.</w:t>
            </w:r>
            <w:r>
              <w:tab/>
            </w:r>
            <w:r>
              <w:rPr>
                <w:b/>
                <w:i/>
              </w:rPr>
              <w:t>подчертава, че ФСП II трябва да възприеме проактивен подход чрез опити да се предвидят и процесите на трансформация, за които разумно може да се очаква да се осъществят в обозримо бъдеще;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 г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27г.</w:t>
            </w:r>
            <w:r>
              <w:tab/>
            </w:r>
            <w:r>
              <w:rPr>
                <w:b/>
                <w:i/>
              </w:rPr>
              <w:t>призовава Комисията да обърне специално внимание на островите и най-отдалечените региони, за да ги подкрепи в преодоляването на сериозните социално-икономически предизвикателства, стоящи пред тях, произтичащи от процеса на преход към целите на ЕС за 2030 г. в областта на енергетиката и климата и неутрална по отношение на климата икономика в ЕС до 2050 г., и да работи с държавите членки за заделяне на конкретни суми от националните им средства в рамките на техните териториални планове за справедлив преход;</w:t>
            </w:r>
            <w:r>
              <w:t xml:space="preserve"> </w:t>
            </w:r>
            <w:r>
              <w:rPr>
                <w:b/>
                <w:i/>
              </w:rPr>
              <w:t>призовава за конкретни мерки за компенсиране на отрицателните последици за икономическото, социалното и териториалното сближаване на островите в резултат на процеса на преход към по-чиста икономика и общество, които могат да възникнат поради зависимостта им от авиационния и морския сектор, поради което призовава островите да се превърнат в приоритет в развитието на инфраструктура, насочена към декарбонизация на въздушния и морския транспорт;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Елена Кундура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 д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27д.</w:t>
            </w:r>
            <w:r>
              <w:tab/>
            </w:r>
            <w:r>
              <w:rPr>
                <w:b/>
                <w:i/>
              </w:rPr>
              <w:t>призовава да се положат усилия за осигуряване на по-голяма съгласуваност и координация между политиката на сближаване и другите политики на ЕС с цел подобряване на интегрирането на аспектите на климата в политиките, разработване на политики въз основа на по-ефективни източници, осигуряване на целенасочено финансиране от ЕС и следователно – подобряване на прилагането на политиките в областта на климата по места;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772.012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150</w:t>
    </w:r>
    <w:r>
      <w:fldChar w:fldCharType="end"/>
    </w:r>
    <w:r>
      <w:t>/</w:t>
    </w:r>
    <w:r>
      <w:fldChar w:fldCharType="begin"/>
    </w:r>
    <w:r>
      <w:instrText xml:space="preserve"> NUMPAGES </w:instrText>
    </w:r>
    <w:r>
      <w:fldChar w:fldCharType="separate"/>
    </w:r>
    <w:r>
      <w:t>150</w:t>
    </w:r>
    <w:r>
      <w:fldChar w:fldCharType="end"/>
    </w:r>
    <w:r>
      <w:tab/>
    </w:r>
    <w:r>
      <w:rPr>
        <w:rStyle w:val="HideTWBExt"/>
      </w:rPr>
      <w:t>&lt;PathFdR&gt;</w:t>
    </w:r>
    <w:r>
      <w:t>AM\1318327BG.docx</w:t>
    </w:r>
    <w:r>
      <w:rPr>
        <w:rStyle w:val="HideTWBExt"/>
      </w:rPr>
      <w:t>&lt;/PathFdR&gt;</w:t>
    </w:r>
  </w:p>
  <w:p>
    <w:pPr>
      <w:pStyle w:val="EPFooter2"/>
    </w:pPr>
    <w:r>
      <w:t>BG</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AM\1318327BG.docx</w:t>
    </w:r>
    <w:r>
      <w:rPr>
        <w:rStyle w:val="HideTWBExt"/>
      </w:rPr>
      <w:t>&lt;/PathFdR&gt;</w:t>
    </w:r>
    <w:r>
      <w:tab/>
    </w:r>
    <w:r>
      <w:fldChar w:fldCharType="begin"/>
    </w:r>
    <w:r>
      <w:instrText xml:space="preserve"> PAGE </w:instrText>
    </w:r>
    <w:r>
      <w:fldChar w:fldCharType="separate"/>
    </w:r>
    <w:r>
      <w:t>149</w:t>
    </w:r>
    <w:r>
      <w:fldChar w:fldCharType="end"/>
    </w:r>
    <w:r>
      <w:t>/</w:t>
    </w:r>
    <w:r>
      <w:fldChar w:fldCharType="begin"/>
    </w:r>
    <w:r>
      <w:instrText xml:space="preserve"> NUMPAGES </w:instrText>
    </w:r>
    <w:r>
      <w:fldChar w:fldCharType="separate"/>
    </w:r>
    <w:r>
      <w:t>150</w:t>
    </w:r>
    <w:r>
      <w:fldChar w:fldCharType="end"/>
    </w:r>
    <w:r>
      <w:tab/>
    </w:r>
    <w:r>
      <w:t>PE</w:t>
    </w:r>
    <w:r>
      <w:rPr>
        <w:rStyle w:val="HideTWBExt"/>
      </w:rPr>
      <w:t>&lt;NoPE&gt;</w:t>
    </w:r>
    <w:r>
      <w:t>772.012</w:t>
    </w:r>
    <w:r>
      <w:rPr>
        <w:rStyle w:val="HideTWBExt"/>
      </w:rPr>
      <w:t>&lt;/NoPE&gt;</w:t>
    </w:r>
    <w:r>
      <w:rPr>
        <w:rStyle w:val="HideTWBExt"/>
      </w:rPr>
      <w:t>&lt;Version&gt;</w:t>
    </w:r>
    <w:r>
      <w:t>v01-00</w:t>
    </w:r>
    <w:r>
      <w:rPr>
        <w:rStyle w:val="HideTWBExt"/>
      </w:rPr>
      <w:t>&lt;/Version&gt;</w:t>
    </w:r>
  </w:p>
  <w:p>
    <w:pPr>
      <w:pStyle w:val="EPFooter2"/>
    </w:pPr>
    <w:r>
      <w:tab/>
    </w:r>
    <w:r>
      <w:tab/>
    </w:r>
    <w:r>
      <w:t>BG</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AM\1318327BG.docx</w:t>
    </w:r>
    <w:r>
      <w:rPr>
        <w:rStyle w:val="HideTWBExt"/>
      </w:rPr>
      <w:t>&lt;/PathFdR&gt;</w:t>
    </w:r>
    <w:r>
      <w:tab/>
    </w:r>
    <w:r>
      <w:tab/>
    </w:r>
    <w:r>
      <w:t>PE</w:t>
    </w:r>
    <w:r>
      <w:rPr>
        <w:rStyle w:val="HideTWBExt"/>
      </w:rPr>
      <w:t>&lt;NoPE&gt;</w:t>
    </w:r>
    <w:r>
      <w:t>772.012</w:t>
    </w:r>
    <w:r>
      <w:rPr>
        <w:rStyle w:val="HideTWBExt"/>
      </w:rPr>
      <w:t>&lt;/NoPE&gt;</w:t>
    </w:r>
    <w:r>
      <w:rPr>
        <w:rStyle w:val="HideTWBExt"/>
      </w:rPr>
      <w:t>&lt;Version&gt;</w:t>
    </w:r>
    <w:r>
      <w:t>v01-00</w:t>
    </w:r>
    <w:r>
      <w:rPr>
        <w:rStyle w:val="HideTWBExt"/>
      </w:rPr>
      <w:t>&lt;/Version&gt;</w:t>
    </w:r>
  </w:p>
  <w:p>
    <w:pPr>
      <w:pStyle w:val="EPFooter2"/>
    </w:pPr>
    <w:r>
      <w:t>BG</w:t>
    </w:r>
    <w:r>
      <w:tab/>
    </w:r>
    <w:r>
      <w:rPr>
        <w:rStyle w:val="EPFooter2Motto"/>
      </w:rPr>
      <w:t>Единство в многообразието</w:t>
    </w:r>
    <w:r>
      <w:tab/>
    </w:r>
    <w:r>
      <w:t>BG</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150</Pages>
  <Words>26205</Words>
  <Characters>156550</Characters>
  <Application>Microsoft Office Word</Application>
  <DocSecurity>0</DocSecurity>
  <Lines>1</Lines>
  <Paragraphs>2488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1318327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163766</vt:lpwstr>
  </property>
  <property fmtid="{D5CDD505-2E9C-101B-9397-08002B2CF9AE}" pid="7" name="dmxml.render.traceId">
    <vt:lpwstr>67fcafe6b1ee752629f3df471baf6901</vt:lpwstr>
  </property>
  <property fmtid="{D5CDD505-2E9C-101B-9397-08002B2CF9AE}" pid="8" name="FooterPath">
    <vt:lpwstr>AM\1318327BG.docx</vt:lpwstr>
  </property>
  <property fmtid="{D5CDD505-2E9C-101B-9397-08002B2CF9AE}" pid="9" name="PE Number">
    <vt:lpwstr>772.012</vt:lpwstr>
  </property>
  <property fmtid="{D5CDD505-2E9C-101B-9397-08002B2CF9AE}" pid="10" name="UID">
    <vt:lpwstr>eu.europa.europarl-DIN1-2025-0000065662_01.00-bg-01.00_text-xml</vt:lpwstr>
  </property>
</Properties>
</file>