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Ausschuss für regionale Entwicklung</w:t>
      </w:r>
      <w:r>
        <w:rPr>
          <w:rStyle w:val="HideTWBExt"/>
        </w:rPr>
        <w:t>&lt;/Commission&gt;</w:t>
      </w:r>
    </w:p>
    <w:p>
      <w:pPr>
        <w:pStyle w:val="LineBottom"/>
      </w:pPr>
      <w:r>
        <w:t xml:space="preserve"> </w:t>
      </w:r>
    </w:p>
    <w:p>
      <w:pPr>
        <w:pStyle w:val="CoverReference"/>
      </w:pPr>
      <w:r>
        <w:rPr>
          <w:rStyle w:val="HideTWBExt"/>
        </w:rPr>
        <w:t>&lt;RefProc&gt;</w:t>
      </w:r>
      <w:r>
        <w:t>2024/2121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280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Ciaran Mullooly</w:t>
      </w:r>
      <w:r>
        <w:rPr>
          <w:rStyle w:val="HideTWBExt"/>
        </w:rPr>
        <w:t>&lt;/Rapporteur&gt;</w:t>
      </w:r>
    </w:p>
    <w:p>
      <w:pPr>
        <w:pStyle w:val="CoverNormal24a"/>
      </w:pPr>
      <w:r>
        <w:rPr>
          <w:rStyle w:val="HideTWBExt"/>
        </w:rPr>
        <w:t>&lt;DocRefPE&gt;</w:t>
      </w:r>
      <w:r>
        <w:t>(PE769.954v01-00)</w:t>
      </w:r>
      <w:r>
        <w:rPr>
          <w:rStyle w:val="HideTWBExt"/>
        </w:rPr>
        <w:t>&lt;/DocRefPE&gt;</w:t>
      </w:r>
    </w:p>
    <w:p>
      <w:pPr>
        <w:pStyle w:val="CoverNormal"/>
      </w:pPr>
      <w:r>
        <w:rPr>
          <w:rStyle w:val="HideTWBExt"/>
        </w:rPr>
        <w:t>&lt;Titre&gt;</w:t>
      </w:r>
      <w:r>
        <w:t>Bedeutung der Kohäsionspolitik bei der Unterstützung des gerechten Übergangs</w:t>
      </w:r>
      <w:r>
        <w:rPr>
          <w:rStyle w:val="HideTWBExt"/>
        </w:rPr>
        <w:t>&lt;/Titre&gt;</w:t>
      </w:r>
    </w:p>
    <w:p>
      <w:pPr>
        <w:pStyle w:val="CoverNormal24a"/>
      </w:pPr>
      <w:r>
        <w:rPr>
          <w:rStyle w:val="HideTWBExt"/>
        </w:rPr>
        <w:t>&lt;DocRef&gt;</w:t>
      </w:r>
      <w:r>
        <w:t>(2024/2121(INI))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das am 12. Dezember 2015 auf der 21. Tagung der Konferenz der Vertragsparteien des Rahmenübereinkommens der Vereinten Nationen über Klimaänderungen (COP 21) in Paris geschlossen wurde („Übereinkommen von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Nr. 1/2024 der Europäischen Umweltagentur mit dem Titel „Europäische Bewertung der Klimarisiken“ (EUCRA),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25. März 2021 über die Kohäsionspolitik und regionale Umweltstrategien im Kampf gegen den Klimawandel,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Pr>
                <w:vertAlign w:val="superscript"/>
              </w:rPr>
              <w:t>5</w:t>
            </w:r>
            <w:r>
              <w:t>, einschließlich des rechtlichen Ziels der EU, bis 2050 klimaneutral zu werden, wobei als Zwischenziel eine Verringerung der Netto-Treibhausgasemissionen bis 2030 um mindestens 55 % gegenüber den Werten von 1990 festgelegt wurde,</w:t>
            </w:r>
          </w:p>
        </w:tc>
        <w:tc>
          <w:tcPr>
            <w:tcW w:w="4876" w:type="dxa"/>
            <w:tcBorders>
              <w:top w:val="nil"/>
              <w:left w:val="nil"/>
              <w:bottom w:val="nil"/>
              <w:right w:val="nil"/>
            </w:tcBorders>
          </w:tcPr>
          <w:p>
            <w:pPr>
              <w:pStyle w:val="Normal6a"/>
            </w:pPr>
            <w:r>
              <w:rPr>
                <w:i/>
              </w:rPr>
              <w:t>(Betrifft nicht die deutsche 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ABl. L 243 vom 9.7.2021, S. 1, ELI: http://data.europa.eu/eli/reg/2021/1119/oj.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2024/1735 des Europäischen Parlaments und des Rates vom 13. Juni 2024 zur Schaffung eines Rahmens für Maßnahmen zur Stärkung des europäischen Ökosystems der Fertigung von Netto-Null-Technologien und zur Änderung der Verordnung (EU) 2018/1724,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14. Juli 2021 mit dem Titel „‚Fit für 55‘: auf dem Weg zur Klimaneutralität – Umsetzung des EU-Klimaziels für 2030“ (COM(2021)0550),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2021/241 des Europäischen Parlaments und des Rates vom 12. Februar 2021 zur Einrichtung der Aufbau- und Resilienzfazilität,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4. März 2021 mit dem Titel „Aktionsplan zur europäischen Säule sozialer Rechte“ (COM(2021)0102),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7. Juni 2022 zu den Inseln der Europäischen Union und Kohäsionspolitik: aktuelle Situation und zukünftige Herausforderungen (2021/2079(INI))</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https://eur-lex.europa.eu/legal-content/DE/TXT/?uri=CELEX:52022IP0225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20. Mai 2021 zur Umkehrung demografischer Trends in den Regionen der EU mithilfe von Instrumenten der Kohäsionspolitik (2020/2039(INI))</w:t>
            </w:r>
            <w:r>
              <w:rPr>
                <w:b/>
                <w:i/>
                <w:vertAlign w:val="superscript"/>
              </w:rPr>
              <w:t>5b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5b</w:t>
            </w:r>
            <w:r>
              <w:t xml:space="preserve"> </w:t>
            </w:r>
            <w:r>
              <w:rPr>
                <w:b/>
                <w:i/>
              </w:rPr>
              <w:t>https://www.europarl.europa.eu/doceo/document/TA-9-2021-0248_DE.html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23. November 2023 zur Schaffung von Arbeitsplätzen – gerechter Übergang und nachhaltiges Investieren,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auf dem informellen Treffen der Ministerinnen und Minister für Raumordnung, Raumentwicklung und/oder territorialen Zusammenhalt am 1. Dezember 2020 angenommene „Territoriale Agenda 2030 – Eine Zukunft für alle Orte“,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Deal für eine saubere Industrie: Ein gemeinsamer Fahrplan für Wettbewerbsfähigkeit und Dekarbonisierung vom 26. Februar 2025 (COM (2025)0085),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5. März 2025 mit dem Titel „Union der Kompetenzen“ (COM(2025)0090),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das ambitionierte Ziel </w:t>
            </w:r>
            <w:r>
              <w:rPr>
                <w:b/>
                <w:i/>
              </w:rPr>
              <w:t>des Übergangs zu einer CO</w:t>
            </w:r>
            <w:r>
              <w:rPr>
                <w:b/>
                <w:i/>
                <w:vertAlign w:val="subscript"/>
              </w:rPr>
              <w:t>2</w:t>
            </w:r>
            <w:r>
              <w:rPr>
                <w:b/>
                <w:i/>
              </w:rPr>
              <w:t>-neutralen</w:t>
            </w:r>
            <w:r>
              <w:t xml:space="preserve"> Wirtschaft </w:t>
            </w:r>
            <w:r>
              <w:rPr>
                <w:b/>
                <w:i/>
              </w:rPr>
              <w:t>bis 2050 Chancen</w:t>
            </w:r>
            <w:r>
              <w:t xml:space="preserve"> und neue </w:t>
            </w:r>
            <w:r>
              <w:rPr>
                <w:b/>
                <w:i/>
              </w:rPr>
              <w:t>Herausforderungen für die von diesem</w:t>
            </w:r>
            <w:r>
              <w:t xml:space="preserve"> Übergang </w:t>
            </w:r>
            <w:r>
              <w:rPr>
                <w:b/>
                <w:i/>
              </w:rPr>
              <w:t>in negativer Weise betroffenen Regionen mit sich bringen kann</w:t>
            </w:r>
            <w:r>
              <w:t>;</w:t>
            </w:r>
          </w:p>
        </w:tc>
        <w:tc>
          <w:tcPr>
            <w:tcW w:w="4876" w:type="dxa"/>
            <w:tcBorders>
              <w:top w:val="nil"/>
              <w:left w:val="nil"/>
              <w:bottom w:val="nil"/>
              <w:right w:val="nil"/>
            </w:tcBorders>
          </w:tcPr>
          <w:p>
            <w:pPr>
              <w:pStyle w:val="Normal6a"/>
            </w:pPr>
            <w:r>
              <w:t>A.</w:t>
            </w:r>
            <w:r>
              <w:tab/>
            </w:r>
            <w:r>
              <w:t>in der Erwägung, dass das ambitionierte Ziel</w:t>
            </w:r>
            <w:r>
              <w:rPr>
                <w:b/>
                <w:i/>
              </w:rPr>
              <w:t>, bis 2050 im Rahmen eines umfassenderen Engagements der EU für den ökologischen Wandel die CO</w:t>
            </w:r>
            <w:r>
              <w:rPr>
                <w:b/>
                <w:i/>
                <w:vertAlign w:val="subscript"/>
              </w:rPr>
              <w:t>2</w:t>
            </w:r>
            <w:r>
              <w:rPr>
                <w:b/>
                <w:i/>
              </w:rPr>
              <w:t>-Neutralität der</w:t>
            </w:r>
            <w:r>
              <w:t xml:space="preserve"> Wirtschaft </w:t>
            </w:r>
            <w:r>
              <w:rPr>
                <w:b/>
                <w:i/>
              </w:rPr>
              <w:t>zu erreichen, wesentliche wirtschaftliche, ökologische und soziale Vorteile bringen kann, wie die Schaffung neuer Wirtschaftszweige, Beschäftigungsmöglichkeiten und eine bessere Lebensqualität;</w:t>
            </w:r>
            <w:r>
              <w:t xml:space="preserve"> </w:t>
            </w:r>
            <w:r>
              <w:rPr>
                <w:b/>
                <w:i/>
              </w:rPr>
              <w:t>in der Erwägung, dass dieser Übergang möglicherweise aber auch bestehende Ungleichheit verschärft</w:t>
            </w:r>
            <w:r>
              <w:t xml:space="preserve"> und neue </w:t>
            </w:r>
            <w:r>
              <w:rPr>
                <w:b/>
                <w:i/>
              </w:rPr>
              <w:t>Schwachstellen schafft, insbesondere in Regionen, die strukturell benachteiligt sind, die in hohem Maße von CO</w:t>
            </w:r>
            <w:r>
              <w:rPr>
                <w:b/>
                <w:i/>
                <w:vertAlign w:val="subscript"/>
              </w:rPr>
              <w:t>2</w:t>
            </w:r>
            <w:r>
              <w:rPr>
                <w:b/>
                <w:i/>
              </w:rPr>
              <w:t>-intensiven Industriezweigen abhängig sind oder in denen Infrastruktur und der Zugang zu inklusiven, fairen Bildungs- und Ausbildungsmöglichkeiten fehlen, die es für die Anpassung an diesen raschen</w:t>
            </w:r>
            <w:r>
              <w:t xml:space="preserve"> Übergang </w:t>
            </w:r>
            <w:r>
              <w:rPr>
                <w:b/>
                <w:i/>
              </w:rPr>
              <w:t>braucht;</w:t>
            </w:r>
            <w:r>
              <w:t xml:space="preserve"> </w:t>
            </w:r>
            <w:r>
              <w:rPr>
                <w:b/>
                <w:i/>
              </w:rPr>
              <w:t>in der Erwägung, dass diese Herausforderungen durch eine anhaltende demografische Krise, die auch durch den Rückgang und die Alterung der Bevölkerung geprägt ist, noch verschärft werden, und die EU dadurch Gefahr läuft, schlechter in der Lage zu sein, die in den Verträgen verankerten Ziele zu erreichen, und zwar insbesondere jene in Bezug auf den wirtschaftlichen, sozialen und territorialen Zusammenhalt, die Solidarität zwischen den Mitgliedstaaten und die Förderung der Aufwärtskonvergenz in allen Regionen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-neutralen Wirtschaft bis 2050 Chancen und neue Herausforderungen für die von diesem Übergang in negativer Weise betroffenen Regionen mit sich bringen kann;</w:t>
            </w:r>
          </w:p>
        </w:tc>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 xml:space="preserve">-neutralen Wirtschaft bis </w:t>
            </w:r>
            <w:r>
              <w:rPr>
                <w:b/>
                <w:i/>
              </w:rPr>
              <w:t>spätestens</w:t>
            </w:r>
            <w:r>
              <w:t xml:space="preserve"> 2050 Chancen und neue Herausforderungen für die von diesem Übergang in negativer Weise betroffenen Regionen mit sich bringen kann; </w:t>
            </w:r>
            <w:r>
              <w:rPr>
                <w:b/>
                <w:i/>
              </w:rPr>
              <w:t>in der Erwägung, dass in vielen weniger entwickelten Regionen allgemein die Luft- und Wasserverschmutzung, die Risiken in Bezug auf die Wasserversorgung und die Energiearmut nach wie vor zu hoch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 xml:space="preserve">-neutralen Wirtschaft bis 2050 </w:t>
            </w:r>
            <w:r>
              <w:rPr>
                <w:b/>
                <w:i/>
              </w:rPr>
              <w:t>Chancen und neue</w:t>
            </w:r>
            <w:r>
              <w:t xml:space="preserve"> Herausforderungen </w:t>
            </w:r>
            <w:r>
              <w:rPr>
                <w:b/>
                <w:i/>
              </w:rPr>
              <w:t>für die von diesem Übergang in negativer Weise betroffenen Regionen mit sich bringen kann</w:t>
            </w:r>
            <w:r>
              <w:t>;</w:t>
            </w:r>
          </w:p>
        </w:tc>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 xml:space="preserve">-neutralen Wirtschaft bis 2050 </w:t>
            </w:r>
            <w:r>
              <w:rPr>
                <w:b/>
                <w:i/>
              </w:rPr>
              <w:t>derzeit für viele Regionen beträchtliche Schwierigkeiten und erhebliche</w:t>
            </w:r>
            <w:r>
              <w:t xml:space="preserve"> Herausforderungen </w:t>
            </w:r>
            <w:r>
              <w:rPr>
                <w:b/>
                <w:i/>
              </w:rPr>
              <w:t>mit sich bringt, wo es doch eigentlich eine Chance für sie sein und ihnen neue Möglichkeiten eröffnen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-neutralen Wirtschaft bis 2050 Chancen und neue Herausforderungen für die von diesem Übergang in negativer Weise betroffenen Regionen mit sich bringen kann;</w:t>
            </w:r>
          </w:p>
        </w:tc>
        <w:tc>
          <w:tcPr>
            <w:tcW w:w="4876" w:type="dxa"/>
            <w:tcBorders>
              <w:top w:val="nil"/>
              <w:left w:val="nil"/>
              <w:bottom w:val="nil"/>
              <w:right w:val="nil"/>
            </w:tcBorders>
          </w:tcPr>
          <w:p>
            <w:pPr>
              <w:pStyle w:val="Normal6a"/>
            </w:pPr>
            <w:r>
              <w:t>A.</w:t>
            </w:r>
            <w:r>
              <w:tab/>
            </w:r>
            <w:r>
              <w:t>in der Erwägung, dass das ambitionierte Ziel des Übergangs zu einer CO</w:t>
            </w:r>
            <w:r>
              <w:rPr>
                <w:vertAlign w:val="subscript"/>
              </w:rPr>
              <w:t>2</w:t>
            </w:r>
            <w:r>
              <w:t>-neutralen Wirtschaft bis 2050 Chancen und neue Herausforderungen für die von diesem Übergang in negativer Weise betroffenen Regionen </w:t>
            </w:r>
            <w:r>
              <w:rPr>
                <w:b/>
                <w:i/>
              </w:rPr>
              <w:t>– vor allem die Kohleregionen –</w:t>
            </w:r>
            <w:r>
              <w:t xml:space="preserve"> mit sich bringen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das </w:t>
            </w:r>
            <w:r>
              <w:rPr>
                <w:b/>
                <w:i/>
              </w:rPr>
              <w:t>ambitionierte</w:t>
            </w:r>
            <w:r>
              <w:t xml:space="preserve"> Ziel des Übergangs zu einer CO</w:t>
            </w:r>
            <w:r>
              <w:rPr>
                <w:vertAlign w:val="subscript"/>
              </w:rPr>
              <w:t>2</w:t>
            </w:r>
            <w:r>
              <w:t xml:space="preserve">-neutralen Wirtschaft bis 2050 </w:t>
            </w:r>
            <w:r>
              <w:rPr>
                <w:b/>
                <w:i/>
              </w:rPr>
              <w:t>Chancen und neue Herausforderungen</w:t>
            </w:r>
            <w:r>
              <w:t xml:space="preserve"> für die von diesem Übergang in negativer Weise betroffenen Regionen </w:t>
            </w:r>
            <w:r>
              <w:rPr>
                <w:b/>
                <w:i/>
              </w:rPr>
              <w:t>mit sich bringen kann</w:t>
            </w:r>
            <w:r>
              <w:t>;</w:t>
            </w:r>
          </w:p>
        </w:tc>
        <w:tc>
          <w:tcPr>
            <w:tcW w:w="4876" w:type="dxa"/>
            <w:tcBorders>
              <w:top w:val="nil"/>
              <w:left w:val="nil"/>
              <w:bottom w:val="nil"/>
              <w:right w:val="nil"/>
            </w:tcBorders>
          </w:tcPr>
          <w:p>
            <w:pPr>
              <w:pStyle w:val="Normal6a"/>
            </w:pPr>
            <w:r>
              <w:t>A.</w:t>
            </w:r>
            <w:r>
              <w:tab/>
            </w:r>
            <w:r>
              <w:t>in der Erwägung, dass das Ziel des Übergangs zu einer CO</w:t>
            </w:r>
            <w:r>
              <w:rPr>
                <w:vertAlign w:val="subscript"/>
              </w:rPr>
              <w:t>2</w:t>
            </w:r>
            <w:r>
              <w:t xml:space="preserve">-neutralen Wirtschaft bis 2050 </w:t>
            </w:r>
            <w:r>
              <w:rPr>
                <w:b/>
                <w:i/>
              </w:rPr>
              <w:t>zusätzliche und unlösbare Probleme</w:t>
            </w:r>
            <w:r>
              <w:t xml:space="preserve"> für die </w:t>
            </w:r>
            <w:r>
              <w:rPr>
                <w:b/>
                <w:i/>
              </w:rPr>
              <w:t>bereits</w:t>
            </w:r>
            <w:r>
              <w:t xml:space="preserve"> von diesem Übergang in negativer Weise betroffenen Regionen </w:t>
            </w:r>
            <w:r>
              <w:rPr>
                <w:b/>
                <w:i/>
              </w:rPr>
              <w:t>nach sich ziehen wird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es von entscheidender Bedeutung ist, dass Regionen, die vom Übergang zur Klimaneutralität in negativer Weise betroffen sind, angemessene Unterstützung erhalten, damit sie die Auswirkungen dieses Übergangs bewältigen und dafür Sorge tragen können, dass sie keine wirtschaftliche Stagnation durchlaufen und dass es zu keinem substanziellen Verlust von Arbeitsplätzen kommt;</w:t>
            </w:r>
            <w:r>
              <w:t xml:space="preserve"> </w:t>
            </w:r>
            <w:r>
              <w:rPr>
                <w:b/>
                <w:i/>
              </w:rPr>
              <w:t>weist darauf hin, dass diesen Regionen spezifische Umstellungs- und Unterstützungsmechanismen zugutekommen müssen, um die Herausforderungen in neue wirtschaftliche Chancen umzuwandeln;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sich der europäische Kontinent schneller erwärmt als der Rest der Welt und die durch den Klimawandel bedingten Risiken immer komplexer und schwieriger zu bewältigen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einzelnen Regionen der EU </w:t>
            </w:r>
            <w:r>
              <w:rPr>
                <w:b/>
                <w:i/>
              </w:rPr>
              <w:t>sehr unterschiedliche sozioökonomische Merkmale haben</w:t>
            </w:r>
            <w:r>
              <w:t xml:space="preserve"> und es auf der Hand liegt, dass es keine Pauschallösung gibt, die ihren unterschiedlichen territorialen und sozioökonomischen Bedürfnissen angemessen gerecht werden kann;</w:t>
            </w:r>
          </w:p>
        </w:tc>
        <w:tc>
          <w:tcPr>
            <w:tcW w:w="4876" w:type="dxa"/>
            <w:tcBorders>
              <w:top w:val="nil"/>
              <w:left w:val="nil"/>
              <w:bottom w:val="nil"/>
              <w:right w:val="nil"/>
            </w:tcBorders>
          </w:tcPr>
          <w:p>
            <w:pPr>
              <w:pStyle w:val="Normal6a"/>
            </w:pPr>
            <w:r>
              <w:t>B.</w:t>
            </w:r>
            <w:r>
              <w:tab/>
            </w:r>
            <w:r>
              <w:t xml:space="preserve">in der Erwägung, dass die einzelnen Regionen der EU </w:t>
            </w:r>
            <w:r>
              <w:rPr>
                <w:b/>
                <w:i/>
              </w:rPr>
              <w:t>durch ein hohes Maß an territorialer, wirtschaftlicher und sozialer Vielfalt gekennzeichnet sind und sich ihr Entwicklungsstand, ihre Infrastruktur, die vorherrschenden demografischen Trends und ihre Arbeitsmarktbedingungen voneinander unterscheiden,</w:t>
            </w:r>
            <w:r>
              <w:t xml:space="preserve"> und es auf der Hand liegt, dass es keine Pauschallösung gibt, die ihren unterschiedlichen territorialen und sozioökonomischen Bedürfnissen angemessen gerecht werden kann; </w:t>
            </w:r>
            <w:r>
              <w:rPr>
                <w:b/>
                <w:i/>
              </w:rPr>
              <w:t>in der Erwägung, dass die kohäsionspolitischen Programme daher so umgesetzt werden sollten, dass diese Unterschiede angegangen werden, indem flexible, lokal bzw. regional ausgerichtete und maßgeschneiderte Lösungen angeboten werden, die den besonderen Bedürfnissen, den Charakteristika und dem Potenzial der einzelnen Regionen Rechnung tragen;</w:t>
            </w:r>
            <w:r>
              <w:t xml:space="preserve"> </w:t>
            </w:r>
            <w:r>
              <w:rPr>
                <w:b/>
                <w:i/>
              </w:rPr>
              <w:t>in der Erwägung, dass ein solcher Ansatz wesentlich ist, damit keine Region beim ökologischen und beim digitalen Wandel zurückgelassen wird und damit der wirtschaftliche, soziale und territoriale Zusammenhalt in der gesamten EU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einzelnen Regionen der </w:t>
            </w:r>
            <w:r>
              <w:rPr>
                <w:b/>
                <w:i/>
              </w:rPr>
              <w:t>EU</w:t>
            </w:r>
            <w:r>
              <w:t xml:space="preserve"> sehr unterschiedliche sozioökonomische Merkmale haben und es auf der Hand liegt, dass es keine Pauschallösung gibt, die ihren unterschiedlichen territorialen und sozioökonomischen Bedürfnissen angemessen gerecht werden kann;</w:t>
            </w:r>
          </w:p>
        </w:tc>
        <w:tc>
          <w:tcPr>
            <w:tcW w:w="4876" w:type="dxa"/>
            <w:tcBorders>
              <w:top w:val="nil"/>
              <w:left w:val="nil"/>
              <w:bottom w:val="nil"/>
              <w:right w:val="nil"/>
            </w:tcBorders>
          </w:tcPr>
          <w:p>
            <w:pPr>
              <w:pStyle w:val="Normal6a"/>
            </w:pPr>
            <w:r>
              <w:t>B.</w:t>
            </w:r>
            <w:r>
              <w:tab/>
            </w:r>
            <w:r>
              <w:t xml:space="preserve">in der Erwägung, dass die einzelnen Regionen der </w:t>
            </w:r>
            <w:r>
              <w:rPr>
                <w:b/>
                <w:i/>
              </w:rPr>
              <w:t>Europäischen Union</w:t>
            </w:r>
            <w:r>
              <w:t xml:space="preserve"> sehr unterschiedliche sozioökonomische Merkmale haben und es auf der Hand liegt, dass es keine Pauschallösung gibt, die ihren unterschiedlichen territorialen und sozioökonomischen Bedürfnissen angemessen gerecht werden kann </w:t>
            </w:r>
            <w:r>
              <w:rPr>
                <w:b/>
                <w:i/>
              </w:rPr>
              <w:t>und es daher wesentlich ist, die territorialen Pläne für einen gerechten Übergang beizubehalten und gleichzeitig dafür Sorge zu tragen, dass die regionalen und lokalen Gebietskörperschaften einbezogen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einzelnen Regionen der EU sehr unterschiedliche sozioökonomische Merkmale haben und es auf der Hand liegt, dass es keine Pauschallösung gibt, die ihren unterschiedlichen territorialen und sozioökonomischen Bedürfnissen angemessen gerecht werden kann;</w:t>
            </w:r>
          </w:p>
        </w:tc>
        <w:tc>
          <w:tcPr>
            <w:tcW w:w="4876" w:type="dxa"/>
            <w:tcBorders>
              <w:top w:val="nil"/>
              <w:left w:val="nil"/>
              <w:bottom w:val="nil"/>
              <w:right w:val="nil"/>
            </w:tcBorders>
          </w:tcPr>
          <w:p>
            <w:pPr>
              <w:pStyle w:val="Normal6a"/>
            </w:pPr>
            <w:r>
              <w:t>B.</w:t>
            </w:r>
            <w:r>
              <w:tab/>
            </w:r>
            <w:r>
              <w:t xml:space="preserve">in der Erwägung, dass die einzelnen Regionen der EU sehr unterschiedliche sozioökonomische Merkmale haben und es auf der Hand liegt, dass es keine Pauschallösung gibt, die ihren unterschiedlichen territorialen und sozioökonomischen Bedürfnissen angemessen gerecht werden kann; </w:t>
            </w:r>
            <w:r>
              <w:rPr>
                <w:b/>
                <w:i/>
              </w:rPr>
              <w:t>in der Erwägung, dass die schwächsten Regionen am stärksten unter dem Übergang zu leiden haben und gleichzeitig derzeit nur die reichsten Regionen von ihm profitieren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Inseln, Inselgebiete und Gebiete in äußerster Randlage aufgrund ihrer Verwundbarkeit besonderer Aufmerksamkeit und Unterstützung bedürfen, da diese Regionen ernsten sozioökonomischen Herausforderungen gegenüberstehen, wenn es um den Übergang hinsichtlich der Energieziele der EU für 2030 und das Ziel einer klimaneutralen Wirtschaft bis 2050 geht;</w:t>
            </w:r>
            <w:r>
              <w:t xml:space="preserve"> </w:t>
            </w:r>
            <w:r>
              <w:rPr>
                <w:b/>
                <w:i/>
              </w:rPr>
              <w:t>in der Erwägung, dass die Bewohner von Inseln noch stärker benachteiligt sind, weil ihnen durch die Insellage gleichzeitig mehrere Nachteile entstehen und sie sich außerdem den gravierenden Folgen der Klimakrise gegenübersehen, wodurch die bestehende soziale und wirtschaftliche Ungleichheit verschärft wird;</w:t>
            </w:r>
            <w:r>
              <w:t xml:space="preserve"> </w:t>
            </w:r>
            <w:r>
              <w:rPr>
                <w:b/>
                <w:i/>
              </w:rPr>
              <w:t>in der Erwägung, dass die Unterschiede im Entwicklungsstand der Regionen durch das vermehrte Auftreten von extremen Wetterereignissen und Naturkatastrophen wie Dürren, Überschwemmungen und Waldbränden weiter verstärkt und Fortschritte bei der nachhaltigen Entwicklung der Inselregionen der EU behindert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einzelnen Regionen der EU sehr unterschiedliche sozioökonomische Merkmale haben und es auf der Hand liegt, dass es keine Pauschallösung gibt, die ihren unterschiedlichen territorialen und sozioökonomischen Bedürfnissen angemessen gerecht werden kann;</w:t>
            </w:r>
            <w:r>
              <w:t xml:space="preserve"> </w:t>
            </w:r>
            <w:r>
              <w:rPr>
                <w:b/>
                <w:i/>
              </w:rPr>
              <w:t>in der Erwägung, dass sich im derzeitigen geopolitischen Kontext, in dem Unsicherheiten in Bezug auf die Energieversorgungssicherheit und die Stabilität der internationalen Märkte bestehen, bestimmte Regionen zumindest kurzfristig gezwungen sehen können, zu traditionellen Wirtschaftstätigkeiten, auch in Sektoren wie dem Bergbau oder der Nutzung natürlicher Ressourcen, zurückzukehren, um den inländischen Bedarf zu decken und die Abhängigkeit von externen Energiequellen zu verringern;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Wirksamkeit der Strategien für einen gerechten Übergang von einem kohärenten und strategischen Einsatz der Finanzierungsinstrumente der EU abhängig ist;</w:t>
            </w:r>
            <w:r>
              <w:t xml:space="preserve"> </w:t>
            </w:r>
            <w:r>
              <w:rPr>
                <w:b/>
                <w:i/>
              </w:rPr>
              <w:t>in der Erwägung, dass sich die Fragmentierung der Fonds im laufenden Programmplanungszeitraum in einigen Regionen negativ auswirkt;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das Hauptziel der Kohäsionspolitik die wirtschaftliche Konvergenz war (und weiterhin ist), der ökologische Wandel jedoch das Risiko birgt, diese Bestrebungen ins Gegenteil zu verkehren und zunichte zu machen, da er die wirtschaftliche Diskrepanz zwischen den Regionen vergrößert;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Klimarisiken gefährdete Bevölkerungsgruppen unverhältnismäßig stark treffen, weil sozioökonomische Faktoren die Fähigkeit der gefährdeten Gruppen, sich von Katastrophen zu erholen, noch weiter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die Abgeschiedenheit und die Isolation der Inseln vom Festland einen anhaltenden strukturellen Nachteil darstellt, der zahlreiche Aspekte des wirtschaftlichen und sozialen Lebens beeinflusst, unter anderem den Zugang zum Arbeitsmarkt, Bildung, Gesundheitsversorgung, Mobilität und öffentliche Dienstleistungen;</w:t>
            </w:r>
            <w:r>
              <w:t xml:space="preserve"> </w:t>
            </w:r>
            <w:r>
              <w:rPr>
                <w:b/>
                <w:i/>
              </w:rPr>
              <w:t>in der Erwägung, dass die Tatsache, dass eine Insel nur ein kleines Gebiet umfasst, die Möglichkeiten zur beruflichen Weiterbildung und Umschulung erheblich schmälert, wodurch sich die Arbeitskräfte nur eingeschränkt an strukturelle Veränderungen oder sektorale Verschiebungen anpassen können, wie sie sich beispielsweise aus dem grünen und dem digitalen Wandel ergeben;</w:t>
            </w:r>
            <w:r>
              <w:t xml:space="preserve"> </w:t>
            </w:r>
            <w:r>
              <w:rPr>
                <w:b/>
                <w:i/>
              </w:rPr>
              <w:t>in der Erwägung, dass dieser Mangel an Alternativen die Arbeitskräfte dazu zwingt, ihre Heimatregionen zu verlassen, um anderswo Zugang zu Beschäftigungsmöglichkeiten zu erhalten, was wiederum ihr „Bleiberecht“ aushöhlt und zu Entvölkerung und Abwanderung hochqualifizierter Arbeitskräfte aus Inselgebieten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das drängendste Problem derzeit die Industrialisierung ärmerer Regionen und nicht ihre Deindustrialisierung durch den ökologischen Wandel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sich die ärmsten und am stärksten gefährdeten Regionen im Osten der EU befinden;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der Krieg in der Ukraine zusätzliche negative Auswirkungen auf diese Regionen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viele der von der Dekarbonisierung am stärksten betroffenen Wirtschaftszweige ungünstige Arbeitsbedingungen aufwiesen und von Saisonarbeitskräften abhängig waren, die vor dem Übergang soziale Gerechtigkeit anstrebten;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viele der von der Dekarbonisierung am stärksten betroffenen Wirtschaftszweige ungünstige Arbeitsbedingungen aufwiesen und von Saisonarbeitskräften abhängig waren, die vor dem Übergang soziale Gerechtigkeit anstrebten;</w:t>
            </w:r>
          </w:p>
        </w:tc>
        <w:tc>
          <w:tcPr>
            <w:tcW w:w="4876" w:type="dxa"/>
            <w:tcBorders>
              <w:top w:val="nil"/>
              <w:left w:val="nil"/>
              <w:bottom w:val="nil"/>
              <w:right w:val="nil"/>
            </w:tcBorders>
          </w:tcPr>
          <w:p>
            <w:pPr>
              <w:pStyle w:val="Normal6a"/>
            </w:pPr>
            <w:r>
              <w:t>C.</w:t>
            </w:r>
            <w:r>
              <w:tab/>
            </w:r>
            <w:r>
              <w:t xml:space="preserve">in der Erwägung, dass viele der von der Dekarbonisierung am stärksten betroffenen Wirtschaftszweige ungünstige Arbeitsbedingungen aufwiesen und von Saisonarbeitskräften abhängig waren, die vor dem Übergang soziale Gerechtigkeit anstrebten; </w:t>
            </w:r>
            <w:r>
              <w:rPr>
                <w:b/>
                <w:i/>
              </w:rPr>
              <w:t>in der Erwägung, dass diese Arbeitskräfte keine grundlegende Umschulung absolvieren können – was der ökologische Wandel von ihnen verlangt;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w:t>
            </w:r>
            <w:r>
              <w:rPr>
                <w:b/>
                <w:i/>
              </w:rPr>
              <w:t>viele</w:t>
            </w:r>
            <w:r>
              <w:t xml:space="preserve"> der von der Dekarbonisierung am stärksten betroffenen Wirtschaftszweige </w:t>
            </w:r>
            <w:r>
              <w:rPr>
                <w:b/>
                <w:i/>
              </w:rPr>
              <w:t>ungünstige</w:t>
            </w:r>
            <w:r>
              <w:t xml:space="preserve"> Arbeitsbedingungen </w:t>
            </w:r>
            <w:r>
              <w:rPr>
                <w:b/>
                <w:i/>
              </w:rPr>
              <w:t>aufwiesen</w:t>
            </w:r>
            <w:r>
              <w:t xml:space="preserve"> und von Saisonarbeitskräften abhängig waren</w:t>
            </w:r>
            <w:r>
              <w:rPr>
                <w:b/>
                <w:i/>
              </w:rPr>
              <w:t>, die vor dem Übergang soziale Gerechtigkeit anstrebten</w:t>
            </w:r>
            <w:r>
              <w:t>;</w:t>
            </w:r>
          </w:p>
        </w:tc>
        <w:tc>
          <w:tcPr>
            <w:tcW w:w="4876" w:type="dxa"/>
            <w:tcBorders>
              <w:top w:val="nil"/>
              <w:left w:val="nil"/>
              <w:bottom w:val="nil"/>
              <w:right w:val="nil"/>
            </w:tcBorders>
          </w:tcPr>
          <w:p>
            <w:pPr>
              <w:pStyle w:val="Normal6a"/>
            </w:pPr>
            <w:r>
              <w:t>C.</w:t>
            </w:r>
            <w:r>
              <w:tab/>
            </w:r>
            <w:r>
              <w:t xml:space="preserve">in der Erwägung, dass </w:t>
            </w:r>
            <w:r>
              <w:rPr>
                <w:b/>
                <w:i/>
              </w:rPr>
              <w:t>einige</w:t>
            </w:r>
            <w:r>
              <w:t xml:space="preserve"> der von der Dekarbonisierung am stärksten betroffenen Wirtschaftszweige </w:t>
            </w:r>
            <w:r>
              <w:rPr>
                <w:b/>
                <w:i/>
              </w:rPr>
              <w:t>mit ungünstigen</w:t>
            </w:r>
            <w:r>
              <w:t xml:space="preserve"> Arbeitsbedingungen </w:t>
            </w:r>
            <w:r>
              <w:rPr>
                <w:b/>
                <w:i/>
              </w:rPr>
              <w:t>konfrontiert</w:t>
            </w:r>
            <w:r>
              <w:t xml:space="preserve"> und von Saisonarbeitskräften abhängig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bei einem gerechten Übergang die soziale Inklusion Vorrang haben sollte und Nutzen daraus gezogen werden sollte, dass sie erhebliches Potenzial zur Schaffung hochwertiger Arbeitsplätze auf allen Qualifikationsniveaus hat;</w:t>
            </w:r>
            <w:r>
              <w:t xml:space="preserve"> </w:t>
            </w:r>
            <w:r>
              <w:rPr>
                <w:b/>
                <w:i/>
              </w:rPr>
              <w:t>in der Erwägung, dass durch sie aktiv gegen Diskriminierung am Arbeitsplatz vorgegangen werden sollte, angemessene und gute Arbeitsbedingungen sichergestellt und die Arbeitsstandards in allen Sektoren erhöht werden sollten;</w:t>
            </w:r>
            <w:r>
              <w:t xml:space="preserve"> </w:t>
            </w:r>
            <w:r>
              <w:rPr>
                <w:b/>
                <w:i/>
              </w:rPr>
              <w:t>in der Erwägung, dass bei politischen Maßnahmen für einen gerechten Übergang besonderes Augenmerk auf die Bedürfnisse der am stärksten betroffenen Gemeinschaften und der am stärksten gefährdeten Bevölkerungsgruppen gelegt werden sollte;</w:t>
            </w:r>
            <w:r>
              <w:t xml:space="preserve"> </w:t>
            </w:r>
            <w:r>
              <w:rPr>
                <w:b/>
                <w:i/>
              </w:rPr>
              <w:t>in der Erwägung, dass in allen Rechtsvorschriften und politischen Maßnahmen der EU und der Mitgliedstaaten systematisch und durchgängig ein intersektionaler Ansatz berücksichtigt werden sollte, damit junge und ältere Arbeitskräfte, Frauen, Menschen mit Behinderungen und Arbeitskräfte aus benachteiligten Regionen und sozioökonomischen Verhältnissen umfassend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Kernenergie in die grüne Taxonomie aufgenommen wurde und somit zum Übergang zu einer dekarbonisierten Wirtschaft beiträgt;</w:t>
            </w:r>
            <w:r>
              <w:t xml:space="preserve"> </w:t>
            </w:r>
            <w:r>
              <w:rPr>
                <w:b/>
                <w:i/>
              </w:rPr>
              <w:t>in der Erwägung, dass verstärkte Investitionen in diese Energieform dazu beitragen würden, die Ziele der Union in Bezug auf strategische Autonomie und die Verringerung der CO</w:t>
            </w:r>
            <w:r>
              <w:rPr>
                <w:b/>
                <w:i/>
                <w:vertAlign w:val="subscript"/>
              </w:rPr>
              <w:t>2</w:t>
            </w:r>
            <w:r>
              <w:rPr>
                <w:b/>
                <w:i/>
              </w:rPr>
              <w:t>-Emissionen zu erreichen;</w:t>
            </w:r>
            <w:r>
              <w:t xml:space="preserve"> </w:t>
            </w:r>
            <w:r>
              <w:rPr>
                <w:b/>
                <w:i/>
              </w:rPr>
              <w:t>in der Erwägung, dass diese Energiequelle zudem eine wirksame Alternative mit Blick auf Energieeffizienz, die Schaffung von Arbeitsplätzen und das Wirtschaftswachstum in den Übergangsregionen wäre;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der Übergang zur ökologischen Nachhaltigkeit mit wirtschaftlicher und sozialer Gerechtigkeit einhergehen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die durchschnittlichen CO</w:t>
            </w:r>
            <w:r>
              <w:rPr>
                <w:b/>
                <w:i/>
                <w:vertAlign w:val="subscript"/>
              </w:rPr>
              <w:t>2</w:t>
            </w:r>
            <w:r>
              <w:rPr>
                <w:b/>
                <w:i/>
              </w:rPr>
              <w:t>-Emissionen aus der Stromerzeugung in der EU im Jahr 2023 erheblich zwischen Ländern mit Kernkraftwerken und Ländern ohne Kernkraftwerke variierten, wobei die Emissionen der Länder mit Kernkraftwerken deutlich geringer waren;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weniger entwickelte Regionen unverhältnismäßig stark von der Abwanderung hochqualifizierter Arbeitskräfte betroffen sind und dass das Phänomen, wenn es nicht angegangen wird, langfristige und dauerhafte Auswirkungen auf die Zukunft der Europäischen Union haben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in der Erwägung, dass die Energiewende mit der wirtschaftlichen Wettbewerbsfähigkeit einhergehen muss und dass es von wesentlicher Bedeutung ist, die Energieversorgungssicherheit in diesen Gebieten zu gewährleisten;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in der Erwägung, dass die Europäische Union im Gegensatz zu ihren wichtigsten Wettbewerbern bei der Verringerung der Emissionen weltweit führend ist und gleichzeitig aufgrund des weltweit komplexen geopolitischen und ökonomischen Kontexts vor zahlreichen Herausforderungen steht;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EU-Fonds für einen gerechten Übergang als Schlüsselinstrument gedacht war, mit dem sichergestellt werden sollte, dass die Menschen in vom Übergang zur Klimaneutralität betroffenen Gebieten nicht zurückgelassen werden; in der Erwägung, dass bislang eine Ausschöpfungsquote von weniger als 5 % erreicht wurde;</w:t>
            </w:r>
          </w:p>
        </w:tc>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war, mit dem sichergestellt werden sollte, dass die Menschen in vom Übergang zur Klimaneutralität betroffenen Gebieten nicht zurückgelassen werden; in der Erwägung, dass bislang eine Ausschöpfungsquote von weniger als 5 % erreicht wurde; </w:t>
            </w:r>
            <w:r>
              <w:rPr>
                <w:b/>
                <w:i/>
              </w:rPr>
              <w:t>in der Erwägung, dass es jedoch vielen betroffenen Gemeinden an grundlegenden Infrastrukturen und wesentlichen Dienstleistungen mangelt, was es ihnen erschwert, produktive Investitionen anzuziehen, die eine nachhaltige wirtschaftliche Erholung gewährleisten;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der EU-Fonds für einen gerechten Übergang </w:t>
            </w:r>
            <w:r>
              <w:rPr>
                <w:b/>
                <w:i/>
              </w:rPr>
              <w:t>als Schlüsselinstrument</w:t>
            </w:r>
            <w:r>
              <w:t xml:space="preserve"> gedacht war, </w:t>
            </w:r>
            <w:r>
              <w:rPr>
                <w:b/>
                <w:i/>
              </w:rPr>
              <w:t>mit dem sichergestellt werden</w:t>
            </w:r>
            <w:r>
              <w:t xml:space="preserve"> sollte, </w:t>
            </w:r>
            <w:r>
              <w:rPr>
                <w:b/>
                <w:i/>
              </w:rPr>
              <w:t>dass die</w:t>
            </w:r>
            <w:r>
              <w:t xml:space="preserve"> Menschen </w:t>
            </w:r>
            <w:r>
              <w:rPr>
                <w:b/>
                <w:i/>
              </w:rPr>
              <w:t>in vom Übergang zur Klimaneutralität betroffenen Gebieten nicht zurückgelassen werden</w:t>
            </w:r>
            <w:r>
              <w:t>; in der Erwägung, dass bislang eine Ausschöpfungsquote von weniger als 5 % erreicht wurde;</w:t>
            </w:r>
          </w:p>
        </w:tc>
        <w:tc>
          <w:tcPr>
            <w:tcW w:w="4876" w:type="dxa"/>
            <w:tcBorders>
              <w:top w:val="nil"/>
              <w:left w:val="nil"/>
              <w:bottom w:val="nil"/>
              <w:right w:val="nil"/>
            </w:tcBorders>
          </w:tcPr>
          <w:p>
            <w:pPr>
              <w:pStyle w:val="Normal6a"/>
            </w:pPr>
            <w:r>
              <w:t>D.</w:t>
            </w:r>
            <w:r>
              <w:tab/>
            </w:r>
            <w:r>
              <w:t xml:space="preserve">in der Erwägung, dass der EU-Fonds für einen gerechten Übergang </w:t>
            </w:r>
            <w:r>
              <w:rPr>
                <w:b/>
                <w:i/>
              </w:rPr>
              <w:t>in Gebieten, die von fossilen Brennstoffen abhängig und vom Übergang zur Klimaneutralität betroffen sind, als wichtiges ergänzendes Instrument</w:t>
            </w:r>
            <w:r>
              <w:t xml:space="preserve"> gedacht war, </w:t>
            </w:r>
            <w:r>
              <w:rPr>
                <w:b/>
                <w:i/>
              </w:rPr>
              <w:t>das einzig zu dem spezifischen Ziel beitragen</w:t>
            </w:r>
            <w:r>
              <w:t xml:space="preserve"> sollte, </w:t>
            </w:r>
            <w:r>
              <w:rPr>
                <w:b/>
                <w:i/>
              </w:rPr>
              <w:t>es Regionen und</w:t>
            </w:r>
            <w:r>
              <w:t xml:space="preserve"> Menschen </w:t>
            </w:r>
            <w:r>
              <w:rPr>
                <w:b/>
                <w:i/>
              </w:rPr>
              <w:t>zu ermöglichen, den sozialen, beschäftigungspolitischen, wirtschaftlichen und ökologischen Auswirkungen des Übergangs entgegenzutreten</w:t>
            </w:r>
            <w:r>
              <w:t>; in der Erwägung, dass bislang eine Ausschöpfungsquote von weniger als 5</w:t>
            </w:r>
            <w:r>
              <w:rPr>
                <w:b/>
                <w:i/>
              </w:rPr>
              <w:t> % mit einem Vorfinanzierungssatz von mehr als 31</w:t>
            </w:r>
            <w:r>
              <w:t> % erreicht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EU-Fonds für einen gerechten Übergang als Schlüsselinstrument gedacht war, mit dem sichergestellt werden sollte, dass die Menschen in vom Übergang zur Klimaneutralität betroffenen Gebieten nicht zurückgelassen werden; in der Erwägung, dass bislang eine Ausschöpfungsquote von weniger als 5 % erreicht wurde;</w:t>
            </w:r>
          </w:p>
        </w:tc>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war, mit dem sichergestellt werden sollte, dass die Menschen in vom Übergang zur Klimaneutralität betroffenen Gebieten nicht zurückgelassen werden; in der Erwägung, dass bislang eine Ausschöpfungsquote von weniger als 5 % erreicht wurde; </w:t>
            </w:r>
            <w:r>
              <w:rPr>
                <w:b/>
                <w:i/>
              </w:rPr>
              <w:t>in der Erwägung, dass der ökologische und digitale Wandel wirksame Sicherheitsnetze und Schutzmechanismen notwendig machen, um jene Arbeitskräfte zu unterstützen, deren Arbeitsplätze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t>
            </w:r>
            <w:r>
              <w:rPr>
                <w:b/>
                <w:i/>
              </w:rPr>
              <w:t>war</w:t>
            </w:r>
            <w:r>
              <w:t xml:space="preserve">, mit dem sichergestellt werden </w:t>
            </w:r>
            <w:r>
              <w:rPr>
                <w:b/>
                <w:i/>
              </w:rPr>
              <w:t>sollte</w:t>
            </w:r>
            <w:r>
              <w:t xml:space="preserve">, dass die Menschen in vom Übergang zur Klimaneutralität betroffenen Gebieten nicht zurückgelassen werden; </w:t>
            </w:r>
            <w:r>
              <w:rPr>
                <w:b/>
                <w:i/>
              </w:rPr>
              <w:t>in der Erwägung, dass bislang eine Ausschöpfungsquote von weniger als 5 % erreicht wurde;</w:t>
            </w:r>
          </w:p>
        </w:tc>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t>
            </w:r>
            <w:r>
              <w:rPr>
                <w:b/>
                <w:i/>
              </w:rPr>
              <w:t>ist</w:t>
            </w:r>
            <w:r>
              <w:t xml:space="preserve">, mit dem sichergestellt werden </w:t>
            </w:r>
            <w:r>
              <w:rPr>
                <w:b/>
                <w:i/>
              </w:rPr>
              <w:t>soll</w:t>
            </w:r>
            <w:r>
              <w:t>, dass die Menschen in vom Übergang zur Klimaneutralität betroffenen Gebieten nicht zurückgelassen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t>
            </w:r>
            <w:r>
              <w:rPr>
                <w:b/>
                <w:i/>
              </w:rPr>
              <w:t>war</w:t>
            </w:r>
            <w:r>
              <w:t xml:space="preserve">, mit dem sichergestellt werden </w:t>
            </w:r>
            <w:r>
              <w:rPr>
                <w:b/>
                <w:i/>
              </w:rPr>
              <w:t>sollte</w:t>
            </w:r>
            <w:r>
              <w:t>, dass die Menschen in vom Übergang zur Klimaneutralität betroffenen Gebieten nicht zurückgelassen werden; in der Erwägung, dass bislang eine Ausschöpfungsquote von weniger als 5 % erreicht wurde;</w:t>
            </w:r>
          </w:p>
        </w:tc>
        <w:tc>
          <w:tcPr>
            <w:tcW w:w="4876" w:type="dxa"/>
            <w:tcBorders>
              <w:top w:val="nil"/>
              <w:left w:val="nil"/>
              <w:bottom w:val="nil"/>
              <w:right w:val="nil"/>
            </w:tcBorders>
          </w:tcPr>
          <w:p>
            <w:pPr>
              <w:pStyle w:val="Normal6a"/>
            </w:pPr>
            <w:r>
              <w:t>D.</w:t>
            </w:r>
            <w:r>
              <w:tab/>
            </w:r>
            <w:r>
              <w:t xml:space="preserve">in der Erwägung, dass der EU-Fonds für einen gerechten Übergang als Schlüsselinstrument gedacht </w:t>
            </w:r>
            <w:r>
              <w:rPr>
                <w:b/>
                <w:i/>
              </w:rPr>
              <w:t>ist</w:t>
            </w:r>
            <w:r>
              <w:t xml:space="preserve">, mit dem sichergestellt werden </w:t>
            </w:r>
            <w:r>
              <w:rPr>
                <w:b/>
                <w:i/>
              </w:rPr>
              <w:t>soll</w:t>
            </w:r>
            <w:r>
              <w:t>, dass die Menschen in vom Übergang zur Klimaneutralität betroffenen Gebieten nicht zurückgelassen werden</w:t>
            </w:r>
            <w:r>
              <w:rPr>
                <w:b/>
                <w:i/>
              </w:rPr>
              <w:t>, und ein solches bleiben sollte</w:t>
            </w:r>
            <w:r>
              <w:t>; in der Erwägung, dass bislang eine Ausschöpfungsquote von weniger als 5 % erreicht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ehemalige Torf- und Bergbauregionen Gefahr laufen, wirtschaftlich inaktiver zu werden, wenn keine geeigneten Maßnahmen ergriffen werden;</w:t>
            </w:r>
          </w:p>
        </w:tc>
        <w:tc>
          <w:tcPr>
            <w:tcW w:w="4876" w:type="dxa"/>
            <w:tcBorders>
              <w:top w:val="nil"/>
              <w:left w:val="nil"/>
              <w:bottom w:val="nil"/>
              <w:right w:val="nil"/>
            </w:tcBorders>
          </w:tcPr>
          <w:p>
            <w:pPr>
              <w:pStyle w:val="Normal6a"/>
            </w:pPr>
            <w:r>
              <w:t>E.</w:t>
            </w:r>
            <w:r>
              <w:tab/>
            </w:r>
            <w:r>
              <w:t xml:space="preserve">in der Erwägung, dass ehemalige Torf- und Bergbauregionen Gefahr laufen, wirtschaftlich inaktiver zu werden </w:t>
            </w:r>
            <w:r>
              <w:rPr>
                <w:b/>
                <w:i/>
              </w:rPr>
              <w:t>und noch stärker in einen Zustand der wirtschaftlichen Stagnation zu geraten</w:t>
            </w:r>
            <w:r>
              <w:t xml:space="preserve">, wenn keine geeigneten Maßnahmen ergriffen werden; </w:t>
            </w:r>
            <w:r>
              <w:rPr>
                <w:b/>
                <w:i/>
              </w:rPr>
              <w:t>in der Erwägung, dass diese Gebiete oft von anhaltender Entvölkerung, begrenztem Zugang zu Investitionen, mangelhafter Infrastruktur, unzureichender Anbindung und einer wachsenden Kluft bei der Produktivität und den Beschäftigungsmöglichkeiten im Vergleich zu dynamischeren Regionen betroffen sind;</w:t>
            </w:r>
            <w:r>
              <w:t xml:space="preserve"> </w:t>
            </w:r>
            <w:r>
              <w:rPr>
                <w:b/>
                <w:i/>
              </w:rPr>
              <w:t>in der Erwägung, dass für solche Regionen auf lange Sicht das Risiko eines wirtschaftlichen Niedergangs besteht und damit die territorialen Unterschiede weiter vertieft würden und der allgemeine wirtschaftliche und soziale Zusammenhalt in der gesamten EU geschwächt würde, wenn diese Regionen keine umfassende Unterstützung erhalten und keine Strategien zu ihrer nachhaltigen Entwicklung erarbeitet werden, die auf ihre einzigartigen geografischen und sozioökonomischen Herausforderungen zugeschnitten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ehemalige Torf- und Bergbauregionen Gefahr laufen, wirtschaftlich inaktiver zu werden, wenn keine geeigneten Maßnahmen ergriffen werden;</w:t>
            </w:r>
          </w:p>
        </w:tc>
        <w:tc>
          <w:tcPr>
            <w:tcW w:w="4876" w:type="dxa"/>
            <w:tcBorders>
              <w:top w:val="nil"/>
              <w:left w:val="nil"/>
              <w:bottom w:val="nil"/>
              <w:right w:val="nil"/>
            </w:tcBorders>
          </w:tcPr>
          <w:p>
            <w:pPr>
              <w:pStyle w:val="Normal6a"/>
            </w:pPr>
            <w:r>
              <w:t>E.</w:t>
            </w:r>
            <w:r>
              <w:tab/>
            </w:r>
            <w:r>
              <w:t>in der Erwägung, dass ehemalige Torf- und Bergbauregionen Gefahr laufen, wirtschaftlich inaktiver zu werden, wenn keine geeigneten Maßnahmen ergriffen werden</w:t>
            </w:r>
            <w:r>
              <w:rPr>
                <w:b/>
                <w:i/>
              </w:rPr>
              <w:t>, und dass für Gebiete in äußerster Randlage, die im Hinblick auf die Energieversorgung vor spezifischen Herausforderungen stehen, angemessene Maßnahmen ergriffen werden müssen, um ihre Abhängigkeit von fossilen Brennstoffen – insbesondere Öl – zu verringern, damit die Klimaziele der Union eingehalten werden können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w:t>
            </w:r>
            <w:r>
              <w:rPr>
                <w:b/>
                <w:i/>
              </w:rPr>
              <w:t>ehemalige Torf- und Bergbauregionen Gefahr laufen, wirtschaftlich inaktiver zu werden</w:t>
            </w:r>
            <w:r>
              <w:t>, wenn keine geeigneten Maßnahmen ergriffen werden;</w:t>
            </w:r>
          </w:p>
        </w:tc>
        <w:tc>
          <w:tcPr>
            <w:tcW w:w="4876" w:type="dxa"/>
            <w:tcBorders>
              <w:top w:val="nil"/>
              <w:left w:val="nil"/>
              <w:bottom w:val="nil"/>
              <w:right w:val="nil"/>
            </w:tcBorders>
          </w:tcPr>
          <w:p>
            <w:pPr>
              <w:pStyle w:val="Normal6a"/>
            </w:pPr>
            <w:r>
              <w:t>E.</w:t>
            </w:r>
            <w:r>
              <w:tab/>
            </w:r>
            <w:r>
              <w:t xml:space="preserve">in der Erwägung, dass </w:t>
            </w:r>
            <w:r>
              <w:rPr>
                <w:b/>
                <w:i/>
              </w:rPr>
              <w:t>Regionen, die früher von Torf zur Energieerzeugung, vom Bergbau und von Raffinerien abhängig waren, dem Risiko eines wirtschaftlichen Niedergangs ausgesetzt sind, der ihre Wettbewerbsfähigkeit beeinträchtigen würde</w:t>
            </w:r>
            <w:r>
              <w:t>, wenn keine geeigneten Maßnahmen ergriffen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ehemalige Torf- und Bergbauregionen Gefahr laufen, wirtschaftlich inaktiver zu werden, wenn keine geeigneten Maßnahmen ergriffen werden;</w:t>
            </w:r>
          </w:p>
        </w:tc>
        <w:tc>
          <w:tcPr>
            <w:tcW w:w="4876" w:type="dxa"/>
            <w:tcBorders>
              <w:top w:val="nil"/>
              <w:left w:val="nil"/>
              <w:bottom w:val="nil"/>
              <w:right w:val="nil"/>
            </w:tcBorders>
          </w:tcPr>
          <w:p>
            <w:pPr>
              <w:pStyle w:val="Normal6a"/>
            </w:pPr>
            <w:r>
              <w:t>E.</w:t>
            </w:r>
            <w:r>
              <w:tab/>
            </w:r>
            <w:r>
              <w:t>in der Erwägung, dass ehemalige Torf- und Bergbauregionen </w:t>
            </w:r>
            <w:r>
              <w:rPr>
                <w:b/>
                <w:i/>
              </w:rPr>
              <w:t>– sowie einstig von Hüttenwesen und anderer Schwerindustrie geprägte Regionen –</w:t>
            </w:r>
            <w:r>
              <w:t xml:space="preserve"> Gefahr laufen, wirtschaftlich inaktiver zu werden, wenn keine geeigneten Maßnahmen ergriffen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ehemalige Torf- und Bergbauregionen Gefahr laufen, wirtschaftlich inaktiver zu werden, wenn keine geeigneten Maßnahmen ergriffen werden;</w:t>
            </w:r>
          </w:p>
        </w:tc>
        <w:tc>
          <w:tcPr>
            <w:tcW w:w="4876" w:type="dxa"/>
            <w:tcBorders>
              <w:top w:val="nil"/>
              <w:left w:val="nil"/>
              <w:bottom w:val="nil"/>
              <w:right w:val="nil"/>
            </w:tcBorders>
          </w:tcPr>
          <w:p>
            <w:pPr>
              <w:pStyle w:val="Normal6a"/>
            </w:pPr>
            <w:r>
              <w:t>E.</w:t>
            </w:r>
            <w:r>
              <w:tab/>
            </w:r>
            <w:r>
              <w:t xml:space="preserve">in der Erwägung, dass ehemalige Torf- und Bergbauregionen Gefahr laufen, wirtschaftlich </w:t>
            </w:r>
            <w:r>
              <w:rPr>
                <w:b/>
                <w:i/>
              </w:rPr>
              <w:t>und finanziell</w:t>
            </w:r>
            <w:r>
              <w:t xml:space="preserve"> inaktiver zu werden, wenn keine geeigneten Maßnahmen ergriffen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ehemalige Torf- und Bergbauregionen Gefahr laufen, wirtschaftlich </w:t>
            </w:r>
            <w:r>
              <w:rPr>
                <w:b/>
                <w:i/>
              </w:rPr>
              <w:t>inaktiver</w:t>
            </w:r>
            <w:r>
              <w:t xml:space="preserve"> zu werden, wenn keine geeigneten Maßnahmen ergriffen werden;</w:t>
            </w:r>
          </w:p>
        </w:tc>
        <w:tc>
          <w:tcPr>
            <w:tcW w:w="4876" w:type="dxa"/>
            <w:tcBorders>
              <w:top w:val="nil"/>
              <w:left w:val="nil"/>
              <w:bottom w:val="nil"/>
              <w:right w:val="nil"/>
            </w:tcBorders>
          </w:tcPr>
          <w:p>
            <w:pPr>
              <w:pStyle w:val="Normal6a"/>
            </w:pPr>
            <w:r>
              <w:t>E.</w:t>
            </w:r>
            <w:r>
              <w:tab/>
            </w:r>
            <w:r>
              <w:t xml:space="preserve">in der Erwägung, dass ehemalige Torf- und Bergbauregionen Gefahr laufen, wirtschaftlich </w:t>
            </w:r>
            <w:r>
              <w:rPr>
                <w:b/>
                <w:i/>
              </w:rPr>
              <w:t>völlig inaktiv</w:t>
            </w:r>
            <w:r>
              <w:t xml:space="preserve"> zu werden, wenn keine geeigneten Maßnahmen ergriffen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Nevado del Campo,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es in Anbetracht des begrenzten territorialen Charakters des Fonds für einen gerechten Übergang und im Einklang mit dem Subsidiaritätsprinzip angebracht wäre, in der Programmplanungsphase der Finanzmittel für die Zeit nach 2027 eine Vor-Ort-Herangehensweise verfolgen zu können, bei der den detaillierteren Kenntnissen der lokalen und regionalen Gebietskörperschaften in den betreffenden Gebieten Rechnung getragen wird, indem gegebenenfalls die Ausarbeitung von Bottom-up-Strategien gefördert wird, bei denen die Rolle der Einrichtungen, die die der Programmplanung unterliegenden Gebiete am besten repräsentieren, berücksichtigt wird;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durch den demografischen Wandel – der unter anderem durch Entvölkerung des ländlichen Raums und eine alternde Bevölkerung geprägt ist – in bestimmten Regionen der EU die Gefahr steigt, dass die Nichterwerbstätigkeit zunimmt, worauf im künftigen MFR mit speziellen Mechanismen reagiert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insbesondere im ländlichen Raum und in abgelegenen Gebieten der digitale Wandel nach wie vor mit unterschiedlicher Geschwindigkeit erfolgt und weiterhin ein Ungleichgewicht bei der Konnektivität in ganz Europa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das Antragsverfahren für den Fonds für einen gerechten Übergang vereinfacht und flexibler gestaltet werden muss, </w:t>
            </w:r>
            <w:r>
              <w:rPr>
                <w:b/>
                <w:i/>
              </w:rPr>
              <w:t>um seine Nutzung</w:t>
            </w:r>
            <w:r>
              <w:t xml:space="preserve"> zu maximieren;</w:t>
            </w:r>
          </w:p>
        </w:tc>
        <w:tc>
          <w:tcPr>
            <w:tcW w:w="4876" w:type="dxa"/>
            <w:tcBorders>
              <w:top w:val="nil"/>
              <w:left w:val="nil"/>
              <w:bottom w:val="nil"/>
              <w:right w:val="nil"/>
            </w:tcBorders>
          </w:tcPr>
          <w:p>
            <w:pPr>
              <w:pStyle w:val="Normal6a"/>
            </w:pPr>
            <w:r>
              <w:t>F.</w:t>
            </w:r>
            <w:r>
              <w:tab/>
            </w:r>
            <w:r>
              <w:t xml:space="preserve">in der Erwägung, dass das Antragsverfahren für den Fonds für einen gerechten Übergang vereinfacht und flexibler gestaltet werden muss, </w:t>
            </w:r>
            <w:r>
              <w:rPr>
                <w:b/>
                <w:i/>
              </w:rPr>
              <w:t>damit er breiter zugänglich wird und die Mittel schneller und wirksamer eingesetzt werden können;</w:t>
            </w:r>
            <w:r>
              <w:t xml:space="preserve"> </w:t>
            </w:r>
            <w:r>
              <w:rPr>
                <w:b/>
                <w:i/>
              </w:rPr>
              <w:t>in der Erwägung, dass die Vereinfachung der Verfahren von entscheidender Bedeutung ist, um die Wirkung des Fonds für einen gerechten Übergang</w:t>
            </w:r>
            <w:r>
              <w:t xml:space="preserve"> zu maximieren</w:t>
            </w:r>
            <w:r>
              <w:rPr>
                <w:b/>
                <w:i/>
              </w:rPr>
              <w:t> – insbesondere für kleinere Regionen und lokale Gebietskörperschaften mit begrenzten Verwaltungskapazitäten – und damit die Unterstützung rechtzeitig bei den Gemeinschaften und Arbeitskräften, die am stärksten vom ökologischen Wandel betroffen sind, ankommt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das Antragsverfahren für den Fonds für einen gerechten Übergang vereinfacht und flexibler gestaltet werden muss, um seine Nutzung zu maximieren;</w:t>
            </w:r>
          </w:p>
        </w:tc>
        <w:tc>
          <w:tcPr>
            <w:tcW w:w="4876" w:type="dxa"/>
            <w:tcBorders>
              <w:top w:val="nil"/>
              <w:left w:val="nil"/>
              <w:bottom w:val="nil"/>
              <w:right w:val="nil"/>
            </w:tcBorders>
          </w:tcPr>
          <w:p>
            <w:pPr>
              <w:pStyle w:val="Normal6a"/>
            </w:pPr>
            <w:r>
              <w:t>F.</w:t>
            </w:r>
            <w:r>
              <w:tab/>
            </w:r>
            <w:r>
              <w:t>in der Erwägung, dass das Antragsverfahren für den Fonds für einen gerechten Übergang vereinfacht</w:t>
            </w:r>
            <w:r>
              <w:rPr>
                <w:b/>
                <w:i/>
              </w:rPr>
              <w:t>, gestrafft</w:t>
            </w:r>
            <w:r>
              <w:t xml:space="preserve"> und flexibler gestaltet werden muss, um seine Nutzung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die Umweltintegrität des Fonds für einen gerechten Übergang durch die Erteilung verstärkter Umweltauflagen gefestigt werden muss, unter anderem durch die systematische Durchsetzung des Grundsatzes der Vermeidung erheblicher Beeinträchtigungen und die Umsetzung umfassender und transparenter Umweltleitlinien und -garantien;</w:t>
            </w:r>
            <w:r>
              <w:t xml:space="preserve"> </w:t>
            </w:r>
            <w:r>
              <w:rPr>
                <w:b/>
                <w:i/>
              </w:rPr>
              <w:t>in der Erwägung, dass die strikte Anwendung des Verursacherprinzips unverzichtbar ist, um sicherzustellen, dass die Kosten im Zusammenhang mit der Wiederherstellung und dem Schutz der Natur und der Umwidmung von durch umweltschädliche Aktivitäten beeinträchtigten Gebiete in vollem Umfang von den verantwortlichen Unternehmen und Einrichtungen getragen werden, insbesondere von denjenigen, die von diesen Aktivitäten finanziell profitiert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manche Mitgliedstaaten wie zum Beispiel Spanien bereits vor mehr als einem Jahrzehnt mit der schrittweisen Stilllegung ihrer CO</w:t>
            </w:r>
            <w:r>
              <w:rPr>
                <w:b/>
                <w:i/>
                <w:vertAlign w:val="subscript"/>
              </w:rPr>
              <w:t>2</w:t>
            </w:r>
            <w:r>
              <w:rPr>
                <w:b/>
                <w:i/>
              </w:rPr>
              <w:t>-intensiven Industriebetriebe begonnen haben, was bereits vor der Einrichtung des Fonds für einen gerechten Übergang zu einer ausgeprägten Entvölkerung in vielen ländlichen Gebieten – in einigen Fällen über 50 % – geführt hat;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ein territorialer und ortsbezogener Ansatz entscheidend ist, um sicherzustellen, dass die Finanzierungsinstrumente wirksam an die lokalen Bedürfnisse angepasst werden, insbesondere wenn es darum geht, den industriellen Wandel voranzutreiben und die Wettbewerbsfähigkeit in Regionen zu steigern, die Gefahr laufen, zurückgelassen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der Verkehrssektor von entscheidender Bedeutung ist, um bis 2050 Klimaneutralität zu erreichen;</w:t>
            </w:r>
            <w:r>
              <w:t xml:space="preserve"> </w:t>
            </w:r>
            <w:r>
              <w:rPr>
                <w:b/>
                <w:i/>
              </w:rPr>
              <w:t>in der Erwägung, dass mehr Investitionen erforderlich sind, um auf inklusive und sozial gerechte Weise den Übergang zu nachhaltiger und intelligenter Mobilität im Einklang mit dem Grünen Deal zu beschleunigen;</w:t>
            </w:r>
            <w:r>
              <w:t xml:space="preserve"> </w:t>
            </w:r>
            <w:r>
              <w:rPr>
                <w:b/>
                <w:i/>
              </w:rPr>
              <w:t>in der Erwägung, dass individuelle Mobilität für alle zugänglich und erschwinglich bleiben sollte, insbesondere für die Bewohner ländlicher und entlegener Gebiete und Inselbewohner, die keinen oder nur geringen Zugang zu einem hochwertigen Angebot an öffentlichen Verkehrsmitteln oder anderen Mobilitätslösungen haben;</w:t>
            </w:r>
            <w:r>
              <w:t xml:space="preserve"> </w:t>
            </w:r>
            <w:r>
              <w:rPr>
                <w:b/>
                <w:i/>
              </w:rPr>
              <w:t>in der Erwägung, dass bestimmte Regionen, Gemeinschaften und Sektoren, insbesondere ehemalige Torf- und Bergbauregionen, Gebiete in äußerster Randlage und Inseln, bei diesem Übergang besonderen und beträchtlichen Herausforderungen im Bereich Mobilität gegenüberstehen;</w:t>
            </w:r>
            <w:r>
              <w:t xml:space="preserve"> </w:t>
            </w:r>
            <w:r>
              <w:rPr>
                <w:b/>
                <w:i/>
              </w:rPr>
              <w:t>in der Erwägung, dass in diesen Gebieten mehrere Schwierigkeiten zusammenkommen, da die Gebiete geografisch isoliert sind, nur eingeschränkten Zugang zu moderner Verkehrsinfrastruktur haben und übermäßig von traditionellen, CO</w:t>
            </w:r>
            <w:r>
              <w:rPr>
                <w:b/>
                <w:i/>
                <w:vertAlign w:val="subscript"/>
              </w:rPr>
              <w:t>2</w:t>
            </w:r>
            <w:r>
              <w:rPr>
                <w:b/>
                <w:i/>
              </w:rPr>
              <w:t>-intensiven Verkehrsträgern abhängig sind, weshalb sie schlechter in der Lage sind, auf nachhaltigere Alternativen zurückzugreifen;</w:t>
            </w:r>
            <w:r>
              <w:t xml:space="preserve"> </w:t>
            </w:r>
            <w:r>
              <w:rPr>
                <w:b/>
                <w:i/>
              </w:rPr>
              <w:t>in der Erwägung, dass die Kohäsionspolitik eine zentrale Rolle dabei spielen sollte, diesen Unterschieden zu begegnen und eine gerechte und wirksame Mobilitätswende in allen Regionen voranzutreiben;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eine widerstandsfähige, sichere und nachhaltige Infrastruktur wesentlich ist, um den Herausforderungen durch den Klimawandel zu begegnen, für langfristige ökologische und soziale Nachhaltigkeit zu sorgen und inklusives Wirtschaftswachstum zu fördern;</w:t>
            </w:r>
            <w:r>
              <w:t xml:space="preserve"> </w:t>
            </w:r>
            <w:r>
              <w:rPr>
                <w:b/>
                <w:i/>
              </w:rPr>
              <w:t>in der Erwägung, dass die Infrastruktur in allen Bereichen gestärkt werden muss, um den zunehmenden Auswirkungen klimabezogener Ereignisse standzuhalten und gleichzeitig einen Beitrag zu den Zielen im Hinblick auf CO</w:t>
            </w:r>
            <w:r>
              <w:rPr>
                <w:b/>
                <w:i/>
                <w:vertAlign w:val="subscript"/>
              </w:rPr>
              <w:t>2</w:t>
            </w:r>
            <w:r>
              <w:rPr>
                <w:b/>
                <w:i/>
              </w:rPr>
              <w:t>-Neutralität zu leisten;</w:t>
            </w:r>
            <w:r>
              <w:t xml:space="preserve"> </w:t>
            </w:r>
            <w:r>
              <w:rPr>
                <w:b/>
                <w:i/>
              </w:rPr>
              <w:t>in der Erwägung, dass die Modernisierung und Diversifizierung der Infrastruktursysteme die Zugänglichkeit verbessern, Innovationen fördern und den Übergang zu einer grünen Wirtschaft unterstützen kann;</w:t>
            </w:r>
            <w:r>
              <w:t xml:space="preserve"> </w:t>
            </w:r>
            <w:r>
              <w:rPr>
                <w:b/>
                <w:i/>
              </w:rPr>
              <w:t>in der Erwägung, dass gewisse Regionen – insbesondere solche, die geografisch isoliert oder wirtschaftlich benachteiligt sind – unverhältnismäßig stark von Lücken in der Infrastruktur und mangelndem Zugang zu modernen Dienstleistungen betroffen sind;</w:t>
            </w:r>
            <w:r>
              <w:t xml:space="preserve"> </w:t>
            </w:r>
            <w:r>
              <w:rPr>
                <w:b/>
                <w:i/>
              </w:rPr>
              <w:t>in der Erwägung, dass durch gezielte Investitionen in eine resiliente Infrastruktur Beschäftigungsmöglichkeiten geschaffen, mehr soziale Gerechtigkeit erreicht und robustere Gemeinschaften gefördert werden, indem dafür gesorgt wird, dass alle Gebiete von nachhaltiger, zuverlässiger und zugänglicher Infrastruktur profitieren, und dass der Kohäsionspolitik eine strategische Funktion dabei zukommen sollte, Lücken in der Infrastruktur zu schließen, den territorialen Zusammenhalt zu fördern und sicherzustellen, dass beim ökologischen Wandel keine Region zurückgelassen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in der Erwägung, dass der Tourismus ein Schlüsselsektor der Wirtschaft in der EU ist – trägt er doch direkt und indirekt zu mehr als 10 % des BIP der EU bei – und dass er eine entscheidende Rolle bei der Förderung der Wettbewerbsfähigkeit, dem sozialen Wohlergehen und der Schaffung nachhaltiger Arbeitsplätze spielt, insbesondere in Regionen, die stark vom Tourismus abhängig sind;</w:t>
            </w:r>
            <w:r>
              <w:t xml:space="preserve"> </w:t>
            </w:r>
            <w:r>
              <w:rPr>
                <w:b/>
                <w:i/>
              </w:rPr>
              <w:t>in der Erwägung, dass der Tourismus erheblich zum territorialen Zusammenhalt beitragen kann, insbesondere in abgelegenen Regionen, ländlichen Gebieten, Küstenregionen, Regionen in äußerster Randlage und Inselregionen, und dass er die wirtschaftliche Diversifizierung und einen gerechten Übergang in Gebieten unterstützen kann, die mit strukturellen Herausforderungen, einem Bevölkerungsrückgang oder einer Abhängigkeit von CO</w:t>
            </w:r>
            <w:r>
              <w:rPr>
                <w:b/>
                <w:i/>
                <w:vertAlign w:val="subscript"/>
              </w:rPr>
              <w:t>2</w:t>
            </w:r>
            <w:r>
              <w:rPr>
                <w:b/>
                <w:i/>
              </w:rPr>
              <w:t>-intensiven Industriezweigen konfrontiert sind;</w:t>
            </w:r>
            <w:r>
              <w:t xml:space="preserve"> </w:t>
            </w:r>
            <w:r>
              <w:rPr>
                <w:b/>
                <w:i/>
              </w:rPr>
              <w:t>in der Erwägung, dass die Tourismusbranche der EU, die hauptsächlich von 2,3 Millionen KMU getragen wird, etwa 12,3 Millionen Menschen beschäftigt und eine wichtige Wirtschaftstätigkeit mit einer starken Multiplikatorwirkung in verschiedenen Sektoren ist;</w:t>
            </w:r>
            <w:r>
              <w:t xml:space="preserve"> </w:t>
            </w:r>
            <w:r>
              <w:rPr>
                <w:b/>
                <w:i/>
              </w:rPr>
              <w:t>in der Erwägung, dass die Kohäsionspolitik Strategien für nachhaltigen Tourismus als Teil des gerechten Übergangs unterstützen sollte, indem Widerstandsfähigkeit, Innovation und der ökologische und der digitale Wandel im Tourismussektor gestärkt werden und gleichzeitig inklusives Wachstum und die Erhaltung des Kultur- und Naturerbes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Ausrichtung auf von Arbeitsplatzverlusten betroffene Gebiete</w:t>
            </w:r>
          </w:p>
        </w:tc>
        <w:tc>
          <w:tcPr>
            <w:tcW w:w="4876" w:type="dxa"/>
            <w:tcBorders>
              <w:top w:val="nil"/>
              <w:left w:val="nil"/>
              <w:bottom w:val="nil"/>
              <w:right w:val="nil"/>
            </w:tcBorders>
          </w:tcPr>
          <w:p>
            <w:pPr>
              <w:pStyle w:val="Normal6a"/>
            </w:pPr>
            <w:r>
              <w:t>Ausrichtung auf von Arbeitsplatzverlusten betroffene Gebiete</w:t>
            </w:r>
            <w:r>
              <w:rPr>
                <w:b/>
                <w:i/>
              </w:rPr>
              <w:t>, Überprüfung der Fristen und Stromnetze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betont, dass die Fortführung des Fonds für einen gerechten Übergang im mehrjährigen Finanzrahmen für die Zeit nach 2027 wesentlich ist, um Arbeitsplatzverluste zu verhindern und die betreffenden Regionen beim Übergang zu einer CO</w:t>
            </w:r>
            <w:r>
              <w:rPr>
                <w:b/>
                <w:i/>
                <w:vertAlign w:val="subscript"/>
              </w:rPr>
              <w:t>2</w:t>
            </w:r>
            <w:r>
              <w:rPr>
                <w:b/>
                <w:i/>
              </w:rPr>
              <w:t>-neutralen Wirtschaft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auf, im Rahmen des Fonds für einen gerechten Übergang </w:t>
            </w:r>
            <w:r>
              <w:rPr>
                <w:b/>
                <w:i/>
              </w:rPr>
              <w:t>die Einrichtung von Sonderwirtschaftszonen in von Standortschließungen betroffenen Gebieten zu erleichtern, 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 sollte</w:t>
            </w:r>
            <w:r>
              <w:t>;</w:t>
            </w:r>
          </w:p>
        </w:tc>
        <w:tc>
          <w:tcPr>
            <w:tcW w:w="4876" w:type="dxa"/>
            <w:tcBorders>
              <w:top w:val="nil"/>
              <w:left w:val="nil"/>
              <w:bottom w:val="nil"/>
              <w:right w:val="nil"/>
            </w:tcBorders>
          </w:tcPr>
          <w:p>
            <w:pPr>
              <w:pStyle w:val="Normal6a"/>
            </w:pPr>
            <w:r>
              <w:t>1.</w:t>
            </w:r>
            <w:r>
              <w:tab/>
            </w:r>
            <w:r>
              <w:t xml:space="preserve">fordert die Kommission auf, im Rahmen des Fonds für einen gerechten Übergang </w:t>
            </w:r>
            <w:r>
              <w:rPr>
                <w:b/>
                <w:i/>
              </w:rPr>
              <w:t>gemeinsam mit den Mitgliedstaaten und den Regionen die Einrichtung von Sonderwirtschaftszonen zu erleichtern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t>
            </w:r>
            <w:r>
              <w:rPr>
                <w:b/>
                <w:i/>
              </w:rPr>
              <w:t>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w:t>
            </w:r>
            <w:r>
              <w:t xml:space="preserve"> sollte;</w:t>
            </w:r>
          </w:p>
        </w:tc>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t>
            </w:r>
            <w:r>
              <w:rPr>
                <w:b/>
                <w:i/>
              </w:rPr>
              <w:t>und dabei nicht nur geografische Kriterien, sondern auch soziale Kriterien zu berücksichtigen, wie die Arbeitslosenquoten vor Ort, sozioökonomisch prekäre Verhältnisse und erhöhte Risiken für soziale Ausgrenzung;</w:t>
            </w:r>
            <w:r>
              <w:t xml:space="preserve"> </w:t>
            </w:r>
            <w:r>
              <w:rPr>
                <w:b/>
                <w:i/>
              </w:rPr>
              <w:t>betont, dass der Zugang zu Finanzmitteln auf einer gründlichen Analyse der tatsächlichen sozialen und wirtschaftlichen Auswirkungen und nicht auf einer bloßen Logik der geografischen Nähe beruhen</w:t>
            </w:r>
            <w:r>
              <w:t xml:space="preserve">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wobei in erster Linie Standorten im Umkreis von 50 km von Gebieten, in denen </w:t>
            </w:r>
            <w:r>
              <w:rPr>
                <w:b/>
                <w:i/>
              </w:rPr>
              <w:t>Arbeitsplatzverluste verzeichnet wurden, und</w:t>
            </w:r>
            <w:r>
              <w:t xml:space="preserve"> anderen Gebieten</w:t>
            </w:r>
            <w:r>
              <w:rPr>
                <w:b/>
                <w:i/>
              </w:rPr>
              <w:t>, in denen die</w:t>
            </w:r>
            <w:r>
              <w:t xml:space="preserve"> Auswirkungen </w:t>
            </w:r>
            <w:r>
              <w:rPr>
                <w:b/>
                <w:i/>
              </w:rPr>
              <w:t>solcher</w:t>
            </w:r>
            <w:r>
              <w:t xml:space="preserve"> Verluste </w:t>
            </w:r>
            <w:r>
              <w:rPr>
                <w:b/>
                <w:i/>
              </w:rPr>
              <w:t>den</w:t>
            </w:r>
            <w:r>
              <w:t xml:space="preserve"> Zugang zum Fonds für einen gerechten Übergang </w:t>
            </w:r>
            <w:r>
              <w:rPr>
                <w:b/>
                <w:i/>
              </w:rPr>
              <w:t>rechtfertigen würden,</w:t>
            </w:r>
            <w:r>
              <w:t xml:space="preserve"> Vorrang beim Zugang zu Finanzmitteln eingeräumt werden sollte;</w:t>
            </w:r>
          </w:p>
        </w:tc>
        <w:tc>
          <w:tcPr>
            <w:tcW w:w="4876" w:type="dxa"/>
            <w:tcBorders>
              <w:top w:val="nil"/>
              <w:left w:val="nil"/>
              <w:bottom w:val="nil"/>
              <w:right w:val="nil"/>
            </w:tcBorders>
          </w:tcPr>
          <w:p>
            <w:pPr>
              <w:pStyle w:val="Normal6a"/>
            </w:pPr>
            <w:r>
              <w:t>1.</w:t>
            </w:r>
            <w:r>
              <w:tab/>
            </w:r>
            <w:r>
              <w:t xml:space="preserve">fordert die Kommission auf, im Rahmen des Fonds für einen gerechten Übergang </w:t>
            </w:r>
            <w:r>
              <w:rPr>
                <w:b/>
                <w:i/>
              </w:rPr>
              <w:t>auf Vorschlag des jeweiligen Mitgliedstaats</w:t>
            </w:r>
            <w:r>
              <w:t xml:space="preserve"> die Einrichtung von Sonderwirtschaftszonen in von Standortschließungen betroffenen Gebieten zu erleichtern, wobei in erster Linie </w:t>
            </w:r>
            <w:r>
              <w:rPr>
                <w:b/>
                <w:i/>
              </w:rPr>
              <w:t>direkt betroffenen</w:t>
            </w:r>
            <w:r>
              <w:t xml:space="preserve"> Standorten im Umkreis von 50 km von Gebieten, in denen </w:t>
            </w:r>
            <w:r>
              <w:rPr>
                <w:b/>
                <w:i/>
              </w:rPr>
              <w:t>Arbeitsplätze verloren gegangen sind, sowie</w:t>
            </w:r>
            <w:r>
              <w:t xml:space="preserve"> anderen Gebieten</w:t>
            </w:r>
            <w:r>
              <w:rPr>
                <w:b/>
                <w:i/>
              </w:rPr>
              <w:t> – sofern die direkten oder indirekten</w:t>
            </w:r>
            <w:r>
              <w:t xml:space="preserve"> Auswirkungen </w:t>
            </w:r>
            <w:r>
              <w:rPr>
                <w:b/>
                <w:i/>
              </w:rPr>
              <w:t>der</w:t>
            </w:r>
            <w:r>
              <w:t xml:space="preserve"> Verluste </w:t>
            </w:r>
            <w:r>
              <w:rPr>
                <w:b/>
                <w:i/>
              </w:rPr>
              <w:t>es gebührend rechtfertigen,</w:t>
            </w:r>
            <w:r>
              <w:t xml:space="preserve"> Zugang zum Fonds für einen gerechten Übergang </w:t>
            </w:r>
            <w:r>
              <w:rPr>
                <w:b/>
                <w:i/>
              </w:rPr>
              <w:t>zu gewähren –</w:t>
            </w:r>
            <w:r>
              <w:t xml:space="preserve"> Vorrang beim Zugang zu Finanzmitteln eingeräumt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auf, im Rahmen des Fonds für einen gerechten Übergang die Einrichtung von Sonderwirtschaftszonen in von Standortschließungen betroffenen Gebieten zu erleichtern, 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 sollte;</w:t>
            </w:r>
          </w:p>
        </w:tc>
        <w:tc>
          <w:tcPr>
            <w:tcW w:w="4876" w:type="dxa"/>
            <w:tcBorders>
              <w:top w:val="nil"/>
              <w:left w:val="nil"/>
              <w:bottom w:val="nil"/>
              <w:right w:val="nil"/>
            </w:tcBorders>
          </w:tcPr>
          <w:p>
            <w:pPr>
              <w:pStyle w:val="Normal6a"/>
            </w:pPr>
            <w:r>
              <w:t>1.</w:t>
            </w:r>
            <w:r>
              <w:tab/>
            </w:r>
            <w:r>
              <w:t>fordert die Kommission auf, im Rahmen des Fonds für einen gerechten Übergang die Einrichtung von Sonderwirtschaftszonen in von Standortschließungen betroffenen Gebieten zu erleichtern, 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 sollte</w:t>
            </w:r>
            <w:r>
              <w:rPr>
                <w:b/>
                <w:i/>
              </w:rPr>
              <w:t>, und dabei sicherzustellen, dass die wirtschaftliche Erholung von der Bevölkerung getragen und nachhaltig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auf, im Rahmen des Fonds für einen gerechten Übergang die Einrichtung von Sonderwirtschaftszonen in von Standortschließungen betroffenen Gebieten zu erleichtern, 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 sollte;</w:t>
            </w:r>
          </w:p>
        </w:tc>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wobei in erster Linie Standorten im Umkreis von 50 km von Gebieten, in denen Arbeitsplatzverluste verzeichnet wurden, und anderen Gebieten, in denen die Auswirkungen solcher Verluste den Zugang zum Fonds für einen gerechten Übergang rechtfertigen würden, Vorrang beim Zugang zu Finanzmitteln eingeräumt werden sollte </w:t>
            </w:r>
            <w:r>
              <w:rPr>
                <w:b/>
                <w:i/>
              </w:rPr>
              <w:t>und den Beiträgen lokaler Stellen Rechnung getragen werden sollte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wobei in erster Linie Standorten im Umkreis von </w:t>
            </w:r>
            <w:r>
              <w:rPr>
                <w:b/>
                <w:i/>
              </w:rPr>
              <w:t>50</w:t>
            </w:r>
            <w:r>
              <w:t xml:space="preserve"> km von Gebieten, in denen Arbeitsplatzverluste verzeichnet wurden, und anderen Gebieten, in denen die Auswirkungen solcher Verluste den Zugang zum Fonds für einen gerechten Übergang rechtfertigen würden, Vorrang beim Zugang zu Finanzmitteln eingeräumt werden sollte;</w:t>
            </w:r>
          </w:p>
        </w:tc>
        <w:tc>
          <w:tcPr>
            <w:tcW w:w="4876" w:type="dxa"/>
            <w:tcBorders>
              <w:top w:val="nil"/>
              <w:left w:val="nil"/>
              <w:bottom w:val="nil"/>
              <w:right w:val="nil"/>
            </w:tcBorders>
          </w:tcPr>
          <w:p>
            <w:pPr>
              <w:pStyle w:val="Normal6a"/>
            </w:pPr>
            <w:r>
              <w:t>1.</w:t>
            </w:r>
            <w:r>
              <w:tab/>
            </w:r>
            <w:r>
              <w:t xml:space="preserve">fordert die Kommission auf, im Rahmen des Fonds für einen gerechten Übergang die Einrichtung von Sonderwirtschaftszonen in von Standortschließungen betroffenen Gebieten zu erleichtern, wobei in erster Linie Standorten im Umkreis von </w:t>
            </w:r>
            <w:r>
              <w:rPr>
                <w:b/>
                <w:i/>
              </w:rPr>
              <w:t>80</w:t>
            </w:r>
            <w:r>
              <w:t> km von Gebieten, in denen Arbeitsplatzverluste verzeichnet wurden, und anderen Gebieten, in denen die Auswirkungen solcher Verluste den Zugang zum Fonds für einen gerechten Übergang rechtfertigen würden, Vorrang beim Zugang zu Finanzmitteln eingeräumt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betont, dass der räumliche Anwendungsbereich der Fonds, wie z. B. die in der Verordnung (EG) Nr. 1059/2003 genannten lokalen Verwaltungseinheiten, die eine geringe Bevölkerungsdichte aufweisen, im Einklang mit den Kriterien der Leitlinien für Regionalbeihilfen (2021/C 153/01) genauer abgegrenzt werden muss, damit die Investitionen tatsächlich in den Gemeinden ankommen, die unmittelbar von der Stilllegung CO</w:t>
            </w:r>
            <w:r>
              <w:rPr>
                <w:b/>
                <w:i/>
                <w:vertAlign w:val="subscript"/>
              </w:rPr>
              <w:t>2</w:t>
            </w:r>
            <w:r>
              <w:rPr>
                <w:b/>
                <w:i/>
              </w:rPr>
              <w:t>-intensiver Anlagen betroffen sind, und nicht ausschließlich auf die großen städtischen Zentren der NUTS-Ebene 3 ausgerichtet sind;</w:t>
            </w:r>
            <w:r>
              <w:t xml:space="preserve"> </w:t>
            </w:r>
            <w:r>
              <w:rPr>
                <w:b/>
                <w:i/>
              </w:rPr>
              <w:t>schlägt vor, wirksame steuerliche Anreize für Unternehmen einzuführen, die sich in den Gemeinden im Sinne von Artikel 107 Absatz 3 Buchstaben a und c AEUV niederlassen;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Matthias Ecke, Nora Mebarek,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betont, dass die europäischen Struktur- und Investitionsfonds zu einem echten Transformationsinstrument ausgebaut werden müssen, mit dem ein sozial gerechter Übergang garantiert wird;</w:t>
            </w:r>
            <w:r>
              <w:t xml:space="preserve"> </w:t>
            </w:r>
            <w:r>
              <w:rPr>
                <w:b/>
                <w:i/>
              </w:rPr>
              <w:t>fordert, dass der Fonds für einen gerechten Übergang in der künftigen Finanzierungsstruktur beibehalten und auf Regionen ausgeweitet wird, die aufgrund der branchenbezogenen Ausrichtung ihrer Wirtschaft besonders vom Übergang zu einer klimaneutralen Wirtschaft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hält es für notwendig, Maßnahmen zu ergreifen, um die Ausschöpfungsquote der Mittel aus dem Fonds für einen gerechten Übergang zu beschleunigen, unter anderem durch die Vereinfachung der Verwaltungsverfahren und die Schaffung von Unterstützungs- und Beratungsmechanismen für lokale Gebietskörperschaften, damit die Ausschöpfung dieser wesentlichen Mittel möglichst umfassend erfolgen kann;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ist der Ansicht, dass die mögliche Schaffung von Sonderwirtschaftszonen im Rahmen des Fonds für einen gerechten Übergang auf objektiven Kriterien beruhen sollte und dabei die wirtschaftlichen, sozialen und beschäftigungspolitischen Auswirkungen des Übergangsprozesses auf diese Gebiete berücksichtigt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betont, dass die derzeitige und künftige Kohäsionspolitik stark auf schwächere Regionen ausgerichtet und die Abmilderung der negativen Auswirkungen des ökologischen Wandels einer ihrer Schwerpunkte sein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betont, dass der Rückgriff auf die NUTS-Ebene 3 mit Blick auf die territoriale Ausrichtung zwar einen Fortschritt gegenüber der NUTS-Ebene 2 darstellt, in vielen Fällen jedoch immer noch nicht ausreicht, um sicherzustellen, dass die Ressourcen in den Gemeinden ankommen, die am stärksten unmittelbar von der Energiewende betroffen sind;</w:t>
            </w:r>
            <w:r>
              <w:t xml:space="preserve"> </w:t>
            </w:r>
            <w:r>
              <w:rPr>
                <w:b/>
                <w:i/>
              </w:rPr>
              <w:t>fordert, dass geprüft wird, ob Umsetzungs- oder Priorisierungsmechanismen auf kommunaler Ebene (LAU) durchführbar sind, was insbesondere in ländlichen oder entvölkerten Gebieten, in denen umweltschädliche Anlagen stillgelegt wurden, wichtig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hebt hervor, dass die Kohäsionspolitik die richtige Antwort auf wirtschaftliche Ungleichheit ist und dass ihre Funktion angesichts der drohenden Deindustrialisierung derzeit besonders wichtig ist;</w:t>
            </w:r>
            <w:r>
              <w:t xml:space="preserve"> </w:t>
            </w:r>
            <w:r>
              <w:rPr>
                <w:b/>
                <w:i/>
              </w:rPr>
              <w:t>betont nachdrücklich, dass der ökologische Wandel dem Zusammenhalt nicht schaden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fordert die Einführung besonderer Regelungen in diesen Zonen, einschließlich niedrigerer Steuersätze für Unternehmen und Investitionen sowie schnellerer Planungsentscheidungen;</w:t>
            </w:r>
            <w:r>
              <w:t xml:space="preserve"> </w:t>
            </w:r>
            <w:r>
              <w:rPr>
                <w:b/>
                <w:i/>
              </w:rPr>
              <w:t>bekräftigt, dass durch solche Maßnahmen Arbeitsplätze und Chancen für die in diesen Regionen lebenden Menschen geschaffen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Einführung </w:t>
            </w:r>
            <w:r>
              <w:rPr>
                <w:b/>
                <w:i/>
              </w:rPr>
              <w:t>besonderer</w:t>
            </w:r>
            <w:r>
              <w:t xml:space="preserve"> Regelungen in diesen Zonen, einschließlich niedrigerer Steuersätze für Unternehmen und Investitionen sowie </w:t>
            </w:r>
            <w:r>
              <w:rPr>
                <w:b/>
                <w:i/>
              </w:rPr>
              <w:t>schnellerer</w:t>
            </w:r>
            <w:r>
              <w:t xml:space="preserve"> Planungsentscheidungen; bekräftigt, dass durch solche Maßnahmen Arbeitsplätze und Chancen für die in diesen Regionen lebenden Menschen </w:t>
            </w:r>
            <w:r>
              <w:rPr>
                <w:b/>
                <w:i/>
              </w:rPr>
              <w:t>geschaffen</w:t>
            </w:r>
            <w:r>
              <w:t xml:space="preserve"> werden können;</w:t>
            </w:r>
          </w:p>
        </w:tc>
        <w:tc>
          <w:tcPr>
            <w:tcW w:w="4876" w:type="dxa"/>
            <w:tcBorders>
              <w:top w:val="nil"/>
              <w:left w:val="nil"/>
              <w:bottom w:val="nil"/>
              <w:right w:val="nil"/>
            </w:tcBorders>
          </w:tcPr>
          <w:p>
            <w:pPr>
              <w:pStyle w:val="Normal6a"/>
            </w:pPr>
            <w:r>
              <w:t>2.</w:t>
            </w:r>
            <w:r>
              <w:tab/>
            </w:r>
            <w:r>
              <w:t xml:space="preserve">fordert die Einführung </w:t>
            </w:r>
            <w:r>
              <w:rPr>
                <w:b/>
                <w:i/>
              </w:rPr>
              <w:t>von besonderen</w:t>
            </w:r>
            <w:r>
              <w:t xml:space="preserve"> Regelungen</w:t>
            </w:r>
            <w:r>
              <w:rPr>
                <w:b/>
                <w:i/>
              </w:rPr>
              <w:t>, Finanzinstrumenten und Anreizen</w:t>
            </w:r>
            <w:r>
              <w:t xml:space="preserve"> in diesen Zonen, einschließlich </w:t>
            </w:r>
            <w:r>
              <w:rPr>
                <w:b/>
                <w:i/>
              </w:rPr>
              <w:t>befristeter und gezielter</w:t>
            </w:r>
            <w:r>
              <w:t xml:space="preserve"> niedrigerer Steuersätze für Unternehmen und Investitionen </w:t>
            </w:r>
            <w:r>
              <w:rPr>
                <w:b/>
                <w:i/>
              </w:rPr>
              <w:t>auf der Grundlage robuster Sozialauflagen,</w:t>
            </w:r>
            <w:r>
              <w:t xml:space="preserve"> sowie </w:t>
            </w:r>
            <w:r>
              <w:rPr>
                <w:b/>
                <w:i/>
              </w:rPr>
              <w:t>schnellere</w:t>
            </w:r>
            <w:r>
              <w:t xml:space="preserve"> Planungsentscheidungen; bekräftigt, dass durch solche Maßnahmen Arbeitsplätze </w:t>
            </w:r>
            <w:r>
              <w:rPr>
                <w:b/>
                <w:i/>
              </w:rPr>
              <w:t>geschaffen, KMU unterstützt</w:t>
            </w:r>
            <w:r>
              <w:t xml:space="preserve"> und Chancen für die in diesen Regionen lebenden Menschen </w:t>
            </w:r>
            <w:r>
              <w:rPr>
                <w:b/>
                <w:i/>
              </w:rPr>
              <w:t>eröffnet</w:t>
            </w:r>
            <w:r>
              <w:t xml:space="preserve"> werden können</w:t>
            </w:r>
            <w:r>
              <w:rPr>
                <w:b/>
                <w:i/>
              </w:rPr>
              <w:t>, einschließlich Kleinstunternehmen und traditionelle lokale und familiengeführte Unternehmen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Einführung besonderer Regelungen in diesen Zonen, einschließlich niedrigerer Steuersätze für Unternehmen und Investitionen sowie </w:t>
            </w:r>
            <w:r>
              <w:rPr>
                <w:b/>
                <w:i/>
              </w:rPr>
              <w:t>schnellerer</w:t>
            </w:r>
            <w:r>
              <w:t xml:space="preserve"> Planungsentscheidungen; bekräftigt, dass durch solche Maßnahmen Arbeitsplätze und Chancen für die in diesen Regionen lebenden Menschen geschaffen werden können;</w:t>
            </w:r>
          </w:p>
        </w:tc>
        <w:tc>
          <w:tcPr>
            <w:tcW w:w="4876" w:type="dxa"/>
            <w:tcBorders>
              <w:top w:val="nil"/>
              <w:left w:val="nil"/>
              <w:bottom w:val="nil"/>
              <w:right w:val="nil"/>
            </w:tcBorders>
          </w:tcPr>
          <w:p>
            <w:pPr>
              <w:pStyle w:val="Normal6a"/>
            </w:pPr>
            <w:r>
              <w:t>2.</w:t>
            </w:r>
            <w:r>
              <w:tab/>
            </w:r>
            <w:r>
              <w:t>fordert die Einführung besonderer Regelungen in diesen Zonen, einschließlich niedrigerer Steuersätze für Unternehmen und Investitionen </w:t>
            </w:r>
            <w:r>
              <w:rPr>
                <w:b/>
                <w:i/>
              </w:rPr>
              <w:t>– sofern diese den Grundsatz der Stabilität im Binnenmarkt nicht untergraben –,</w:t>
            </w:r>
            <w:r>
              <w:t xml:space="preserve"> sowie </w:t>
            </w:r>
            <w:r>
              <w:rPr>
                <w:b/>
                <w:i/>
              </w:rPr>
              <w:t>schnellere</w:t>
            </w:r>
            <w:r>
              <w:t xml:space="preserve"> Planungsentscheidungen; bekräftigt, dass durch solche Maßnahmen Arbeitsplätze und Chancen für die in diesen Regionen lebenden Menschen geschaffen werden können</w:t>
            </w:r>
            <w:r>
              <w:rPr>
                <w:b/>
                <w:i/>
              </w:rPr>
              <w:t>, wodurch die regionale Entwicklung und die Wettbewerbsfähigkeit gefördert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Einführung besonderer Regelungen in diesen Zonen, einschließlich niedrigerer Steuersätze für Unternehmen und Investitionen sowie </w:t>
            </w:r>
            <w:r>
              <w:rPr>
                <w:b/>
                <w:i/>
              </w:rPr>
              <w:t>schnellerer</w:t>
            </w:r>
            <w:r>
              <w:t xml:space="preserve"> Planungsentscheidungen; bekräftigt, dass durch solche Maßnahmen Arbeitsplätze und Chancen für die in diesen Regionen lebenden Menschen geschaffen werden können;</w:t>
            </w:r>
          </w:p>
        </w:tc>
        <w:tc>
          <w:tcPr>
            <w:tcW w:w="4876" w:type="dxa"/>
            <w:tcBorders>
              <w:top w:val="nil"/>
              <w:left w:val="nil"/>
              <w:bottom w:val="nil"/>
              <w:right w:val="nil"/>
            </w:tcBorders>
          </w:tcPr>
          <w:p>
            <w:pPr>
              <w:pStyle w:val="Normal6a"/>
            </w:pPr>
            <w:r>
              <w:t>2.</w:t>
            </w:r>
            <w:r>
              <w:tab/>
            </w:r>
            <w:r>
              <w:t xml:space="preserve">fordert die Einführung besonderer Regelungen in diesen Zonen, einschließlich </w:t>
            </w:r>
            <w:r>
              <w:rPr>
                <w:b/>
                <w:i/>
              </w:rPr>
              <w:t>befristeter und gezielter</w:t>
            </w:r>
            <w:r>
              <w:t xml:space="preserve"> niedrigerer Steuersätze für Unternehmen und Investitionen </w:t>
            </w:r>
            <w:r>
              <w:rPr>
                <w:b/>
                <w:i/>
              </w:rPr>
              <w:t>auf der Grundlage robuster Sozialauflagen,</w:t>
            </w:r>
            <w:r>
              <w:t xml:space="preserve"> sowie </w:t>
            </w:r>
            <w:r>
              <w:rPr>
                <w:b/>
                <w:i/>
              </w:rPr>
              <w:t>schnellere</w:t>
            </w:r>
            <w:r>
              <w:t xml:space="preserve"> Planungsentscheidungen; bekräftigt, dass durch solche Maßnahmen </w:t>
            </w:r>
            <w:r>
              <w:rPr>
                <w:b/>
                <w:i/>
              </w:rPr>
              <w:t>neue grüne</w:t>
            </w:r>
            <w:r>
              <w:t xml:space="preserve"> Arbeitsplätze und Chancen für die in diesen Regionen lebenden Menschen geschaffen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Einführung besonderer Regelungen in diesen Zonen, </w:t>
            </w:r>
            <w:r>
              <w:rPr>
                <w:b/>
                <w:i/>
              </w:rPr>
              <w:t>einschließlich niedrigerer Steuersätze</w:t>
            </w:r>
            <w:r>
              <w:t xml:space="preserve"> für Unternehmen und Investitionen sowie </w:t>
            </w:r>
            <w:r>
              <w:rPr>
                <w:b/>
                <w:i/>
              </w:rPr>
              <w:t>schnellerer</w:t>
            </w:r>
            <w:r>
              <w:t xml:space="preserve"> Planungsentscheidungen; bekräftigt, dass durch solche Maßnahmen Arbeitsplätze und Chancen für die in diesen Regionen lebenden Menschen geschaffen werden </w:t>
            </w:r>
            <w:r>
              <w:rPr>
                <w:b/>
                <w:i/>
              </w:rPr>
              <w:t>können</w:t>
            </w:r>
            <w:r>
              <w:t>;</w:t>
            </w:r>
          </w:p>
        </w:tc>
        <w:tc>
          <w:tcPr>
            <w:tcW w:w="4876" w:type="dxa"/>
            <w:tcBorders>
              <w:top w:val="nil"/>
              <w:left w:val="nil"/>
              <w:bottom w:val="nil"/>
              <w:right w:val="nil"/>
            </w:tcBorders>
          </w:tcPr>
          <w:p>
            <w:pPr>
              <w:pStyle w:val="Normal6a"/>
            </w:pPr>
            <w:r>
              <w:t>2.</w:t>
            </w:r>
            <w:r>
              <w:tab/>
            </w:r>
            <w:r>
              <w:t xml:space="preserve">fordert die Einführung besonderer </w:t>
            </w:r>
            <w:r>
              <w:rPr>
                <w:b/>
                <w:i/>
              </w:rPr>
              <w:t>Maßnahmen und</w:t>
            </w:r>
            <w:r>
              <w:t xml:space="preserve"> Regelungen in diesen Zonen, </w:t>
            </w:r>
            <w:r>
              <w:rPr>
                <w:b/>
                <w:i/>
              </w:rPr>
              <w:t>wie beispielsweise Anreize</w:t>
            </w:r>
            <w:r>
              <w:t xml:space="preserve"> für Unternehmen und Investitionen</w:t>
            </w:r>
            <w:r>
              <w:rPr>
                <w:b/>
                <w:i/>
              </w:rPr>
              <w:t>,</w:t>
            </w:r>
            <w:r>
              <w:t xml:space="preserve"> sowie </w:t>
            </w:r>
            <w:r>
              <w:rPr>
                <w:b/>
                <w:i/>
              </w:rPr>
              <w:t>schnellere</w:t>
            </w:r>
            <w:r>
              <w:t xml:space="preserve"> Planungsentscheidungen; bekräftigt, dass durch solche Maßnahmen Arbeitsplätze und Chancen für </w:t>
            </w:r>
            <w:r>
              <w:rPr>
                <w:b/>
                <w:i/>
              </w:rPr>
              <w:t>Wirtschaftsakteure und</w:t>
            </w:r>
            <w:r>
              <w:t xml:space="preserve"> die in diesen Regionen lebenden Menschen geschaffen werden </w:t>
            </w:r>
            <w:r>
              <w:rPr>
                <w:b/>
                <w:i/>
              </w:rPr>
              <w:t>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fordert, dass Inselregionen für die Anwendung ermäßigter Steuersätze im Rahmen von Wirtschaftszonen des Fonds für einen gerechten Übergang für Inseln infrage kommen, um den unverhältnismäßig hohen Lebenshaltungskosten in diesen Gebieten zu begegnen, die durch die Auswirkungen des ökologischen Wandels und der Energiewende noch verschärft werden;</w:t>
            </w:r>
            <w:r>
              <w:t xml:space="preserve"> </w:t>
            </w:r>
            <w:r>
              <w:rPr>
                <w:b/>
                <w:i/>
              </w:rPr>
              <w:t>betont, dass derartige steuerliche Maßnahmen von entscheidender Bedeutung sind, um die wirtschaftliche Überlebensfähigkeit der Inselgemeinschaften zu stützen, lokale Unternehmen zu fördern und nachhaltige Investitionen anzuziehen;</w:t>
            </w:r>
            <w:r>
              <w:t xml:space="preserve"> </w:t>
            </w:r>
            <w:r>
              <w:rPr>
                <w:b/>
                <w:i/>
              </w:rPr>
              <w:t>hebt hervor, dass gezielte Steueranreize als wirksames Instrument dienen können, um der anhaltenden Tendenz zur Entvölkerung von Inseln entgegenzuwirken, die Schaffung von Arbeitsplätzen zu unterstützen und eine resiliente und autarke lokale Wirtschaft zu befördern, und gleichzeitig ein gerechter und inklusiver Übergang zur Klimaneutralität gewährleistet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fordert die Kommission und die Mitgliedstaaten nachdrücklich auf, bei den Kriterien für die Auswahl von Projekten, die für eine Finanzierung aus dem Fonds für einen gerechten Übergang in Betracht kommen, eine echte und wirksame positive Diskriminierung anzuwenden und Unternehmensinitiativen, die direkt in den von der Stilllegung CO</w:t>
            </w:r>
            <w:r>
              <w:rPr>
                <w:b/>
                <w:i/>
                <w:vertAlign w:val="subscript"/>
              </w:rPr>
              <w:t>2</w:t>
            </w:r>
            <w:r>
              <w:rPr>
                <w:b/>
                <w:i/>
              </w:rPr>
              <w:t>-intensiver Anlagen betroffenen Gemeinden angesiedelt sind, höher zu bewerten und so sicherzustellen, dass dieser Anreiz in greifbare Ergebnisse mündet;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fordert, dass insbesondere auf das Erfordernis geachtet wird, den Anschluss an das Stromnetz für Projekte, die in Sonderwirtschaftszonen durchgeführt werden und zur Neuausrichtung und Reindustrialisierung dieser Gebiete beitragen, zu fördern;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w:t>
            </w:r>
            <w:r>
              <w:rPr>
                <w:b/>
                <w:i/>
              </w:rPr>
              <w:t>es sich gezeigt hat, dass</w:t>
            </w:r>
            <w:r>
              <w:t xml:space="preserve"> Sonderwirtschaftszonen Investitionen und Wachstum in den entsprechenden Regionen vorantreiben, wie das auch in den Sonderwirtschaftszonen der Fall war, die 1959 am Flughafen Shannon in der Grafschaft Clare (Irland) und 1996 in Katowice in der Woiwodschaft Schlesien (Polen) eingerichtet wurden;</w:t>
            </w:r>
          </w:p>
        </w:tc>
        <w:tc>
          <w:tcPr>
            <w:tcW w:w="4876" w:type="dxa"/>
            <w:tcBorders>
              <w:top w:val="nil"/>
              <w:left w:val="nil"/>
              <w:bottom w:val="nil"/>
              <w:right w:val="nil"/>
            </w:tcBorders>
          </w:tcPr>
          <w:p>
            <w:pPr>
              <w:pStyle w:val="Normal6a"/>
            </w:pPr>
            <w:r>
              <w:t>3.</w:t>
            </w:r>
            <w:r>
              <w:tab/>
            </w:r>
            <w:r>
              <w:t xml:space="preserve">betont, dass Sonderwirtschaftszonen Investitionen und Wachstum in den entsprechenden Regionen vorantreiben </w:t>
            </w:r>
            <w:r>
              <w:rPr>
                <w:b/>
                <w:i/>
              </w:rPr>
              <w:t>können</w:t>
            </w:r>
            <w:r>
              <w:t xml:space="preserve">, wie das auch in den Sonderwirtschaftszonen der Fall war, die 1959 am Flughafen Shannon in der Grafschaft Clare (Irland) und 1996 in Katowice in der Woiwodschaft Schlesien (Polen) eingerichtet wurden; </w:t>
            </w:r>
            <w:r>
              <w:rPr>
                <w:b/>
                <w:i/>
              </w:rPr>
              <w:t>besteht jedoch darauf, dass diese Mechanismen durch strenge europäische Vorschriften geregelt werden, damit die wirtschaftlichen Vorteile tatsächlich die lokale Bevölkerung erreichen und jegliche Form von Sozial- oder Steuerdumping verhindert wird, und dass sie strengen Kriterien für soziale, wirtschaftliche und ökologische Nachhaltigkeit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fordert, dass der Frage nachgegangen wird, ob es sinnvoll ist, die Umsetzungsfristen über das Ende des Programmplanungszeitraums hinaus zu verlängern, damit diese Regionen die festgelegten Übergangsziele erreichen können;</w:t>
            </w:r>
            <w:r>
              <w:t xml:space="preserve"> </w:t>
            </w:r>
            <w:r>
              <w:rPr>
                <w:b/>
                <w:i/>
              </w:rPr>
              <w:t>betont, dass der Übergangsprozess der Regionen, die für eine Förderung aus dem Fonds für einen gerechten Übergang infrage kommen, noch nicht abgeschlossen ist und dass sie auch künftig gezielte Unterstützung benötigen werden, um die verschiedenen Herausforderungen im Zusammenhang mit der Energiewende zu bewältigen;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Gebiete mit rückläufiger Bevölkerungsentwicklung besonderer Aufmerksamkeit bei der Projektgestaltung und -durchführung bedürfen, wobei Synergieeffekte zwischen dem Fonds für einen gerechten Übergang und dem FEDER berücksichtigt werden sollten, insbesondere in Bezug auf die Infrastruktur zur Förderung der Arbeitskräftemobilität;</w:t>
            </w:r>
            <w:r>
              <w:t xml:space="preserve"> </w:t>
            </w:r>
            <w:r>
              <w:rPr>
                <w:b/>
                <w:i/>
              </w:rPr>
              <w:t>fordert darüber hinaus, die im Rahmen des Fonds für einen gerechten Übergang förderfähigen Gebiete auszuweiten und Synergieeffekte mit dem Klima-Sozialfonds zu berücksichtigen, um Familien einzuschließen, die von Energiearmut betroffen oder bedroht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fordert die Kommission auf, sich insbesondere auf Gemeinden unterhalb der NUTS-3-Verwaltungsebene zu konzentrieren, die unmittelbarer mit sozialen, territorialen und wirtschaftlichen Herausforderungen im Zusammenhang mit Übergängen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betont, dass die Stromverteilungsnetze als notwendiges Element für eine wirksame Energiewende in den betroffenen Gebieten ausgebaut werden müssen;</w:t>
            </w:r>
            <w:r>
              <w:t xml:space="preserve"> </w:t>
            </w:r>
            <w:r>
              <w:rPr>
                <w:b/>
                <w:i/>
              </w:rPr>
              <w:t>betont insbesondere, dass es im Interesse größerer Investitionen in erneuerbare Energiequellen von wesentlicher Bedeutung ist, die Aufnahmekapazität der Netze zu erhöhen und die Energiespeichersysteme zu stärken;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fordert eine angemessene Bewertung der Herausforderungen, die sich in Gebieten ergeben, in denen der Bevölkerungsrückgang Wirklichkeit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fordert die Kommission und die Mitgliedstaaten auf, die verfügbaren Mittel aus der Aufbau- und Resilienzfazilität (ARF) zu nutzen, um den Übergangsprozess in den betroffenen Gebieten voranzubringen;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bekräftigt, dass viele der vom Fonds für einen gerechten Übergang betroffenen Regionen auf eine erfolgreiche Geschichte in Bezug auf die Berufsausbildung und die Lehrlingsausbildung zurückblicken können und dass deren Fortsetzung als Priorität betrachtet werden sollte;</w:t>
            </w:r>
          </w:p>
        </w:tc>
        <w:tc>
          <w:tcPr>
            <w:tcW w:w="4876" w:type="dxa"/>
            <w:tcBorders>
              <w:top w:val="nil"/>
              <w:left w:val="nil"/>
              <w:bottom w:val="nil"/>
              <w:right w:val="nil"/>
            </w:tcBorders>
          </w:tcPr>
          <w:p>
            <w:pPr>
              <w:pStyle w:val="Normal6a"/>
            </w:pPr>
            <w:r>
              <w:t>4.</w:t>
            </w:r>
            <w:r>
              <w:tab/>
            </w:r>
            <w:r>
              <w:t xml:space="preserve">bekräftigt, dass viele der vom Fonds für einen gerechten Übergang betroffenen Regionen auf eine erfolgreiche Geschichte in Bezug auf die Berufsausbildung und die Lehrlingsausbildung zurückblicken können und dass deren Fortsetzung als Priorität betrachtet werden sollte; </w:t>
            </w:r>
            <w:r>
              <w:rPr>
                <w:b/>
                <w:i/>
              </w:rPr>
              <w:t>spricht sich für spezifische Förderströme im Rahmen des Fonds für einen gerechten Übergang aus, um Frauen, junge Menschen und marginalisierte Gemeinschaften beim Zugang zu Aus- und Weiterbildungsmöglichkeiten und Lehrstellen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bekräftigt, dass viele der vom Fonds für einen gerechten Übergang betroffenen Regionen auf eine erfolgreiche Geschichte in Bezug auf die Berufsausbildung und die Lehrlingsausbildung zurückblicken können </w:t>
            </w:r>
            <w:r>
              <w:rPr>
                <w:b/>
                <w:i/>
              </w:rPr>
              <w:t>und dass deren Fortsetzung als Priorität betrachtet werden sollte</w:t>
            </w:r>
            <w:r>
              <w:t>;</w:t>
            </w:r>
          </w:p>
        </w:tc>
        <w:tc>
          <w:tcPr>
            <w:tcW w:w="4876" w:type="dxa"/>
            <w:tcBorders>
              <w:top w:val="nil"/>
              <w:left w:val="nil"/>
              <w:bottom w:val="nil"/>
              <w:right w:val="nil"/>
            </w:tcBorders>
          </w:tcPr>
          <w:p>
            <w:pPr>
              <w:pStyle w:val="Normal6a"/>
            </w:pPr>
            <w:r>
              <w:t>4.</w:t>
            </w:r>
            <w:r>
              <w:tab/>
            </w:r>
            <w:r>
              <w:t>bekräftigt, dass viele der vom Fonds für einen gerechten Übergang betroffenen Regionen auf eine erfolgreiche Geschichte in Bezug auf die Berufsausbildung und die Lehrlingsausbildung zurückblicken können</w:t>
            </w:r>
            <w:r>
              <w:rPr>
                <w:b/>
                <w:i/>
              </w:rPr>
              <w:t>, was für die Umschulung von Arbeitskräften als Reaktion auf die neuen Anforderungen des Arbeitsmarktes von wesentlicher Bedeutung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bekräftigt, dass viele der vom Fonds für einen gerechten Übergang betroffenen Regionen auf eine erfolgreiche Geschichte in Bezug auf die Berufsausbildung und die Lehrlingsausbildung zurückblicken können und dass deren Fortsetzung als Priorität betrachtet werden sollte;</w:t>
            </w:r>
          </w:p>
        </w:tc>
        <w:tc>
          <w:tcPr>
            <w:tcW w:w="4876" w:type="dxa"/>
            <w:tcBorders>
              <w:top w:val="nil"/>
              <w:left w:val="nil"/>
              <w:bottom w:val="nil"/>
              <w:right w:val="nil"/>
            </w:tcBorders>
          </w:tcPr>
          <w:p>
            <w:pPr>
              <w:pStyle w:val="Normal6a"/>
            </w:pPr>
            <w:r>
              <w:t>4.</w:t>
            </w:r>
            <w:r>
              <w:tab/>
            </w:r>
            <w:r>
              <w:t xml:space="preserve">bekräftigt, dass viele der vom Fonds für einen gerechten Übergang betroffenen Regionen auf eine </w:t>
            </w:r>
            <w:r>
              <w:rPr>
                <w:b/>
                <w:i/>
              </w:rPr>
              <w:t>beachtliche und</w:t>
            </w:r>
            <w:r>
              <w:t xml:space="preserve"> erfolgreiche Geschichte in Bezug auf die Berufsausbildung und die Lehrlingsausbildung zurückblicken können und dass deren Fortsetzung als Priorität betrachtet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es wichtig ist, dafür zu sorgen, dass der Fonds für einen gerechten Übergang die Inklusion von Menschen mit Behinderungen vorantreibt, indem er dazu beiträgt, neue Formen nachhaltiger Beschäftigung zu schaffen, die auf deren Bedürfnisse zugeschnitten sind;</w:t>
            </w:r>
            <w:r>
              <w:t xml:space="preserve"> </w:t>
            </w:r>
            <w:r>
              <w:rPr>
                <w:b/>
                <w:i/>
              </w:rPr>
              <w:t>hebt hervor, dass sichergestellt werden muss, dass die im Rahmen des Fonds für einen gerechten Übergang finanzierten Projekte inklusiv und zugänglich sind und Chancengleichheit für Menschen mit Behinderungen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ist der Ansicht, dass Berufsbildung eine notwendige Reaktion auf den wirtschaftlichen Wandel in Regionen ist;</w:t>
            </w:r>
            <w:r>
              <w:t xml:space="preserve"> </w:t>
            </w:r>
            <w:r>
              <w:rPr>
                <w:b/>
                <w:i/>
              </w:rPr>
              <w:t>stellt fest, dass hinsichtlich der Berufsbildung nur begrenzte Kapazitäten zur Verfügung stehen und dass die Nachfrage danach zeigt, dass es eine durch den ökologischen Wandel verursachte Krisensituation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in diesem Zusammenhang, dass Investitionen in alle Stufen der allgemeinen und beruflichen Bildung in den betroffenen Gebieten Vorrang eingeräumt werden muss; hebt hervor, dass Mittel für Bildung bereitgestellt werden müssen;</w:t>
            </w:r>
          </w:p>
        </w:tc>
        <w:tc>
          <w:tcPr>
            <w:tcW w:w="4876" w:type="dxa"/>
            <w:tcBorders>
              <w:top w:val="nil"/>
              <w:left w:val="nil"/>
              <w:bottom w:val="nil"/>
              <w:right w:val="nil"/>
            </w:tcBorders>
          </w:tcPr>
          <w:p>
            <w:pPr>
              <w:pStyle w:val="Normal6a"/>
            </w:pPr>
            <w:r>
              <w:t>5.</w:t>
            </w:r>
            <w:r>
              <w:tab/>
            </w:r>
            <w:r>
              <w:t>betont in diesem Zusammenhang, dass Investitionen in alle Stufen der allgemeinen und beruflichen Bildung in den betroffenen Gebieten Vorrang eingeräumt werden muss</w:t>
            </w:r>
            <w:r>
              <w:rPr>
                <w:b/>
                <w:i/>
              </w:rPr>
              <w:t>, unter anderem indem digitale Kompetenzen, Lese- und Schreibkompetenzen und eine grundlegende Rechenkompetenz sowie MINT-Kompetenzen in Ausbildungsprogramme einbezogen werden, und zwar im Einklang mit den jüngsten Mitteilungen der Kommission über die Union der Kompetenzen, über den Aktionsplan für Grundkompetenzen und über den strategischen Rahmen für die Bildung in MINT-Fächern;</w:t>
            </w:r>
            <w:r>
              <w:t xml:space="preserve"> </w:t>
            </w:r>
            <w:r>
              <w:rPr>
                <w:b/>
                <w:i/>
              </w:rPr>
              <w:t>weist mit Nachdruck darauf hin, dass eine gezielte Finanzierung wichtig ist, um grundlegende digitale und technische Kompetenzen zu stärken und damit die Beschäftigungsfähigkeit und Wettbewerbsfähigkeit zu verbessern</w:t>
            </w:r>
            <w:r>
              <w:t>; hebt hervor, dass Mittel für Bildung bereitgestellt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in diesem Zusammenhang, dass Investitionen in alle Stufen der allgemeinen und beruflichen Bildung in den betroffenen Gebieten Vorrang eingeräumt werden muss; hebt hervor, dass Mittel für Bildung bereitgestellt werden müssen;</w:t>
            </w:r>
          </w:p>
        </w:tc>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Mittel für Bildung bereitgestellt werden müssen; </w:t>
            </w:r>
            <w:r>
              <w:rPr>
                <w:b/>
                <w:i/>
              </w:rPr>
              <w:t>stellt fest, dass mittels der Ausbildung und Neuqualifizierung von Arbeitskräften sowie durch Weiterbildung, Umschulung und lebenslanges Lernen branchenübergreifend sichergestellt werden muss, dass niemand aufgrund der Art seines Arbeitsvertrags, seines Geschlechts oder seines geografischen Standorts beim Erreichen des ökologischen und digitalen Wandel in der EU außer Acht gelassen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Mittel für </w:t>
            </w:r>
            <w:r>
              <w:rPr>
                <w:b/>
                <w:i/>
              </w:rPr>
              <w:t>Bildung</w:t>
            </w:r>
            <w:r>
              <w:t xml:space="preserve"> bereitgestellt werden müssen;</w:t>
            </w:r>
          </w:p>
        </w:tc>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Mittel für </w:t>
            </w:r>
            <w:r>
              <w:rPr>
                <w:b/>
                <w:i/>
              </w:rPr>
              <w:t>den Unterricht von Kindern und Studierenden aus den betroffenen Gebieten</w:t>
            </w:r>
            <w:r>
              <w:t xml:space="preserve"> bereitgestellt werden müssen</w:t>
            </w:r>
            <w:r>
              <w:rPr>
                <w:b/>
                <w:i/>
              </w:rPr>
              <w:t>, einschließlich finanzieller Unterstützung für höhere Bildung bis hin zur Hochschulebene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w:t>
            </w:r>
            <w:r>
              <w:rPr>
                <w:b/>
                <w:i/>
              </w:rPr>
              <w:t>in den betroffenen Gebieten</w:t>
            </w:r>
            <w:r>
              <w:t xml:space="preserve"> Vorrang eingeräumt werden muss; hebt hervor, dass Mittel für Bildung bereitgestellt werden müssen;</w:t>
            </w:r>
          </w:p>
        </w:tc>
        <w:tc>
          <w:tcPr>
            <w:tcW w:w="4876" w:type="dxa"/>
            <w:tcBorders>
              <w:top w:val="nil"/>
              <w:left w:val="nil"/>
              <w:bottom w:val="nil"/>
              <w:right w:val="nil"/>
            </w:tcBorders>
          </w:tcPr>
          <w:p>
            <w:pPr>
              <w:pStyle w:val="Normal6a"/>
            </w:pPr>
            <w:r>
              <w:t>5.</w:t>
            </w:r>
            <w:r>
              <w:tab/>
            </w:r>
            <w:r>
              <w:t xml:space="preserve">betont in diesem Zusammenhang, dass </w:t>
            </w:r>
            <w:r>
              <w:rPr>
                <w:b/>
                <w:i/>
              </w:rPr>
              <w:t>in den betroffenen Gebieten</w:t>
            </w:r>
            <w:r>
              <w:t xml:space="preserve"> Investitionen in alle Stufen der allgemeinen und beruflichen Bildung</w:t>
            </w:r>
            <w:r>
              <w:rPr>
                <w:b/>
                <w:i/>
              </w:rPr>
              <w:t>, in Weiterbildung und in Umschulung von Arbeitskräften für alternative Beschäftigungsmöglichkeiten – auch durch Unterstützung bei der Arbeitssuche –</w:t>
            </w:r>
            <w:r>
              <w:t xml:space="preserve"> Vorrang eingeräumt werden muss; hebt hervor, dass Mittel für Bildung bereitgestellt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in diesem Zusammenhang, dass Investitionen in alle Stufen der allgemeinen und beruflichen Bildung in den betroffenen Gebieten Vorrang eingeräumt werden muss; hebt hervor, dass Mittel für Bildung bereitgestellt werden müssen;</w:t>
            </w:r>
          </w:p>
        </w:tc>
        <w:tc>
          <w:tcPr>
            <w:tcW w:w="4876" w:type="dxa"/>
            <w:tcBorders>
              <w:top w:val="nil"/>
              <w:left w:val="nil"/>
              <w:bottom w:val="nil"/>
              <w:right w:val="nil"/>
            </w:tcBorders>
          </w:tcPr>
          <w:p>
            <w:pPr>
              <w:pStyle w:val="Normal6a"/>
            </w:pPr>
            <w:r>
              <w:t>5.</w:t>
            </w:r>
            <w:r>
              <w:tab/>
            </w:r>
            <w:r>
              <w:t>betont in diesem Zusammenhang, dass Investitionen in alle Stufen der allgemeinen und beruflichen Bildung </w:t>
            </w:r>
            <w:r>
              <w:rPr>
                <w:b/>
                <w:i/>
              </w:rPr>
              <w:t>– auch in grüne und digitale Kompetenzen –</w:t>
            </w:r>
            <w:r>
              <w:t xml:space="preserve"> in den betroffenen Gebieten Vorrang eingeräumt werden muss; hebt hervor, dass Mittel für Bildung bereitgestellt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w:t>
            </w:r>
            <w:r>
              <w:rPr>
                <w:b/>
                <w:i/>
              </w:rPr>
              <w:t>Mittel für Bildung bereitgestellt</w:t>
            </w:r>
            <w:r>
              <w:t xml:space="preserve"> werden müssen;</w:t>
            </w:r>
          </w:p>
        </w:tc>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w:t>
            </w:r>
            <w:r>
              <w:rPr>
                <w:b/>
                <w:i/>
              </w:rPr>
              <w:t>Bildungsangebote finanziert</w:t>
            </w:r>
            <w:r>
              <w:t xml:space="preserve"> werden müssen;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w:t>
            </w:r>
            <w:r>
              <w:rPr>
                <w:b/>
                <w:i/>
              </w:rPr>
              <w:t>Mittel</w:t>
            </w:r>
            <w:r>
              <w:t xml:space="preserve"> für Bildung bereitgestellt werden müssen;</w:t>
            </w:r>
          </w:p>
        </w:tc>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w:t>
            </w:r>
            <w:r>
              <w:rPr>
                <w:b/>
                <w:i/>
              </w:rPr>
              <w:t>angemessene EU-Mittel</w:t>
            </w:r>
            <w:r>
              <w:t xml:space="preserve"> für Bildung bereitgestellt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Mittel für Bildung bereitgestellt werden </w:t>
            </w:r>
            <w:r>
              <w:rPr>
                <w:b/>
                <w:i/>
              </w:rPr>
              <w:t>müssen</w:t>
            </w:r>
            <w:r>
              <w:t>;</w:t>
            </w:r>
          </w:p>
        </w:tc>
        <w:tc>
          <w:tcPr>
            <w:tcW w:w="4876" w:type="dxa"/>
            <w:tcBorders>
              <w:top w:val="nil"/>
              <w:left w:val="nil"/>
              <w:bottom w:val="nil"/>
              <w:right w:val="nil"/>
            </w:tcBorders>
          </w:tcPr>
          <w:p>
            <w:pPr>
              <w:pStyle w:val="Normal6a"/>
            </w:pPr>
            <w:r>
              <w:t>5.</w:t>
            </w:r>
            <w:r>
              <w:tab/>
            </w:r>
            <w:r>
              <w:t xml:space="preserve">betont in diesem Zusammenhang, dass Investitionen in alle Stufen der allgemeinen und beruflichen Bildung in den betroffenen Gebieten Vorrang eingeräumt werden muss; hebt hervor, dass Mittel für Bildung bereitgestellt werden </w:t>
            </w:r>
            <w:r>
              <w:rPr>
                <w:b/>
                <w:i/>
              </w:rPr>
              <w:t>können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Investitionen in hochwertige öffentliche Dienste einen entscheidenden Beitrag dazu leisten, die soziale Resilienz zu stärken und wirtschaftliche und soziale Krisen zu bewältigen;</w:t>
            </w:r>
            <w:r>
              <w:t xml:space="preserve"> </w:t>
            </w:r>
            <w:r>
              <w:rPr>
                <w:b/>
                <w:i/>
              </w:rPr>
              <w:t>ist ferner der Ansicht, dass die Mittel stärker auf Investitionen in Menschen ausgerichtet sein sollten, da die Wirtschaft in den EU-Regionen durch einen wirksamen Mix aus Investitionen in Innovation, Humankapital, gute Verwaltung und institutionelle Kapazitäten angekurbelt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dass mindestens 50 % der für Bildung bestimmten Mittel in den betroffenen Regionen für Lehrlingsausbildungen ausgegeben werden, wobei die bereits in die Lehrlingsausbildung getätigten Investitionen anerkannt werden müssen;</w:t>
            </w:r>
          </w:p>
        </w:tc>
        <w:tc>
          <w:tcPr>
            <w:tcW w:w="4876" w:type="dxa"/>
            <w:tcBorders>
              <w:top w:val="nil"/>
              <w:left w:val="nil"/>
              <w:bottom w:val="nil"/>
              <w:right w:val="nil"/>
            </w:tcBorders>
          </w:tcPr>
          <w:p>
            <w:pPr>
              <w:pStyle w:val="Normal6a"/>
            </w:pPr>
            <w:r>
              <w:t>6.</w:t>
            </w:r>
            <w:r>
              <w:tab/>
            </w:r>
            <w:r>
              <w:t xml:space="preserve">fordert, dass mindestens 50 % der für Bildung bestimmten Mittel in den betroffenen Regionen für Lehrlingsausbildungen ausgegeben werden, wobei die bereits in die Lehrlingsausbildung getätigten Investitionen anerkannt werden müssen </w:t>
            </w:r>
            <w:r>
              <w:rPr>
                <w:b/>
                <w:i/>
              </w:rPr>
              <w:t>und außerdem der Ausbildung mit Blick auf die Pflege älterer Menschen sowie der Förderung des lokalen Unternehmertums Vorrang eingeräumt werden muss, und zwar im Wege von Programmen, mit denen die Gründung von Kleinstunternehmen, Genossenschaften und Unternehmen der Sozialwirtschaft, die an die besonderen Gegebenheiten des Gebiets angepasst sind, gefördert wird</w:t>
            </w:r>
            <w:r>
              <w:t>;</w:t>
            </w:r>
            <w:r>
              <w:rPr>
                <w:b/>
                <w:i/>
              </w:rPr>
              <w:t>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dass mindestens 50 % der für Bildung bestimmten Mittel in den betroffenen Regionen für </w:t>
            </w:r>
            <w:r>
              <w:rPr>
                <w:b/>
                <w:i/>
              </w:rPr>
              <w:t>Lehrlingsausbildungen</w:t>
            </w:r>
            <w:r>
              <w:t xml:space="preserve"> ausgegeben werden, wobei die bereits in die Lehrlingsausbildung getätigten Investitionen anerkannt werden müssen;</w:t>
            </w:r>
          </w:p>
        </w:tc>
        <w:tc>
          <w:tcPr>
            <w:tcW w:w="4876" w:type="dxa"/>
            <w:tcBorders>
              <w:top w:val="nil"/>
              <w:left w:val="nil"/>
              <w:bottom w:val="nil"/>
              <w:right w:val="nil"/>
            </w:tcBorders>
          </w:tcPr>
          <w:p>
            <w:pPr>
              <w:pStyle w:val="Normal6a"/>
            </w:pPr>
            <w:r>
              <w:t>6.</w:t>
            </w:r>
            <w:r>
              <w:tab/>
            </w:r>
            <w:r>
              <w:t xml:space="preserve">fordert, dass mindestens 50 % der für Bildung bestimmten Mittel in den betroffenen Regionen für </w:t>
            </w:r>
            <w:r>
              <w:rPr>
                <w:b/>
                <w:i/>
              </w:rPr>
              <w:t>hochwertige Programme zur Lehrlingsausbildung</w:t>
            </w:r>
            <w:r>
              <w:t xml:space="preserve"> ausgegeben werden</w:t>
            </w:r>
            <w:r>
              <w:rPr>
                <w:b/>
                <w:i/>
              </w:rPr>
              <w:t>, um sicherzustellen, dass diese Programme – im Einklang mit den Grundsätzen der EU-Richtlinie (EU) 2022/2041 über angemessene Mindestlöhne – eine gebührende Entlohnung, angemessene Arbeitsbedingungen und eine hochwertige Ausbildung bieten</w:t>
            </w:r>
            <w:r>
              <w:t>, wobei die bereits in die Lehrlingsausbildung getätigten Investitionen anerkannt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dass mindestens 50 % der für Bildung bestimmten Mittel in den betroffenen Regionen für Lehrlingsausbildungen ausgegeben werden, wobei die bereits in die Lehrlingsausbildung getätigten Investitionen anerkannt werden müssen;</w:t>
            </w:r>
          </w:p>
        </w:tc>
        <w:tc>
          <w:tcPr>
            <w:tcW w:w="4876" w:type="dxa"/>
            <w:tcBorders>
              <w:top w:val="nil"/>
              <w:left w:val="nil"/>
              <w:bottom w:val="nil"/>
              <w:right w:val="nil"/>
            </w:tcBorders>
          </w:tcPr>
          <w:p>
            <w:pPr>
              <w:pStyle w:val="Normal6a"/>
            </w:pPr>
            <w:r>
              <w:t>6.</w:t>
            </w:r>
            <w:r>
              <w:tab/>
            </w:r>
            <w:r>
              <w:t>fordert, dass mindestens 50 % der für Bildung bestimmten Mittel in den betroffenen Regionen für Lehrlingsausbildungen</w:t>
            </w:r>
            <w:r>
              <w:rPr>
                <w:b/>
                <w:i/>
              </w:rPr>
              <w:t>, Weiterbildung und Umschulung</w:t>
            </w:r>
            <w:r>
              <w:t xml:space="preserve"> ausgegeben werden, wobei die bereits in die Lehrlingsausbildung getätigten Investitionen anerkannt werden müssen; </w:t>
            </w:r>
            <w:r>
              <w:rPr>
                <w:b/>
                <w:i/>
              </w:rPr>
              <w:t>stellt fest, dass das Programm lebenslanges Lernen für alle Arbeitskräfte in der Region vorantreiben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dass mindestens 50 % der für Bildung bestimmten Mittel in den betroffenen Regionen für Lehrlingsausbildungen ausgegeben werden, wobei die bereits in die Lehrlingsausbildung getätigten Investitionen anerkannt werden müssen;</w:t>
            </w:r>
          </w:p>
        </w:tc>
        <w:tc>
          <w:tcPr>
            <w:tcW w:w="4876" w:type="dxa"/>
            <w:tcBorders>
              <w:top w:val="nil"/>
              <w:left w:val="nil"/>
              <w:bottom w:val="nil"/>
              <w:right w:val="nil"/>
            </w:tcBorders>
          </w:tcPr>
          <w:p>
            <w:pPr>
              <w:pStyle w:val="Normal6a"/>
            </w:pPr>
            <w:r>
              <w:t>6.</w:t>
            </w:r>
            <w:r>
              <w:tab/>
            </w:r>
            <w:r>
              <w:t xml:space="preserve">fordert, dass mindestens 50 % der für Bildung bestimmten Mittel in den betroffenen Regionen für Lehrlingsausbildungen </w:t>
            </w:r>
            <w:r>
              <w:rPr>
                <w:b/>
                <w:i/>
              </w:rPr>
              <w:t>und Berufsbildung, die den Bedürfnissen der lokalen Gemeinschaft entspricht,</w:t>
            </w:r>
            <w:r>
              <w:t xml:space="preserve"> ausgegeben werden, wobei die bereits in die Lehrlingsausbildung getätigten Investitionen anerkannt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dass </w:t>
            </w:r>
            <w:r>
              <w:rPr>
                <w:b/>
                <w:i/>
              </w:rPr>
              <w:t>mindestens 50 %</w:t>
            </w:r>
            <w:r>
              <w:t xml:space="preserve"> der für Bildung bestimmten Mittel in den betroffenen Regionen für Lehrlingsausbildungen ausgegeben </w:t>
            </w:r>
            <w:r>
              <w:rPr>
                <w:b/>
                <w:i/>
              </w:rPr>
              <w:t>werden</w:t>
            </w:r>
            <w:r>
              <w:t>, wobei die bereits in die Lehrlingsausbildung getätigten Investitionen anerkannt werden müssen;</w:t>
            </w:r>
          </w:p>
        </w:tc>
        <w:tc>
          <w:tcPr>
            <w:tcW w:w="4876" w:type="dxa"/>
            <w:tcBorders>
              <w:top w:val="nil"/>
              <w:left w:val="nil"/>
              <w:bottom w:val="nil"/>
              <w:right w:val="nil"/>
            </w:tcBorders>
          </w:tcPr>
          <w:p>
            <w:pPr>
              <w:pStyle w:val="Normal6a"/>
            </w:pPr>
            <w:r>
              <w:t>6.</w:t>
            </w:r>
            <w:r>
              <w:tab/>
            </w:r>
            <w:r>
              <w:t xml:space="preserve">fordert, dass </w:t>
            </w:r>
            <w:r>
              <w:rPr>
                <w:b/>
                <w:i/>
              </w:rPr>
              <w:t>ein erheblicher Teil</w:t>
            </w:r>
            <w:r>
              <w:t xml:space="preserve"> der für Bildung bestimmten Mittel in den betroffenen Regionen für Lehrlingsausbildungen ausgegeben </w:t>
            </w:r>
            <w:r>
              <w:rPr>
                <w:b/>
                <w:i/>
              </w:rPr>
              <w:t>wird</w:t>
            </w:r>
            <w:r>
              <w:t>, wobei die bereits in die Lehrlingsausbildung getätigten Investitionen anerkannt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w:t>
            </w:r>
            <w:r>
              <w:rPr>
                <w:b/>
                <w:i/>
              </w:rPr>
              <w:t>, dass mindestens 50 % der für Bildung bestimmten Mittel in den betroffenen Regionen für Lehrlingsausbildungen ausgegeben werden, wobei die bereits in die</w:t>
            </w:r>
            <w:r>
              <w:t xml:space="preserve"> Lehrlingsausbildung </w:t>
            </w:r>
            <w:r>
              <w:rPr>
                <w:b/>
                <w:i/>
              </w:rPr>
              <w:t>getätigten Investitionen anerkannt werden müssen</w:t>
            </w:r>
            <w:r>
              <w:t>;</w:t>
            </w:r>
          </w:p>
        </w:tc>
        <w:tc>
          <w:tcPr>
            <w:tcW w:w="4876" w:type="dxa"/>
            <w:tcBorders>
              <w:top w:val="nil"/>
              <w:left w:val="nil"/>
              <w:bottom w:val="nil"/>
              <w:right w:val="nil"/>
            </w:tcBorders>
          </w:tcPr>
          <w:p>
            <w:pPr>
              <w:pStyle w:val="Normal6a"/>
            </w:pPr>
            <w:r>
              <w:t>6.</w:t>
            </w:r>
            <w:r>
              <w:tab/>
            </w:r>
            <w:r>
              <w:t xml:space="preserve">fordert </w:t>
            </w:r>
            <w:r>
              <w:rPr>
                <w:b/>
                <w:i/>
              </w:rPr>
              <w:t>die Mitgliedstaaten auf, in die territorialen Pläne für einen gerechten Übergang einen gezielten Ansatz für Bildung und</w:t>
            </w:r>
            <w:r>
              <w:t xml:space="preserve"> Lehrlingsausbildung </w:t>
            </w:r>
            <w:r>
              <w:rPr>
                <w:b/>
                <w:i/>
              </w:rPr>
              <w:t>aufzunehmen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auf, einen spezifischen Mechanismus im Rahmen des Fonds für einen gerechten Übergang festzulegen, um eine Anpassung der Kriterien für die Förderfähigkeit und des Kofinanzierungssatzes für Gebiete in äußerster Randlage und überseeische Länder und Gebiete sicherzustellen, um somit besser auf besondere Herausforderungen im Zusammenhang mit ihrer Insellage, ihrer Abgelegenheit und ihrer wirtschaftlichen Vulnerabilität reagieren zu können;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dass die Mittel aus dem Europäischen Sozialfonds Plus (ESF+) stärker regional ausgerichtet werden und dass größere Synergieeffekte zwischen dem ESF+ und dem Fonds für einen gerechten Übergang erzielt werden, und zwar insbesondere in Bezug auf die allgemeine und berufliche Bildung;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dass die </w:t>
            </w:r>
            <w:r>
              <w:rPr>
                <w:b/>
                <w:i/>
              </w:rPr>
              <w:t>Mittel aus dem</w:t>
            </w:r>
            <w:r>
              <w:t xml:space="preserve"> Europäischen Sozialfonds Plus (ESF+) stärker regional ausgerichtet werden und dass größere Synergieeffekte zwischen dem ESF+ und dem Fonds für einen gerechten Übergang erzielt werden, und zwar insbesondere in Bezug auf die allgemeine und berufliche Bildung;</w:t>
            </w:r>
          </w:p>
        </w:tc>
        <w:tc>
          <w:tcPr>
            <w:tcW w:w="4876" w:type="dxa"/>
            <w:tcBorders>
              <w:top w:val="nil"/>
              <w:left w:val="nil"/>
              <w:bottom w:val="nil"/>
              <w:right w:val="nil"/>
            </w:tcBorders>
          </w:tcPr>
          <w:p>
            <w:pPr>
              <w:pStyle w:val="Normal6a"/>
            </w:pPr>
            <w:r>
              <w:t>7.</w:t>
            </w:r>
            <w:r>
              <w:tab/>
            </w:r>
            <w:r>
              <w:t xml:space="preserve">fordert, dass die </w:t>
            </w:r>
            <w:r>
              <w:rPr>
                <w:b/>
                <w:i/>
              </w:rPr>
              <w:t>Verwaltung des</w:t>
            </w:r>
            <w:r>
              <w:t xml:space="preserve"> Europäischen Sozialfonds Plus (ESF+) </w:t>
            </w:r>
            <w:r>
              <w:rPr>
                <w:b/>
                <w:i/>
              </w:rPr>
              <w:t>sich an einem Mehrebenenansatz orientiert, der nationale, regionale und lokale Gebietskörperschaften einbezieht, die Mittel</w:t>
            </w:r>
            <w:r>
              <w:t xml:space="preserve"> stärker regional ausgerichtet werden und dass größere Synergieeffekte zwischen dem ESF+ und dem Fonds für einen gerechten Übergang erzielt werden, und zwar insbesondere in Bezug auf die allgemeine und berufliche Bildung;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dass die Mittel aus dem Europäischen Sozialfonds Plus (ESF+) stärker regional ausgerichtet werden und dass größere Synergieeffekte zwischen dem ESF+ und dem Fonds für einen gerechten Übergang erzielt werden, und zwar insbesondere in Bezug auf die allgemeine und berufliche Bildung;</w:t>
            </w:r>
          </w:p>
        </w:tc>
        <w:tc>
          <w:tcPr>
            <w:tcW w:w="4876" w:type="dxa"/>
            <w:tcBorders>
              <w:top w:val="nil"/>
              <w:left w:val="nil"/>
              <w:bottom w:val="nil"/>
              <w:right w:val="nil"/>
            </w:tcBorders>
          </w:tcPr>
          <w:p>
            <w:pPr>
              <w:pStyle w:val="Normal6a"/>
            </w:pPr>
            <w:r>
              <w:t>7.</w:t>
            </w:r>
            <w:r>
              <w:tab/>
            </w:r>
            <w:r>
              <w:t xml:space="preserve">fordert, dass die Mittel aus dem Europäischen Sozialfonds Plus (ESF+) stärker regional ausgerichtet werden und dass größere </w:t>
            </w:r>
            <w:r>
              <w:rPr>
                <w:b/>
                <w:i/>
              </w:rPr>
              <w:t>und bessere</w:t>
            </w:r>
            <w:r>
              <w:t xml:space="preserve"> Synergieeffekte zwischen dem ESF+ und dem Fonds für einen gerechten Übergang erzielt werden, und zwar insbesondere in Bezug auf die allgemeine und berufliche Bildung </w:t>
            </w:r>
            <w:r>
              <w:rPr>
                <w:b/>
                <w:i/>
              </w:rPr>
              <w:t>sowie hinsichtlich der Arbeitskräftemobilität in Gebieten, in denen die Bevölkerung zurückgeht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nimmt die zentrale Rolle der Automobilindustrie in der Europäischen Union, unter anderem für die Beschäftigung in verschiedenen Regionen, zur Kenntnis;</w:t>
            </w:r>
            <w:r>
              <w:t xml:space="preserve"> </w:t>
            </w:r>
            <w:r>
              <w:rPr>
                <w:b/>
                <w:i/>
              </w:rPr>
              <w:t>hält es angesichts der Herausforderungen, die sich aus dem globalen Wettbewerb beim Übergang zur Elektromobilität ergeben, und der Auswirkungen ungerechtfertigter Handelshemmnisse für unverzichtbar, die Automobilbranche in den Anwendungsbereich des gerechten Übergangs einzubeziehen;</w:t>
            </w:r>
            <w:r>
              <w:t xml:space="preserve"> </w:t>
            </w:r>
            <w:r>
              <w:rPr>
                <w:b/>
                <w:i/>
              </w:rPr>
              <w:t>betont, dass gezielte Maßnahmen notwendig sind, mit denen der Umschulung von Arbeitskräften Vorrang gegeben wird, und es Initiativen braucht, die auf die Diversifizierung des Wirtschaftsmodells von Regionen mit einer bedeutenden Automobilindustrie abzielen;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nimmt zur Kenntnis, dass mögliche Begünstigte wie Gemeinden durch Liquiditätsprobleme davon abgehalten werden, Mittel für Projekte im Rahmen der Kohäsionspolitik zu beantragen, und fordert daher eine erhebliche und angepasste Erhöhung der Vorfinanzierung in solchen 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stellt fest, dass der ökologische Wandel eine starke geschlechtsspezifische Dimension hat, da tendenziell weniger Frauen grüne Arbeitsplätze haben und Männer tendenziell stärker vom Verschwinden CO</w:t>
            </w:r>
            <w:r>
              <w:rPr>
                <w:b/>
                <w:i/>
                <w:vertAlign w:val="subscript"/>
              </w:rPr>
              <w:t>2</w:t>
            </w:r>
            <w:r>
              <w:rPr>
                <w:b/>
                <w:i/>
              </w:rPr>
              <w:t>-intensiver Arbeitsplätze betroffen sind;</w:t>
            </w:r>
            <w:r>
              <w:t xml:space="preserve"> </w:t>
            </w:r>
            <w:r>
              <w:rPr>
                <w:b/>
                <w:i/>
              </w:rPr>
              <w:t>betont daher, dass bei der Gestaltung und Umsetzung aller Übergangsmaßnahmen eine Geschlechterperspektive erforderlich ist, um eine Vertiefung der Kluft in den lokalen Arbeitsmärkten zu verhindern;</w:t>
            </w:r>
            <w:r>
              <w:t xml:space="preserve"> </w:t>
            </w:r>
            <w:r>
              <w:rPr>
                <w:b/>
                <w:i/>
              </w:rPr>
              <w:t>weist darauf hin, dass der Pflege- und Betreuungsbereich und der zugehörige Wirtschaftszweig (z. B. Kleinkindbetreuung oder Langzeitpflege) entscheidend für einen sozial gerechten ökologischen Wandel sind – ein weiblich dominiertes Arbeitsfeld, in dem die Schaffung von Arbeitsplätzen eine unerlässliche Voraussetzung ist, um unbezahlte Pflegearbeit umzuverteilen und im Zuge des Übergangs sicherzustellen, dass Frauen und Männer die gleichen Beschäftigungschancen haben, auch angesichts neuer Gefahren für die Gesundheit im Zusammenhang mit Klimawandel und Umweltverschmutzung;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ist der Überzeugung, dass der Governance-Rahmen maßgeblich für die Umsetzung des gerechten Übergangs ist und dass alle Bürgerinnen und Bürger und Interessenträger in den Transformationsprozess und in die Entscheidungsfindung über eine gemeinsame Zukunft einbezogen werden müssen;</w:t>
            </w:r>
            <w:r>
              <w:t xml:space="preserve"> </w:t>
            </w:r>
            <w:r>
              <w:rPr>
                <w:b/>
                <w:i/>
              </w:rPr>
              <w:t>ist der Ansicht, dass in diesem Sinne in allen Phasen ein partizipativer Ansatz verfolgt und ein kontinuierlicher Dialog geführt werden muss, unter anderem zur Ausarbeitung einer langfristigen Entwicklungsstrategie, zur Einrichtung eines Überwachungs- und Bewertungssystems und für die Anwendung eines sektorübergreifenden Ansatzes;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auf, mit den Mitgliedstaaten zusammenzuarbeiten, um sicherzustellen, dass Arbeitskräfte, die ihren Arbeitsplatz verloren haben, </w:t>
            </w:r>
            <w:r>
              <w:rPr>
                <w:b/>
                <w:i/>
              </w:rPr>
              <w:t>einen Sonderstatus für die</w:t>
            </w:r>
            <w:r>
              <w:t xml:space="preserve"> Teilnahme an aus dem ESF+ geförderten Beschäftigungs- und Ausbildungsprogrammen an ihrem Ort erhalten;</w:t>
            </w:r>
          </w:p>
        </w:tc>
        <w:tc>
          <w:tcPr>
            <w:tcW w:w="4876" w:type="dxa"/>
            <w:tcBorders>
              <w:top w:val="nil"/>
              <w:left w:val="nil"/>
              <w:bottom w:val="nil"/>
              <w:right w:val="nil"/>
            </w:tcBorders>
          </w:tcPr>
          <w:p>
            <w:pPr>
              <w:pStyle w:val="Normal6a"/>
            </w:pPr>
            <w:r>
              <w:t>8.</w:t>
            </w:r>
            <w:r>
              <w:tab/>
            </w:r>
            <w:r>
              <w:t>fordert die Kommission auf, mit den Mitgliedstaaten</w:t>
            </w:r>
            <w:r>
              <w:rPr>
                <w:b/>
                <w:i/>
              </w:rPr>
              <w:t>, den lokalen und regionalen Gebietskörperschaften, den Gewerkschaften und lokalen Unternehmen</w:t>
            </w:r>
            <w:r>
              <w:t xml:space="preserve"> zusammenzuarbeiten, um sicherzustellen, dass Arbeitskräfte, die ihren Arbeitsplatz verloren haben, </w:t>
            </w:r>
            <w:r>
              <w:rPr>
                <w:b/>
                <w:i/>
              </w:rPr>
              <w:t>besondere Aufmerksamkeit bei der</w:t>
            </w:r>
            <w:r>
              <w:t xml:space="preserve"> Teilnahme an aus dem ESF+ geförderten Beschäftigungs- und Ausbildungsprogrammen an ihrem Ort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auf, mit den Mitgliedstaaten zusammenzuarbeiten, um sicherzustellen, dass Arbeitskräfte, die ihren Arbeitsplatz verloren haben, einen Sonderstatus für die Teilnahme an aus dem ESF+ geförderten Beschäftigungs- und Ausbildungsprogrammen an ihrem Ort erhalten;</w:t>
            </w:r>
          </w:p>
        </w:tc>
        <w:tc>
          <w:tcPr>
            <w:tcW w:w="4876" w:type="dxa"/>
            <w:tcBorders>
              <w:top w:val="nil"/>
              <w:left w:val="nil"/>
              <w:bottom w:val="nil"/>
              <w:right w:val="nil"/>
            </w:tcBorders>
          </w:tcPr>
          <w:p>
            <w:pPr>
              <w:pStyle w:val="Normal6a"/>
            </w:pPr>
            <w:r>
              <w:t>8.</w:t>
            </w:r>
            <w:r>
              <w:tab/>
            </w:r>
            <w:r>
              <w:t xml:space="preserve">fordert die Kommission auf, mit den Mitgliedstaaten zusammenzuarbeiten, um sicherzustellen, dass Arbeitskräfte, die ihren Arbeitsplatz verloren haben, einen Sonderstatus für die Teilnahme an aus dem ESF+ </w:t>
            </w:r>
            <w:r>
              <w:rPr>
                <w:b/>
                <w:i/>
              </w:rPr>
              <w:t>und anderen Finanzierungsprogrammen der EU</w:t>
            </w:r>
            <w:r>
              <w:t xml:space="preserve"> geförderten Beschäftigungs- und Ausbildungsprogrammen an ihrem Ort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auf, mit den Mitgliedstaaten zusammenzuarbeiten, um sicherzustellen, dass Arbeitskräfte, die ihren Arbeitsplatz verloren haben, </w:t>
            </w:r>
            <w:r>
              <w:rPr>
                <w:b/>
                <w:i/>
              </w:rPr>
              <w:t>einen Sonderstatus für</w:t>
            </w:r>
            <w:r>
              <w:t xml:space="preserve"> die Teilnahme an aus dem ESF+ geförderten Beschäftigungs- und Ausbildungsprogrammen </w:t>
            </w:r>
            <w:r>
              <w:rPr>
                <w:b/>
                <w:i/>
              </w:rPr>
              <w:t>an ihrem Ort</w:t>
            </w:r>
            <w:r>
              <w:t xml:space="preserve"> erhalten;</w:t>
            </w:r>
          </w:p>
        </w:tc>
        <w:tc>
          <w:tcPr>
            <w:tcW w:w="4876" w:type="dxa"/>
            <w:tcBorders>
              <w:top w:val="nil"/>
              <w:left w:val="nil"/>
              <w:bottom w:val="nil"/>
              <w:right w:val="nil"/>
            </w:tcBorders>
          </w:tcPr>
          <w:p>
            <w:pPr>
              <w:pStyle w:val="Normal6a"/>
            </w:pPr>
            <w:r>
              <w:t>8.</w:t>
            </w:r>
            <w:r>
              <w:tab/>
            </w:r>
            <w:r>
              <w:t xml:space="preserve">fordert die Kommission auf, mit den Mitgliedstaaten zusammenzuarbeiten, um sicherzustellen, dass Arbeitskräfte, die </w:t>
            </w:r>
            <w:r>
              <w:rPr>
                <w:b/>
                <w:i/>
              </w:rPr>
              <w:t>in diesem Zusammenhang</w:t>
            </w:r>
            <w:r>
              <w:t xml:space="preserve"> ihren Arbeitsplatz verloren haben, </w:t>
            </w:r>
            <w:r>
              <w:rPr>
                <w:b/>
                <w:i/>
              </w:rPr>
              <w:t>in Bezug auf</w:t>
            </w:r>
            <w:r>
              <w:t xml:space="preserve"> die Teilnahme an aus dem ESF+ geförderten Beschäftigungs- und Ausbildungsprogrammen </w:t>
            </w:r>
            <w:r>
              <w:rPr>
                <w:b/>
                <w:i/>
              </w:rPr>
              <w:t>in ihren Gemeinschaften vorrangigen Zugang</w:t>
            </w:r>
            <w:r>
              <w:t xml:space="preserve">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dass im Rahmen des Fonds für einen gerechten Übergang ambitionierte und gezielte Berufsbildungs- und Umschulungsprogramme geschaffen werden müssen – und zwar auch für Arbeitsuchende und Arbeitskräfte, die unmittelbar von den wirtschaftlichen Umbrüchen infolge der Dekarbonisierung betroffen sind, und insbesondere in vorrangigen Bereichen wie erneuerbare Energie, Kreislaufwirtschaft, nachhaltiges Bauen und Mobilität –, um zu verhindern, dass es zu struktureller Langzeitarbeitslosigkeit kommt, und um soziale Spannungen abzumildern;</w:t>
            </w:r>
            <w:r>
              <w:t xml:space="preserve"> </w:t>
            </w:r>
            <w:r>
              <w:rPr>
                <w:b/>
                <w:i/>
              </w:rPr>
              <w:t>drängt darauf, dass in den territorialen Plänen für einen gerechten Übergang spezifische Mittel für diese Maßnahmen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und </w:t>
            </w:r>
            <w:r>
              <w:rPr>
                <w:b/>
                <w:i/>
              </w:rPr>
              <w:t>ihnen</w:t>
            </w:r>
            <w:r>
              <w:t xml:space="preserve"> dadurch </w:t>
            </w:r>
            <w:r>
              <w:rPr>
                <w:b/>
                <w:i/>
              </w:rPr>
              <w:t>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und dadurch </w:t>
            </w:r>
            <w:r>
              <w:rPr>
                <w:b/>
                <w:i/>
              </w:rPr>
              <w:t>ein</w:t>
            </w:r>
            <w:r>
              <w:t xml:space="preserve"> „Bleiberecht“ </w:t>
            </w:r>
            <w:r>
              <w:rPr>
                <w:b/>
                <w:i/>
              </w:rPr>
              <w:t>erhalten;</w:t>
            </w:r>
            <w:r>
              <w:t xml:space="preserve"> </w:t>
            </w:r>
            <w:r>
              <w:rPr>
                <w:b/>
                <w:i/>
              </w:rPr>
              <w:t>fordert die Kommission auf, konkrete Leitlinien für die Anwendung und Durchsetzung dieses Grundsatzes in der EU-Politik herauszugeben;</w:t>
            </w:r>
            <w:r>
              <w:t xml:space="preserve"> </w:t>
            </w:r>
            <w:r>
              <w:rPr>
                <w:b/>
                <w:i/>
              </w:rPr>
              <w:t>fordert eine stärkere Einbeziehung dieses Grundsatzes als Querschnittsgrundsatz in alle Strategien der EU, um so die Ziele des sozialen, wirtschaftlichen und territorialen Zusammenhalts gemäß Artikel 3 und 174 AEUV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w:t>
            </w:r>
            <w:r>
              <w:rPr>
                <w:b/>
                <w:i/>
              </w:rPr>
              <w:t>in Zusammenarbeit mit lokalen Unternehmen Lehrlingsausbildungsprogramme für die</w:t>
            </w:r>
            <w:r>
              <w:t xml:space="preserve"> betroffenen Gebiete entwickelt werden müssen, </w:t>
            </w:r>
            <w:r>
              <w:rPr>
                <w:b/>
                <w:i/>
              </w:rPr>
              <w:t>damit Lehrlinge Erfahrungen in ihren eigenen Gemeinschaften sammeln können und ihnen dadurch 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 xml:space="preserve">betont, dass </w:t>
            </w:r>
            <w:r>
              <w:rPr>
                <w:b/>
                <w:i/>
              </w:rPr>
              <w:t>Lehrlingsausbildungs- und Berufsbildungsprogramme für die vom Übergangsprozess</w:t>
            </w:r>
            <w:r>
              <w:t xml:space="preserve"> betroffenen Gebiete entwickelt werden müssen, </w:t>
            </w:r>
            <w:r>
              <w:rPr>
                <w:b/>
                <w:i/>
              </w:rPr>
              <w:t>um die Zusammenarbeit zwischen Unternehmen und der lokalen Gemeinschaft zu fördern;</w:t>
            </w:r>
            <w:r>
              <w:t xml:space="preserve"> </w:t>
            </w:r>
            <w:r>
              <w:rPr>
                <w:b/>
                <w:i/>
              </w:rPr>
              <w:t>hebt hervor, dass auch der öffentliche Sektor eine aktive Rolle übernehmen sollte, wenn der Privatsektor in dieser Hinsicht nicht genug leisten kann, um sicherzustellen, dass Auszubildende Möglichkeiten in ihren Gemeinschaften vorfinden, und ihr</w:t>
            </w:r>
            <w:r>
              <w:t xml:space="preserve"> „Bleiberecht“ </w:t>
            </w:r>
            <w:r>
              <w:rPr>
                <w:b/>
                <w:i/>
              </w:rPr>
              <w:t>gewahrt bleibt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w:t>
            </w:r>
            <w:r>
              <w:rPr>
                <w:b/>
                <w:i/>
              </w:rPr>
              <w:t>und ihnen dadurch das „Bleiberecht“ gegeben wird</w:t>
            </w:r>
            <w:r>
              <w:t>;</w:t>
            </w:r>
          </w:p>
        </w:tc>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w:t>
            </w:r>
            <w:r>
              <w:rPr>
                <w:b/>
                <w:i/>
              </w:rPr>
              <w:t>und unterschiedliche Programme für flexibles Lernen auf allen Ebenen</w:t>
            </w:r>
            <w:r>
              <w:t xml:space="preserve"> für die betroffenen Gebiete entwickelt werden müssen, damit Lehrlinge </w:t>
            </w:r>
            <w:r>
              <w:rPr>
                <w:b/>
                <w:i/>
              </w:rPr>
              <w:t>und arbeitslose Arbeitskräfte</w:t>
            </w:r>
            <w:r>
              <w:t xml:space="preserve"> Erfahrungen in ihren eigenen Gemeinschaften sammeln können</w:t>
            </w:r>
            <w:r>
              <w:rPr>
                <w:b/>
                <w:i/>
              </w:rPr>
              <w:t>, sich neue Berufsbereiche erschließen können und die Möglichkeit erhalten, in ihren Heimatorten zu bleiben und sich eine gesicherte Existenz aufzubauen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w:t>
            </w:r>
            <w:r>
              <w:rPr>
                <w:b/>
                <w:i/>
              </w:rPr>
              <w:t>Erfahrungen</w:t>
            </w:r>
            <w:r>
              <w:t xml:space="preserve"> in ihren </w:t>
            </w:r>
            <w:r>
              <w:rPr>
                <w:b/>
                <w:i/>
              </w:rPr>
              <w:t>eigenen Gemeinschaften sammeln</w:t>
            </w:r>
            <w:r>
              <w:t xml:space="preserve"> können und </w:t>
            </w:r>
            <w:r>
              <w:rPr>
                <w:b/>
                <w:i/>
              </w:rPr>
              <w:t>ihnen</w:t>
            </w:r>
            <w:r>
              <w:t xml:space="preserve"> dadurch </w:t>
            </w:r>
            <w:r>
              <w:rPr>
                <w:b/>
                <w:i/>
              </w:rPr>
              <w:t>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betont, dass in Zusammenarbeit mit lokalen Unternehmen</w:t>
            </w:r>
            <w:r>
              <w:rPr>
                <w:b/>
                <w:i/>
              </w:rPr>
              <w:t>, Hochschuleinrichtungen, Universitätszentren für Ausbildung und lebenslanges Lernen und der öffentlichen Verwaltung</w:t>
            </w:r>
            <w:r>
              <w:t xml:space="preserve"> Lehrlingsausbildungsprogramme für die betroffenen Gebiete entwickelt werden müssen, damit Lehrlinge </w:t>
            </w:r>
            <w:r>
              <w:rPr>
                <w:b/>
                <w:i/>
              </w:rPr>
              <w:t>sich</w:t>
            </w:r>
            <w:r>
              <w:t xml:space="preserve"> in ihren </w:t>
            </w:r>
            <w:r>
              <w:rPr>
                <w:b/>
                <w:i/>
              </w:rPr>
              <w:t>Gemeinschaften eine berufliche Zukunft aufbauen</w:t>
            </w:r>
            <w:r>
              <w:t xml:space="preserve"> können und dadurch </w:t>
            </w:r>
            <w:r>
              <w:rPr>
                <w:b/>
                <w:i/>
              </w:rPr>
              <w:t>ein</w:t>
            </w:r>
            <w:r>
              <w:t xml:space="preserve"> „Bleiberecht“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w:t>
            </w:r>
            <w:r>
              <w:rPr>
                <w:b/>
                <w:i/>
              </w:rPr>
              <w:t>Erfahrungen</w:t>
            </w:r>
            <w:r>
              <w:t xml:space="preserve"> in ihren </w:t>
            </w:r>
            <w:r>
              <w:rPr>
                <w:b/>
                <w:i/>
              </w:rPr>
              <w:t>eigenen Gemeinschaften</w:t>
            </w:r>
            <w:r>
              <w:t xml:space="preserve"> sammeln können und </w:t>
            </w:r>
            <w:r>
              <w:rPr>
                <w:b/>
                <w:i/>
              </w:rPr>
              <w:t>ihnen</w:t>
            </w:r>
            <w:r>
              <w:t xml:space="preserve"> dadurch </w:t>
            </w:r>
            <w:r>
              <w:rPr>
                <w:b/>
                <w:i/>
              </w:rPr>
              <w:t>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 xml:space="preserve">betont, dass in Zusammenarbeit mit lokalen Unternehmen </w:t>
            </w:r>
            <w:r>
              <w:rPr>
                <w:b/>
                <w:i/>
              </w:rPr>
              <w:t>und der öffentlichen Verwaltung</w:t>
            </w:r>
            <w:r>
              <w:t xml:space="preserve"> Lehrlingsausbildungsprogramme für die betroffenen Gebiete entwickelt werden müssen, damit Lehrlinge </w:t>
            </w:r>
            <w:r>
              <w:rPr>
                <w:b/>
                <w:i/>
              </w:rPr>
              <w:t>sich</w:t>
            </w:r>
            <w:r>
              <w:t xml:space="preserve"> in ihren </w:t>
            </w:r>
            <w:r>
              <w:rPr>
                <w:b/>
                <w:i/>
              </w:rPr>
              <w:t>Gemeinschaften eine berufliche Zukunft aufbauen können, wertvolle Erfahrungen</w:t>
            </w:r>
            <w:r>
              <w:t xml:space="preserve"> sammeln können und dadurch </w:t>
            </w:r>
            <w:r>
              <w:rPr>
                <w:b/>
                <w:i/>
              </w:rPr>
              <w:t>ein</w:t>
            </w:r>
            <w:r>
              <w:t xml:space="preserve"> „Bleiberecht“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und </w:t>
            </w:r>
            <w:r>
              <w:rPr>
                <w:b/>
                <w:i/>
              </w:rPr>
              <w:t>ihnen</w:t>
            </w:r>
            <w:r>
              <w:t xml:space="preserve"> dadurch </w:t>
            </w:r>
            <w:r>
              <w:rPr>
                <w:b/>
                <w:i/>
              </w:rPr>
              <w:t>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und dadurch </w:t>
            </w:r>
            <w:r>
              <w:rPr>
                <w:b/>
                <w:i/>
              </w:rPr>
              <w:t>ein</w:t>
            </w:r>
            <w:r>
              <w:t xml:space="preserve"> „Bleiberecht“ </w:t>
            </w:r>
            <w:r>
              <w:rPr>
                <w:b/>
                <w:i/>
              </w:rPr>
              <w:t>erhalten, was aus kohäsionspolitischer Perspektive oberste Priorität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in Zusammenarbeit mit lokalen Unternehmen Lehrlingsausbildungsprogramme für die betroffenen Gebiete entwickelt werden müssen, damit Lehrlinge Erfahrungen in ihren eigenen Gemeinschaften sammeln können und </w:t>
            </w:r>
            <w:r>
              <w:rPr>
                <w:b/>
                <w:i/>
              </w:rPr>
              <w:t>ihnen</w:t>
            </w:r>
            <w:r>
              <w:t xml:space="preserve"> dadurch </w:t>
            </w:r>
            <w:r>
              <w:rPr>
                <w:b/>
                <w:i/>
              </w:rPr>
              <w:t>das</w:t>
            </w:r>
            <w:r>
              <w:t xml:space="preserve"> „Bleiberecht“ </w:t>
            </w:r>
            <w:r>
              <w:rPr>
                <w:b/>
                <w:i/>
              </w:rPr>
              <w:t>gegeben wird</w:t>
            </w:r>
            <w:r>
              <w:t>;</w:t>
            </w:r>
          </w:p>
        </w:tc>
        <w:tc>
          <w:tcPr>
            <w:tcW w:w="4876" w:type="dxa"/>
            <w:tcBorders>
              <w:top w:val="nil"/>
              <w:left w:val="nil"/>
              <w:bottom w:val="nil"/>
              <w:right w:val="nil"/>
            </w:tcBorders>
          </w:tcPr>
          <w:p>
            <w:pPr>
              <w:pStyle w:val="Normal6a"/>
            </w:pPr>
            <w:r>
              <w:t>9.</w:t>
            </w:r>
            <w:r>
              <w:tab/>
            </w:r>
            <w:r>
              <w:t>betont, dass in Zusammenarbeit mit lokalen Unternehmen</w:t>
            </w:r>
            <w:r>
              <w:rPr>
                <w:b/>
                <w:i/>
              </w:rPr>
              <w:t>, Gewerkschaften und regionalen und lokalen Gebietskörperschaften</w:t>
            </w:r>
            <w:r>
              <w:t xml:space="preserve"> Lehrlingsausbildungsprogramme für die betroffenen Gebiete entwickelt werden müssen, damit Lehrlinge Erfahrungen in ihren eigenen Gemeinschaften sammeln können und dadurch </w:t>
            </w:r>
            <w:r>
              <w:rPr>
                <w:b/>
                <w:i/>
              </w:rPr>
              <w:t>ein</w:t>
            </w:r>
            <w:r>
              <w:t xml:space="preserve"> „Bleiberecht“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wirksame Umschulungs- und Weiterbildungsprogramme lange vor einem Ausstieg oder einem erheblichen industriellen Wandel angemessen geplant und vorbereitet werden müssen;</w:t>
            </w:r>
            <w:r>
              <w:t xml:space="preserve"> </w:t>
            </w:r>
            <w:r>
              <w:rPr>
                <w:b/>
                <w:i/>
              </w:rPr>
              <w:t>stellt fest, dass dies nur erreicht werden kann, wenn Arbeitskräfte das Recht auf bezahlte Fortbildung während der Arbeitszeit haben, wobei die wichtigsten Hindernisse, die Arbeitskräfte von der Teilnahme an Schulungen abhalten, nämlich damit verbundene Kosten, familiäre Verpflichtungen und zeitliche Zwänge, beseitigt werden müssen;</w:t>
            </w:r>
            <w:r>
              <w:t xml:space="preserve"> </w:t>
            </w:r>
            <w:r>
              <w:rPr>
                <w:b/>
                <w:i/>
              </w:rPr>
              <w:t>fordert daher verstärkte Legislativmaßnahmen der EU, um die proaktive Antizipation und Planung des Qualifikationsbedarfs zu erleichtern und diese Rechte für alle betroffenen Arbeitskräfte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wirksame Umschulungs- und Weiterbildungsprogramme lange vor einem Ausstieg oder einem erheblichen industriellen Wandel angemessen geplant und vorbereitet werden müssen;</w:t>
            </w:r>
            <w:r>
              <w:t xml:space="preserve"> </w:t>
            </w:r>
            <w:r>
              <w:rPr>
                <w:b/>
                <w:i/>
              </w:rPr>
              <w:t>stellt fest, dass dies nur erreicht werden kann, wenn Arbeitskräfte das Recht auf bezahlte Fortbildung während der Arbeitszeit haben, wobei die wichtigsten Hindernisse, die Arbeitskräfte von der Teilnahme an Schulungen abhalten, nämlich damit verbundene Kosten, familiäre Verpflichtungen und zeitliche Zwänge, beseitigt werden müssen;</w:t>
            </w:r>
            <w:r>
              <w:t xml:space="preserve"> </w:t>
            </w:r>
            <w:r>
              <w:rPr>
                <w:b/>
                <w:i/>
              </w:rPr>
              <w:t>fordert daher verstärkte Legislativmaßnahmen der EU, um die proaktive Antizipation und Planung des Qualifikationsbedarfs zu erleichtern und diese Rechte für alle betroffenen Arbeitskräfte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Kommission auf, einen Vorschlag für eine Richtlinie über einen gerechten Übergang in der Arbeitswelt vorzulegen, um einen fairen Rahmen für diesen Wandel sicherzustellen, wobei kohäsionspolitische Instrumente genutzt werden sollten, um kostenlose Schulungen während der Arbeitszeit, die Anerkennung erworbener Kompetenzen und eine verstärkte Unterstützung der betroffenen Arbeitskräfte zu finanzieren;</w:t>
            </w:r>
            <w:r>
              <w:t xml:space="preserve"> </w:t>
            </w:r>
            <w:r>
              <w:rPr>
                <w:b/>
                <w:i/>
              </w:rPr>
              <w:t>fordert ferner eine stärkere Koordinierung zwischen dem Fonds für einen gerechten Übergang, dem Europäischen Sozialfonds+ und dem Europäischen Fonds für regionale Entwicklung, um ihre Wirkung auf die Wiedereingliederung und Umschulung der Arbeitskräfte, die von industriellen Umstrukturierungen betroffen sind,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schlägt die Schaffung eines regionalen Überwachungs- und Folgenabschätzungsmechanismus für Lehrlingsausbildungsprogramme vor, an dem alle Interessenträger – lokale Behörden, Arbeitgeber, Bildungseinrichtungen und junge Menschen – beteiligt sind;</w:t>
            </w:r>
            <w:r>
              <w:t xml:space="preserve"> </w:t>
            </w:r>
            <w:r>
              <w:rPr>
                <w:b/>
                <w:i/>
              </w:rPr>
              <w:t>ist der Ansicht, dass dies eine rasche Anpassung der Berufsbildungsstrategien an die Bedürfnisse des Arbeitsmarktes und direkte Rückmeldungen der Teilnehmer ermöglichen würden, sodass die Nachhaltigkeit und Effizienz der Lehrlingsausbildungsprogramme langfristig sichergestellt würden;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der ökologische Wandel in vielen Fällen wirtschaftliche Traditionen sowie soziale und wirtschaftliche Verbindungen in vielen Bereichen zerstört hat, was nicht nur zu einer Wirtschaftskrise, sondern auch zu einer sozialen Krise geführt hat, die sich unter anderem in psychischen Problemen der Arbeitskräfte niederschlägt;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hebt hervor, dass es wichtig ist, das Partnerschaftsprinzip und den Europäischen Verhaltenskodex für Partnerschaften bei jeglicher Programmplanung, Umsetzung und Überwachung der EU-Kohäsionspolitik zu wahren und eine enge Zusammenarbeit zwischen regionalen und lokalen Gebietskörperschaften, nichtstaatlichen Organisationen und Interessengruppen, einschließlich nichtstaatlicher Umweltorganisationen, aufzubauen;</w:t>
            </w:r>
            <w:r>
              <w:t xml:space="preserve"> </w:t>
            </w:r>
            <w:r>
              <w:rPr>
                <w:b/>
                <w:i/>
              </w:rPr>
              <w:t>betont, dass bei diesem Prozess auch der Geschlechterperspektive Rechnung getragen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weist darauf hin, dass bei dem gerechten Übergang die einzigartige Situation der betroffenen Vollzeitbeschäftigten, Teilzeitbeschäftigten und Studierenden außer Acht gelassen wurde; weist darauf hin, dass die Schaffung von saisonalen Ersatzarbeitsplätzen kaum oder gar nicht in Betracht gezogen wurde;</w:t>
            </w:r>
          </w:p>
        </w:tc>
        <w:tc>
          <w:tcPr>
            <w:tcW w:w="4876" w:type="dxa"/>
            <w:tcBorders>
              <w:top w:val="nil"/>
              <w:left w:val="nil"/>
              <w:bottom w:val="nil"/>
              <w:right w:val="nil"/>
            </w:tcBorders>
          </w:tcPr>
          <w:p>
            <w:pPr>
              <w:pStyle w:val="Normal6a"/>
            </w:pPr>
            <w:r>
              <w:t>10.</w:t>
            </w:r>
            <w:r>
              <w:tab/>
            </w:r>
            <w:r>
              <w:t>weist darauf hin, dass bei dem gerechten Übergang die einzigartige Situation der betroffenen Vollzeitbeschäftigten, Teilzeitbeschäftigten und Studierenden außer Acht gelassen wurde; weist darauf hin, dass die Schaffung von saisonalen Ersatzarbeitsplätzen kaum oder gar nicht in Betracht gezogen wurde</w:t>
            </w:r>
            <w:r>
              <w:rPr>
                <w:b/>
                <w:i/>
              </w:rPr>
              <w:t>, und betont, dass abgelegene Gebiete wie Gebiete in äußerster Randlage und überseeische Länder und Gebiete, in denen es aufgrund der lokalen Besonderheiten des Arbeitsmarkts weniger Möglichkeiten zur beruflichen Umorientierung gibt, verstärkt unterstützt werden müssen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bei dem gerechten Übergang die </w:t>
            </w:r>
            <w:r>
              <w:rPr>
                <w:b/>
                <w:i/>
              </w:rPr>
              <w:t>einzigartige Situation der betroffenen Vollzeitbeschäftigten, Teilzeitbeschäftigten und Studierenden außer Acht gelassen wurde;</w:t>
            </w:r>
            <w:r>
              <w:t xml:space="preserve"> </w:t>
            </w:r>
            <w:r>
              <w:rPr>
                <w:b/>
                <w:i/>
              </w:rPr>
              <w:t>weist darauf hin, dass die Schaffung von saisonalen Ersatzarbeitsplätzen kaum oder gar nicht in Betracht gezogen wurde</w:t>
            </w:r>
            <w:r>
              <w:t>;</w:t>
            </w:r>
          </w:p>
        </w:tc>
        <w:tc>
          <w:tcPr>
            <w:tcW w:w="4876" w:type="dxa"/>
            <w:tcBorders>
              <w:top w:val="nil"/>
              <w:left w:val="nil"/>
              <w:bottom w:val="nil"/>
              <w:right w:val="nil"/>
            </w:tcBorders>
          </w:tcPr>
          <w:p>
            <w:pPr>
              <w:pStyle w:val="Normal6a"/>
            </w:pPr>
            <w:r>
              <w:t>10.</w:t>
            </w:r>
            <w:r>
              <w:tab/>
            </w:r>
            <w:r>
              <w:t xml:space="preserve">weist darauf hin, dass bei dem gerechten Übergang die </w:t>
            </w:r>
            <w:r>
              <w:rPr>
                <w:b/>
                <w:i/>
              </w:rPr>
              <w:t>Besonderheiten der verschiedenen Profile von Arbeitskräften und betroffenen Gemeinschaften nicht ausreichend berücksichtigt wurden;</w:t>
            </w:r>
            <w:r>
              <w:t xml:space="preserve"> </w:t>
            </w:r>
            <w:r>
              <w:rPr>
                <w:b/>
                <w:i/>
              </w:rPr>
              <w:t>bedauert ferner, dass keine Alternativen für Saisonarbeit geschaffen wurden, die sowohl als zusätzliche Einkommensquelle für Arbeitskräfte als auch als mögliche Einkommensquelle für Studierende dienen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bei dem gerechten Übergang </w:t>
            </w:r>
            <w:r>
              <w:rPr>
                <w:b/>
                <w:i/>
              </w:rPr>
              <w:t>die einzigartige</w:t>
            </w:r>
            <w:r>
              <w:t xml:space="preserve"> Situation der betroffenen Vollzeitbeschäftigten, Teilzeitbeschäftigten und Studierenden </w:t>
            </w:r>
            <w:r>
              <w:rPr>
                <w:b/>
                <w:i/>
              </w:rPr>
              <w:t>außer Acht gelassen</w:t>
            </w:r>
            <w:r>
              <w:t xml:space="preserve"> wurde; weist darauf hin, dass die Schaffung von saisonalen Ersatzarbeitsplätzen kaum oder gar nicht in Betracht gezogen wurde;</w:t>
            </w:r>
          </w:p>
        </w:tc>
        <w:tc>
          <w:tcPr>
            <w:tcW w:w="4876" w:type="dxa"/>
            <w:tcBorders>
              <w:top w:val="nil"/>
              <w:left w:val="nil"/>
              <w:bottom w:val="nil"/>
              <w:right w:val="nil"/>
            </w:tcBorders>
          </w:tcPr>
          <w:p>
            <w:pPr>
              <w:pStyle w:val="Normal6a"/>
            </w:pPr>
            <w:r>
              <w:t>10.</w:t>
            </w:r>
            <w:r>
              <w:tab/>
            </w:r>
            <w:r>
              <w:t xml:space="preserve">weist darauf hin, dass bei dem gerechten Übergang </w:t>
            </w:r>
            <w:r>
              <w:rPr>
                <w:b/>
                <w:i/>
              </w:rPr>
              <w:t>der einzigartigen</w:t>
            </w:r>
            <w:r>
              <w:t xml:space="preserve"> Situation der betroffenen Vollzeitbeschäftigten, Teilzeitbeschäftigten und Studierenden </w:t>
            </w:r>
            <w:r>
              <w:rPr>
                <w:b/>
                <w:i/>
              </w:rPr>
              <w:t>kein Vorrang eingeräumt</w:t>
            </w:r>
            <w:r>
              <w:t xml:space="preserve"> wurde; weist darauf hin, dass die Schaffung von saisonalen Ersatzarbeitsplätzen kaum oder gar nicht in Betracht gezogen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weist darauf hin</w:t>
            </w:r>
            <w:r>
              <w:t xml:space="preserve">, dass bei dem gerechten Übergang die einzigartige Situation der betroffenen Vollzeitbeschäftigten, Teilzeitbeschäftigten und Studierenden außer Acht gelassen wurde; </w:t>
            </w:r>
            <w:r>
              <w:rPr>
                <w:b/>
                <w:i/>
              </w:rPr>
              <w:t>weist darauf hin</w:t>
            </w:r>
            <w:r>
              <w:t>, dass die Schaffung von saisonalen Ersatzarbeitsplätzen kaum oder gar nicht in Betracht gezogen wurde;</w:t>
            </w:r>
          </w:p>
        </w:tc>
        <w:tc>
          <w:tcPr>
            <w:tcW w:w="4876" w:type="dxa"/>
            <w:tcBorders>
              <w:top w:val="nil"/>
              <w:left w:val="nil"/>
              <w:bottom w:val="nil"/>
              <w:right w:val="nil"/>
            </w:tcBorders>
          </w:tcPr>
          <w:p>
            <w:pPr>
              <w:pStyle w:val="Normal6a"/>
            </w:pPr>
            <w:r>
              <w:t>10.</w:t>
            </w:r>
            <w:r>
              <w:tab/>
            </w:r>
            <w:r>
              <w:rPr>
                <w:b/>
                <w:i/>
              </w:rPr>
              <w:t>nimmt zur Kenntnis</w:t>
            </w:r>
            <w:r>
              <w:t xml:space="preserve">, dass bei dem gerechten Übergang die einzigartige Situation der betroffenen Vollzeitbeschäftigten, Teilzeitbeschäftigten und Studierenden außer Acht gelassen wurde; </w:t>
            </w:r>
            <w:r>
              <w:rPr>
                <w:b/>
                <w:i/>
              </w:rPr>
              <w:t>nimmt zur Kenntnis</w:t>
            </w:r>
            <w:r>
              <w:t>, dass die Schaffung von saisonalen Ersatzarbeitsplätzen kaum oder gar nicht in Betracht gezogen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weist warnend darauf hin, dass einige der Wirtschaftszweige, die geschlossen wurden oder gerade geschlossen werden, Arbeitsbedingungen bieten, die über dem wirtschaftlichen Durchschnitt liegen, darunter höhere Löhne, Risikozulagen sowie Krankenversicherungsschutz für Arbeitskräfte und ihre Familien;</w:t>
            </w:r>
            <w:r>
              <w:t xml:space="preserve"> </w:t>
            </w:r>
            <w:r>
              <w:rPr>
                <w:b/>
                <w:i/>
              </w:rPr>
              <w:t>betont daher, dass im Rahmen des Fonds für einen gerechten Übergang eine vorläufige Finanzierung erforderlich ist, um die Differenz zwischen der Leistungen bei Arbeitslosigkeit und dem neuen Gehalt auszugleichen und somit einen reibungsloseren Übergang zu ermöglichen und dabei sicherzustellen, dass alle zuvor übernommenen vertraglichen Verpflichtungen erfüllt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Hochschul- und Berufsbildungsräte </w:t>
            </w:r>
            <w:r>
              <w:rPr>
                <w:b/>
                <w:i/>
              </w:rPr>
              <w:t>Mittel für die Umschulung von Arbeitskräften und ihren Angehörigen – insbesondere derjenigen über 50 Jahre, die ihren Arbeitsplatz verloren haben – erhalten müssen;</w:t>
            </w:r>
            <w:r>
              <w:t xml:space="preserve"> </w:t>
            </w:r>
            <w:r>
              <w:rPr>
                <w:b/>
                <w:i/>
              </w:rPr>
              <w:t>schlägt vor, dass der Fonds für einen gerechten Übergang auch Umschulungsmöglichkeiten für die Partner und Ehepartner der betroffenen Arbeitskräfte bieten sollte</w:t>
            </w:r>
            <w:r>
              <w:t>;</w:t>
            </w:r>
          </w:p>
        </w:tc>
        <w:tc>
          <w:tcPr>
            <w:tcW w:w="4876" w:type="dxa"/>
            <w:tcBorders>
              <w:top w:val="nil"/>
              <w:left w:val="nil"/>
              <w:bottom w:val="nil"/>
              <w:right w:val="nil"/>
            </w:tcBorders>
          </w:tcPr>
          <w:p>
            <w:pPr>
              <w:pStyle w:val="Normal6a"/>
            </w:pPr>
            <w:r>
              <w:t>11.</w:t>
            </w:r>
            <w:r>
              <w:tab/>
            </w:r>
            <w:r>
              <w:t xml:space="preserve">betont, dass Hochschul- und Berufsbildungsräte </w:t>
            </w:r>
            <w:r>
              <w:rPr>
                <w:b/>
                <w:i/>
              </w:rPr>
              <w:t>ergänzende finanzielle Unterstützung erhalten müssen, um die Umschulung von Arbeitskräften, die eine Änderung ihres beruflichen Profils in Erwägung ziehen, sowie die Umschulung ihrer Angehörigen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Hochschul- und Berufsbildungsräte Mittel für die Umschulung von Arbeitskräften und ihren Angehörigen – insbesondere derjenigen über 50 Jahre, die ihren Arbeitsplatz verloren haben – erhalten müssen; schlägt vor, dass der Fonds für einen gerechten Übergang auch Umschulungsmöglichkeiten für die Partner und Ehepartner der betroffenen Arbeitskräfte bieten sollte;</w:t>
            </w:r>
          </w:p>
        </w:tc>
        <w:tc>
          <w:tcPr>
            <w:tcW w:w="4876" w:type="dxa"/>
            <w:tcBorders>
              <w:top w:val="nil"/>
              <w:left w:val="nil"/>
              <w:bottom w:val="nil"/>
              <w:right w:val="nil"/>
            </w:tcBorders>
          </w:tcPr>
          <w:p>
            <w:pPr>
              <w:pStyle w:val="Normal6a"/>
            </w:pPr>
            <w:r>
              <w:t>11.</w:t>
            </w:r>
            <w:r>
              <w:tab/>
            </w:r>
            <w:r>
              <w:t>betont, dass Hochschul- und Berufsbildungsräte Mittel für die Umschulung von Arbeitskräften und ihren Angehörigen – insbesondere derjenigen über 50 Jahre, die ihren Arbeitsplatz verloren haben</w:t>
            </w:r>
            <w:r>
              <w:rPr>
                <w:b/>
                <w:i/>
              </w:rPr>
              <w:t>, und vor allem der Frauen</w:t>
            </w:r>
            <w:r>
              <w:t xml:space="preserve"> – erhalten müssen; schlägt vor, dass der Fonds für einen gerechten Übergang auch Umschulungsmöglichkeiten für die Partner und Ehepartner der betroffenen Arbeitskräfte bieten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Hochschul- und Berufsbildungsräte Mittel für die Umschulung von Arbeitskräften und ihren Angehörigen – insbesondere derjenigen über 50 Jahre, die ihren Arbeitsplatz verloren haben – erhalten müssen; schlägt vor, dass der Fonds für einen gerechten Übergang auch Umschulungsmöglichkeiten für die Partner und Ehepartner der betroffenen Arbeitskräfte bieten sollte;</w:t>
            </w:r>
          </w:p>
        </w:tc>
        <w:tc>
          <w:tcPr>
            <w:tcW w:w="4876" w:type="dxa"/>
            <w:tcBorders>
              <w:top w:val="nil"/>
              <w:left w:val="nil"/>
              <w:bottom w:val="nil"/>
              <w:right w:val="nil"/>
            </w:tcBorders>
          </w:tcPr>
          <w:p>
            <w:pPr>
              <w:pStyle w:val="Normal6a"/>
            </w:pPr>
            <w:r>
              <w:t>11.</w:t>
            </w:r>
            <w:r>
              <w:tab/>
            </w:r>
            <w:r>
              <w:t xml:space="preserve">betont, dass Hochschul- und Berufsbildungsräte Mittel für die Umschulung von Arbeitskräften und ihren Angehörigen – insbesondere derjenigen über 50 Jahre, die ihren Arbeitsplatz verloren haben – erhalten müssen; schlägt vor, dass der Fonds für einen gerechten Übergang auch </w:t>
            </w:r>
            <w:r>
              <w:rPr>
                <w:b/>
                <w:i/>
              </w:rPr>
              <w:t>Bildungs- und</w:t>
            </w:r>
            <w:r>
              <w:t xml:space="preserve"> Umschulungsmöglichkeiten für die Partner und Ehepartner der betroffenen Arbeitskräfte bieten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Hochschul- und Berufsbildungsräte Mittel für die Umschulung von Arbeitskräften und ihren Angehörigen – insbesondere derjenigen über 50 Jahre, die ihren Arbeitsplatz verloren haben – erhalten müssen; schlägt vor, dass der Fonds für einen gerechten Übergang auch Umschulungsmöglichkeiten für die </w:t>
            </w:r>
            <w:r>
              <w:rPr>
                <w:b/>
                <w:i/>
              </w:rPr>
              <w:t>Partner und Ehepartner</w:t>
            </w:r>
            <w:r>
              <w:t xml:space="preserve"> der betroffenen Arbeitskräfte bieten sollte;</w:t>
            </w:r>
          </w:p>
        </w:tc>
        <w:tc>
          <w:tcPr>
            <w:tcW w:w="4876" w:type="dxa"/>
            <w:tcBorders>
              <w:top w:val="nil"/>
              <w:left w:val="nil"/>
              <w:bottom w:val="nil"/>
              <w:right w:val="nil"/>
            </w:tcBorders>
          </w:tcPr>
          <w:p>
            <w:pPr>
              <w:pStyle w:val="Normal6a"/>
            </w:pPr>
            <w:r>
              <w:t>11.</w:t>
            </w:r>
            <w:r>
              <w:tab/>
            </w:r>
            <w:r>
              <w:t xml:space="preserve">betont, dass Hochschul- und Berufsbildungsräte Mittel für die Umschulung von Arbeitskräften und ihren Angehörigen – insbesondere derjenigen über 50 Jahre, die ihren Arbeitsplatz verloren haben – erhalten müssen; schlägt vor, dass der Fonds für einen gerechten Übergang auch Umschulungsmöglichkeiten für die </w:t>
            </w:r>
            <w:r>
              <w:rPr>
                <w:b/>
                <w:i/>
              </w:rPr>
              <w:t>Angehörigen</w:t>
            </w:r>
            <w:r>
              <w:t xml:space="preserve"> der betroffenen Arbeitskräfte bieten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Hochschul- und Berufsbildungsräte Mittel für die Umschulung von Arbeitskräften und ihren Angehörigen – insbesondere derjenigen über 50 Jahre, die ihren Arbeitsplatz verloren haben – erhalten müssen; </w:t>
            </w:r>
            <w:r>
              <w:rPr>
                <w:b/>
                <w:i/>
              </w:rPr>
              <w:t>schlägt vor</w:t>
            </w:r>
            <w:r>
              <w:t xml:space="preserve">, dass der Fonds für einen gerechten Übergang </w:t>
            </w:r>
            <w:r>
              <w:rPr>
                <w:b/>
                <w:i/>
              </w:rPr>
              <w:t>auch Umschulungsmöglichkeiten für die Partner und Ehepartner der betroffenen Arbeitskräfte</w:t>
            </w:r>
            <w:r>
              <w:t xml:space="preserve"> bieten sollte;</w:t>
            </w:r>
          </w:p>
        </w:tc>
        <w:tc>
          <w:tcPr>
            <w:tcW w:w="4876" w:type="dxa"/>
            <w:tcBorders>
              <w:top w:val="nil"/>
              <w:left w:val="nil"/>
              <w:bottom w:val="nil"/>
              <w:right w:val="nil"/>
            </w:tcBorders>
          </w:tcPr>
          <w:p>
            <w:pPr>
              <w:pStyle w:val="Normal6a"/>
            </w:pPr>
            <w:r>
              <w:t>11.</w:t>
            </w:r>
            <w:r>
              <w:tab/>
            </w:r>
            <w:r>
              <w:t xml:space="preserve">betont, dass Hochschul- und Berufsbildungsräte Mittel für die Umschulung von Arbeitskräften und ihren Angehörigen – insbesondere derjenigen über 50 Jahre, die ihren Arbeitsplatz verloren haben – erhalten müssen; </w:t>
            </w:r>
            <w:r>
              <w:rPr>
                <w:b/>
                <w:i/>
              </w:rPr>
              <w:t>weist ferner darauf hin</w:t>
            </w:r>
            <w:r>
              <w:t>, dass der Fonds für einen gerechten Übergang </w:t>
            </w:r>
            <w:r>
              <w:rPr>
                <w:b/>
                <w:i/>
              </w:rPr>
              <w:t>weiterhin Weiterbildungsmöglichkeiten für Arbeitssuchende</w:t>
            </w:r>
            <w:r>
              <w:t xml:space="preserve"> bieten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auf die Arbeitslosigkeit und insbesondere auf die Jugendarbeitslosigkeit in vielen Regionen, ländlichen Gebieten und Mitgliedstaaten hin und betont daher, dass der Zugang zu erschwinglichem Wohnraum, Verkehr und Bildung sowie die Inklusion junger Generationen – insbesondere aus einkommensschwachen Haushalten – verbessert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Mitgliedstaaten dem Zugang zu staatseigenen Grundstücken und Gebäuden für neue Beschäftigungsprojekte im Rahmen des Fonds für einen gerechten Übergang Vorrang einräumen müssen und dass dieser Prozess überwacht werden sollte;</w:t>
            </w:r>
          </w:p>
        </w:tc>
        <w:tc>
          <w:tcPr>
            <w:tcW w:w="4876" w:type="dxa"/>
            <w:tcBorders>
              <w:top w:val="nil"/>
              <w:left w:val="nil"/>
              <w:bottom w:val="nil"/>
              <w:right w:val="nil"/>
            </w:tcBorders>
          </w:tcPr>
          <w:p>
            <w:pPr>
              <w:pStyle w:val="Normal6a"/>
            </w:pPr>
            <w:r>
              <w:t>12.</w:t>
            </w:r>
            <w:r>
              <w:tab/>
            </w:r>
            <w:r>
              <w:t>betont, dass die Mitgliedstaaten dem Zugang zu staatseigenen Grundstücken und Gebäuden für neue Beschäftigungsprojekte im Rahmen des Fonds für einen gerechten Übergang</w:t>
            </w:r>
            <w:r>
              <w:rPr>
                <w:b/>
                <w:i/>
              </w:rPr>
              <w:t>, insbesondere in den Bereichen erneuerbare Energie, energetische Renovierung von Gebäuden oder grüne Reindustrialisierung,</w:t>
            </w:r>
            <w:r>
              <w:t xml:space="preserve"> Vorrang einräumen müssen und dass dieser Prozess überwacht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Mitgliedstaaten dem Zugang zu staatseigenen Grundstücken </w:t>
            </w:r>
            <w:r>
              <w:rPr>
                <w:b/>
                <w:i/>
              </w:rPr>
              <w:t>und Gebäuden</w:t>
            </w:r>
            <w:r>
              <w:t xml:space="preserve"> für neue Beschäftigungsprojekte im Rahmen des Fonds für einen gerechten Übergang Vorrang einräumen müssen und dass dieser Prozess überwacht werden sollte;</w:t>
            </w:r>
          </w:p>
        </w:tc>
        <w:tc>
          <w:tcPr>
            <w:tcW w:w="4876" w:type="dxa"/>
            <w:tcBorders>
              <w:top w:val="nil"/>
              <w:left w:val="nil"/>
              <w:bottom w:val="nil"/>
              <w:right w:val="nil"/>
            </w:tcBorders>
          </w:tcPr>
          <w:p>
            <w:pPr>
              <w:pStyle w:val="Normal6a"/>
            </w:pPr>
            <w:r>
              <w:t>12.</w:t>
            </w:r>
            <w:r>
              <w:tab/>
            </w:r>
            <w:r>
              <w:t>betont, dass die Mitgliedstaaten dem Zugang zu staatseigenen Grundstücken</w:t>
            </w:r>
            <w:r>
              <w:rPr>
                <w:b/>
                <w:i/>
              </w:rPr>
              <w:t>, Gebäuden und sonstigen Vermögenswerten</w:t>
            </w:r>
            <w:r>
              <w:t xml:space="preserve"> für neue Beschäftigungsprojekte im Rahmen des Fonds für einen gerechten Übergang</w:t>
            </w:r>
            <w:r>
              <w:rPr>
                <w:b/>
                <w:i/>
              </w:rPr>
              <w:t>, einschließlich erneuerbarer Energieträger,</w:t>
            </w:r>
            <w:r>
              <w:t xml:space="preserve"> Vorrang einräumen müssen und dass dieser Prozess überwacht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Mitgliedstaaten dem Zugang zu staatseigenen Grundstücken und Gebäuden für neue Beschäftigungsprojekte im Rahmen des Fonds für einen gerechten Übergang Vorrang einräumen müssen und dass dieser Prozess überwacht werden sollte;</w:t>
            </w:r>
          </w:p>
        </w:tc>
        <w:tc>
          <w:tcPr>
            <w:tcW w:w="4876" w:type="dxa"/>
            <w:tcBorders>
              <w:top w:val="nil"/>
              <w:left w:val="nil"/>
              <w:bottom w:val="nil"/>
              <w:right w:val="nil"/>
            </w:tcBorders>
          </w:tcPr>
          <w:p>
            <w:pPr>
              <w:pStyle w:val="Normal6a"/>
            </w:pPr>
            <w:r>
              <w:t>12.</w:t>
            </w:r>
            <w:r>
              <w:tab/>
            </w:r>
            <w:r>
              <w:t xml:space="preserve">betont, dass die Mitgliedstaaten dem Zugang zu staatseigenen Grundstücken und Gebäuden für neue Beschäftigungsprojekte im Rahmen des Fonds für einen gerechten Übergang </w:t>
            </w:r>
            <w:r>
              <w:rPr>
                <w:b/>
                <w:i/>
              </w:rPr>
              <w:t>soweit möglich</w:t>
            </w:r>
            <w:r>
              <w:t xml:space="preserve"> Vorrang einräumen müssen und dass dieser Prozess überwacht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Mitgliedstaaten dem Zugang zu staatseigenen Grundstücken und Gebäuden für neue Beschäftigungsprojekte im Rahmen des Fonds für einen gerechten Übergang Vorrang einräumen müssen und dass dieser Prozess überwacht werden sollte;</w:t>
            </w:r>
          </w:p>
        </w:tc>
        <w:tc>
          <w:tcPr>
            <w:tcW w:w="4876" w:type="dxa"/>
            <w:tcBorders>
              <w:top w:val="nil"/>
              <w:left w:val="nil"/>
              <w:bottom w:val="nil"/>
              <w:right w:val="nil"/>
            </w:tcBorders>
          </w:tcPr>
          <w:p>
            <w:pPr>
              <w:pStyle w:val="Normal6a"/>
            </w:pPr>
            <w:r>
              <w:t>12.</w:t>
            </w:r>
            <w:r>
              <w:tab/>
            </w:r>
            <w:r>
              <w:t xml:space="preserve">betont, dass die Mitgliedstaaten dem Zugang zu staatseigenen Grundstücken und Gebäuden für neue Beschäftigungsprojekte im Rahmen des Fonds für einen gerechten Übergang Vorrang einräumen müssen und dass dieser Prozess </w:t>
            </w:r>
            <w:r>
              <w:rPr>
                <w:b/>
                <w:i/>
              </w:rPr>
              <w:t>beaufsichtigt und</w:t>
            </w:r>
            <w:r>
              <w:t xml:space="preserve"> überwacht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betont</w:t>
            </w:r>
            <w:r>
              <w:t xml:space="preserve">, dass die </w:t>
            </w:r>
            <w:r>
              <w:rPr>
                <w:b/>
                <w:i/>
              </w:rPr>
              <w:t>Mitgliedstaaten dem Zugang zu staatseigenen Grundstücken und Gebäuden für neue Beschäftigungsprojekte</w:t>
            </w:r>
            <w:r>
              <w:t xml:space="preserve"> im Rahmen des Fonds für einen gerechten Übergang </w:t>
            </w:r>
            <w:r>
              <w:rPr>
                <w:b/>
                <w:i/>
              </w:rPr>
              <w:t>Vorrang einräumen müssen und dass dieser Prozess überwacht</w:t>
            </w:r>
            <w:r>
              <w:t xml:space="preserve"> werden </w:t>
            </w:r>
            <w:r>
              <w:rPr>
                <w:b/>
                <w:i/>
              </w:rPr>
              <w:t>sollte</w:t>
            </w:r>
            <w:r>
              <w:t>;</w:t>
            </w:r>
          </w:p>
        </w:tc>
        <w:tc>
          <w:tcPr>
            <w:tcW w:w="4876" w:type="dxa"/>
            <w:tcBorders>
              <w:top w:val="nil"/>
              <w:left w:val="nil"/>
              <w:bottom w:val="nil"/>
              <w:right w:val="nil"/>
            </w:tcBorders>
          </w:tcPr>
          <w:p>
            <w:pPr>
              <w:pStyle w:val="Normal6a"/>
            </w:pPr>
            <w:r>
              <w:t>12.</w:t>
            </w:r>
            <w:r>
              <w:tab/>
            </w:r>
            <w:r>
              <w:rPr>
                <w:b/>
                <w:i/>
              </w:rPr>
              <w:t>hebt hervor</w:t>
            </w:r>
            <w:r>
              <w:t xml:space="preserve">, dass die </w:t>
            </w:r>
            <w:r>
              <w:rPr>
                <w:b/>
                <w:i/>
              </w:rPr>
              <w:t>Projekte</w:t>
            </w:r>
            <w:r>
              <w:t xml:space="preserve"> im Rahmen des Fonds für einen gerechten Übergang </w:t>
            </w:r>
            <w:r>
              <w:rPr>
                <w:b/>
                <w:i/>
              </w:rPr>
              <w:t>koordiniert und mit lokalen und nationalen Strategien und Initiativen verknüpft</w:t>
            </w:r>
            <w:r>
              <w:t xml:space="preserve"> werden </w:t>
            </w:r>
            <w:r>
              <w:rPr>
                <w:b/>
                <w:i/>
              </w:rPr>
              <w:t>sollten, damit ihre Wirkung erhöht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Mitgliedstaaten </w:t>
            </w:r>
            <w:r>
              <w:rPr>
                <w:b/>
                <w:i/>
              </w:rPr>
              <w:t>dem</w:t>
            </w:r>
            <w:r>
              <w:t xml:space="preserve"> Zugang zu staatseigenen Grundstücken und Gebäuden für neue Beschäftigungsprojekte im Rahmen des Fonds für einen gerechten Übergang </w:t>
            </w:r>
            <w:r>
              <w:rPr>
                <w:b/>
                <w:i/>
              </w:rPr>
              <w:t>Vorrang einräumen</w:t>
            </w:r>
            <w:r>
              <w:t xml:space="preserve"> müssen und dass dieser Prozess überwacht werden sollte;</w:t>
            </w:r>
          </w:p>
        </w:tc>
        <w:tc>
          <w:tcPr>
            <w:tcW w:w="4876" w:type="dxa"/>
            <w:tcBorders>
              <w:top w:val="nil"/>
              <w:left w:val="nil"/>
              <w:bottom w:val="nil"/>
              <w:right w:val="nil"/>
            </w:tcBorders>
          </w:tcPr>
          <w:p>
            <w:pPr>
              <w:pStyle w:val="Normal6a"/>
            </w:pPr>
            <w:r>
              <w:t>12.</w:t>
            </w:r>
            <w:r>
              <w:tab/>
            </w:r>
            <w:r>
              <w:t xml:space="preserve">betont, dass die Mitgliedstaaten </w:t>
            </w:r>
            <w:r>
              <w:rPr>
                <w:b/>
                <w:i/>
              </w:rPr>
              <w:t>den</w:t>
            </w:r>
            <w:r>
              <w:t xml:space="preserve"> Zugang zu staatseigenen Grundstücken und Gebäuden für neue Beschäftigungsprojekte im Rahmen des Fonds für einen gerechten Übergang </w:t>
            </w:r>
            <w:r>
              <w:rPr>
                <w:b/>
                <w:i/>
              </w:rPr>
              <w:t>privilegieren</w:t>
            </w:r>
            <w:r>
              <w:t xml:space="preserve"> müssen und dass dieser Prozess überwacht werden sollte;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Mitgliedstaaten </w:t>
            </w:r>
            <w:r>
              <w:rPr>
                <w:b/>
                <w:i/>
              </w:rPr>
              <w:t>dem Zugang zu staatseigenen Grundstücken und Gebäuden für neue Beschäftigungsprojekte im Rahmen des</w:t>
            </w:r>
            <w:r>
              <w:t xml:space="preserve"> Fonds für einen gerechten Übergang </w:t>
            </w:r>
            <w:r>
              <w:rPr>
                <w:b/>
                <w:i/>
              </w:rPr>
              <w:t>Vorrang einräumen müssen und dass dieser Prozess überwacht werden sollte</w:t>
            </w:r>
            <w:r>
              <w:t>;</w:t>
            </w:r>
          </w:p>
        </w:tc>
        <w:tc>
          <w:tcPr>
            <w:tcW w:w="4876" w:type="dxa"/>
            <w:tcBorders>
              <w:top w:val="nil"/>
              <w:left w:val="nil"/>
              <w:bottom w:val="nil"/>
              <w:right w:val="nil"/>
            </w:tcBorders>
          </w:tcPr>
          <w:p>
            <w:pPr>
              <w:pStyle w:val="Normal6a"/>
            </w:pPr>
            <w:r>
              <w:t>12.</w:t>
            </w:r>
            <w:r>
              <w:tab/>
            </w:r>
            <w:r>
              <w:t xml:space="preserve">betont, dass die Mitgliedstaaten </w:t>
            </w:r>
            <w:r>
              <w:rPr>
                <w:b/>
                <w:i/>
              </w:rPr>
              <w:t>im Rahmen von Projekten, die aus dem</w:t>
            </w:r>
            <w:r>
              <w:t xml:space="preserve"> Fonds für einen gerechten Übergang </w:t>
            </w:r>
            <w:r>
              <w:rPr>
                <w:b/>
                <w:i/>
              </w:rPr>
              <w:t>finanziert werden, Gebäude restaurieren, sanieren und umwidmen sollten, wann immer dies möglich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hebt hervor, dass öffentliche Mittel, die im Rahmen des Fonds für einen gerechten Übergang, des ESF+, anderer EU-Finanzierungsprogramme und nationaler Programme bereitgestellt werden, davon abhängig gemacht werden sollten, dass sich die Unternehmen eindeutig dazu verpflichten, in die Weiterbildung und Umschulung von Arbeitskräften zu investieren;</w:t>
            </w:r>
            <w:r>
              <w:t xml:space="preserve"> </w:t>
            </w:r>
            <w:r>
              <w:rPr>
                <w:b/>
                <w:i/>
              </w:rPr>
              <w:t>betont, dass durch strenge soziale Konditionalitäten, die ausdrücklich mit der Ausbildung von Arbeitskräften verknüpft sind, sichergestellt wird, dass mit Übergangsmaßnahmen nicht nur die Beschäftigung geschützt, sondern auch die langfristige Beschäftigungsfähigkeit der Arbeitskräfte verbessert wird;</w:t>
            </w:r>
            <w:r>
              <w:t xml:space="preserve"> </w:t>
            </w:r>
            <w:r>
              <w:rPr>
                <w:b/>
                <w:i/>
              </w:rPr>
              <w:t>fordert die Kommission und die Mitgliedstaaten daher auf, die Anforderungen an Investitionen in Kompetenzen systematisch in alle einschlägigen Finanzierungsinstrumente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nimmt mit Besorgnis zur Kenntnis, dass die angemessene nationale Finanzierung der Mitgliedstaaten für ihre ärmeren Regionen in den letzten Jahren drastisch zurückgegangen ist;</w:t>
            </w:r>
            <w:r>
              <w:t xml:space="preserve"> </w:t>
            </w:r>
            <w:r>
              <w:rPr>
                <w:b/>
                <w:i/>
              </w:rPr>
              <w:t>weist erneut darauf hin, dass es wichtig ist, den in der EU geltenden Grundsatz der Zusätzlichkeit einzuhalten;</w:t>
            </w:r>
            <w:r>
              <w:t xml:space="preserve"> </w:t>
            </w:r>
            <w:r>
              <w:rPr>
                <w:b/>
                <w:i/>
              </w:rPr>
              <w:t>fordert die Kommission auf, dafür zu sorgen, dass die nationalen Behörden den internen Zusammenhalt bei der Ausarbeitung und Umsetzung von Projekten im Rahmen der Struktur- und Investitionsfonds gebührend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weist darauf hin</w:t>
            </w:r>
            <w:r>
              <w:t>, dass in einigen Regionen der EU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rPr>
                <w:b/>
                <w:i/>
              </w:rPr>
              <w:t>bedauert</w:t>
            </w:r>
            <w:r>
              <w:t xml:space="preserve">, dass in einigen Regionen der EU aufgrund des demografischen Wandels und der Migration eine anhaltende Abwanderung junger und qualifizierter Arbeitskräfte zu verzeichnen ist, wovon insbesondere ländliche Gebiete betroffen sind; </w:t>
            </w:r>
            <w:r>
              <w:rPr>
                <w:b/>
                <w:i/>
              </w:rPr>
              <w:t>erinnert daran, dass durch diese Migration und Entvölkerung die Wettbewerbsfähigkeit, das Wirtschaftswachstum, die Ernährungssicherheit, die Produktivität und die Nachhaltigkeit schwer beeinträchtigt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weist darauf hin, dass in einigen Regionen der EU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t xml:space="preserve">weist darauf hin, dass in einigen Regionen der EU aufgrund des demografischen Wandels und der Migration eine anhaltende Abwanderung junger und qualifizierter Arbeitskräfte zu verzeichnen ist, wovon insbesondere ländliche Gebiete betroffen sind; </w:t>
            </w:r>
            <w:r>
              <w:rPr>
                <w:b/>
                <w:i/>
              </w:rPr>
              <w:t>weist auf die Bedeutung starker Verbindungen zwischen Stadt und Land sowie einer besonderen Unterstützung von Frauen in ländlichen Gebieten 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weist darauf hin, dass in einigen Regionen </w:t>
            </w:r>
            <w:r>
              <w:rPr>
                <w:b/>
                <w:i/>
              </w:rPr>
              <w:t>der EU</w:t>
            </w:r>
            <w:r>
              <w:t xml:space="preserve">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t xml:space="preserve">weist darauf hin, dass in einigen Regionen aufgrund des demografischen Wandels und der Migration </w:t>
            </w:r>
            <w:r>
              <w:rPr>
                <w:b/>
                <w:i/>
              </w:rPr>
              <w:t>innerhalb und außerhalb der Europäischen Union</w:t>
            </w:r>
            <w:r>
              <w:t xml:space="preserve"> eine anhaltende Abwanderung junger und qualifizierter Arbeitskräfte zu verzeichnen ist, wovon insbesondere ländliche Gebiete</w:t>
            </w:r>
            <w:r>
              <w:rPr>
                <w:b/>
                <w:i/>
              </w:rPr>
              <w:t>, Binnengebiete und Gebiete in äußerster Randlage</w:t>
            </w:r>
            <w:r>
              <w:t xml:space="preserve">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weist darauf hin, dass in einigen Regionen der EU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t xml:space="preserve">weist darauf hin, dass in einigen Regionen der EU aufgrund des demografischen Wandels und der Migration eine anhaltende Abwanderung junger und qualifizierter Arbeitskräfte zu verzeichnen ist, wovon insbesondere ländliche Gebiete betroffen sind; </w:t>
            </w:r>
            <w:r>
              <w:rPr>
                <w:b/>
                <w:i/>
              </w:rPr>
              <w:t>hebt die strategische Bedeutung des „Bleiberechts“ hervor;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weist darauf hin, dass in einigen Regionen der EU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t>weist darauf hin, dass in einigen Regionen der EU aufgrund des demografischen Wandels und der Migration eine anhaltende Abwanderung junger und qualifizierter Arbeitskräfte zu verzeichnen ist, wovon insbesondere ländliche Gebiete</w:t>
            </w:r>
            <w:r>
              <w:rPr>
                <w:b/>
                <w:i/>
              </w:rPr>
              <w:t>, Inseln und abgelegene Gebiete</w:t>
            </w:r>
            <w:r>
              <w:t xml:space="preserve">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weist darauf hin, dass in einigen Regionen der EU aufgrund des demografischen Wandels und der Migration eine anhaltende Abwanderung junger und qualifizierter Arbeitskräfte zu verzeichnen ist, wovon insbesondere ländliche Gebiete betroffen sind;</w:t>
            </w:r>
          </w:p>
        </w:tc>
        <w:tc>
          <w:tcPr>
            <w:tcW w:w="4876" w:type="dxa"/>
            <w:tcBorders>
              <w:top w:val="nil"/>
              <w:left w:val="nil"/>
              <w:bottom w:val="nil"/>
              <w:right w:val="nil"/>
            </w:tcBorders>
          </w:tcPr>
          <w:p>
            <w:pPr>
              <w:pStyle w:val="Normal6a"/>
            </w:pPr>
            <w:r>
              <w:t>13.</w:t>
            </w:r>
            <w:r>
              <w:tab/>
            </w:r>
            <w:r>
              <w:t xml:space="preserve">weist darauf hin, dass in einigen </w:t>
            </w:r>
            <w:r>
              <w:rPr>
                <w:b/>
                <w:i/>
              </w:rPr>
              <w:t>kohlenintensiven</w:t>
            </w:r>
            <w:r>
              <w:t xml:space="preserve"> Regionen der EU aufgrund des demografischen Wandels und der Migration eine anhaltende Abwanderung junger und qualifizierter Arbeitskräfte zu verzeichnen ist, wovon insbesondere ländliche Gebiete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die vom ökologischen Wandel betroffenen Regionen mit einem Mangel an Fachkräften und Arbeitskräften konfrontiert sind, während es in vielen Teilen Europas eine Wohnraumkrise gibt und städtische Gebiete überbevölkert sind; schlägt die Schaffung eines Programms für erschwinglichen Wohnraum in diesen Regionen vor;</w:t>
            </w:r>
            <w:r>
              <w:t xml:space="preserve"> </w:t>
            </w:r>
            <w:r>
              <w:rPr>
                <w:b/>
                <w:i/>
              </w:rPr>
              <w:t>weist darauf hin, dass ein solches Programm junge Menschen anziehen und auf diese Weise zur wirtschaftlichen und sozialen Wiederbelebung dieser Gebiete beitragen dürfte;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demografische Erwägungen dringend in die künftigen Haushaltsrahmen der EU einbezogen werden müssen;</w:t>
            </w:r>
            <w:r>
              <w:t xml:space="preserve"> </w:t>
            </w:r>
            <w:r>
              <w:rPr>
                <w:b/>
                <w:i/>
              </w:rPr>
              <w:t>fordert die Einbeziehung demografischer Indikatoren, regionaler Ziele und reaktionsfähiger politischer Instrumente, um Gebiete zu unterstützen, die unverhältnismäßig stark von der Bevölkerungsalterung, der Abwanderung junger Menschen oder einem anhaltenden Bevölkerungsrückgang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hebt hervor, dass die Kommission „Sozialvereinbarungen“ für Beschäftigte für den Zeitraum 2025-2049 genehmigen muss;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hebt hervor, dass die Kommission „Sozialvereinbarungen“ für Beschäftigte für den Zeitraum 2025-2049 genehmigen muss;</w:t>
            </w:r>
          </w:p>
        </w:tc>
        <w:tc>
          <w:tcPr>
            <w:tcW w:w="4876" w:type="dxa"/>
            <w:tcBorders>
              <w:top w:val="nil"/>
              <w:left w:val="nil"/>
              <w:bottom w:val="nil"/>
              <w:right w:val="nil"/>
            </w:tcBorders>
          </w:tcPr>
          <w:p>
            <w:pPr>
              <w:pStyle w:val="Normal6a"/>
            </w:pPr>
            <w:r>
              <w:t>14.</w:t>
            </w:r>
            <w:r>
              <w:tab/>
            </w:r>
            <w:r>
              <w:t>hebt hervor, dass die Kommission „Sozialvereinbarungen“ für Beschäftigte für den Zeitraum 2025-2049 genehmigen muss</w:t>
            </w:r>
            <w:r>
              <w:rPr>
                <w:b/>
                <w:i/>
              </w:rPr>
              <w:t>, und sieht als zusätzliches Kriterium für die Zuweisung von Mitteln aus dem Fonds für einen gerechten Übergang die Entvölkerung von Gebieten vor, die die Stilllegung ihrer CO</w:t>
            </w:r>
            <w:r>
              <w:rPr>
                <w:b/>
                <w:i/>
                <w:vertAlign w:val="subscript"/>
              </w:rPr>
              <w:t>2</w:t>
            </w:r>
            <w:r>
              <w:rPr>
                <w:b/>
                <w:i/>
              </w:rPr>
              <w:t>-intensiven Anlagen bereits vollzogen haben, was beispielsweise in Spanien der Fall ist, wo in manchen Gemeinden ein Bevölkerungsrückgang von bis zu 50 % zu verzeichnen ist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hebt hervor, dass die Kommission „Sozialvereinbarungen“ für Beschäftigte für den Zeitraum 2025-2049 genehmigen muss;</w:t>
            </w:r>
          </w:p>
        </w:tc>
        <w:tc>
          <w:tcPr>
            <w:tcW w:w="4876" w:type="dxa"/>
            <w:tcBorders>
              <w:top w:val="nil"/>
              <w:left w:val="nil"/>
              <w:bottom w:val="nil"/>
              <w:right w:val="nil"/>
            </w:tcBorders>
          </w:tcPr>
          <w:p>
            <w:pPr>
              <w:pStyle w:val="Normal6a"/>
            </w:pPr>
            <w:r>
              <w:t>14.</w:t>
            </w:r>
            <w:r>
              <w:tab/>
            </w:r>
            <w:r>
              <w:t xml:space="preserve">hebt hervor, dass die Kommission „Sozialvereinbarungen“ für Beschäftigte für den Zeitraum 2025-2049 genehmigen muss; </w:t>
            </w:r>
            <w:r>
              <w:rPr>
                <w:b/>
                <w:i/>
              </w:rPr>
              <w:t>betont, dass dies auf fundierten Diagnosen und Wirtschaftsprognosen beruhen sollte;</w:t>
            </w:r>
            <w:r>
              <w:t xml:space="preserve"> </w:t>
            </w:r>
            <w:r>
              <w:rPr>
                <w:b/>
                <w:i/>
              </w:rPr>
              <w:t>besteht darauf, dass in den einschlägigen Vorschlägen der Kommission die unterschiedlichen Gegebenheiten in den einzelnen Regionen, ihre wirtschaftlichen Traditionen und Besonderheiten berücksichtigt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hebt hervor, dass die Kommission „Sozialvereinbarungen“ für Beschäftigte für den Zeitraum 2025-2049 genehmigen muss;</w:t>
            </w:r>
          </w:p>
        </w:tc>
        <w:tc>
          <w:tcPr>
            <w:tcW w:w="4876" w:type="dxa"/>
            <w:tcBorders>
              <w:top w:val="nil"/>
              <w:left w:val="nil"/>
              <w:bottom w:val="nil"/>
              <w:right w:val="nil"/>
            </w:tcBorders>
          </w:tcPr>
          <w:p>
            <w:pPr>
              <w:pStyle w:val="Normal6a"/>
            </w:pPr>
            <w:r>
              <w:t>14.</w:t>
            </w:r>
            <w:r>
              <w:tab/>
            </w:r>
            <w:r>
              <w:t>hebt hervor, dass die Kommission „Sozialvereinbarungen“ für Beschäftigte für den Zeitraum 2025-2049 genehmigen muss</w:t>
            </w:r>
            <w:r>
              <w:rPr>
                <w:b/>
                <w:i/>
              </w:rPr>
              <w:t>, und spricht sich für die Gründung von Arbeitnehmerverbänden in den vom Übergang betroffenen Branchen aus, damit ehemalige Arbeitskräfte direkt von der regionalen wirtschaftlichen Erneuerung profitieren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hebt hervor, dass </w:t>
            </w:r>
            <w:r>
              <w:rPr>
                <w:b/>
                <w:i/>
              </w:rPr>
              <w:t>die Kommission „Sozialvereinbarungen“ für Beschäftigte für den Zeitraum 2025-2049 genehmigen muss</w:t>
            </w:r>
            <w:r>
              <w:t>;</w:t>
            </w:r>
          </w:p>
        </w:tc>
        <w:tc>
          <w:tcPr>
            <w:tcW w:w="4876" w:type="dxa"/>
            <w:tcBorders>
              <w:top w:val="nil"/>
              <w:left w:val="nil"/>
              <w:bottom w:val="nil"/>
              <w:right w:val="nil"/>
            </w:tcBorders>
          </w:tcPr>
          <w:p>
            <w:pPr>
              <w:pStyle w:val="Normal6a"/>
            </w:pPr>
            <w:r>
              <w:t>14.</w:t>
            </w:r>
            <w:r>
              <w:tab/>
            </w:r>
            <w:r>
              <w:t xml:space="preserve">hebt hervor, dass </w:t>
            </w:r>
            <w:r>
              <w:rPr>
                <w:b/>
                <w:i/>
              </w:rPr>
              <w:t>für die Wirtschaftszweige, die einen gerechten Übergang durchlaufen, „Sozialverträge“ geschlossen und der Kommission mitgeteilt werden müssen, damit sie unverzüglich genehmigt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Einrichtung eines EU-weiten SURE-2.0-Programms, um die Beschäftigung und die industriellen Kapazitäten während eines raschen wirtschaftlichen, technologischen und energiebezogenen Wandels zu sichern;</w:t>
            </w:r>
            <w:r>
              <w:t xml:space="preserve"> </w:t>
            </w:r>
            <w:r>
              <w:rPr>
                <w:b/>
                <w:i/>
              </w:rPr>
              <w:t>betont, dass ein solches System, das auf den erfolgreichen während der COVID-19-Pandemie gesammelten Erfahrungen mit dem ursprünglichen SURE-Programm aufbaut, die Erhaltung von Arbeitsplätzen, die Weiterbildung von Arbeitskräften und einen strukturierten industriellen Wandel sicherstellen würde, und zwar insbesondere in Branchen, in denen ein hohes Risiko des Verlusts von Arbeitsplätzen besteht;</w:t>
            </w:r>
            <w:r>
              <w:t xml:space="preserve"> </w:t>
            </w:r>
            <w:r>
              <w:rPr>
                <w:b/>
                <w:i/>
              </w:rPr>
              <w:t>ist sich bewusst, dass es äußerst schwierig ist, industrielle Kapazitäten und Fertigkeiten einer Region zurückzugewinnen, wenn diese verloren gegangen sind, und hebt hervor, dass die finanzielle Unterstützung im Rahmen des Programms SURE 2.0 von einem starken Sozialschutz, einer proaktiven Übergangsplanung, der Anhörung der Arbeitskräfte sowie von Investitionen in die Kompetenzen der Arbeitskräfte abhängig gemacht werden sollte, um so sozial kostspielige und wirtschaftlich schädliche Arbeitsplatzverluste zu verhindern und benachteiligte Regionen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Untertitel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unterstreicht, dass die Kohäsionspolitik eine Schlüsselrolle bei der Umsetzung der politischen Prioritäten der EU und der Ankurbelung der EU-Wirtschaft spielt, indem sie zu einem gerechten, inklusiven und nachhaltigen Übergang und einer gerechten, inklusiven und nachhaltigen Entwicklung beiträgt, die wirtschaftliche und soziale Konvergenz zwischen Ländern und Regionen fördert und Innovation und Beschäftigung vorantreibt;</w:t>
            </w:r>
            <w:r>
              <w:t xml:space="preserve"> </w:t>
            </w:r>
            <w:r>
              <w:rPr>
                <w:b/>
                <w:i/>
              </w:rPr>
              <w:t>bedauert, dass sich die Kommission aufgrund der begrenzten Flexibilität des aktuellen MFR für eine Neuausrichtung der Kohäsionspolitik entschieden hat, die kein Krisenreaktionsinstrument ist und dennoch wiederholt dazu eingesetzt wurde, Defizite bei der Haushaltsflexibilität oder den Krisenreaktionsmechanismen im MFR auszugleichen, was zulasten ihrer langfristigen politischen Ziele ging;</w:t>
            </w:r>
            <w:r>
              <w:t xml:space="preserve"> </w:t>
            </w:r>
            <w:r>
              <w:rPr>
                <w:b/>
                <w:i/>
              </w:rPr>
              <w:t>fordert die Kommission und die Mitgliedstaaten auf, die Umsetzung der Kohäsionspolitik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erkennt an, dass die Umsetzung des Prozesses im Rahmen des Fonds für einen gerechten Übergang Sache der Mitgliedstaaten ist, betont jedoch, dass Vereinfachungen erforderlich sind und dass die Kommission bei der Unterrichtung der Mitgliedstaaten schneller vorgehen muss;</w:t>
            </w:r>
          </w:p>
        </w:tc>
        <w:tc>
          <w:tcPr>
            <w:tcW w:w="4876" w:type="dxa"/>
            <w:tcBorders>
              <w:top w:val="nil"/>
              <w:left w:val="nil"/>
              <w:bottom w:val="nil"/>
              <w:right w:val="nil"/>
            </w:tcBorders>
          </w:tcPr>
          <w:p>
            <w:pPr>
              <w:pStyle w:val="Normal6a"/>
            </w:pPr>
            <w:r>
              <w:t>15.</w:t>
            </w:r>
            <w:r>
              <w:tab/>
            </w:r>
            <w:r>
              <w:t xml:space="preserve">erkennt an, dass die Umsetzung des Prozesses im Rahmen des Fonds für einen gerechten Übergang Sache der Mitgliedstaaten ist, betont jedoch, dass Vereinfachungen erforderlich sind und dass die Kommission bei der Unterrichtung der Mitgliedstaaten schneller vorgehen muss; </w:t>
            </w:r>
            <w:r>
              <w:rPr>
                <w:b/>
                <w:i/>
              </w:rPr>
              <w:t>betont, dass ihnen mehr Autonomie bei der Verwaltung der Mittel eingeräumt werden muss, indem insbesondere der von der Kommission auferlegte Verwaltungsaufwand vermindert und ihnen gestattet wird, die Auswahlkriterien an die nationalen und regionalen Umstände anzupassen;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erkennt an</w:t>
            </w:r>
            <w:r>
              <w:t xml:space="preserve">, dass die Umsetzung des Prozesses im Rahmen des Fonds für einen gerechten Übergang Sache der Mitgliedstaaten ist, </w:t>
            </w:r>
            <w:r>
              <w:rPr>
                <w:b/>
                <w:i/>
              </w:rPr>
              <w:t>betont</w:t>
            </w:r>
            <w:r>
              <w:t xml:space="preserve"> jedoch</w:t>
            </w:r>
            <w:r>
              <w:rPr>
                <w:b/>
                <w:i/>
              </w:rPr>
              <w:t>, dass Vereinfachungen erforderlich sind und</w:t>
            </w:r>
            <w:r>
              <w:t xml:space="preserve"> dass die Kommission </w:t>
            </w:r>
            <w:r>
              <w:rPr>
                <w:b/>
                <w:i/>
              </w:rPr>
              <w:t>bei der Unterrichtung der</w:t>
            </w:r>
            <w:r>
              <w:t xml:space="preserve"> Mitgliedstaaten </w:t>
            </w:r>
            <w:r>
              <w:rPr>
                <w:b/>
                <w:i/>
              </w:rPr>
              <w:t>schneller vorgehen muss</w:t>
            </w:r>
            <w:r>
              <w:t>;</w:t>
            </w:r>
          </w:p>
        </w:tc>
        <w:tc>
          <w:tcPr>
            <w:tcW w:w="4876" w:type="dxa"/>
            <w:tcBorders>
              <w:top w:val="nil"/>
              <w:left w:val="nil"/>
              <w:bottom w:val="nil"/>
              <w:right w:val="nil"/>
            </w:tcBorders>
          </w:tcPr>
          <w:p>
            <w:pPr>
              <w:pStyle w:val="Normal6a"/>
            </w:pPr>
            <w:r>
              <w:t>15.</w:t>
            </w:r>
            <w:r>
              <w:tab/>
            </w:r>
            <w:r>
              <w:rPr>
                <w:b/>
                <w:i/>
              </w:rPr>
              <w:t>hebt hervor</w:t>
            </w:r>
            <w:r>
              <w:t xml:space="preserve">, dass die Umsetzung des Prozesses im Rahmen des Fonds für einen gerechten Übergang </w:t>
            </w:r>
            <w:r>
              <w:rPr>
                <w:b/>
                <w:i/>
              </w:rPr>
              <w:t>zwar</w:t>
            </w:r>
            <w:r>
              <w:t xml:space="preserve"> Sache der Mitgliedstaaten ist, </w:t>
            </w:r>
            <w:r>
              <w:rPr>
                <w:b/>
                <w:i/>
              </w:rPr>
              <w:t>es</w:t>
            </w:r>
            <w:r>
              <w:t xml:space="preserve"> jedoch </w:t>
            </w:r>
            <w:r>
              <w:rPr>
                <w:b/>
                <w:i/>
              </w:rPr>
              <w:t>von entscheidender Bedeutung ist, den Zugang zu Anträgen zu vereinfachen und den Anwendungsbereich des Fonds zu erweitern, um ihn flexibler zu gestalten, damit andere gleichermaßen betroffene Regionen von dieser Unterstützung profitieren können;</w:t>
            </w:r>
            <w:r>
              <w:t xml:space="preserve"> </w:t>
            </w:r>
            <w:r>
              <w:rPr>
                <w:b/>
                <w:i/>
              </w:rPr>
              <w:t>betont,</w:t>
            </w:r>
            <w:r>
              <w:t xml:space="preserve"> dass die Kommission </w:t>
            </w:r>
            <w:r>
              <w:rPr>
                <w:b/>
                <w:i/>
              </w:rPr>
              <w:t>in Zusammenarbeit mit den</w:t>
            </w:r>
            <w:r>
              <w:t xml:space="preserve"> Mitgliedstaaten </w:t>
            </w:r>
            <w:r>
              <w:rPr>
                <w:b/>
                <w:i/>
              </w:rPr>
              <w:t>Auslegungsleitlinien zu Umsetzungsfragen herausgeben sollte, die die größte Unsicherheit hervorrufen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erkennt an, dass die Umsetzung des Prozesses im Rahmen des Fonds für einen gerechten Übergang Sache der Mitgliedstaaten ist, </w:t>
            </w:r>
            <w:r>
              <w:rPr>
                <w:b/>
                <w:i/>
              </w:rPr>
              <w:t>betont</w:t>
            </w:r>
            <w:r>
              <w:t xml:space="preserve"> jedoch, dass Vereinfachungen erforderlich sind und dass die Kommission bei der Unterrichtung der Mitgliedstaaten schneller vorgehen muss;</w:t>
            </w:r>
          </w:p>
        </w:tc>
        <w:tc>
          <w:tcPr>
            <w:tcW w:w="4876" w:type="dxa"/>
            <w:tcBorders>
              <w:top w:val="nil"/>
              <w:left w:val="nil"/>
              <w:bottom w:val="nil"/>
              <w:right w:val="nil"/>
            </w:tcBorders>
          </w:tcPr>
          <w:p>
            <w:pPr>
              <w:pStyle w:val="Normal6a"/>
            </w:pPr>
            <w:r>
              <w:t>15.</w:t>
            </w:r>
            <w:r>
              <w:tab/>
            </w:r>
            <w:r>
              <w:t xml:space="preserve">erkennt an, dass die Umsetzung des Prozesses im Rahmen des Fonds für einen gerechten Übergang Sache der Mitgliedstaaten ist, </w:t>
            </w:r>
            <w:r>
              <w:rPr>
                <w:b/>
                <w:i/>
              </w:rPr>
              <w:t>fordert</w:t>
            </w:r>
            <w:r>
              <w:t xml:space="preserve"> jedoch</w:t>
            </w:r>
            <w:r>
              <w:rPr>
                <w:b/>
                <w:i/>
              </w:rPr>
              <w:t>, dass die lokalen und regionalen Gebietskörperschaften sowie diejenigen vor Ort eine größere Rolle im Beschlussfassungsprozess spielen, um sicherzustellen, dass die Finanzierungsstrategien auf die spezifischen Bedürfnisse der vom Übergang betroffenen Gemeinschaften abgestimmt sind;</w:t>
            </w:r>
            <w:r>
              <w:t xml:space="preserve"> </w:t>
            </w:r>
            <w:r>
              <w:rPr>
                <w:b/>
                <w:i/>
              </w:rPr>
              <w:t>hebt hervor</w:t>
            </w:r>
            <w:r>
              <w:t>, dass Vereinfachungen erforderlich sind und dass die Kommission bei der Unterrichtung der Mitgliedstaaten schneller vorgehen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erkennt an, dass die Umsetzung des Prozesses im Rahmen des Fonds für einen gerechten Übergang Sache der Mitgliedstaaten ist, betont jedoch, dass Vereinfachungen erforderlich sind und dass die Kommission bei der Unterrichtung der Mitgliedstaaten schneller vorgehen muss;</w:t>
            </w:r>
          </w:p>
        </w:tc>
        <w:tc>
          <w:tcPr>
            <w:tcW w:w="4876" w:type="dxa"/>
            <w:tcBorders>
              <w:top w:val="nil"/>
              <w:left w:val="nil"/>
              <w:bottom w:val="nil"/>
              <w:right w:val="nil"/>
            </w:tcBorders>
          </w:tcPr>
          <w:p>
            <w:pPr>
              <w:pStyle w:val="Normal6a"/>
            </w:pPr>
            <w:r>
              <w:t>15.</w:t>
            </w:r>
            <w:r>
              <w:tab/>
            </w:r>
            <w:r>
              <w:t xml:space="preserve">erkennt an, dass die Umsetzung des Prozesses im Rahmen des Fonds für einen gerechten Übergang Sache der Mitgliedstaaten ist, betont jedoch, dass Vereinfachungen erforderlich sind und dass die Kommission bei der Unterrichtung der Mitgliedstaaten schneller vorgehen muss; </w:t>
            </w:r>
            <w:r>
              <w:rPr>
                <w:b/>
                <w:i/>
              </w:rPr>
              <w:t>hebt überdies hervor, dass es eine bessere Abstimmung zwischen den nationalen und den europäischen Behörden geben muss, um die Zuweisung der Mittel und die effiziente Umsetzung der Initiativen im Rahmen des Fonds für einen gerechten Übergang zu beschleunigen;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erkennt an, dass die Umsetzung des Prozesses im Rahmen des Fonds für einen gerechten Übergang Sache der Mitgliedstaaten ist, betont jedoch, dass Vereinfachungen erforderlich sind und dass die Kommission bei der Unterrichtung der Mitgliedstaaten schneller vorgehen muss;</w:t>
            </w:r>
          </w:p>
        </w:tc>
        <w:tc>
          <w:tcPr>
            <w:tcW w:w="4876" w:type="dxa"/>
            <w:tcBorders>
              <w:top w:val="nil"/>
              <w:left w:val="nil"/>
              <w:bottom w:val="nil"/>
              <w:right w:val="nil"/>
            </w:tcBorders>
          </w:tcPr>
          <w:p>
            <w:pPr>
              <w:pStyle w:val="Normal6a"/>
            </w:pPr>
            <w:r>
              <w:t>15.</w:t>
            </w:r>
            <w:r>
              <w:tab/>
            </w:r>
            <w:r>
              <w:t xml:space="preserve">erkennt an, dass die Umsetzung des Prozesses im Rahmen des Fonds für einen gerechten Übergang Sache der Mitgliedstaaten ist, betont jedoch, dass Vereinfachungen erforderlich sind und dass die Kommission bei der Unterrichtung der Mitgliedstaaten schneller vorgehen muss; </w:t>
            </w:r>
            <w:r>
              <w:rPr>
                <w:b/>
                <w:i/>
              </w:rPr>
              <w:t>fordert die Mitgliedstaaten auf, einen kohärenten Ansatz in Bezug auf den Fonds für einen gerechten Übergang und die mit einem gerechten Übergang verbundenen Investitionen im Rahmen anderer strategischer Fonds anzuwenden;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erkennt an</w:t>
            </w:r>
            <w:r>
              <w:t xml:space="preserve">, dass die Umsetzung des Prozesses im Rahmen des Fonds für einen gerechten Übergang Sache der Mitgliedstaaten ist, betont jedoch, dass Vereinfachungen erforderlich sind </w:t>
            </w:r>
            <w:r>
              <w:rPr>
                <w:b/>
                <w:i/>
              </w:rPr>
              <w:t>und dass</w:t>
            </w:r>
            <w:r>
              <w:t xml:space="preserve"> die Kommission bei der </w:t>
            </w:r>
            <w:r>
              <w:rPr>
                <w:b/>
                <w:i/>
              </w:rPr>
              <w:t>Unterrichtung der Mitgliedstaaten schneller vorgehen muss</w:t>
            </w:r>
            <w:r>
              <w:t>;</w:t>
            </w:r>
          </w:p>
        </w:tc>
        <w:tc>
          <w:tcPr>
            <w:tcW w:w="4876" w:type="dxa"/>
            <w:tcBorders>
              <w:top w:val="nil"/>
              <w:left w:val="nil"/>
              <w:bottom w:val="nil"/>
              <w:right w:val="nil"/>
            </w:tcBorders>
          </w:tcPr>
          <w:p>
            <w:pPr>
              <w:pStyle w:val="Normal6a"/>
            </w:pPr>
            <w:r>
              <w:t>15.</w:t>
            </w:r>
            <w:r>
              <w:tab/>
            </w:r>
            <w:r>
              <w:rPr>
                <w:b/>
                <w:i/>
              </w:rPr>
              <w:t>stellt fest</w:t>
            </w:r>
            <w:r>
              <w:t>, dass die Umsetzung des Prozesses im Rahmen des Fonds für einen gerechten Übergang Sache der Mitgliedstaaten ist, betont jedoch, dass Vereinfachungen erforderlich sind</w:t>
            </w:r>
            <w:r>
              <w:rPr>
                <w:b/>
                <w:i/>
              </w:rPr>
              <w:t>, und fordert</w:t>
            </w:r>
            <w:r>
              <w:t xml:space="preserve"> die Kommission </w:t>
            </w:r>
            <w:r>
              <w:rPr>
                <w:b/>
                <w:i/>
              </w:rPr>
              <w:t>auf, schneller vorzugehen, um mit den Mitgliedstaaten</w:t>
            </w:r>
            <w:r>
              <w:t xml:space="preserve"> bei der </w:t>
            </w:r>
            <w:r>
              <w:rPr>
                <w:b/>
                <w:i/>
              </w:rPr>
              <w:t>Suche nach maßgeschneiderten Lösungen unter uneingeschränkter Achtung des Subsidiaritätsprinzips zusammenzuarbeiten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Kommission nachdrücklich auf, die Finanzierungsinstrumente im mehrjährigen Finanzrahmen (MFR) für die Zeit nach 2027 zu straffen und aufeinander abzustimmen, um einen kohärenten und koordinierten Ansatz für die Unterstützung von Strategien für einen gerechten Übergang sicherzustellen;</w:t>
            </w:r>
            <w:r>
              <w:t xml:space="preserve"> </w:t>
            </w:r>
            <w:r>
              <w:rPr>
                <w:b/>
                <w:i/>
              </w:rPr>
              <w:t>hebt hervor, dass fragmentierte Finanzierungsströme die Wirkung und Effizienz beeinträchtigen, und fordert daher einen einheitlichen und strategischen Rahmen, der Synergieeffekte zwischen allen einschlägigen EU-Fonds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Kommission auf, die systematische Einrichtung lokaler Konsultationsstellen in Gebieten, die vom Fonds für einen gerechten Übergang profitieren, zu fördern, um die uneingeschränkte Beteiligung der lokalen Gebietskörperschaften, Gewerkschaften, Unternehmen und der Zivilgesellschaft an der Verwaltung, Auswahl und Überwachung der finanzierten Projekte sicherzustellen und so die Legitimität und Wirksamkeit der territorialen Pläne für einen gerechten Übergang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der Fonds für einen gerechten Übergang flexibel genug sein sollte, um viele verschiedene Initiativen je nach lokalen und regionalen Bedürfnissen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fordert die Mitgliedstaaten und die regionalen Gebietskörperschaften auf, „lokale Kompetenzräte“ oder ähnliche Gremien verschiedener Interessenträger einzurichten, wie dies in der Mitteilung über die Union der Kompetenzen empfohlen wird, deren Aufgabe es sein wird, lokale Qualifikationslücken zu erkennen, den Qualifikationsbedarf im Zusammenhang mit dem ökologischen und dem digitalen Wandel zu antizipieren und zu gezielten Investitionen im Rahmen des Fonds für einen gerechten Übergang und des ESF+ zu beraten;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hätte festlegen sollen;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hätte festlegen sollen;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hätte festlegen sollen;</w:t>
            </w:r>
          </w:p>
        </w:tc>
        <w:tc>
          <w:tcPr>
            <w:tcW w:w="4876" w:type="dxa"/>
            <w:tcBorders>
              <w:top w:val="nil"/>
              <w:left w:val="nil"/>
              <w:bottom w:val="nil"/>
              <w:right w:val="nil"/>
            </w:tcBorders>
          </w:tcPr>
          <w:p>
            <w:pPr>
              <w:pStyle w:val="Normal6a"/>
            </w:pPr>
            <w:r>
              <w:t>16.</w:t>
            </w:r>
            <w:r>
              <w:tab/>
            </w:r>
            <w:r>
              <w:t>ist der Ansicht, dass die Kommission klare Parameter für jeden einzelnen Mitgliedstaat in Bereichen wie Investitionen in die allgemeine und berufliche Bildung</w:t>
            </w:r>
            <w:r>
              <w:rPr>
                <w:b/>
                <w:i/>
              </w:rPr>
              <w:t>, Weiterbildung und Umschulung von Arbeitskräften im Hinblick auf alternative Beschäftigungsmöglichkeiten</w:t>
            </w:r>
            <w:r>
              <w:t xml:space="preserve"> und der Möglichkeit für Drittinvestoren, die Kultur und die Traditionen ehemaliger Torf- und Bergbauregionen zu erhalten, hätte festlegen sollen; </w:t>
            </w:r>
            <w:r>
              <w:rPr>
                <w:b/>
                <w:i/>
              </w:rPr>
              <w:t>unterstützt den Austausch von Fachkenntnissen und bewährten Verfahren zwischen Regionen, die sich im Übergang befinden, durch die Förderung des gegenseitigen Lernens, des Kapazitätsaufbaus und der Beschleunigung der nachhaltigen Entwicklung;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hätte festlegen sollen;</w:t>
            </w:r>
          </w:p>
        </w:tc>
        <w:tc>
          <w:tcPr>
            <w:tcW w:w="4876" w:type="dxa"/>
            <w:tcBorders>
              <w:top w:val="nil"/>
              <w:left w:val="nil"/>
              <w:bottom w:val="nil"/>
              <w:right w:val="nil"/>
            </w:tcBorders>
          </w:tcPr>
          <w:p>
            <w:pPr>
              <w:pStyle w:val="Normal6a"/>
            </w:pPr>
            <w:r>
              <w:t>16.</w:t>
            </w:r>
            <w:r>
              <w:tab/>
            </w:r>
            <w:r>
              <w:t>ist der Ansicht, dass die Kommission klare Parameter für jeden einzelnen Mitgliedstaat in Bereichen wie Investitionen in die allgemeine und berufliche Bildung</w:t>
            </w:r>
            <w:r>
              <w:rPr>
                <w:b/>
                <w:i/>
              </w:rPr>
              <w:t>, Weiterbildung und Umschulung</w:t>
            </w:r>
            <w:r>
              <w:t xml:space="preserve"> und der Möglichkeit für Drittinvestoren, die Kultur und die Traditionen ehemaliger Torf- und Bergbauregionen zu erhalten, hätte festlegen sollen; </w:t>
            </w:r>
            <w:r>
              <w:rPr>
                <w:b/>
                <w:i/>
              </w:rPr>
              <w:t>fordert ferner, dass Synergieeffekte mit der Initiative „Neues Europäisches Bauhaus“ genutzt werden, um Projekte in Betracht zu ziehen, mit denen alte Industrieanlagen, insbesondere in vernachlässigten Nachbarschaftsgebieten, in soziale und kulturelle Orte umgewidmet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hätte festlegen sollen;</w:t>
            </w:r>
          </w:p>
        </w:tc>
        <w:tc>
          <w:tcPr>
            <w:tcW w:w="4876" w:type="dxa"/>
            <w:tcBorders>
              <w:top w:val="nil"/>
              <w:left w:val="nil"/>
              <w:bottom w:val="nil"/>
              <w:right w:val="nil"/>
            </w:tcBorders>
          </w:tcPr>
          <w:p>
            <w:pPr>
              <w:pStyle w:val="Normal6a"/>
            </w:pPr>
            <w:r>
              <w:t>16.</w:t>
            </w:r>
            <w:r>
              <w:tab/>
            </w:r>
            <w:r>
              <w:t xml:space="preserve">ist der Ansicht, dass die Kommission klare Parameter für jeden einzelnen Mitgliedstaat in Bereichen wie Investitionen in die allgemeine und berufliche Bildung und der Möglichkeit für Drittinvestoren, die Kultur und die Traditionen ehemaliger Torf- und Bergbauregionen zu erhalten </w:t>
            </w:r>
            <w:r>
              <w:rPr>
                <w:b/>
                <w:i/>
              </w:rPr>
              <w:t>und das verschmutzte Gebiet rund um die Abbaustätten zu reinigen</w:t>
            </w:r>
            <w:r>
              <w:t>, hätte festlegen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erkennt die wesentliche Rolle der Europäischen Investitionsbank bei der Unterstützung des gerechten Übergangs an;</w:t>
            </w:r>
            <w:r>
              <w:t xml:space="preserve"> </w:t>
            </w:r>
            <w:r>
              <w:rPr>
                <w:b/>
                <w:i/>
              </w:rPr>
              <w:t>betont, dass die Zusammenarbeit zwischen öffentlichen und privaten Finanzinstituten weiter gestärkt werden muss, um zusätzliche Investitionen zu mobilisieren und zugleich sicherzustellen, dass beim Übergang zu einer nachhaltigen Wirtschaft keine Region oder Gemeinschaft zurückgelassen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hebt hervor, dass allen Finanzinstrumenten zur Unterstützung des gerechten Übergangs, insbesondere denjenigen, mit denen die Widerstandsfähigkeit der Industrie und die Innovation gefördert werden, ein territorialer ortsbezogener Ansatz zugrunde liegen muss;</w:t>
            </w:r>
            <w:r>
              <w:t xml:space="preserve"> </w:t>
            </w:r>
            <w:r>
              <w:rPr>
                <w:b/>
                <w:i/>
              </w:rPr>
              <w:t>betont, dass ein solcher Ansatz von entscheidender Bedeutung ist, um die vielfältigen regionalen Herausforderungen wirksam anzugehen und das lokale Entwicklungspotenzial zu erschließen;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hebt hervor, dass Pläne für Gebiete eines gerechten Übergangs eine klare Verpflichtung zur Ausarbeitung strategischer Wiederbelebungs- und Entwicklungsinitiativen enthalten müssen, wobei ein besonderer Schwerpunkt auf der Unternehmensentwicklung und der Schaffung von Arbeitsplätzen in den Gebieten liegen sollte, die von der Einstellung der Erzeugung fossiler Brennstoffe am stärksten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erachtet es als wichtig, sich auf Maßnahmen wie die Umwidmung alter Industrieanlagen und Bergbaustandorte in neue innovative, grüne und interaktive Kulturzentren sowie auf andere multifunktionale Aktivitäten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dass auf lokaler Ebene eine größere Wahlfreiheit beim Dekarbonisierungspfad gewährt wird, indem verschiedene Lösungen gemäß einer technologischen, politischen und wirtschaftlichen Perspektive gefördert werden;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ist der Ansicht, dass nachhaltiges Investieren Vorrang haben, auf lokale Projekte für grüne Infrastruktur und erneuerbare Energieträger ausgerichtet sein und sich auf die Verbesserung der Energieeffizienz konzentrieren sollte, einschließlich der Renovierung, des Ausbaus und der Nachrüstung energieeffizienter Gebäude, lokaler Infrastruktur für Abfallrecycling und -bewirtschaftung, des Ausbaus regionaler und lokaler Solar-, Wind- und Wasserkraftanlagen sowie nachhaltiger Verkehrsmittel, die die lokale Wirtschaft ankurbeln und erhebliches Potenzial für die Schaffung lokaler Arbeitsplätze in den Bereichen Bau, Ingenieurwesen, Instandhaltung und verwandten Branchen bieten, die nicht ausgelagert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fordert größere Synergieeffekte zwischen dem öffentlichen und dem privaten Sektor, damit der Übergangsprozess gemeinsam in Angriff genommen werden kann und so die produktive Neuausrichtung der betroffenen Gebiete erleichtert wird;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erkennt an, dass es an Finanzmitteln für großangelegte Bottom-up-Projekte mangelt; empfiehlt, dass diese Lücken bei Bedarf mit Mitteln aus dem Fonds für einen gerechten Übergang geschlossen werden;</w:t>
            </w:r>
          </w:p>
        </w:tc>
        <w:tc>
          <w:tcPr>
            <w:tcW w:w="4876" w:type="dxa"/>
            <w:tcBorders>
              <w:top w:val="nil"/>
              <w:left w:val="nil"/>
              <w:bottom w:val="nil"/>
              <w:right w:val="nil"/>
            </w:tcBorders>
          </w:tcPr>
          <w:p>
            <w:pPr>
              <w:pStyle w:val="Normal6a"/>
            </w:pPr>
            <w:r>
              <w:t>17.</w:t>
            </w:r>
            <w:r>
              <w:tab/>
            </w:r>
            <w:r>
              <w:t xml:space="preserve">erkennt an, dass es an Finanzmitteln für großangelegte Bottom-up-Projekte mangelt; empfiehlt, dass diese Lücken bei Bedarf mit Mitteln aus dem Fonds für einen gerechten Übergang geschlossen werden; </w:t>
            </w:r>
            <w:r>
              <w:rPr>
                <w:b/>
                <w:i/>
              </w:rPr>
              <w:t>betont, wie wichtig es ist, den Regionen von Anfang an gezielte technische Unterstützung zukommen zu lassen, um ihre Kapazitäten für eine Bottom-up-Planung zu stärken und potenzielle Begünstigte bei der Vorbereitung hochwertiger und wirkungsvoller Projekte zu unterstützen;</w:t>
            </w:r>
            <w:r>
              <w:t xml:space="preserve"> </w:t>
            </w:r>
            <w:r>
              <w:rPr>
                <w:b/>
                <w:i/>
              </w:rPr>
              <w:t>fordert die Einrichtung eines soliden Koordinierungsmechanismus, um die regionalen und lokalen Gebietskörperschaften aktiv in die Entwicklung, Durchführung und Überwachung der territorialen Pläne für einen gerechten Übergang einzubinden;</w:t>
            </w:r>
            <w:r>
              <w:t xml:space="preserve"> </w:t>
            </w:r>
            <w:r>
              <w:rPr>
                <w:b/>
                <w:i/>
              </w:rPr>
              <w:t>hebt hervor, dass den territorialen Besonderheiten in vollem Umfang Rechnung getragen werden muss, wobei auch eine sinnvolle Beteiligung lokaler Interessenträger, einschließlich der Zivilgesellschaft, der Gewerkschaften, der Hochschuleinrichtungen und der Handelskammern, am Beschlussfassungsprozess sicherzustellen ist;</w:t>
            </w:r>
            <w:r>
              <w:t xml:space="preserve"> </w:t>
            </w:r>
            <w:r>
              <w:rPr>
                <w:b/>
                <w:i/>
              </w:rPr>
              <w:t>fordert die Ausarbeitung einer klaren und operativen Strategie, um die Mittelausschöpfung durch die Verwaltungsbehörden zu verbessern, wobei praktische Hilfe mit der Unterstützung von Kapitalinvestitionen kombiniert und der Einsatz praktischer Instrumente wie Mechanismen für die Bereitstellung technischer Unterstützung und die Einrichtung regionaler zentraler Anlaufstellen gefördert werden sollen, um den Zugang zu Finanzmitteln zu straffen und die Effizienz der Umsetzung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erkennt an, dass es an Finanzmitteln für großangelegte Bottom-up-Projekte mangelt; empfiehlt, dass diese Lücken </w:t>
            </w:r>
            <w:r>
              <w:rPr>
                <w:b/>
                <w:i/>
              </w:rPr>
              <w:t>bei Bedarf</w:t>
            </w:r>
            <w:r>
              <w:t xml:space="preserve"> mit Mitteln aus dem Fonds für einen gerechten Übergang geschlossen werden;</w:t>
            </w:r>
          </w:p>
        </w:tc>
        <w:tc>
          <w:tcPr>
            <w:tcW w:w="4876" w:type="dxa"/>
            <w:tcBorders>
              <w:top w:val="nil"/>
              <w:left w:val="nil"/>
              <w:bottom w:val="nil"/>
              <w:right w:val="nil"/>
            </w:tcBorders>
          </w:tcPr>
          <w:p>
            <w:pPr>
              <w:pStyle w:val="Normal6a"/>
            </w:pPr>
            <w:r>
              <w:t>17.</w:t>
            </w:r>
            <w:r>
              <w:tab/>
            </w:r>
            <w:r>
              <w:t>erkennt an, dass es an Finanzmitteln für großangelegte Bottom-up-Projekte mangelt; empfiehlt, dass diese Lücken mit Mitteln aus dem Fonds für einen gerechten Übergang geschlossen werden</w:t>
            </w:r>
            <w:r>
              <w:rPr>
                <w:b/>
                <w:i/>
              </w:rPr>
              <w:t> und dass bei den Mitteln aus dem EFRE und dem Fonds für einen gerechten Übergang Investitionen in grundlegende Infrastruktur, soziale Dienstleistungen, Logistiknetze und Konnektivität ausdrücklich Vorrang eingeräumt wird, um neue Unternehmensprojekte in Gemeinden, die sich im Wandel befinden, rentabel zu machen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erkennt an, dass es an Finanzmitteln für großangelegte Bottom-up-Projekte mangelt; empfiehlt, dass diese Lücken bei Bedarf </w:t>
            </w:r>
            <w:r>
              <w:rPr>
                <w:b/>
                <w:i/>
              </w:rPr>
              <w:t>mit Mitteln aus dem</w:t>
            </w:r>
            <w:r>
              <w:t xml:space="preserve"> Fonds für einen gerechten Übergang geschlossen werden;</w:t>
            </w:r>
          </w:p>
        </w:tc>
        <w:tc>
          <w:tcPr>
            <w:tcW w:w="4876" w:type="dxa"/>
            <w:tcBorders>
              <w:top w:val="nil"/>
              <w:left w:val="nil"/>
              <w:bottom w:val="nil"/>
              <w:right w:val="nil"/>
            </w:tcBorders>
          </w:tcPr>
          <w:p>
            <w:pPr>
              <w:pStyle w:val="Normal6a"/>
            </w:pPr>
            <w:r>
              <w:t>17.</w:t>
            </w:r>
            <w:r>
              <w:tab/>
            </w:r>
            <w:r>
              <w:t xml:space="preserve">erkennt an, dass es an Finanzmitteln für großangelegte Bottom-up-Projekte mangelt; empfiehlt, dass diese Lücken bei Bedarf </w:t>
            </w:r>
            <w:r>
              <w:rPr>
                <w:b/>
                <w:i/>
              </w:rPr>
              <w:t>durch die Fortführung des</w:t>
            </w:r>
            <w:r>
              <w:t xml:space="preserve"> Fonds für einen gerechten Übergang geschlossen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erkennt an, dass es an Finanzmitteln für großangelegte Bottom-up-Projekte mangelt; empfiehlt, dass diese Lücken bei Bedarf mit Mitteln aus dem Fonds für einen gerechten Übergang geschlossen werden;</w:t>
            </w:r>
          </w:p>
        </w:tc>
        <w:tc>
          <w:tcPr>
            <w:tcW w:w="4876" w:type="dxa"/>
            <w:tcBorders>
              <w:top w:val="nil"/>
              <w:left w:val="nil"/>
              <w:bottom w:val="nil"/>
              <w:right w:val="nil"/>
            </w:tcBorders>
          </w:tcPr>
          <w:p>
            <w:pPr>
              <w:pStyle w:val="Normal6a"/>
            </w:pPr>
            <w:r>
              <w:t>17.</w:t>
            </w:r>
            <w:r>
              <w:tab/>
            </w:r>
            <w:r>
              <w:t>erkennt an, dass es an Finanzmitteln für großangelegte Bottom-up-Projekte mangelt; empfiehlt, dass diese Lücken bei Bedarf mit Mitteln aus dem Fonds für einen gerechten Übergang </w:t>
            </w:r>
            <w:r>
              <w:rPr>
                <w:b/>
                <w:i/>
              </w:rPr>
              <w:t>– oder aus einem anderen künftigen Mechanismus –</w:t>
            </w:r>
            <w:r>
              <w:t xml:space="preserve"> geschlossen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hebt das Potenzial einer demokratischen und partizipativen ökologischen Planung zur Schaffung von Arbeitsplätzen hervor;</w:t>
            </w:r>
            <w:r>
              <w:t xml:space="preserve"> </w:t>
            </w:r>
            <w:r>
              <w:rPr>
                <w:b/>
                <w:i/>
              </w:rPr>
              <w:t>unterstreicht, dass für einen grünen und gerechten Wandel die Kapazitäten auf sämtlichen Ebenen, insbesondere aber in den lokalen und regionalen Verwaltungen, gestärkt und mit ausreichenden Mitteln ausgestattet werden müssen, um eine partizipative ökologische Planung, qualitativ hochwertige Umweltverträglichkeitsprüfungen von Projekten, solide Analysen zur Vermeidung erheblicher Beeinträchtigungen und eine wirksame Umsetzung der Umwelt- und Klimaschutzvorschriften sicherzustellen und die Inanspruchnahme von Unionsmitteln zu garantieren, wodurch gleichzeitig das Risiko der Aufhebung von Mittelbindungen am Ende der Förderperioden verringert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Kommission und die Mitgliedstaaten nachdrücklich auf, im Einklang mit dem in der Verordnung (EU) 2021/1060 festgelegten Grundsatz der Steuerung auf mehreren Ebenen Mechanismen einzurichten, die die wirksame Beteiligung – über die reine öffentliche Konsultation hinaus – der lokalen Gebietskörperschaften an der Planung, Auswahl und Umsetzung der aus dem Fonds für einen gerechten Übergang finanzierten Projekte sicherstellen;</w:t>
            </w:r>
            <w:r>
              <w:t xml:space="preserve"> </w:t>
            </w:r>
            <w:r>
              <w:rPr>
                <w:b/>
                <w:i/>
              </w:rPr>
              <w:t>betont, dass eine solche Beteiligung die Ausrichtung der Projekte auf die tatsächlichen Bedürfnisse der Gebiete verbessern würde;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wie wichtig es ist, die Kohäsionspolitik, einschließlich des Fonds für einen gerechten Übergang, mit regionalen Innovationsstrategien und Prioritäten für intelligente Spezialisierung in Einklang zu bringen, um die regionale Wettbewerbsfähigkeit zu stärken und dabei sicherzustellen, dass Investitionen in Bildung, Forschung, Innovation und Digitalisierung die wirtschaftliche Diversifizierung und die Widerstandsfähigkeit von im Übergang befindlichen Gebieten unmittelbar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wie wichtig es ist, die Finanzierungsmechanismen der EU anzupassen, um die Regionen, die mit den größten Herausforderungen konfrontiert sind, besser zu unterstützen, wenn es darum geht, den ökologischen Wandel zu vollziehen;</w:t>
            </w:r>
            <w:r>
              <w:t xml:space="preserve"> </w:t>
            </w:r>
            <w:r>
              <w:rPr>
                <w:b/>
                <w:i/>
              </w:rPr>
              <w:t>hebt hervor, dass im nächsten MFR die asymmetrischen Auswirkungen der Dekarbonisierung berücksichtigt werden müssen, die die bestehenden wirtschaftlichen und sozialen Ungleichheiten auf subnationaler Ebene verschärfen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empfiehlt, dass die Mitgliedstaaten einen Teil der Mittel des Fonds für einen gerechten Übergang nach ihrem Ermessen auf andere Prioritäten im Zusammenhang mit dem gerechten Übergang umschichten können, und zwar anhand der spezifischen und sozialen Erfordernisse ihres Hoheitsgebiets, ohne dass eine systematische vorherige Genehmigung der Kommission erforderlich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Ana Miranda Paz, 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hebt hervor, dass der Fonds für einen gerechten Übergang eine entscheidende Rolle bei der Förderung der Dekarbonisierung spielen und dafür sorgen sollte, dass Projekten, mit denen irreführende Umweltaussagen gefördert werden, der Zugang zu EU-Mitteln untersagt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betont, dass die Zivilgesellschaft stärker in den Beschlussfassungsprozess einbezogen werden muss und dass Bottom-up-Ansätze gefördert werden müssen, damit bestmöglich auf lokale und regionale Bedürfnisse eingegangen werden kann;</w:t>
            </w:r>
            <w:r>
              <w:t xml:space="preserve"> </w:t>
            </w:r>
            <w:r>
              <w:rPr>
                <w:b/>
                <w:i/>
              </w:rPr>
              <w:t>fordert die Kommission daher nachdrücklich auf, bei der anstehenden Vereinfachung der Kohäsionspolitik einen Bottom-up-Ansatz zu verfolgen, indem sie eine angemessene Konsultation und Einbeziehung von lokalen und regionalen Gebietskörperschaften, NGO und KMU sicherstellt;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stellt fest, dass es an Matching-Finanzierungen für Gruppen im Freiwilligensektor, die eine Unterstützung aus dem Fonds für einen gerechten Übergang beantragen, fehlt;</w:t>
            </w:r>
            <w:r>
              <w:t xml:space="preserve"> </w:t>
            </w:r>
            <w:r>
              <w:rPr>
                <w:b/>
                <w:i/>
              </w:rPr>
              <w:t>schlägt vor, bis zu 90 % der Mittel für Gruppen bereitzustellen, die als risikoarm gelten, wodurch sichergestellt wird, dass diese Gruppen keine hohen Zinssätze für Matching-Finanzierungen und Brückenfinanzierungen zahlen müssen;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stellt fest, dass es an Matching-Finanzierungen für Gruppen im Freiwilligensektor, die eine Unterstützung aus dem Fonds für einen gerechten Übergang beantragen, fehlt; </w:t>
            </w:r>
            <w:r>
              <w:rPr>
                <w:b/>
                <w:i/>
              </w:rPr>
              <w:t>schlägt vor, bis zu 90 % der Mittel für Gruppen bereitzustellen, die als risikoarm gelten, wodurch sichergestellt wird, dass diese Gruppen keine hohen Zinssätze für Matching-Finanzierungen und Brückenfinanzierungen zahlen müssen;</w:t>
            </w:r>
          </w:p>
        </w:tc>
        <w:tc>
          <w:tcPr>
            <w:tcW w:w="4876" w:type="dxa"/>
            <w:tcBorders>
              <w:top w:val="nil"/>
              <w:left w:val="nil"/>
              <w:bottom w:val="nil"/>
              <w:right w:val="nil"/>
            </w:tcBorders>
          </w:tcPr>
          <w:p>
            <w:pPr>
              <w:pStyle w:val="Normal6a"/>
            </w:pPr>
            <w:r>
              <w:t>18.</w:t>
            </w:r>
            <w:r>
              <w:tab/>
            </w:r>
            <w:r>
              <w:t>stellt fest, dass es an Matching-Finanzierungen für Gruppen im Freiwilligensektor, die eine Unterstützung aus dem Fonds für einen gerechten Übergang beantragen, fehlt;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stellt fest, dass es an Matching-Finanzierungen für Gruppen im Freiwilligensektor, die eine Unterstützung aus dem Fonds für einen gerechten Übergang beantragen, fehlt</w:t>
            </w:r>
            <w:r>
              <w:rPr>
                <w:b/>
                <w:i/>
              </w:rPr>
              <w:t>;</w:t>
            </w:r>
            <w:r>
              <w:t xml:space="preserve"> </w:t>
            </w:r>
            <w:r>
              <w:rPr>
                <w:b/>
                <w:i/>
              </w:rPr>
              <w:t>schlägt vor,</w:t>
            </w:r>
            <w:r>
              <w:t xml:space="preserve"> bis zu 90 % der Mittel für Gruppen </w:t>
            </w:r>
            <w:r>
              <w:rPr>
                <w:b/>
                <w:i/>
              </w:rPr>
              <w:t>bereitzustellen</w:t>
            </w:r>
            <w:r>
              <w:t>, die als risikoarm gelten, wodurch sichergestellt wird, dass diese Gruppen keine hohen Zinssätze für Matching-Finanzierungen und Brückenfinanzierungen zahlen müssen;</w:t>
            </w:r>
          </w:p>
        </w:tc>
        <w:tc>
          <w:tcPr>
            <w:tcW w:w="4876" w:type="dxa"/>
            <w:tcBorders>
              <w:top w:val="nil"/>
              <w:left w:val="nil"/>
              <w:bottom w:val="nil"/>
              <w:right w:val="nil"/>
            </w:tcBorders>
          </w:tcPr>
          <w:p>
            <w:pPr>
              <w:pStyle w:val="Normal6a"/>
            </w:pPr>
            <w:r>
              <w:t>18.</w:t>
            </w:r>
            <w:r>
              <w:tab/>
            </w:r>
            <w:r>
              <w:t>stellt fest, dass es an Matching-Finanzierungen für Gruppen im Freiwilligensektor, die eine Unterstützung aus dem Fonds für einen gerechten Übergang beantragen, fehlt</w:t>
            </w:r>
            <w:r>
              <w:rPr>
                <w:b/>
                <w:i/>
              </w:rPr>
              <w:t>, und fordert einen vereinfachten Finanzierungsmechanismus, einschließlich einer Vorfinanzierung von</w:t>
            </w:r>
            <w:r>
              <w:t xml:space="preserve"> bis zu 90 % der Mittel für Gruppen, die als risikoarm gelten, wodurch sichergestellt wird, dass diese Gruppen keine hohen Zinssätze für Matching-Finanzierungen und Brückenfinanzierungen zahlen müssen</w:t>
            </w:r>
            <w:r>
              <w:rPr>
                <w:b/>
                <w:i/>
              </w:rPr>
              <w:t>, und so lokale Freiwilligen- und Gemeinschaftsorganisationen in die Lage versetzt werden, Projekte im Zusammenhang mit dem Übergang wirksam durchzuführen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stellt fest, dass es an Matching-Finanzierungen für Gruppen im Freiwilligensektor, die eine Unterstützung aus dem Fonds für einen gerechten Übergang beantragen, fehlt; </w:t>
            </w:r>
            <w:r>
              <w:rPr>
                <w:b/>
                <w:i/>
              </w:rPr>
              <w:t>schlägt vor, bis zu 90 % der Mittel für</w:t>
            </w:r>
            <w:r>
              <w:t xml:space="preserve"> Gruppen </w:t>
            </w:r>
            <w:r>
              <w:rPr>
                <w:b/>
                <w:i/>
              </w:rPr>
              <w:t>bereitzustellen</w:t>
            </w:r>
            <w:r>
              <w:t>, die als risikoarm gelten, wodurch sichergestellt wird, dass diese Gruppen keine hohen Zinssätze für Matching-Finanzierungen und Brückenfinanzierungen zahlen müssen;</w:t>
            </w:r>
          </w:p>
        </w:tc>
        <w:tc>
          <w:tcPr>
            <w:tcW w:w="4876" w:type="dxa"/>
            <w:tcBorders>
              <w:top w:val="nil"/>
              <w:left w:val="nil"/>
              <w:bottom w:val="nil"/>
              <w:right w:val="nil"/>
            </w:tcBorders>
          </w:tcPr>
          <w:p>
            <w:pPr>
              <w:pStyle w:val="Normal6a"/>
            </w:pPr>
            <w:r>
              <w:t>18.</w:t>
            </w:r>
            <w:r>
              <w:tab/>
            </w:r>
            <w:r>
              <w:t xml:space="preserve">stellt fest, dass es an Matching-Finanzierungen für Gruppen im Freiwilligensektor, die eine Unterstützung aus dem Fonds für einen gerechten Übergang beantragen, fehlt; </w:t>
            </w:r>
            <w:r>
              <w:rPr>
                <w:b/>
                <w:i/>
              </w:rPr>
              <w:t>erachtet es als wichtig, ausreichende Vorschüsse für die Finanzierung von</w:t>
            </w:r>
            <w:r>
              <w:t xml:space="preserve"> Gruppen </w:t>
            </w:r>
            <w:r>
              <w:rPr>
                <w:b/>
                <w:i/>
              </w:rPr>
              <w:t>zu gewähren</w:t>
            </w:r>
            <w:r>
              <w:t>, die als risikoarm gelten, wodurch sichergestellt wird, dass diese Gruppen keine hohen Zinssätze für Matching-Finanzierungen und Brückenfinanzierungen zahlen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stellt fest, dass es an Matching-Finanzierungen für Gruppen im Freiwilligensektor, die eine Unterstützung aus dem Fonds für einen gerechten Übergang beantragen, fehlt; schlägt vor, bis zu 90 % der Mittel für Gruppen bereitzustellen, die als risikoarm gelten, wodurch sichergestellt wird, dass diese Gruppen keine hohen Zinssätze für Matching-Finanzierungen und Brückenfinanzierungen zahlen müssen;</w:t>
            </w:r>
          </w:p>
        </w:tc>
        <w:tc>
          <w:tcPr>
            <w:tcW w:w="4876" w:type="dxa"/>
            <w:tcBorders>
              <w:top w:val="nil"/>
              <w:left w:val="nil"/>
              <w:bottom w:val="nil"/>
              <w:right w:val="nil"/>
            </w:tcBorders>
          </w:tcPr>
          <w:p>
            <w:pPr>
              <w:pStyle w:val="Normal6a"/>
            </w:pPr>
            <w:r>
              <w:t>18.</w:t>
            </w:r>
            <w:r>
              <w:tab/>
            </w:r>
            <w:r>
              <w:t xml:space="preserve">stellt fest, dass es an Matching-Finanzierungen für Gruppen im Freiwilligensektor, die eine Unterstützung aus dem Fonds für einen gerechten Übergang beantragen, fehlt; schlägt vor, bis zu 90 % der Mittel für Gruppen bereitzustellen, die als risikoarm gelten, wodurch sichergestellt wird, dass diese Gruppen keine hohen Zinssätze </w:t>
            </w:r>
            <w:r>
              <w:rPr>
                <w:b/>
                <w:i/>
              </w:rPr>
              <w:t>und Gebühren</w:t>
            </w:r>
            <w:r>
              <w:t xml:space="preserve"> für Matching-Finanzierungen und Brückenfinanzierungen zahlen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hebt die negativen Auswirkungen der Vorschriften über staatliche Beihilfen auf freiwillige und gemeinnützige Gruppen hervor und fordert nachdrücklich, dass Freiwilligengruppen, die als risikoarm gelten, mehr Flexibilität bei der Verwirklichung der Beschäftigungsziele eingeräumt wird;</w:t>
            </w:r>
          </w:p>
        </w:tc>
        <w:tc>
          <w:tcPr>
            <w:tcW w:w="4876" w:type="dxa"/>
            <w:tcBorders>
              <w:top w:val="nil"/>
              <w:left w:val="nil"/>
              <w:bottom w:val="nil"/>
              <w:right w:val="nil"/>
            </w:tcBorders>
          </w:tcPr>
          <w:p>
            <w:pPr>
              <w:pStyle w:val="Normal6a"/>
            </w:pPr>
            <w:r>
              <w:t>19.</w:t>
            </w:r>
            <w:r>
              <w:tab/>
            </w:r>
            <w:r>
              <w:t xml:space="preserve">hebt die negativen Auswirkungen der Vorschriften über staatliche Beihilfen auf freiwillige und gemeinnützige Gruppen hervor und fordert nachdrücklich, dass Freiwilligengruppen, die als risikoarm gelten, mehr Flexibilität bei der Verwirklichung der Beschäftigungsziele eingeräumt wird; </w:t>
            </w:r>
            <w:r>
              <w:rPr>
                <w:b/>
                <w:i/>
              </w:rPr>
              <w:t>betont, dass sozialwirtschaftlichen Einrichtungen eine wesentliche Rolle zukommt, wenn es darum geht, konkrete, gemeinschaftsbasierte Antworten auf die sozialen Bedürfnisse der EU-Bürger bereitzustellen und inklusive Lösungen für einen gerechten Übergang zu unterstützen, die den Menschen in den Mittelpunkt stellen;</w:t>
            </w:r>
            <w:r>
              <w:t xml:space="preserve"> </w:t>
            </w:r>
            <w:r>
              <w:rPr>
                <w:b/>
                <w:i/>
              </w:rPr>
              <w:t>fordert die Kommission auf, die bestehenden Vorschriften über staatliche Beihilfen zu überarbeiten und anzupassen, unter anderem durch eine Anpassung der Obergrenzen für staatliche Beihilfen in Bezug auf Tätigkeiten, die auf die Wiedereingliederung in den Arbeitsmarkt ausgerichtet sind;</w:t>
            </w:r>
            <w:r>
              <w:t xml:space="preserve"> </w:t>
            </w:r>
            <w:r>
              <w:rPr>
                <w:b/>
                <w:i/>
              </w:rPr>
              <w:t>hebt hervor, dass solche Anpassungen erforderlich sind, um die Akteure der Sozialwirtschaft in die Lage zu versetzen, einen sinnvollen Beitrag zu den Beschäftigungs- und Kohäsionszielen der EU zu leisten, insbesondere in gefährdeten Regionen und Übergangsregionen;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hebt </w:t>
            </w:r>
            <w:r>
              <w:rPr>
                <w:b/>
                <w:i/>
              </w:rPr>
              <w:t>die negativen Auswirkungen der</w:t>
            </w:r>
            <w:r>
              <w:t xml:space="preserve"> Vorschriften über staatliche Beihilfen </w:t>
            </w:r>
            <w:r>
              <w:rPr>
                <w:b/>
                <w:i/>
              </w:rPr>
              <w:t>auf freiwillige und gemeinnützige Gruppen hervor und fordert nachdrücklich, dass Freiwilligengruppen, die als risikoarm gelten, mehr Flexibilität bei der Verwirklichung der Beschäftigungsziele eingeräumt wird</w:t>
            </w:r>
            <w:r>
              <w:t>;</w:t>
            </w:r>
          </w:p>
        </w:tc>
        <w:tc>
          <w:tcPr>
            <w:tcW w:w="4876" w:type="dxa"/>
            <w:tcBorders>
              <w:top w:val="nil"/>
              <w:left w:val="nil"/>
              <w:bottom w:val="nil"/>
              <w:right w:val="nil"/>
            </w:tcBorders>
          </w:tcPr>
          <w:p>
            <w:pPr>
              <w:pStyle w:val="Normal6a"/>
            </w:pPr>
            <w:r>
              <w:t>19.</w:t>
            </w:r>
            <w:r>
              <w:tab/>
            </w:r>
            <w:r>
              <w:t xml:space="preserve">hebt </w:t>
            </w:r>
            <w:r>
              <w:rPr>
                <w:b/>
                <w:i/>
              </w:rPr>
              <w:t>hervor, dass die</w:t>
            </w:r>
            <w:r>
              <w:t xml:space="preserve"> Vorschriften über staatliche Beihilfen </w:t>
            </w:r>
            <w:r>
              <w:rPr>
                <w:b/>
                <w:i/>
              </w:rPr>
              <w:t>unter gerechtfertigten Bedingungen für freiwillige und gemeinnützige Gruppen gelockert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hebt </w:t>
            </w:r>
            <w:r>
              <w:rPr>
                <w:b/>
                <w:i/>
              </w:rPr>
              <w:t>die negativen Auswirkungen</w:t>
            </w:r>
            <w:r>
              <w:t xml:space="preserve"> der Vorschriften über staatliche Beihilfen auf freiwillige und gemeinnützige Gruppen hervor und fordert nachdrücklich, dass Freiwilligengruppen, die als risikoarm gelten, mehr Flexibilität bei der Verwirklichung der Beschäftigungsziele eingeräumt wird;</w:t>
            </w:r>
          </w:p>
        </w:tc>
        <w:tc>
          <w:tcPr>
            <w:tcW w:w="4876" w:type="dxa"/>
            <w:tcBorders>
              <w:top w:val="nil"/>
              <w:left w:val="nil"/>
              <w:bottom w:val="nil"/>
              <w:right w:val="nil"/>
            </w:tcBorders>
          </w:tcPr>
          <w:p>
            <w:pPr>
              <w:pStyle w:val="Normal6a"/>
            </w:pPr>
            <w:r>
              <w:t>19.</w:t>
            </w:r>
            <w:r>
              <w:tab/>
            </w:r>
            <w:r>
              <w:t xml:space="preserve">hebt </w:t>
            </w:r>
            <w:r>
              <w:rPr>
                <w:b/>
                <w:i/>
              </w:rPr>
              <w:t>das Hindernis und eine negative Auswirkung</w:t>
            </w:r>
            <w:r>
              <w:t xml:space="preserve"> der Vorschriften über staatliche Beihilfen auf freiwillige und gemeinnützige Gruppen hervor und fordert nachdrücklich, dass Freiwilligengruppen, die als risikoarm gelten, mehr Flexibilität bei der Verwirklichung der Beschäftigungsziele eingeräumt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fordert die Kommission auf, </w:t>
            </w:r>
            <w:r>
              <w:rPr>
                <w:b/>
                <w:i/>
              </w:rPr>
              <w:t>gemeinsam mit</w:t>
            </w:r>
            <w:r>
              <w:t xml:space="preserve"> den Mitgliedstaaten </w:t>
            </w:r>
            <w:r>
              <w:rPr>
                <w:b/>
                <w:i/>
              </w:rPr>
              <w:t>für mehr Kohärenz und Klarheit</w:t>
            </w:r>
            <w:r>
              <w:t xml:space="preserve"> bei der </w:t>
            </w:r>
            <w:r>
              <w:rPr>
                <w:b/>
                <w:i/>
              </w:rPr>
              <w:t>Auslegung der EU-Vorschriften</w:t>
            </w:r>
            <w:r>
              <w:t xml:space="preserve"> über staatliche Beihilfen </w:t>
            </w:r>
            <w:r>
              <w:rPr>
                <w:b/>
                <w:i/>
              </w:rPr>
              <w:t>zu sorgen, soweit diese für gemeinschaftliche und gemeinnützige Gruppen gelten</w:t>
            </w:r>
            <w:r>
              <w:t>;</w:t>
            </w:r>
          </w:p>
        </w:tc>
        <w:tc>
          <w:tcPr>
            <w:tcW w:w="4876" w:type="dxa"/>
            <w:tcBorders>
              <w:top w:val="nil"/>
              <w:left w:val="nil"/>
              <w:bottom w:val="nil"/>
              <w:right w:val="nil"/>
            </w:tcBorders>
          </w:tcPr>
          <w:p>
            <w:pPr>
              <w:pStyle w:val="Normal6a"/>
            </w:pPr>
            <w:r>
              <w:t>20.</w:t>
            </w:r>
            <w:r>
              <w:tab/>
            </w:r>
            <w:r>
              <w:t xml:space="preserve">fordert die Kommission auf, den Mitgliedstaaten </w:t>
            </w:r>
            <w:r>
              <w:rPr>
                <w:b/>
                <w:i/>
              </w:rPr>
              <w:t>größeren Handlungsspielraum</w:t>
            </w:r>
            <w:r>
              <w:t xml:space="preserve"> bei der </w:t>
            </w:r>
            <w:r>
              <w:rPr>
                <w:b/>
                <w:i/>
              </w:rPr>
              <w:t>Anwendung der Vorschriften</w:t>
            </w:r>
            <w:r>
              <w:t xml:space="preserve"> über staatliche Beihilfen </w:t>
            </w:r>
            <w:r>
              <w:rPr>
                <w:b/>
                <w:i/>
              </w:rPr>
              <w:t>im Zusammenhang mit Projekten im Rahmen des Fonds für einen gerechten Übergang einzuräumen, um zu vermeiden, dass eine zu strenge Regelung nationale Initiativen für einen gerechten Übergang hemmt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auf, mit den Mitgliedstaaten zusammenzuarbeiten, um eine stärkere Einbeziehung der regionalen und lokalen Gebietskörperschaften in die Festlegung und Umsetzung von Projekten im Zusammenhang mit dem Fonds für einen gerechten Übergang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w:t>
            </w:r>
            <w:r>
              <w:t xml:space="preserve"> </w:t>
            </w:r>
            <w:r>
              <w:rPr>
                <w:b/>
                <w:i/>
              </w:rPr>
              <w:t>nimmt den Erfolg ähnlicher Initiativen zur Kenntnis;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w:t>
            </w:r>
            <w:r>
              <w:t xml:space="preserve"> </w:t>
            </w:r>
            <w:r>
              <w:rPr>
                <w:b/>
                <w:i/>
              </w:rPr>
              <w:t>nimmt den Erfolg ähnlicher Initiativen zur Kenntnis;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w:t>
            </w:r>
            <w:r>
              <w:t xml:space="preserve"> </w:t>
            </w:r>
            <w:r>
              <w:rPr>
                <w:b/>
                <w:i/>
              </w:rPr>
              <w:t>nimmt den Erfolg ähnlicher Initiativen zur Kenntnis;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die 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 nimmt den Erfolg ähnlicher Initiativen zur Kenntnis;</w:t>
            </w:r>
          </w:p>
        </w:tc>
        <w:tc>
          <w:tcPr>
            <w:tcW w:w="4876" w:type="dxa"/>
            <w:tcBorders>
              <w:top w:val="nil"/>
              <w:left w:val="nil"/>
              <w:bottom w:val="nil"/>
              <w:right w:val="nil"/>
            </w:tcBorders>
          </w:tcPr>
          <w:p>
            <w:pPr>
              <w:pStyle w:val="Normal6a"/>
            </w:pPr>
            <w:r>
              <w:t>21.</w:t>
            </w:r>
            <w:r>
              <w:tab/>
            </w:r>
            <w:r>
              <w:t xml:space="preserve">fordert die 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 nimmt den Erfolg ähnlicher Initiativen zur Kenntnis; </w:t>
            </w:r>
            <w:r>
              <w:rPr>
                <w:b/>
                <w:i/>
              </w:rPr>
              <w:t>hebt hervor, dass ein verbessertes, für die Zielregionen für einen gerechten Übergang spezifisches Modell des gemeinschaftlichen Nutzens entwickelt werden muss, um über einen längeren Zeitraum hinweg zusätzliche Einnahmen und Gewinnbeteiligung aus staatlichen und privaten Entwicklungen im Bereich der erneuerbaren Energie zu erzielen, wobei die Mittel flexibler eingesetzt werden müssen, um die Entwicklung von Unternehmen und die Schaffung von Arbeitsplätzen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w:t>
            </w:r>
            <w:r>
              <w:rPr>
                <w:b/>
                <w:i/>
              </w:rPr>
              <w:t>Kommission auf, die Einrichtung einer Regelung für grüne Gemeinschaften zu erleichtern, die die Beteiligung an lokalen Gemeinschaftsprojekten im Bereich der grünen Energie ermöglicht und es ehemaligen Arbeitskräften und ihren Angehörigen erlaubt, in diese Projekte zu investieren oder sich daran zu beteiligen;</w:t>
            </w:r>
            <w:r>
              <w:t xml:space="preserve"> </w:t>
            </w:r>
            <w:r>
              <w:rPr>
                <w:b/>
                <w:i/>
              </w:rPr>
              <w:t>nimmt den Erfolg ähnlicher Initiativen zur Kenntnis</w:t>
            </w:r>
            <w:r>
              <w:t>;</w:t>
            </w:r>
          </w:p>
        </w:tc>
        <w:tc>
          <w:tcPr>
            <w:tcW w:w="4876" w:type="dxa"/>
            <w:tcBorders>
              <w:top w:val="nil"/>
              <w:left w:val="nil"/>
              <w:bottom w:val="nil"/>
              <w:right w:val="nil"/>
            </w:tcBorders>
          </w:tcPr>
          <w:p>
            <w:pPr>
              <w:pStyle w:val="Normal6a"/>
            </w:pPr>
            <w:r>
              <w:t>21.</w:t>
            </w:r>
            <w:r>
              <w:tab/>
            </w:r>
            <w:r>
              <w:t xml:space="preserve">fordert die </w:t>
            </w:r>
            <w:r>
              <w:rPr>
                <w:b/>
                <w:i/>
              </w:rPr>
              <w:t>Mitgliedstaaten und die Verwaltungsbehörden auf, einen Teil der Mittel aus dem Fonds für einen gerechten Übergang für die Unterstützung der sozialen Innovation und der Sozial- und Solidarwirtschaft bereitzustellen, insbesondere durch die Finanzierung von Bürgerenergiegenossenschaften, partizipativen lokalen Projekten zur Erzeugung erneuerbarer Energie sowie von Initiativen zur Förderung einer lokalen Kreislaufwirtschaft, wodurch die Verbindung zwischen dem ökologischen Wandel und der sozialen Inklusion gestärkt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Kommission auf, die Einrichtung einer Regelung für grüne Gemeinschaften zu erleichtern, die die Beteiligung an lokalen Gemeinschaftsprojekten im Bereich der </w:t>
            </w:r>
            <w:r>
              <w:rPr>
                <w:b/>
                <w:i/>
              </w:rPr>
              <w:t>grünen</w:t>
            </w:r>
            <w:r>
              <w:t xml:space="preserve"> Energie ermöglicht und es ehemaligen Arbeitskräften und ihren Angehörigen erlaubt, in diese Projekte zu investieren oder sich daran zu beteiligen; nimmt den Erfolg ähnlicher Initiativen zur Kenntnis;</w:t>
            </w:r>
          </w:p>
        </w:tc>
        <w:tc>
          <w:tcPr>
            <w:tcW w:w="4876" w:type="dxa"/>
            <w:tcBorders>
              <w:top w:val="nil"/>
              <w:left w:val="nil"/>
              <w:bottom w:val="nil"/>
              <w:right w:val="nil"/>
            </w:tcBorders>
          </w:tcPr>
          <w:p>
            <w:pPr>
              <w:pStyle w:val="Normal6a"/>
            </w:pPr>
            <w:r>
              <w:t>21.</w:t>
            </w:r>
            <w:r>
              <w:tab/>
            </w:r>
            <w:r>
              <w:t xml:space="preserve">fordert die Kommission auf, die Einrichtung einer Regelung für grüne Gemeinschaften zu erleichtern, die die Beteiligung an lokalen Gemeinschaftsprojekten im Bereich der </w:t>
            </w:r>
            <w:r>
              <w:rPr>
                <w:b/>
                <w:i/>
              </w:rPr>
              <w:t>dekarbonisierten</w:t>
            </w:r>
            <w:r>
              <w:t xml:space="preserve"> Energie ermöglicht und es ehemaligen Arbeitskräften und ihren Angehörigen erlaubt, in diese Projekte zu investieren oder sich daran zu beteiligen; nimmt den Erfolg ähnlicher Initiativen zur Kenntnis;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auf, einen Plan für die Energiewende für die schutzbedürftigsten Familien vorzusehen, um zu verhindern, dass sie die während des Übergangsprozesses entstehenden hohen Kosten nachhaltiger Energiemodelle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auf, die Mitgliedstaaten dazu anzuhalten, die Bestimmungen der Richtlinie 2019/994 über Bürgerenergiegemeinschaften vollständig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die Kommission auf, die Einrichtung eines Ausbildungsprogramms für soziale Berufe für ältere arbeitslose Arbeitskräfte zu erleichtern, </w:t>
            </w:r>
            <w:r>
              <w:rPr>
                <w:b/>
                <w:i/>
              </w:rPr>
              <w:t>die</w:t>
            </w:r>
            <w:r>
              <w:t xml:space="preserve"> nicht in der Lage sind, sich umzuschulen und einen neuen Arbeitsplatz zu finden; betont, dass dadurch für einige Arbeitskräfte die Lücke zwischen Beschäftigung und Ruhestand geschlossen werden könnte;</w:t>
            </w:r>
          </w:p>
        </w:tc>
        <w:tc>
          <w:tcPr>
            <w:tcW w:w="4876" w:type="dxa"/>
            <w:tcBorders>
              <w:top w:val="nil"/>
              <w:left w:val="nil"/>
              <w:bottom w:val="nil"/>
              <w:right w:val="nil"/>
            </w:tcBorders>
          </w:tcPr>
          <w:p>
            <w:pPr>
              <w:pStyle w:val="Normal6a"/>
            </w:pPr>
            <w:r>
              <w:t>22.</w:t>
            </w:r>
            <w:r>
              <w:tab/>
            </w:r>
            <w:r>
              <w:t xml:space="preserve">fordert die Kommission auf, die Einrichtung eines Ausbildungsprogramms für soziale Berufe für ältere arbeitslose Arbeitskräfte zu erleichtern, </w:t>
            </w:r>
            <w:r>
              <w:rPr>
                <w:b/>
                <w:i/>
              </w:rPr>
              <w:t>und zwar insbesondere für Frauen und Langzeitarbeitslose, die Schwierigkeiten damit haben bzw.</w:t>
            </w:r>
            <w:r>
              <w:t xml:space="preserve"> nicht in der Lage sind, sich umzuschulen und einen neuen Arbeitsplatz zu finden; betont, dass dadurch für einige Arbeitskräfte die Lücke zwischen Beschäftigung und Ruhestand geschlossen werden könnte; </w:t>
            </w:r>
            <w:r>
              <w:rPr>
                <w:b/>
                <w:i/>
              </w:rPr>
              <w:t>ist der Ansicht, dass jede Initiative einen detaillierten Plan für die Umschulung und Weiterbildung von Arbeitskräften umfassen muss, der alternative Beschäftigungsmöglichkeiten für die derzeit beschäftigten Menschen bietet und Pläne für die Verjüngung des Mitarbeiterstamms durch eine teilweise Versetzung des Personals in den Ruhestand begünstigt;</w:t>
            </w:r>
            <w:r>
              <w:t xml:space="preserve"> </w:t>
            </w:r>
            <w:r>
              <w:rPr>
                <w:b/>
                <w:i/>
              </w:rPr>
              <w:t>ist der Auffassung, dass auch der soziale Dialog und Kollektivverhandlungen in der Branche gefördert werden müssen;</w:t>
            </w:r>
            <w:r>
              <w:t xml:space="preserve"> </w:t>
            </w:r>
            <w:r>
              <w:rPr>
                <w:b/>
                <w:i/>
              </w:rPr>
              <w:t>hebt hervor, dass die Rolle der Frauen gestärkt und die Integration von Menschen mit Behinderungen gefördert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fordert die Kommission auf, die Einrichtung eines Ausbildungsprogramms für soziale Berufe für ältere arbeitslose Arbeitskräfte zu erleichtern, die nicht in der Lage sind, sich umzuschulen und einen neuen Arbeitsplatz zu finden; betont, dass dadurch für einige Arbeitskräfte die Lücke zwischen Beschäftigung und Ruhestand geschlossen werden könnte;</w:t>
            </w:r>
          </w:p>
        </w:tc>
        <w:tc>
          <w:tcPr>
            <w:tcW w:w="4876" w:type="dxa"/>
            <w:tcBorders>
              <w:top w:val="nil"/>
              <w:left w:val="nil"/>
              <w:bottom w:val="nil"/>
              <w:right w:val="nil"/>
            </w:tcBorders>
          </w:tcPr>
          <w:p>
            <w:pPr>
              <w:pStyle w:val="Normal6a"/>
            </w:pPr>
            <w:r>
              <w:t>22.</w:t>
            </w:r>
            <w:r>
              <w:tab/>
            </w:r>
            <w:r>
              <w:t>fordert die Kommission auf, die Einrichtung eines Ausbildungsprogramms für soziale Berufe für ältere arbeitslose Arbeitskräfte zu erleichtern, die nicht in der Lage sind, sich umzuschulen und einen neuen Arbeitsplatz zu finden</w:t>
            </w:r>
            <w:r>
              <w:rPr>
                <w:b/>
                <w:i/>
              </w:rPr>
              <w:t>, und dabei sicherzustellen, dass diese Menschen unterstützt werden, um ihnen einen angemessenen Lebensstandard zu garantieren</w:t>
            </w:r>
            <w:r>
              <w:t>; betont, dass dadurch für einige Arbeitskräfte die Lücke zwischen Beschäftigung und Ruhestand geschlossen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die Kommission auf, im Rahmen des künftigen Fonds für einen gerechten Übergang die Schaffung eines verstärkten befristeten Sozialschutzmechanismus für Arbeitskräfte in Betracht zu ziehen, die unmittelbar von dem industriellen Wandel und der Energiewende betroffen sind, einschließlich Maßnahmen wie Übergangseinkommen, gezielte Verlängerungen der Leistungen bei Arbeitslosigkeit und spezielle psychologische und soziale Unterstützungsdienste, um ein erhöhtes Risiko prekärer Beschäftigungsverhältnisse in den Gebieten zu verhindern, die aus sozioökonomischer Sicht am stärksten vom Übergang zur CO</w:t>
            </w:r>
            <w:r>
              <w:rPr>
                <w:b/>
                <w:i/>
                <w:vertAlign w:val="subscript"/>
              </w:rPr>
              <w:t>2</w:t>
            </w:r>
            <w:r>
              <w:rPr>
                <w:b/>
                <w:i/>
              </w:rPr>
              <w:t>-Neutralität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erinnert an die Bedeutung der Pflegewirtschaft und des Pflegesektors (z. B. Kleinkindbetreuung oder Langzeitpflege) für einen sozial gerechten ökologischen Wandel – eines weiblich dominierten Arbeitsfelds, in dem die Schaffung von Arbeitsplätzen eine unerlässliche Voraussetzung ist, um unbezahlte Pflegearbeit umzuverteilen und im Zuge des Übergangs sicherzustellen, dass Frauen und Männer die gleichen Beschäftigungschancen haben, auch angesichts neuer Gefahren für die Gesundheit im Zusammenhang mit Klimawandel und Umweltverschmutzung;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die Kommission nachdrücklich auf, bei der Aufteilung der Mittel aus dem Fonds für einen gerechten Übergang auf die Mitgliedstaaten insbesondere in den Ländern, die die Emissionsreduktionsziele frühzeitig erreicht haben, das Kriterium der kumulativen Entvölkerung infolge vorzeitiger Stilllegungen von Industrieanlagen wie Kohlekraftwerken und anderen CO</w:t>
            </w:r>
            <w:r>
              <w:rPr>
                <w:b/>
                <w:i/>
                <w:vertAlign w:val="subscript"/>
              </w:rPr>
              <w:t>2</w:t>
            </w:r>
            <w:r>
              <w:rPr>
                <w:b/>
                <w:i/>
              </w:rPr>
              <w:t>-emittierenden Industrieanlagen zu berücksichtigen;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fordert, dass im Rahmen des Fonds für einen gerechten Übergang der Verwaltungsaufwand für Gemeinden verringert wird, indem in Städten und Dörfern „Hands-on“-Manager eingesetzt werden, die bei der Ausarbeitung von Förderanträgen und -vorschlägen helfen;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p>
        </w:tc>
        <w:tc>
          <w:tcPr>
            <w:tcW w:w="4876" w:type="dxa"/>
            <w:tcBorders>
              <w:top w:val="nil"/>
              <w:left w:val="nil"/>
              <w:bottom w:val="nil"/>
              <w:right w:val="nil"/>
            </w:tcBorders>
          </w:tcPr>
          <w:p>
            <w:pPr>
              <w:pStyle w:val="Normal6a"/>
            </w:pPr>
            <w:r>
              <w:t>23.</w:t>
            </w:r>
            <w:r>
              <w:tab/>
            </w:r>
            <w:r>
              <w:t xml:space="preserve">fordert, dass im Rahmen des Fonds für einen gerechten Übergang der Verwaltungsaufwand für Gemeinden verringert wird, indem in Städten und Dörfern „Hands-on“-Manager eingesetzt werden, die bei der Ausarbeitung von Förderanträgen und -vorschlägen helfen; </w:t>
            </w:r>
            <w:r>
              <w:rPr>
                <w:b/>
                <w:i/>
              </w:rPr>
              <w:t>unterstreicht, dass die lokalen und regionalen Gebietskörperschaften angesichts ihrer Bürgernähe und ihres tiefen Verständnisses der territorialen Bedürfnisse eine zentrale Rolle bei der wirksamen Gestaltung, Umsetzung und Überwachung von EU-Programmen spielen;</w:t>
            </w:r>
            <w:r>
              <w:t xml:space="preserve"> </w:t>
            </w:r>
            <w:r>
              <w:rPr>
                <w:b/>
                <w:i/>
              </w:rPr>
              <w:t>fordert, dass die Kapazitäten auf lokaler und regionaler Ebene und die institutionelle Unterstützung aus dem Fonds für einen gerechten Übergang auf komplementäre Weise gestärkt werden, unter anderem durch eine angemessene, zugängliche und zeitnahe Finanzierung der einschlägigen Maßnahmen und Institutionen;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p>
        </w:tc>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r>
              <w:rPr>
                <w:b/>
                <w:i/>
              </w:rPr>
              <w:t>, wodurch sichergestellt wird, dass diese Regionen gleichberechtigten Zugang zu EU-Mitteln erhalten und ein Beitrag zum Abbau der regionalen Unterschiede geleistet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dass im Rahmen des Fonds für einen gerechten Übergang der Verwaltungsaufwand für Gemeinden verringert wird, indem </w:t>
            </w:r>
            <w:r>
              <w:rPr>
                <w:b/>
                <w:i/>
              </w:rPr>
              <w:t>in Städten und Dörfern</w:t>
            </w:r>
            <w:r>
              <w:t xml:space="preserve"> „Hands-on“-</w:t>
            </w:r>
            <w:r>
              <w:rPr>
                <w:b/>
                <w:i/>
              </w:rPr>
              <w:t>Manager eingesetzt werden</w:t>
            </w:r>
            <w:r>
              <w:t>, die bei der Ausarbeitung von Förderanträgen und -vorschlägen helfen;</w:t>
            </w:r>
          </w:p>
        </w:tc>
        <w:tc>
          <w:tcPr>
            <w:tcW w:w="4876" w:type="dxa"/>
            <w:tcBorders>
              <w:top w:val="nil"/>
              <w:left w:val="nil"/>
              <w:bottom w:val="nil"/>
              <w:right w:val="nil"/>
            </w:tcBorders>
          </w:tcPr>
          <w:p>
            <w:pPr>
              <w:pStyle w:val="Normal6a"/>
            </w:pPr>
            <w:r>
              <w:t>23.</w:t>
            </w:r>
            <w:r>
              <w:tab/>
            </w:r>
            <w:r>
              <w:t xml:space="preserve">fordert, dass im Rahmen des Fonds für einen gerechten Übergang der Verwaltungsaufwand für Gemeinden verringert wird, indem </w:t>
            </w:r>
            <w:r>
              <w:rPr>
                <w:b/>
                <w:i/>
              </w:rPr>
              <w:t>sichergestellt wird, dass</w:t>
            </w:r>
            <w:r>
              <w:t xml:space="preserve"> „Hands-on“-</w:t>
            </w:r>
            <w:r>
              <w:rPr>
                <w:b/>
                <w:i/>
              </w:rPr>
              <w:t>Berater für Projekte in Frage kommen</w:t>
            </w:r>
            <w:r>
              <w:t xml:space="preserve">, die bei der Ausarbeitung von Förderanträgen und -vorschlägen </w:t>
            </w:r>
            <w:r>
              <w:rPr>
                <w:b/>
                <w:i/>
              </w:rPr>
              <w:t>sowie bei der Verwaltung der Projekte nach deren Auswahl</w:t>
            </w:r>
            <w:r>
              <w:t xml:space="preserve"> helfen;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p>
        </w:tc>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r>
              <w:rPr>
                <w:b/>
                <w:i/>
              </w:rPr>
              <w:t>, eine einzige Anlaufstelle eingerichtet wird und ausreichende digitale Plattformen entwickelt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dass </w:t>
            </w:r>
            <w:r>
              <w:rPr>
                <w:b/>
                <w:i/>
              </w:rPr>
              <w:t>im Rahmen des</w:t>
            </w:r>
            <w:r>
              <w:t xml:space="preserve"> Fonds für einen gerechten Übergang </w:t>
            </w:r>
            <w:r>
              <w:rPr>
                <w:b/>
                <w:i/>
              </w:rPr>
              <w:t>der Verwaltungsaufwand für Gemeinden</w:t>
            </w:r>
            <w:r>
              <w:t xml:space="preserve"> verringert wird, indem </w:t>
            </w:r>
            <w:r>
              <w:rPr>
                <w:b/>
                <w:i/>
              </w:rPr>
              <w:t>in Städten und Dörfern „Hands-on“-Manager eingesetzt werden, die bei der Ausarbeitung von Förderanträgen und -vorschlägen helfen</w:t>
            </w:r>
            <w:r>
              <w:t>;</w:t>
            </w:r>
          </w:p>
        </w:tc>
        <w:tc>
          <w:tcPr>
            <w:tcW w:w="4876" w:type="dxa"/>
            <w:tcBorders>
              <w:top w:val="nil"/>
              <w:left w:val="nil"/>
              <w:bottom w:val="nil"/>
              <w:right w:val="nil"/>
            </w:tcBorders>
          </w:tcPr>
          <w:p>
            <w:pPr>
              <w:pStyle w:val="Normal6a"/>
            </w:pPr>
            <w:r>
              <w:t>23.</w:t>
            </w:r>
            <w:r>
              <w:tab/>
            </w:r>
            <w:r>
              <w:t xml:space="preserve">fordert, dass </w:t>
            </w:r>
            <w:r>
              <w:rPr>
                <w:b/>
                <w:i/>
              </w:rPr>
              <w:t>der Verwaltungsaufwand im Zusammenhang mit dem</w:t>
            </w:r>
            <w:r>
              <w:t xml:space="preserve"> Fonds für einen gerechten Übergang </w:t>
            </w:r>
            <w:r>
              <w:rPr>
                <w:b/>
                <w:i/>
              </w:rPr>
              <w:t>für Gemeinschaften</w:t>
            </w:r>
            <w:r>
              <w:t xml:space="preserve"> verringert wird, indem </w:t>
            </w:r>
            <w:r>
              <w:rPr>
                <w:b/>
                <w:i/>
              </w:rPr>
              <w:t>spezialisierte Teams für die Bearbeitung von Anträgen gebildet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dass im Rahmen des Fonds für einen gerechten Übergang der Verwaltungsaufwand für Gemeinden verringert wird, indem in Städten und Dörfern „Hands-on“-Manager eingesetzt werden, die bei der Ausarbeitung von Förderanträgen und -vorschlägen helfen;</w:t>
            </w:r>
          </w:p>
        </w:tc>
        <w:tc>
          <w:tcPr>
            <w:tcW w:w="4876" w:type="dxa"/>
            <w:tcBorders>
              <w:top w:val="nil"/>
              <w:left w:val="nil"/>
              <w:bottom w:val="nil"/>
              <w:right w:val="nil"/>
            </w:tcBorders>
          </w:tcPr>
          <w:p>
            <w:pPr>
              <w:pStyle w:val="Normal6a"/>
            </w:pPr>
            <w:r>
              <w:t>23.</w:t>
            </w:r>
            <w:r>
              <w:tab/>
            </w:r>
            <w:r>
              <w:t xml:space="preserve">fordert, dass im Rahmen des Fonds für einen gerechten Übergang der Verwaltungsaufwand für Gemeinden verringert wird, indem in Städten und Dörfern „Hands-on“-Manager eingesetzt werden, die bei der Ausarbeitung von Förderanträgen und -vorschlägen </w:t>
            </w:r>
            <w:r>
              <w:rPr>
                <w:b/>
                <w:i/>
              </w:rPr>
              <w:t>mitwirken und</w:t>
            </w:r>
            <w:r>
              <w:t xml:space="preserve"> helfen;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w:t>
            </w:r>
            <w:r>
              <w:rPr>
                <w:b/>
                <w:i/>
              </w:rPr>
              <w:t>, dass im Rahmen des Fonds für einen gerechten Übergang der Verwaltungsaufwand für Gemeinden verringert wird, indem in Städten und Dörfern „Hands-on“-Manager eingesetzt werden, die bei der Ausarbeitung von Förderanträgen und -vorschlägen helfen</w:t>
            </w:r>
            <w:r>
              <w:t>;</w:t>
            </w:r>
          </w:p>
        </w:tc>
        <w:tc>
          <w:tcPr>
            <w:tcW w:w="4876" w:type="dxa"/>
            <w:tcBorders>
              <w:top w:val="nil"/>
              <w:left w:val="nil"/>
              <w:bottom w:val="nil"/>
              <w:right w:val="nil"/>
            </w:tcBorders>
          </w:tcPr>
          <w:p>
            <w:pPr>
              <w:pStyle w:val="Normal6a"/>
            </w:pPr>
            <w:r>
              <w:t>23.</w:t>
            </w:r>
            <w:r>
              <w:tab/>
            </w:r>
            <w:r>
              <w:t xml:space="preserve">fordert </w:t>
            </w:r>
            <w:r>
              <w:rPr>
                <w:b/>
                <w:i/>
              </w:rPr>
              <w:t>die Kommission auf, bei der Halbzeitüberprüfung der aus den ESI-Fonds unterstützten Programme Legislativvorschläge vorzulegen, um allen Interessenträgern den Zugriff auf den Fonds für einen gerechten Übergang 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dass die lokalen und regionalen Gebietskörperschaften sowie die Bürger und nichtstaatlichen Organisationen stärker in den Beschlussfassungs- und Finanzierungsprozess einbezogen werden, um sicherzustellen, dass den Bedürfnissen angemessen Rechnung getragen wird;</w:t>
            </w:r>
            <w:r>
              <w:t xml:space="preserve"> </w:t>
            </w:r>
            <w:r>
              <w:rPr>
                <w:b/>
                <w:i/>
              </w:rPr>
              <w:t>stellt fest, dass das auf lokaler Ebene vorhandene Potenzial besser mobilisiert und die Investitionen in die regionale Entwicklung effizienter gestaltet werden könnten, wenn die Bürgerbeteiligung, die von der örtlichen Bevölkerung betriebene lokale Entwicklung und ähnliche Bottom-up-Instrumente gestärkt und erleichtert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dass Gebietskörperschaften in Gebieten in äußerster Randlage sowie überseeischen Ländern und Gebieten bei der Verwaltung und Ausführung von Mitteln verstärkt technisch unterstützt werden, einschließlich der Einrichtung von zentralen Anlaufstellen zur Unterstützung von lokalen Projekten im Zusammenhang mit dem gerechten Übergang;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fordert, dass im Rahmen des Fonds für einen gerechten Übergang das Erbe der betroffenen Gemeinden gewürdigt und Schulungen für Kulturerbeführer eingeführt werden;</w:t>
            </w:r>
            <w:r>
              <w:t xml:space="preserve"> </w:t>
            </w:r>
            <w:r>
              <w:rPr>
                <w:b/>
                <w:i/>
              </w:rPr>
              <w:t>unterstützt die Einrichtung von Besucherzentren, die die lokale Geschichte beleuchten;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fordert, dass im Rahmen des Fonds für einen gerechten Übergang </w:t>
            </w:r>
            <w:r>
              <w:rPr>
                <w:b/>
                <w:i/>
              </w:rPr>
              <w:t>das Erbe</w:t>
            </w:r>
            <w:r>
              <w:t xml:space="preserve"> der betroffenen Gemeinden </w:t>
            </w:r>
            <w:r>
              <w:rPr>
                <w:b/>
                <w:i/>
              </w:rPr>
              <w:t>gewürdigt und Schulungen</w:t>
            </w:r>
            <w:r>
              <w:t xml:space="preserve"> für Kulturerbeführer </w:t>
            </w:r>
            <w:r>
              <w:rPr>
                <w:b/>
                <w:i/>
              </w:rPr>
              <w:t>eingeführt werden</w:t>
            </w:r>
            <w:r>
              <w:t xml:space="preserve">; unterstützt die Einrichtung von Besucherzentren, die die lokale </w:t>
            </w:r>
            <w:r>
              <w:rPr>
                <w:b/>
                <w:i/>
              </w:rPr>
              <w:t>Geschichte beleuchten</w:t>
            </w:r>
            <w:r>
              <w:t>;</w:t>
            </w:r>
          </w:p>
        </w:tc>
        <w:tc>
          <w:tcPr>
            <w:tcW w:w="4876" w:type="dxa"/>
            <w:tcBorders>
              <w:top w:val="nil"/>
              <w:left w:val="nil"/>
              <w:bottom w:val="nil"/>
              <w:right w:val="nil"/>
            </w:tcBorders>
          </w:tcPr>
          <w:p>
            <w:pPr>
              <w:pStyle w:val="Normal6a"/>
            </w:pPr>
            <w:r>
              <w:t>24.</w:t>
            </w:r>
            <w:r>
              <w:tab/>
            </w:r>
            <w:r>
              <w:t xml:space="preserve">fordert, dass im Rahmen des Fonds für einen gerechten Übergang </w:t>
            </w:r>
            <w:r>
              <w:rPr>
                <w:b/>
                <w:i/>
              </w:rPr>
              <w:t>die Erhaltung und Würdigung des kulturellen und industriellen Erbes</w:t>
            </w:r>
            <w:r>
              <w:t xml:space="preserve"> der betroffenen Gemeinden </w:t>
            </w:r>
            <w:r>
              <w:rPr>
                <w:b/>
                <w:i/>
              </w:rPr>
              <w:t>unterstützt wird, indem dieses als wesentlicher Bestandteil der regionalen Identität, des sozialen Zusammenhalts und der nachhaltigen Entwicklung des Tourismus anerkannt wird;</w:t>
            </w:r>
            <w:r>
              <w:t xml:space="preserve"> </w:t>
            </w:r>
            <w:r>
              <w:rPr>
                <w:b/>
                <w:i/>
              </w:rPr>
              <w:t>spricht sich für die Einführung spezieller Schulungsprogramme</w:t>
            </w:r>
            <w:r>
              <w:t xml:space="preserve"> für Kulturerbeführer </w:t>
            </w:r>
            <w:r>
              <w:rPr>
                <w:b/>
                <w:i/>
              </w:rPr>
              <w:t>aus, um die Beschäftigung vor Ort und die kulturelle Kontinuität zu fördern</w:t>
            </w:r>
            <w:r>
              <w:t xml:space="preserve">; unterstützt die Einrichtung von Besucherzentren </w:t>
            </w:r>
            <w:r>
              <w:rPr>
                <w:b/>
                <w:i/>
              </w:rPr>
              <w:t>und Auslegungsräumen</w:t>
            </w:r>
            <w:r>
              <w:t xml:space="preserve">, die die </w:t>
            </w:r>
            <w:r>
              <w:rPr>
                <w:b/>
                <w:i/>
              </w:rPr>
              <w:t>Geschichte, die Traditionen und die Transformation dieser Regionen aufzeigen, wodurch die</w:t>
            </w:r>
            <w:r>
              <w:t xml:space="preserve"> lokale </w:t>
            </w:r>
            <w:r>
              <w:rPr>
                <w:b/>
                <w:i/>
              </w:rPr>
              <w:t>Identität gestärkt und der Kultur- und Bildungstourismus angeregt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gewürdigt </w:t>
            </w:r>
            <w:r>
              <w:rPr>
                <w:b/>
                <w:i/>
              </w:rPr>
              <w:t>und</w:t>
            </w:r>
            <w:r>
              <w:t xml:space="preserve"> Schulungen für Kulturerbeführer </w:t>
            </w:r>
            <w:r>
              <w:rPr>
                <w:b/>
                <w:i/>
              </w:rPr>
              <w:t>eingeführt werden;</w:t>
            </w:r>
            <w:r>
              <w:t xml:space="preserve"> </w:t>
            </w:r>
            <w:r>
              <w:rPr>
                <w:b/>
                <w:i/>
              </w:rPr>
              <w:t>unterstützt</w:t>
            </w:r>
            <w:r>
              <w:t xml:space="preserve"> die Einrichtung von Besucherzentren, die die lokale Geschichte beleuchten;</w:t>
            </w:r>
          </w:p>
        </w:tc>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gewürdigt </w:t>
            </w:r>
            <w:r>
              <w:rPr>
                <w:b/>
                <w:i/>
              </w:rPr>
              <w:t>wird, indem eine nachhaltige Entwicklung des Tourismus,</w:t>
            </w:r>
            <w:r>
              <w:t xml:space="preserve"> Schulungen für Kulturerbeführer </w:t>
            </w:r>
            <w:r>
              <w:rPr>
                <w:b/>
                <w:i/>
              </w:rPr>
              <w:t>und</w:t>
            </w:r>
            <w:r>
              <w:t xml:space="preserve"> die Einrichtung von Besucherzentren </w:t>
            </w:r>
            <w:r>
              <w:rPr>
                <w:b/>
                <w:i/>
              </w:rPr>
              <w:t>unterstützt werden</w:t>
            </w:r>
            <w:r>
              <w:t>, die die lokale Geschichte beleuchten</w:t>
            </w:r>
            <w:r>
              <w:rPr>
                <w:b/>
                <w:i/>
              </w:rPr>
              <w:t>, Arbeitsplätze vor Ort schaffen und einen Beitrag zur Wahrung der kulturellen Identität 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dass im Rahmen des Fonds für einen gerechten Übergang das Erbe der betroffenen Gemeinden gewürdigt und Schulungen für Kulturerbeführer eingeführt werden; unterstützt die Einrichtung von Besucherzentren, die die lokale Geschichte beleuchten;</w:t>
            </w:r>
          </w:p>
        </w:tc>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w:t>
            </w:r>
            <w:r>
              <w:rPr>
                <w:b/>
                <w:i/>
              </w:rPr>
              <w:t>durch Restaurierung von Industrieanlagen (ehemalige Zuckerplantagen in Gebieten in äußerster Randlage)</w:t>
            </w:r>
            <w:r>
              <w:t xml:space="preserve"> gewürdigt und Schulungen für Kulturerbeführer eingeführt werden; unterstützt die Einrichtung von </w:t>
            </w:r>
            <w:r>
              <w:rPr>
                <w:b/>
                <w:i/>
              </w:rPr>
              <w:t>modernen und digitalen</w:t>
            </w:r>
            <w:r>
              <w:t xml:space="preserve"> Besucherzentren, die die lokale Geschichte beleuchten;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dass im Rahmen des Fonds für einen gerechten Übergang das Erbe der betroffenen Gemeinden gewürdigt und Schulungen für Kulturerbeführer eingeführt werden; unterstützt die Einrichtung von Besucherzentren, die die lokale Geschichte beleuchten;</w:t>
            </w:r>
          </w:p>
        </w:tc>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gewürdigt und Schulungen für Kulturerbeführer eingeführt werden; unterstützt die Einrichtung von Besucherzentren, die die lokale Geschichte </w:t>
            </w:r>
            <w:r>
              <w:rPr>
                <w:b/>
                <w:i/>
              </w:rPr>
              <w:t>und Tradition</w:t>
            </w:r>
            <w:r>
              <w:t xml:space="preserve"> beleuchten;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w:t>
            </w:r>
            <w:r>
              <w:rPr>
                <w:b/>
                <w:i/>
              </w:rPr>
              <w:t>gewürdigt</w:t>
            </w:r>
            <w:r>
              <w:t xml:space="preserve"> und Schulungen für Kulturerbeführer eingeführt werden; unterstützt die Einrichtung von Besucherzentren, die die lokale Geschichte beleuchten;</w:t>
            </w:r>
          </w:p>
        </w:tc>
        <w:tc>
          <w:tcPr>
            <w:tcW w:w="4876" w:type="dxa"/>
            <w:tcBorders>
              <w:top w:val="nil"/>
              <w:left w:val="nil"/>
              <w:bottom w:val="nil"/>
              <w:right w:val="nil"/>
            </w:tcBorders>
          </w:tcPr>
          <w:p>
            <w:pPr>
              <w:pStyle w:val="Normal6a"/>
            </w:pPr>
            <w:r>
              <w:t>24.</w:t>
            </w:r>
            <w:r>
              <w:tab/>
            </w:r>
            <w:r>
              <w:t xml:space="preserve">fordert, dass im Rahmen des Fonds für einen gerechten Übergang das Erbe der betroffenen Gemeinden </w:t>
            </w:r>
            <w:r>
              <w:rPr>
                <w:b/>
                <w:i/>
              </w:rPr>
              <w:t>beleuchtet</w:t>
            </w:r>
            <w:r>
              <w:t xml:space="preserve"> und Schulungen für Kulturerbeführer eingeführt werden; unterstützt die Einrichtung von Besucherzentren, die die lokale Geschichte beleuchten;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ist der Ansicht, dass Veränderungen in der geopolitischen Landschaft gemeinsam mit anderen Faktoren zu massiven Veränderungen der Funktionsweise der EU-Wirtschaft führen;</w:t>
            </w:r>
            <w:r>
              <w:t xml:space="preserve"> </w:t>
            </w:r>
            <w:r>
              <w:rPr>
                <w:b/>
                <w:i/>
              </w:rPr>
              <w:t>fordert die Kommission daher nachdrücklich auf, die Zeitpläne für die Schließung wichtiger Energieunternehmen in der EU zu überprüfen;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überprüfen;</w:t>
            </w:r>
          </w:p>
        </w:tc>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überprüfen </w:t>
            </w:r>
            <w:r>
              <w:rPr>
                <w:b/>
                <w:i/>
              </w:rPr>
              <w:t>und Schließungen mit nachweislichen alternativen Beschäftigungsmöglichkeiten zu verknüpfen, um für „Gerechtigkeit vor dem Übergang“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überprüfen;</w:t>
            </w:r>
          </w:p>
        </w:tc>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w:t>
            </w:r>
            <w:r>
              <w:rPr>
                <w:b/>
                <w:i/>
              </w:rPr>
              <w:t>und die Mitgliedstaaten</w:t>
            </w:r>
            <w:r>
              <w:t xml:space="preserve"> daher nachdrücklich auf, die Zeitpläne für die Schließung wichtiger Energieunternehmen in der EU zu überprüfen </w:t>
            </w:r>
            <w:r>
              <w:rPr>
                <w:b/>
                <w:i/>
              </w:rPr>
              <w:t>und insbesondere keine Kernkraftwerke stillzulegen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überprüfen;</w:t>
            </w:r>
          </w:p>
        </w:tc>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überprüfen </w:t>
            </w:r>
            <w:r>
              <w:rPr>
                <w:b/>
                <w:i/>
              </w:rPr>
              <w:t>sowie die im Rahmen des ökologischen Wandels geplanten Tätigkeiten allgemein zu überprüfen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w:t>
            </w:r>
            <w:r>
              <w:rPr>
                <w:b/>
                <w:i/>
              </w:rPr>
              <w:t>überprüfen</w:t>
            </w:r>
            <w:r>
              <w:t>;</w:t>
            </w:r>
          </w:p>
        </w:tc>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Zeitpläne für die Schließung wichtiger Energieunternehmen in der EU zu </w:t>
            </w:r>
            <w:r>
              <w:rPr>
                <w:b/>
                <w:i/>
              </w:rPr>
              <w:t>überdenken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w:t>
            </w:r>
            <w:r>
              <w:rPr>
                <w:b/>
                <w:i/>
              </w:rPr>
              <w:t>Zeitpläne für die Schließung wichtiger Energieunternehmen in der EU zu überprüfen</w:t>
            </w:r>
            <w:r>
              <w:t>;</w:t>
            </w:r>
          </w:p>
        </w:tc>
        <w:tc>
          <w:tcPr>
            <w:tcW w:w="4876" w:type="dxa"/>
            <w:tcBorders>
              <w:top w:val="nil"/>
              <w:left w:val="nil"/>
              <w:bottom w:val="nil"/>
              <w:right w:val="nil"/>
            </w:tcBorders>
          </w:tcPr>
          <w:p>
            <w:pPr>
              <w:pStyle w:val="Normal6a"/>
            </w:pPr>
            <w:r>
              <w:t>25.</w:t>
            </w:r>
            <w:r>
              <w:tab/>
            </w:r>
            <w:r>
              <w:t xml:space="preserve">ist der Ansicht, dass Veränderungen in der geopolitischen Landschaft gemeinsam mit anderen Faktoren zu massiven Veränderungen der Funktionsweise der EU-Wirtschaft führen; fordert die Kommission daher nachdrücklich auf, die </w:t>
            </w:r>
            <w:r>
              <w:rPr>
                <w:b/>
                <w:i/>
              </w:rPr>
              <w:t>Investitionen in grüne, nachhaltige und erneuerbare Energieträger zu erhöhen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weist darauf hin, dass die Kommission die Kernenergie als Netto-Null-Technologie einstuft und sie daher als grüne Energie betrachtet werden sollte;</w:t>
            </w:r>
            <w:r>
              <w:t xml:space="preserve"> </w:t>
            </w:r>
            <w:r>
              <w:rPr>
                <w:b/>
                <w:i/>
              </w:rPr>
              <w:t>ist der Auffassung, dass durch die Förderung des Baus und der operativen Instandhaltung von Kernkraftwerken ein Beitrag sowohl zur Klimaneutralität als auch zur Verwirklichung der Ziele der strategischen Autonomie geleistet und die Abhängigkeit von fossilen Brennstoffen und externen Bezugsquellen verringert wird;</w:t>
            </w:r>
            <w:r>
              <w:t xml:space="preserve"> </w:t>
            </w:r>
            <w:r>
              <w:rPr>
                <w:b/>
                <w:i/>
              </w:rPr>
              <w:t>vertritt die Ansicht, dass Investitionen in die Kernenergie dazu beitragen würden, den Verlust von Arbeitsplätzen einzudämmen, Energiearmut zu verringern und das Wirtschaftswachstum in den vom Übergang betroffenen Gebieten zu fördern;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dass Artikel 9 der Verordnung (EU) 2021/1056 überarbeitet wird, damit die Entwicklung und der Betrieb von Kernkraftwerken in den Übergangsregionen leichter aus den verfügbaren Mitteln dieses Fonds finanziert werden können;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fordert die Kommission auf, die Mitgliedstaaten dazu anzuhalten, die Bestimmungen der Richtlinie (EU) 2019/994 über Bürgerenergiegemeinschaften umzusetzen;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fordert die Kommission auf, die Mitgliedstaaten dazu anzuhalten, die Bestimmungen der Richtlinie (EU) 2019/994 über Bürgerenergiegemeinschaften umzusetzen;</w:t>
            </w:r>
          </w:p>
        </w:tc>
        <w:tc>
          <w:tcPr>
            <w:tcW w:w="4876" w:type="dxa"/>
            <w:tcBorders>
              <w:top w:val="nil"/>
              <w:left w:val="nil"/>
              <w:bottom w:val="nil"/>
              <w:right w:val="nil"/>
            </w:tcBorders>
          </w:tcPr>
          <w:p>
            <w:pPr>
              <w:pStyle w:val="Normal6a"/>
            </w:pPr>
            <w:r>
              <w:t>26.</w:t>
            </w:r>
            <w:r>
              <w:tab/>
            </w:r>
            <w:r>
              <w:t xml:space="preserve">fordert die Kommission auf, die Mitgliedstaaten dazu anzuhalten, die Bestimmungen der Richtlinie (EU) 2019/994 über Bürgerenergiegemeinschaften umzusetzen </w:t>
            </w:r>
            <w:r>
              <w:rPr>
                <w:b/>
                <w:i/>
              </w:rPr>
              <w:t>und spezifische Maßnahmen zum Schutz finanziell schwächerer Haushalte vor Energiearmut in den vom Fonds für einen gerechten Übergang betroffenen Regionen vorzusehen, indem kostengünstige gemeinschaftliche Energiemodelle gefördert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fordert die Kommission auf, einen Vorschlag für eine Richtlinie für einen gerechten Übergang in der Arbeitswelt vorzulegen, mit dem eine zeitnahe und wirksame Unterrichtung und Anhörung der Arbeitskräfte und Gewerkschaften zu den Plänen und Strategien der Unternehmen, die sich im Zusammenhang mit einem gerechten Übergang auf die Arbeitsplätze auswirken, sichergestellt wird, um Arbeitsplätze und Arbeitsbedingungen zu erhalten, Entlassungen zu verhindern und die Demokratie am Arbeitsplatz im Hinblick auf Maßnahmen in Bezug auf den Klimawandel, den digitalen Wandel und die Umstrukturierung sowie die Antizipation und Bewältigung des Wandels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fordert die einheitliche und kohärente Anwendung der Grundsätze des gerechten Übergangs in allen EU-Fonds innerhalb des mehrjährigen Finanzrahmens (MFR) für die Zeit nach 2027;</w:t>
            </w:r>
            <w:r>
              <w:t xml:space="preserve"> </w:t>
            </w:r>
            <w:r>
              <w:rPr>
                <w:b/>
                <w:i/>
              </w:rPr>
              <w:t>betont, wie wichtig es ist, klare Sozial- und Umweltauflagen aufzunehmen, um sicherzustellen, dass alle von der EU finanzierten Maßnahmen einen sinnvollen Beitrag zu einem gerechten, inklusiven und nachhaltigen Übergang leisten und gleichzeitig den territorialen Zusammenhalt stärken und gefährdete Regionen und Gemeinschaften davor schützen, zurückgelassen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betont, wie wichtig es ist, dass die Mitgliedstaaten den sektoralen sozialen Dialog und Tarifverhandlungen fördern, insbesondere in den neu entstehenden grünen Branchen, und die Einbeziehung des Mittelstands, zu dem auch Sozialunternehmen gehören, sicherstellen;</w:t>
            </w:r>
            <w:r>
              <w:t xml:space="preserve"> </w:t>
            </w:r>
            <w:r>
              <w:rPr>
                <w:b/>
                <w:i/>
              </w:rPr>
              <w:t>hebt hervor, dass die Richtlinie über angemessene Mindestlöhne in der Europäischen Union eine große Chance bietet, Tarifverhandlungen über die Festsetzung der Löhne und die Präsenz der Sozialpartner in den aufstrebenden Branchen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bekräftigt seine Forderung, dass Projekte und Empfänger von EU-Mitteln, auch staatlicher Beihilfen, im Einklang mit den politischen Zielen, insbesondere den sozialen und ökologischen Anforderungen, stehen sollten und allen rechtlichen Verpflichtungen genügen müssen;</w:t>
            </w:r>
            <w:r>
              <w:t xml:space="preserve"> </w:t>
            </w:r>
            <w:r>
              <w:rPr>
                <w:b/>
                <w:i/>
              </w:rPr>
              <w:t>fordert die Mitgliedstaaten auf, dafür zu sorgen, dass Unternehmen nur dann mit öffentlichen Mitteln finanziell unterstützt werden, wenn die Mittel zugunsten der Arbeitnehmer verwendet werden und die begünstigten Unternehmen während der Förderungsdauer keine Prämien an die Unternehmensleitung zahlen, keine Dividenden ausschütten und keine Aktienrückkaufprogramme anbieten;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betont, dass die öffentlichen Stellen mit gutem Beispiel vorangehen und strenge soziale Kriterien bei der öffentlichen Beschaffung festlegen sollten;</w:t>
            </w:r>
            <w:r>
              <w:t xml:space="preserve"> </w:t>
            </w:r>
            <w:r>
              <w:rPr>
                <w:b/>
                <w:i/>
              </w:rPr>
              <w:t>fordert die Kommission auf, in Betracht zu ziehen, die Richtlinie über die Vergabe öffentlicher Aufträge zu überarbeiten, um die Sozialklausel zu stärken und sicherzustellen, dass die begünstigten Unternehmen und deren Unterauftragnehmer Tarifverhandlungen, Arbeitnehmerrechte, hochwertige Arbeitsplätze, hochwertige Ausbildungsplätze, angemessene und gleiche Entlohnung sowie Weiterbildung achten und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fordert die Kommission auf, einen neuen Fonds, den Fonds für einen gerechten Übergang II, für den Programmplanungszeitraum nach 2027 vorzuschlagen, um sicherzustellen, dass er nach den Grundsätzen der geteilten Mittelverwaltung und der Partnerschaft funktioniert;</w:t>
            </w:r>
            <w:r>
              <w:t xml:space="preserve"> </w:t>
            </w:r>
            <w:r>
              <w:rPr>
                <w:b/>
                <w:i/>
              </w:rPr>
              <w:t>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II, für den Programmplanungszeitraum nach 2027 vorzuschlagen, </w:t>
            </w:r>
            <w:r>
              <w:rPr>
                <w:b/>
                <w:i/>
              </w:rPr>
              <w:t>um</w:t>
            </w:r>
            <w:r>
              <w:t xml:space="preserve"> sicherzustellen, dass </w:t>
            </w:r>
            <w:r>
              <w:rPr>
                <w:b/>
                <w:i/>
              </w:rPr>
              <w:t>er nach den Grundsätzen</w:t>
            </w:r>
            <w:r>
              <w:t xml:space="preserve"> der geteilten Mittelverwaltung </w:t>
            </w:r>
            <w:r>
              <w:rPr>
                <w:b/>
                <w:i/>
              </w:rPr>
              <w:t>und der Partnerschaft funktioniert</w:t>
            </w:r>
            <w:r>
              <w: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II, für den Programmplanungszeitraum nach 2027 vorzuschlagen, </w:t>
            </w:r>
            <w:r>
              <w:rPr>
                <w:b/>
                <w:i/>
              </w:rPr>
              <w:t>der es den Regionen und Menschen ermöglicht, die sozialen, beschäftigungspolitischen, demografischen, wirtschaftlichen und ökologischen Auswirkungen des Übergangs zu den energiepolitischen Zielen der Union für 2030 und einer klimaneutralen Wirtschaft der Union bis 2050 zu bewältigen, und dabei</w:t>
            </w:r>
            <w:r>
              <w:t xml:space="preserve"> sicherzustellen, dass </w:t>
            </w:r>
            <w:r>
              <w:rPr>
                <w:b/>
                <w:i/>
              </w:rPr>
              <w:t>der Fonds im Rahmen</w:t>
            </w:r>
            <w:r>
              <w:t xml:space="preserve"> der geteilten Mittelverwaltung </w:t>
            </w:r>
            <w:r>
              <w:rPr>
                <w:b/>
                <w:i/>
              </w:rPr>
              <w:t>funktioniert und von einer zufriedenstellenden Umsetzung der Partnerschaftsprinzipien abhängig ist</w:t>
            </w:r>
            <w:r>
              <w:t xml:space="preserve">; betont, dass dieser Fonds über </w:t>
            </w:r>
            <w:r>
              <w:rPr>
                <w:b/>
                <w:i/>
              </w:rPr>
              <w:t>deutlich</w:t>
            </w:r>
            <w:r>
              <w:t xml:space="preserve"> mehr Finanzmittel verfügen sollte als der derzeitige Fonds für einen gerechten Übergang;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die Kommission auf, einen neuen Fonds, den Fonds für einen gerechten Übergang II, für den Programmplanungszeitraum nach 2027 vorzuschlagen, um sicherzustellen, dass er nach den Grundsätzen der geteilten Mittelverwaltung und der Partnerschaft funktioniert;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II, für den Programmplanungszeitraum nach 2027 vorzuschlagen, um sicherzustellen, dass er nach den Grundsätzen der geteilten Mittelverwaltung und der Partnerschaft funktioniert; betont, dass dieser Fonds über mehr Finanzmittel verfügen sollte als der derzeitige Fonds für einen gerechten Übergang; </w:t>
            </w:r>
            <w:r>
              <w:rPr>
                <w:b/>
                <w:i/>
              </w:rPr>
              <w:t>weist darauf hin, dass für die Zukunft auch weitere zusätzliche Mechanismen und rasch wirkende Programme in Betracht gezogen werden sollten, damit der Fonds für einen gerechten Übergang unterstützt und ergänzt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die Kommission auf, einen neuen Fonds, den Fonds für einen gerechten Übergang II, für den Programmplanungszeitraum nach 2027 vorzuschlagen, um sicherzustellen, dass er nach den Grundsätzen der geteilten Mittelverwaltung und der Partnerschaft funktioniert;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fordert die Kommission auf, einen neuen Fonds, den Fonds für einen gerechten Übergang II, für den Programmplanungszeitraum nach 2027 vorzuschlagen, um sicherzustellen, dass er nach den Grundsätzen der geteilten Mittelverwaltung und der Partnerschaft funktioniert; betont, dass dieser Fonds über mehr Finanzmittel verfügen sollte als der derzeitige Fonds für einen gerechten Übergang</w:t>
            </w:r>
            <w:r>
              <w:rPr>
                <w:b/>
                <w:i/>
              </w:rPr>
              <w:t>, um eine Interventionskapazität sicherzustellen, die dem Ausmaß der mit der Klimawende verbundenen sozioökonomischen Herausforderungen angemessen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die Kommission auf, einen neuen Fonds, den Fonds für einen gerechten Übergang II, für den Programmplanungszeitraum nach 2027 vorzuschlagen, um sicherzustellen, dass er nach den Grundsätzen der geteilten Mittelverwaltung und der Partnerschaft funktioniert;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fordert die Kommission auf, einen neuen Fonds, den Fonds für einen gerechten Übergang II, für den Programmplanungszeitraum nach 2027 vorzuschlagen, um sicherzustellen, dass er nach den Grundsätzen der geteilten Mittelverwaltung und der Partnerschaft funktioniert</w:t>
            </w:r>
            <w:r>
              <w:rPr>
                <w:b/>
                <w:i/>
              </w:rPr>
              <w:t>, und Haushalte und Gemeinschaften beim Übergang unmittelbar zu unterstützen, um sicherzustellen, dass dieser Übergang tatsächlich gerecht ist</w:t>
            </w:r>
            <w:r>
              <w:t>; betont, dass dieser Fonds über mehr Finanzmittel verfügen sollte als der derzeitige Fonds für einen gerechten Übergang;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w:t>
            </w:r>
            <w:r>
              <w:rPr>
                <w:b/>
                <w:i/>
              </w:rPr>
              <w:t>II</w:t>
            </w:r>
            <w:r>
              <w:t xml:space="preserve">, für den Programmplanungszeitraum nach 2027 vorzuschlagen, um sicherzustellen, dass er nach den Grundsätzen der geteilten Mittelverwaltung und der Partnerschaft funktioniert; betont, dass dieser Fonds über </w:t>
            </w:r>
            <w:r>
              <w:rPr>
                <w:b/>
                <w:i/>
              </w:rPr>
              <w:t>mehr Finanzmittel</w:t>
            </w:r>
            <w:r>
              <w:t xml:space="preserve"> verfügen sollte </w:t>
            </w:r>
            <w:r>
              <w:rPr>
                <w:b/>
                <w:i/>
              </w:rPr>
              <w:t>als der derzeitige Fonds für einen gerechten Übergang</w:t>
            </w:r>
            <w:r>
              <w:t>;</w:t>
            </w:r>
          </w:p>
        </w:tc>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w:t>
            </w:r>
            <w:r>
              <w:rPr>
                <w:b/>
                <w:i/>
              </w:rPr>
              <w:t>„II“</w:t>
            </w:r>
            <w:r>
              <w:t xml:space="preserve">, für den Programmplanungszeitraum nach 2027 vorzuschlagen, um sicherzustellen, dass er nach den Grundsätzen der geteilten Mittelverwaltung und der Partnerschaft funktioniert; betont, dass dieser Fonds über </w:t>
            </w:r>
            <w:r>
              <w:rPr>
                <w:b/>
                <w:i/>
              </w:rPr>
              <w:t>eine eigene vorhersehbare Mittelzuweisung</w:t>
            </w:r>
            <w:r>
              <w:t xml:space="preserve"> verfügen sollte</w:t>
            </w:r>
            <w:r>
              <w:rPr>
                <w:b/>
                <w:i/>
              </w:rPr>
              <w:t>, um seine Unabhängigkeit gegenüber außerordentlichen Krisenreaktionsinstrumenten wie dem Aufbauinstrument „Next Generation EU“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die Kommission auf, </w:t>
            </w:r>
            <w:r>
              <w:rPr>
                <w:b/>
                <w:i/>
              </w:rPr>
              <w:t>einen neuen Fonds, den Fonds für einen gerechten Übergang II,</w:t>
            </w:r>
            <w:r>
              <w:t xml:space="preserve"> für den Programmplanungszeitraum nach 2027 </w:t>
            </w:r>
            <w:r>
              <w:rPr>
                <w:b/>
                <w:i/>
              </w:rPr>
              <w:t>vorzuschlagen, um</w:t>
            </w:r>
            <w:r>
              <w:t xml:space="preserve"> sicherzustellen, dass er nach den Grundsätzen der geteilten Mittelverwaltung und der Partnerschaft funktioniert;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 xml:space="preserve">fordert die Kommission auf, </w:t>
            </w:r>
            <w:r>
              <w:rPr>
                <w:b/>
                <w:i/>
              </w:rPr>
              <w:t>den gerechten Übergang als Prozess im Rahmen der Kohäsionspolitik</w:t>
            </w:r>
            <w:r>
              <w:t xml:space="preserve"> für den Programmplanungszeitraum nach 2027 </w:t>
            </w:r>
            <w:r>
              <w:rPr>
                <w:b/>
                <w:i/>
              </w:rPr>
              <w:t>weiterzuführen und dabei</w:t>
            </w:r>
            <w:r>
              <w:t xml:space="preserve"> sicherzustellen, dass er nach den Grundsätzen </w:t>
            </w:r>
            <w:r>
              <w:rPr>
                <w:b/>
                <w:i/>
              </w:rPr>
              <w:t>der Steuerung auf mehreren Ebenen,</w:t>
            </w:r>
            <w:r>
              <w:t xml:space="preserve"> der geteilten Mittelverwaltung und der Partnerschaft funktioniert; betont, dass dieser Fonds über mehr Finanzmittel verfügen sollte als der derzeitige Fonds für einen gerechten Übergang;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II, für den Programmplanungszeitraum nach 2027 vorzuschlagen, um sicherzustellen, dass er </w:t>
            </w:r>
            <w:r>
              <w:rPr>
                <w:b/>
                <w:i/>
              </w:rPr>
              <w:t>nach den Grundsätzen</w:t>
            </w:r>
            <w:r>
              <w:t xml:space="preserve"> der geteilten Mittelverwaltung </w:t>
            </w:r>
            <w:r>
              <w:rPr>
                <w:b/>
                <w:i/>
              </w:rPr>
              <w:t>und der Partnerschaft funktioniert</w:t>
            </w:r>
            <w:r>
              <w:t>; betont, dass dieser Fonds über mehr Finanzmittel verfügen sollte als der derzeitige Fonds für einen gerechten Übergang;</w:t>
            </w:r>
          </w:p>
        </w:tc>
        <w:tc>
          <w:tcPr>
            <w:tcW w:w="4876" w:type="dxa"/>
            <w:tcBorders>
              <w:top w:val="nil"/>
              <w:left w:val="nil"/>
              <w:bottom w:val="nil"/>
              <w:right w:val="nil"/>
            </w:tcBorders>
          </w:tcPr>
          <w:p>
            <w:pPr>
              <w:pStyle w:val="Normal6a"/>
            </w:pPr>
            <w:r>
              <w:t>27.</w:t>
            </w:r>
            <w:r>
              <w:tab/>
            </w:r>
            <w:r>
              <w:t xml:space="preserve">fordert die Kommission auf, einen neuen Fonds, den Fonds für einen gerechten Übergang II, für den Programmplanungszeitraum nach 2027 vorzuschlagen, um sicherzustellen, dass er </w:t>
            </w:r>
            <w:r>
              <w:rPr>
                <w:b/>
                <w:i/>
              </w:rPr>
              <w:t>im Rahmen</w:t>
            </w:r>
            <w:r>
              <w:t xml:space="preserve"> der geteilten Mittelverwaltung </w:t>
            </w:r>
            <w:r>
              <w:rPr>
                <w:b/>
                <w:i/>
              </w:rPr>
              <w:t>funktioniert und von einer zufriedenstellenden Einbeziehung der Partnerschaftsprinzipien abhängig ist</w:t>
            </w:r>
            <w:r>
              <w:t>; betont, dass dieser Fonds über mehr Finanzmittel verfügen sollte als der derzeitige Fonds für einen gerechten Übergang;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betont, wie wichtig es ist, das strategische Ziel aufrechtzuerhalten, der Unterstützung der Regionen, die vom Übergang zu einer klimaneutralen Wirtschaft am stärksten betroffen sind, Vorrang einzuräumen, und zwar insbesondere auf der Grundlage der wirtschaftlichen und sozialen Auswirkungen, die sich aus dem Ausstieg aus der CO</w:t>
            </w:r>
            <w:r>
              <w:rPr>
                <w:b/>
                <w:i/>
                <w:vertAlign w:val="subscript"/>
              </w:rPr>
              <w:t>2</w:t>
            </w:r>
            <w:r>
              <w:rPr>
                <w:b/>
                <w:i/>
              </w:rPr>
              <w:t>-intensiven Industrie ergeben;</w:t>
            </w:r>
            <w:r>
              <w:t xml:space="preserve"> </w:t>
            </w:r>
            <w:r>
              <w:rPr>
                <w:b/>
                <w:i/>
              </w:rPr>
              <w:t>bekräftigt, dass der Schwerpunkt des Fonds für einen gerechten Übergang weiterhin auf Gebieten liegen muss, die sich im Übergang von Steinkohle, Braunkohle, Torf und Ölschiefer befinden und nach wie vor mit unverhältnismäßigen strukturellen Herausforderungen und sozioökonomischen Gefährdungen konfrontiert sind;</w:t>
            </w:r>
            <w:r>
              <w:t xml:space="preserve"> </w:t>
            </w:r>
            <w:r>
              <w:rPr>
                <w:b/>
                <w:i/>
              </w:rPr>
              <w:t>fordert eine gerechtere Verteilung der Mittel, die den Gegebenheiten vor Ort Rechnung trägt, indem die Zuweisungskriterien an die NUTS-3-Ebene angepasst werden, insbesondere unter Verwendung des Pro-Kopf-BIP, anstatt sich ausschließlich auf umfassendere NUTS-2-Daten zu stützen, wie dies derzeit im Rahmen der allgemeinen Kohäsionspolitik der Fall ist;</w:t>
            </w:r>
            <w:r>
              <w:t xml:space="preserve"> </w:t>
            </w:r>
            <w:r>
              <w:rPr>
                <w:b/>
                <w:i/>
              </w:rPr>
              <w:t>hebt hervor, dass viele kohleabhängige Teilregionen ein deutlich niedrigeres Pro-Kopf-BIP aufweisen als ihre größeren NUTS-2-Regionen und daher eine verstärkte finanzielle Unterstützung und niedrigere nationale Kofinanzierungsanforderungen im Rahmen des Fonds für einen gerechten Übergang verdienen;</w:t>
            </w:r>
            <w:r>
              <w:t xml:space="preserve"> </w:t>
            </w:r>
            <w:r>
              <w:rPr>
                <w:b/>
                <w:i/>
              </w:rPr>
              <w:t>betont, dass ein derart verfeinerter und territorial orientierter Ansatz von wesentlicher Bedeutung ist, um einen fairen und gezielten gerechten Übergang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bekräftigt, dass die Kohäsionspolitik weiterhin fest in ihren in den Artikeln 174 bis 176 des Vertrags über die Arbeitsweise der Europäischen Union festgelegten Grundprinzipien verankert sein muss, wobei der Schwerpunkt weiterhin auf der Förderung einer ausgewogenen und inklusiven territorialen Entwicklung liegen muss;</w:t>
            </w:r>
            <w:r>
              <w:t xml:space="preserve"> </w:t>
            </w:r>
            <w:r>
              <w:rPr>
                <w:b/>
                <w:i/>
              </w:rPr>
              <w:t>fordert nachdrücklich, dass bei den künftigen Kohäsionsbemühungen den ländlichen Gebieten, den deindustrialisierten Regionen und den Regionen mit strukturellen Nachteilen, einschließlich Inseln, Grenzgebieten und Bergregionen, besondere Aufmerksamkeit gewidmet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dass der künftige Fonds für einen gerechten Übergang II in enger Zusammenarbeit mit den Mitgliedstaaten konzipiert wird, um eine dezentralere Verwaltung der Mittel und eine bessere Anpassung an lokale Besonderheiten sicherzustellen, wobei die Grundsätze der geteilten Mittelverwaltung zu wahren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hebt hervor, dass der Schwerpunkt des Fonds für einen gerechten Übergang „II“ darauf liegen sollte, die nachhaltige Entwicklung mit der Wettbewerbsfähigkeit in Einklang zu bringen und dabei sicherzustellen, dass die im Übergang befindlichen Regionen wirtschaftlich gedeihen können, ohne dass ihre ökologischen und sozialen Ziele gefährdet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betont, dass nachhaltiger Tourismus ein wirksames Instrument zur Bekämpfung des wirtschaftlichen Niedergangs und der Arbeitslosigkeit in den betroffenen Regionen sein kann;</w:t>
            </w:r>
            <w:r>
              <w:t xml:space="preserve"> </w:t>
            </w:r>
            <w:r>
              <w:rPr>
                <w:b/>
                <w:i/>
              </w:rPr>
              <w:t>hebt hervor, dass die Kohäsionspolitik Strategien für einen nachhaltigen Tourismus als Teil des gerechten Übergangs unterstützen sollte, indem Widerstandsfähigkeit, Innovation und ökologischer Wandel gefördert werden und gleichzeitig inklusives Wachstum, die Schaffung neuer Arbeitsplätze und die Erhaltung des lokalen Kultur- und Naturerbes vorangetrieben werden;</w:t>
            </w:r>
            <w:r>
              <w:t xml:space="preserve"> </w:t>
            </w:r>
            <w:r>
              <w:rPr>
                <w:b/>
                <w:i/>
              </w:rPr>
              <w:t>betont, dass weitere Investitionen in zuverlässige Daten, intelligente Tools und Technologien erforderlich sind, die die Kundenerfahrung verbessern und den Wandel in Richtung eines digitaleren und nachhaltigeren Tourismus-Ökosystems voranbringen können, indem z. B. das Reisezielmanagement zugunsten der ortsansässigen Bevölkerung, der lokalen Touristen und der Wirtschaft vor Ort optimiert wird, dazu beigetragen wird, Touristenströme in weniger entwickelte Regionen und über Jahreszeiten hinweg zu lenken, und eine bessere Prävention, Bewältigung und Meisterung von Krisen wie Pandemien, Wetterextremen und anderen natürlichen und Katastrophen erfolgt;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unterstreicht, dass der Anwendungsbereich des Fonds für einen gerechten Übergang „II“ im Einklang mit den Vorschlägen der Mitgliedstaaten ausgeweitet werden könnte, um sicherzustellen, dass mehr von den Übergangsprozessen betroffene Gebiete davon profitieren können, und gleichzeitig die Vorschriften für die Zuweisung von Mitteln flexibel zu gestalten, wie dies von den Mitgliedstaaten gefordert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betont, dass der Verkehr einer der wichtigsten Wirtschaftszweige ist, die erheblich zu den Treibhausgasemissionen beitragen;</w:t>
            </w:r>
            <w:r>
              <w:t xml:space="preserve"> </w:t>
            </w:r>
            <w:r>
              <w:rPr>
                <w:b/>
                <w:i/>
              </w:rPr>
              <w:t>hebt hervor, dass die Verkehrspolitik der EU unabdingbar für die wirtschaftliche, gesellschaftliche und ökologische Entwicklung Europas und ihre Nachhaltigkeit ist;</w:t>
            </w:r>
            <w:r>
              <w:t xml:space="preserve"> </w:t>
            </w:r>
            <w:r>
              <w:rPr>
                <w:b/>
                <w:i/>
              </w:rPr>
              <w:t>fordert daher nachdrücklich, dass die EU-Verkehrspolitik angemessene und ausreichende Finanzmittel erhält, um nachhaltige Verkehrsträger zu entwickeln und Arbeitsplätze in den vom ökologischen Wandel betroffenen Verkehrssektoren, einschließlich abgelegener geografischer Gebiete wie Inseln und Inselregionen, zu sichern;</w:t>
            </w:r>
            <w:r>
              <w:t xml:space="preserve"> </w:t>
            </w:r>
            <w:r>
              <w:rPr>
                <w:b/>
                <w:i/>
              </w:rPr>
              <w:t>betont, dass die Kohäsionspolitik eine zentrale Rolle in diesem Prozess spielen sollte, indem sie einen gleichberechtigten Zugang zu nachhaltigen Mobilitätslösungen in allen Regionen fördert, zur Verringerung territorialer Unterschiede beiträgt und zugleich dafür sorgt, dass beim Übergang zu einem umweltfreundlicheren Verkehrssystem keine Region zurückgelassen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hebt hervor, dass im Rahmen des Fonds für einen gerechten Übergang „II“ ein proaktiver Ansatz verfolgt werden sollte, mit dem der Versuch unternommen wird, auch die Transformationsprozesse zu antizipieren, die nach vernünftigem Ermessen in absehbarer Zukunft stattfinden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fordert die Kommission auf, Inseln und Gebieten in äußerster Randlage besondere Aufmerksamkeit zu widmen, um die Bewältigung ihrer großen sozioökonomischen Herausforderungen zu unterstützen, die sich aus dem Übergang zu den energie- und klimapolitischen Ziele der EU für 2030 und zu einer klimaneutralen Wirtschaft der EU bis 2050 ergeben, und mit den Mitgliedstaaten zusammenzuarbeiten, damit im Rahmen ihrer territorialen Pläne für einen gerechten Übergang spezifische Beträge aus ihren nationalen Zuweisungen vorgesehen werden;</w:t>
            </w:r>
            <w:r>
              <w:t xml:space="preserve"> </w:t>
            </w:r>
            <w:r>
              <w:rPr>
                <w:b/>
                <w:i/>
              </w:rPr>
              <w:t>fordert konkrete Ausgleichsmaßnahmen, mit denen die negativen Folgen des Übergangs zu einer saubereren Wirtschaft und Gesellschaft für den wirtschaftlichen, sozialen und territorialen Zusammenhalt der Inseln, die sich aus ihrer Abhängigkeit vom Luft- und Seeverkehr ergeben können, ausgeglichen werden, und besteht darauf, dass Inseln bei der Entwicklung der Infrastruktur zur Dekarbonisierung des Luft- und Seeverkehrs Vorrang eingeräumt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fordert Anstrengungen, um für mehr Kohärenz und bessere Koordinierung zwischen der Kohäsionspolitik und anderen EU-Politikbereichen zu sorgen, damit Klimaaspekte besser in politische Strategien einbezogen, wirksamere ursachenbezogene Maßnahmen gestaltet und EU-Mittel gezielt bereitgestellt werden und sich folglich die Umsetzung klimapolitischer Strategien vor Ort verbessert;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150</w:t>
    </w:r>
    <w:r>
      <w:fldChar w:fldCharType="end"/>
    </w:r>
    <w:r>
      <w:t>/</w:t>
    </w:r>
    <w:r>
      <w:fldChar w:fldCharType="begin"/>
    </w:r>
    <w:r>
      <w:instrText xml:space="preserve"> NUMPAGES </w:instrText>
    </w:r>
    <w:r>
      <w:fldChar w:fldCharType="separate"/>
    </w:r>
    <w:r>
      <w:t>150</w:t>
    </w:r>
    <w:r>
      <w:fldChar w:fldCharType="end"/>
    </w:r>
    <w:r>
      <w:tab/>
    </w:r>
    <w:r>
      <w:rPr>
        <w:rStyle w:val="HideTWBExt"/>
      </w:rPr>
      <w:t>&lt;PathFdR&gt;</w:t>
    </w:r>
    <w:r>
      <w:t>AM\1318327DE.docx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AM\1318327DE.docx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150</w:t>
    </w:r>
    <w:r>
      <w:fldChar w:fldCharType="end"/>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AM\1318327DE.docx</w:t>
    </w:r>
    <w:r>
      <w:rPr>
        <w:rStyle w:val="HideTWBExt"/>
      </w:rPr>
      <w:t>&lt;/PathFdR&gt;</w:t>
    </w:r>
    <w:r>
      <w:tab/>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150</Pages>
  <Words>25770</Words>
  <Characters>178877</Characters>
  <Application>Microsoft Office Word</Application>
  <DocSecurity>0</DocSecurity>
  <Lines>1</Lines>
  <Paragraphs>2488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163886</vt:lpwstr>
  </property>
  <property fmtid="{D5CDD505-2E9C-101B-9397-08002B2CF9AE}" pid="7" name="dmxml.render.traceId">
    <vt:lpwstr>67fcc08a921a147a3bdc7a2559689f55</vt:lpwstr>
  </property>
  <property fmtid="{D5CDD505-2E9C-101B-9397-08002B2CF9AE}" pid="8" name="FooterPath">
    <vt:lpwstr>AM\1318327DE.docx</vt:lpwstr>
  </property>
  <property fmtid="{D5CDD505-2E9C-101B-9397-08002B2CF9AE}" pid="9" name="PE Number">
    <vt:lpwstr>772.012</vt:lpwstr>
  </property>
  <property fmtid="{D5CDD505-2E9C-101B-9397-08002B2CF9AE}" pid="10" name="UID">
    <vt:lpwstr>eu.europa.europarl-DIN1-2025-0000065662_01.00-de-01.00_text-xml</vt:lpwstr>
  </property>
</Properties>
</file>