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{REGI}</w:t>
      </w:r>
      <w:r>
        <w:t>Výbor pre regionálny rozvoj</w:t>
      </w:r>
      <w:r>
        <w:rPr>
          <w:rStyle w:val="HideTWBExt"/>
        </w:rPr>
        <w:t>&lt;/Commission&gt;</w:t>
      </w:r>
    </w:p>
    <w:p>
      <w:pPr>
        <w:pStyle w:val="LineBottom"/>
      </w:pPr>
      <w:r>
        <w:t xml:space="preserve"> </w:t>
      </w:r>
    </w:p>
    <w:p>
      <w:pPr>
        <w:pStyle w:val="CoverReference"/>
      </w:pPr>
      <w:r>
        <w:rPr>
          <w:rStyle w:val="HideTWBExt"/>
        </w:rPr>
        <w:t>&lt;RefProc&gt;</w:t>
      </w:r>
      <w:r>
        <w:t>2024/2121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{28/03/2025}</w:t>
      </w:r>
      <w:r>
        <w:t>28.3.2025</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1</w:t>
      </w:r>
      <w:r>
        <w:t xml:space="preserve"> - </w:t>
      </w:r>
      <w:r>
        <w:t>280</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Ciaran Mullooly</w:t>
      </w:r>
      <w:r>
        <w:rPr>
          <w:rStyle w:val="HideTWBExt"/>
        </w:rPr>
        <w:t>&lt;/Rapporteur&gt;</w:t>
      </w:r>
    </w:p>
    <w:p>
      <w:pPr>
        <w:pStyle w:val="CoverNormal24a"/>
      </w:pPr>
      <w:r>
        <w:rPr>
          <w:rStyle w:val="HideTWBExt"/>
        </w:rPr>
        <w:t>&lt;DocRefPE&gt;</w:t>
      </w:r>
      <w:r>
        <w:t>(PE769.954v01-00)</w:t>
      </w:r>
      <w:r>
        <w:rPr>
          <w:rStyle w:val="HideTWBExt"/>
        </w:rPr>
        <w:t>&lt;/DocRefPE&gt;</w:t>
      </w:r>
    </w:p>
    <w:p>
      <w:pPr>
        <w:pStyle w:val="CoverNormal"/>
      </w:pPr>
      <w:r>
        <w:rPr>
          <w:rStyle w:val="HideTWBExt"/>
        </w:rPr>
        <w:t>&lt;Titre&gt;</w:t>
      </w:r>
      <w:r>
        <w:t>Úloha politiky súdržnosti pri podpore spravodlivej transformácie</w:t>
      </w:r>
      <w:r>
        <w:rPr>
          <w:rStyle w:val="HideTWBExt"/>
        </w:rPr>
        <w:t>&lt;/Titre&gt;</w:t>
      </w:r>
    </w:p>
    <w:p>
      <w:pPr>
        <w:pStyle w:val="CoverNormal24a"/>
      </w:pPr>
      <w:r>
        <w:rPr>
          <w:rStyle w:val="HideTWBExt"/>
        </w:rPr>
        <w:t>&lt;DocRef&gt;</w:t>
      </w:r>
      <w:r>
        <w:t>(2024/2121(INI))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6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dohodu prijatú 12. decembra 2015 na 21. konferencii zmluvných strán Rámcového dohovoru OSN o zmene klímy (COP21) v Paríži (Parížska dohoda),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6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EEA č. 1/2024 – Európske posúdenie klimatických rizík (EUCRA),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6 c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svoje uznesenie z 25. marca 2021 o politike súdržnosti a regionálnych stratégiách v oblasti životného prostredia v boji proti zmene klímy,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Rody Tolassy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so zreteľom na nariadenie Európskeho parlamentu a Rady (EÚ) 2021/1119 z 30. júna 2021, ktorým sa stanovuje rámec na dosiahnutie klimatickej neutrality a menia nariadenia (ES) č. 401/2009 a (EÚ) 2018/1999 (európsky právny predpis v oblasti klímy)</w:t>
            </w:r>
            <w:r>
              <w:rPr>
                <w:vertAlign w:val="superscript"/>
              </w:rPr>
              <w:t>5</w:t>
            </w:r>
            <w:r>
              <w:t>vrátane právneho cieľa dosiahnutia klimatickej neutrality EÚ do roku 2050 a v ktorom sa ako strednodobý cieľ stanovuje znížiť emisie skleníkových plynov do roku 2030 aspoň o 55 % v porovnaní s úrovňami z roku 1990,</w:t>
            </w:r>
          </w:p>
        </w:tc>
        <w:tc>
          <w:tcPr>
            <w:tcW w:w="4876" w:type="dxa"/>
            <w:tcBorders>
              <w:top w:val="nil"/>
              <w:left w:val="nil"/>
              <w:bottom w:val="nil"/>
              <w:right w:val="nil"/>
            </w:tcBorders>
          </w:tcPr>
          <w:p>
            <w:pPr>
              <w:pStyle w:val="Normal6a"/>
            </w:pPr>
            <w:r>
              <w:rPr>
                <w:b/>
                <w:i/>
              </w:rPr>
              <w:t>–</w:t>
            </w:r>
            <w:r>
              <w:tab/>
            </w:r>
            <w:r>
              <w:t>so zreteľom na nariadenie Európskeho parlamentu a Rady (EÚ) 2021/1119 z 30. júna 2021, ktorým sa stanovuje rámec na dosiahnutie klimatickej neutrality a menia nariadenia (ES) č. 401/2009 a (EÚ) 2018/1999 (európsky právny predpis v oblasti klímy)</w:t>
            </w:r>
            <w:r>
              <w:rPr>
                <w:vertAlign w:val="superscript"/>
              </w:rPr>
              <w:t>5</w:t>
            </w:r>
            <w:r>
              <w:t xml:space="preserve"> vrátane právneho cieľa dosiahnutia klimatickej neutrality EÚ do roku 2050 a v ktorom sa ako strednodobý cieľ stanovuje znížiť emisie skleníkových plynov do roku 2030 aspoň o 55 % v porovnaní s úrovňami z roku 1990,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 xml:space="preserve">Ú. v. EÚ L 243, 9.7.2021, s. 1, ELI: </w:t>
            </w:r>
            <w:r>
              <w:rPr>
                <w:b/>
                <w:i/>
              </w:rPr>
              <w:t>https://eur-lex.europa</w:t>
            </w:r>
            <w:r>
              <w:t>.eu/eli/reg/2021/1119/oj</w:t>
            </w:r>
            <w:r>
              <w:rPr>
                <w:b/>
                <w:i/>
              </w:rPr>
              <w:t>?eliuri=eli%3Areg%3A2021%3A1119%3Aoj&amp;locale=sk</w:t>
            </w:r>
            <w:r>
              <w:t>.</w:t>
            </w:r>
          </w:p>
        </w:tc>
        <w:tc>
          <w:tcPr>
            <w:tcW w:w="4876" w:type="dxa"/>
            <w:tcBorders>
              <w:top w:val="nil"/>
              <w:left w:val="nil"/>
              <w:bottom w:val="nil"/>
              <w:right w:val="nil"/>
            </w:tcBorders>
          </w:tcPr>
          <w:p>
            <w:pPr>
              <w:pStyle w:val="Normal6a"/>
            </w:pPr>
            <w:r>
              <w:rPr>
                <w:vertAlign w:val="superscript"/>
              </w:rPr>
              <w:t>5</w:t>
            </w:r>
            <w:r>
              <w:t xml:space="preserve"> </w:t>
            </w:r>
            <w:r>
              <w:t xml:space="preserve">Ú. v. EÚ L 243, 9.7.2021, s. 1, ELI: </w:t>
            </w:r>
            <w:r>
              <w:rPr>
                <w:b/>
                <w:i/>
              </w:rPr>
              <w:t>http://data.europa</w:t>
            </w:r>
            <w:r>
              <w:t>.eu/eli/reg/2021/1119/oj.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7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nariadenie Európskeho parlamentu a Rady (EÚ) 2024/1735 z 13. júna 2024 o zriadení rámca opatrení na posilnenie európskeho ekosystému výroby emisne neutrálnych technológií a o zmene nariadenia (EÚ) 2018/17241,</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7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oznámenie Komisie zo 14. júla 2021 s názvom „Fit for 55“: plnenie cieľa EÚ v oblasti klímy do roku 2030 na ceste ku klimatickej neutralite (COM(2021)0550),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7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nariadenie Európskeho parlamentu a Rady (EÚ) 2021/241 z 12. februára 2021, ktorým sa zriaďuje Mechanizmus na podporu obnovy a odolnosti,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7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oznámenie Komisie zo 4. marca 2021 s názvom Akčný plán na realizáciu Európskeho piliera sociálnych práv (COM(2021)0102),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8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uznesenie Európskeho parlamentu zo 7. júna 2022 o ostrovoch EÚ a politike súdržnosti:</w:t>
            </w:r>
            <w:r>
              <w:t xml:space="preserve"> </w:t>
            </w:r>
            <w:r>
              <w:rPr>
                <w:b/>
                <w:i/>
              </w:rPr>
              <w:t>súčasná situácia a budúce výzvy (2021/2079(INI))</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https://eur-lex.europa.eu/legal-content/SK/TXT/?uri=OJ:JOC_2022_493_R_0005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8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svoje uznesenie z 20. mája 2021 o zvrátení demografických trendov v regiónoch EÚ pomocou nástrojov politiky súdržnosti (2020/2039(INI)</w:t>
            </w:r>
            <w:r>
              <w:rPr>
                <w:b/>
                <w:i/>
                <w:vertAlign w:val="superscript"/>
              </w:rPr>
              <w:t>5b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5b</w:t>
            </w:r>
            <w:r>
              <w:t xml:space="preserve"> </w:t>
            </w:r>
            <w:r>
              <w:rPr>
                <w:b/>
                <w:i/>
              </w:rPr>
              <w:t>https://www.europarl.europa.eu/doceo/document/TA-9-2021-0248_SK.html.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10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svoje uznesenie z 23. novembra 2023 o tvorbe pracovných miest: spravodlivá transformácia a spoločensky prospešné investovanie,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13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Územnú agendu 2030 – budúcnosť pre všetky miesta, ktorá bola prijatá na neformálnom stretnutí ministrov zodpovedných za územné plánovanie, územný rozvoj a/alebo územnú súdržnosť 1. decembra 2020,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14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Dohodu o čistom priemysle:</w:t>
            </w:r>
            <w:r>
              <w:t xml:space="preserve"> </w:t>
            </w:r>
            <w:r>
              <w:rPr>
                <w:b/>
                <w:i/>
              </w:rPr>
              <w:t>spoločný plán konkurencieschopnosti a dekarbonizácie z 26. februára 2025 (COM(2025)0085),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15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oznámenie Komisie z 5. marca 2025 s názvom Únia zručností (COM(2025)0090),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keďže ambiciózny cieľ </w:t>
            </w:r>
            <w:r>
              <w:rPr>
                <w:b/>
                <w:i/>
              </w:rPr>
              <w:t>prechodu na</w:t>
            </w:r>
            <w:r>
              <w:t xml:space="preserve"> uhlíkovo neutrálne hospodárstvo </w:t>
            </w:r>
            <w:r>
              <w:rPr>
                <w:b/>
                <w:i/>
              </w:rPr>
              <w:t>do roku 2050 môže pre regióny, ktorých sa</w:t>
            </w:r>
            <w:r>
              <w:t xml:space="preserve"> táto transformácia </w:t>
            </w:r>
            <w:r>
              <w:rPr>
                <w:b/>
                <w:i/>
              </w:rPr>
              <w:t>nepriaznivo dotýka, priniesť príležitosti, ale aj nové</w:t>
            </w:r>
            <w:r>
              <w:t xml:space="preserve"> výzvy;</w:t>
            </w:r>
          </w:p>
        </w:tc>
        <w:tc>
          <w:tcPr>
            <w:tcW w:w="4876" w:type="dxa"/>
            <w:tcBorders>
              <w:top w:val="nil"/>
              <w:left w:val="nil"/>
              <w:bottom w:val="nil"/>
              <w:right w:val="nil"/>
            </w:tcBorders>
          </w:tcPr>
          <w:p>
            <w:pPr>
              <w:pStyle w:val="Normal6a"/>
            </w:pPr>
            <w:r>
              <w:t>A.</w:t>
            </w:r>
            <w:r>
              <w:tab/>
            </w:r>
            <w:r>
              <w:t xml:space="preserve">keďže ambiciózny cieľ </w:t>
            </w:r>
            <w:r>
              <w:rPr>
                <w:b/>
                <w:i/>
              </w:rPr>
              <w:t>dosiahnuť do roku 2050</w:t>
            </w:r>
            <w:r>
              <w:t xml:space="preserve"> uhlíkovo neutrálne hospodárstvo </w:t>
            </w:r>
            <w:r>
              <w:rPr>
                <w:b/>
                <w:i/>
              </w:rPr>
              <w:t>ako súčasť širšieho záväzku EÚ k zelenej transformácii má potenciál vytvárať značné hospodárske, environmentálne a sociálne prínosy vrátane vytvárania nových priemyselných odvetví, pracovných príležitostí a lepšej kvality života;</w:t>
            </w:r>
            <w:r>
              <w:t xml:space="preserve"> </w:t>
            </w:r>
            <w:r>
              <w:rPr>
                <w:b/>
                <w:i/>
              </w:rPr>
              <w:t>keďže</w:t>
            </w:r>
            <w:r>
              <w:t xml:space="preserve"> táto transformácia </w:t>
            </w:r>
            <w:r>
              <w:rPr>
                <w:b/>
                <w:i/>
              </w:rPr>
              <w:t>môže zároveň prehĺbiť existujúce rozdiely a vytvoriť nové zraniteľné miesta, najmä v štrukturálne znevýhodnených regiónoch, regiónoch, ktoré sú vo veľkej miere závislé od priemyselných odvetví s vysokými emisiami uhlíka alebo ktorým chýba infraštruktúra a prístup k inkluzívnym a spravodlivým možnostiam vzdelávania a odbornej prípravy potrebným na prispôsobenie sa tejto rýchlej transformácii;</w:t>
            </w:r>
            <w:r>
              <w:t xml:space="preserve"> </w:t>
            </w:r>
            <w:r>
              <w:rPr>
                <w:b/>
                <w:i/>
              </w:rPr>
              <w:t>keďže tieto</w:t>
            </w:r>
            <w:r>
              <w:t xml:space="preserve"> výzvy </w:t>
            </w:r>
            <w:r>
              <w:rPr>
                <w:b/>
                <w:i/>
              </w:rPr>
              <w:t>ešte viac zhoršuje prebiehajúca demografická kríza vrátane úbytku a starnutia obyvateľstva, čo môže ohroziť schopnosť EÚ plniť ciele zakotvené v zmluvách, najmä tie, ktoré sa týkajú hospodárskej, sociálnej a územnej súdržnosti, solidarity medzi členskými štátmi a podpory vzostupnej konvergencie vo všetkých regiónoch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keďže ambiciózny cieľ prechodu na uhlíkovo neutrálne hospodárstvo do roku 2050 môže pre regióny, ktorých sa táto transformácia nepriaznivo dotýka, priniesť príležitosti, ale aj nové výzvy;</w:t>
            </w:r>
          </w:p>
        </w:tc>
        <w:tc>
          <w:tcPr>
            <w:tcW w:w="4876" w:type="dxa"/>
            <w:tcBorders>
              <w:top w:val="nil"/>
              <w:left w:val="nil"/>
              <w:bottom w:val="nil"/>
              <w:right w:val="nil"/>
            </w:tcBorders>
          </w:tcPr>
          <w:p>
            <w:pPr>
              <w:pStyle w:val="Normal6a"/>
            </w:pPr>
            <w:r>
              <w:t>A.</w:t>
            </w:r>
            <w:r>
              <w:tab/>
            </w:r>
            <w:r>
              <w:t xml:space="preserve">keďže ambiciózny cieľ prechodu na uhlíkovo neutrálne hospodárstvo </w:t>
            </w:r>
            <w:r>
              <w:rPr>
                <w:b/>
                <w:i/>
              </w:rPr>
              <w:t>najneskôr</w:t>
            </w:r>
            <w:r>
              <w:t xml:space="preserve"> do roku 2050 môže pre regióny, ktorých sa táto transformácia nepriaznivo dotýka, priniesť príležitosti, ale aj nové výzvy; </w:t>
            </w:r>
            <w:r>
              <w:rPr>
                <w:b/>
                <w:i/>
              </w:rPr>
              <w:t>keďže znečisťovanie ovzdušia a vody, riziko nedostatku vody, ako aj energetická chudoba sú v mnohých menej rozvinutých regiónoch vo všeobecnosti stále príliš vysoké;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keďže ambiciózny cieľ prechodu na uhlíkovo neutrálne hospodárstvo do roku 2050 </w:t>
            </w:r>
            <w:r>
              <w:rPr>
                <w:b/>
                <w:i/>
              </w:rPr>
              <w:t>môže pre regióny, ktorých sa táto transformácia nepriaznivo dotýka, priniesť príležitosti, ale aj nové výzvy</w:t>
            </w:r>
            <w:r>
              <w:t>;</w:t>
            </w:r>
          </w:p>
        </w:tc>
        <w:tc>
          <w:tcPr>
            <w:tcW w:w="4876" w:type="dxa"/>
            <w:tcBorders>
              <w:top w:val="nil"/>
              <w:left w:val="nil"/>
              <w:bottom w:val="nil"/>
              <w:right w:val="nil"/>
            </w:tcBorders>
          </w:tcPr>
          <w:p>
            <w:pPr>
              <w:pStyle w:val="Normal6a"/>
            </w:pPr>
            <w:r>
              <w:t>A.</w:t>
            </w:r>
            <w:r>
              <w:tab/>
            </w:r>
            <w:r>
              <w:t xml:space="preserve">keďže ambiciózny cieľ prechodu na uhlíkovo neutrálne hospodárstvo do roku 2050 </w:t>
            </w:r>
            <w:r>
              <w:rPr>
                <w:b/>
                <w:i/>
              </w:rPr>
              <w:t>v súčasnosti spôsobuje mnohým regiónom značné ťažkosti a vážne výzvy, hoci mal byť príležitosťou a vytvárať pre ne nové možnosti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keďže ambiciózny cieľ prechodu na uhlíkovo neutrálne hospodárstvo do roku 2050 môže pre regióny, ktorých sa táto transformácia nepriaznivo dotýka, priniesť príležitosti, ale aj nové výzvy;</w:t>
            </w:r>
          </w:p>
        </w:tc>
        <w:tc>
          <w:tcPr>
            <w:tcW w:w="4876" w:type="dxa"/>
            <w:tcBorders>
              <w:top w:val="nil"/>
              <w:left w:val="nil"/>
              <w:bottom w:val="nil"/>
              <w:right w:val="nil"/>
            </w:tcBorders>
          </w:tcPr>
          <w:p>
            <w:pPr>
              <w:pStyle w:val="Normal6a"/>
            </w:pPr>
            <w:r>
              <w:t>A.</w:t>
            </w:r>
            <w:r>
              <w:tab/>
            </w:r>
            <w:r>
              <w:t xml:space="preserve">keďže ambiciózny cieľ prechodu na uhlíkovo neutrálne hospodárstvo do roku 2050 môže pre regióny, ktorých sa táto transformácia nepriaznivo dotýka, </w:t>
            </w:r>
            <w:r>
              <w:rPr>
                <w:b/>
                <w:i/>
              </w:rPr>
              <w:t>čiže najmä uhoľné regióny,</w:t>
            </w:r>
            <w:r>
              <w:t xml:space="preserve"> priniesť príležitosti, ale aj nové výzvy;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keďže </w:t>
            </w:r>
            <w:r>
              <w:rPr>
                <w:b/>
                <w:i/>
              </w:rPr>
              <w:t>ambiciózny</w:t>
            </w:r>
            <w:r>
              <w:t xml:space="preserve"> cieľ prechodu na uhlíkovo neutrálne hospodárstvo do roku 2050 </w:t>
            </w:r>
            <w:r>
              <w:rPr>
                <w:b/>
                <w:i/>
              </w:rPr>
              <w:t>môže pre regióny, ktorých sa</w:t>
            </w:r>
            <w:r>
              <w:t xml:space="preserve"> táto transformácia nepriaznivo </w:t>
            </w:r>
            <w:r>
              <w:rPr>
                <w:b/>
                <w:i/>
              </w:rPr>
              <w:t>dotýka, priniesť príležitosti, ale aj nové výzvy</w:t>
            </w:r>
            <w:r>
              <w:t>;</w:t>
            </w:r>
          </w:p>
        </w:tc>
        <w:tc>
          <w:tcPr>
            <w:tcW w:w="4876" w:type="dxa"/>
            <w:tcBorders>
              <w:top w:val="nil"/>
              <w:left w:val="nil"/>
              <w:bottom w:val="nil"/>
              <w:right w:val="nil"/>
            </w:tcBorders>
          </w:tcPr>
          <w:p>
            <w:pPr>
              <w:pStyle w:val="Normal6a"/>
            </w:pPr>
            <w:r>
              <w:t>A.</w:t>
            </w:r>
            <w:r>
              <w:tab/>
            </w:r>
            <w:r>
              <w:t xml:space="preserve">keďže cieľ prechodu na uhlíkovo neutrálne hospodárstvo do roku 2050 </w:t>
            </w:r>
            <w:r>
              <w:rPr>
                <w:b/>
                <w:i/>
              </w:rPr>
              <w:t>prinesie regiónom, ktoré už</w:t>
            </w:r>
            <w:r>
              <w:t xml:space="preserve"> táto transformácia nepriaznivo </w:t>
            </w:r>
            <w:r>
              <w:rPr>
                <w:b/>
                <w:i/>
              </w:rPr>
              <w:t>zasiahla, dodatočné a neprekonateľné problémy</w:t>
            </w:r>
            <w:r>
              <w:t xml:space="preserve">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keďže je nevyhnutné, aby regióny, ktoré sú nepriaznivo ovplyvnené prechodom na klimatickú neutralitu, dostali primeranú podporu na zvládnutie dopadu tejto transformácie, čím sa zabezpečí, aby nezaznamenali hospodársku stagnáciu alebo výrazné straty pracovných miest;</w:t>
            </w:r>
            <w:r>
              <w:t xml:space="preserve"> </w:t>
            </w:r>
            <w:r>
              <w:rPr>
                <w:b/>
                <w:i/>
              </w:rPr>
              <w:t>keďže tieto regióny musia využívať osobitné mechanizmy rekonverzie a podpory, aby sa výzvy premenili na nové hospodárske príležitosti;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keďže európsky kontinent sa otepľuje rýchlejšie ako zvyšok sveta a riešenie rizík, ktoré predstavuje zmena klímy, je čoraz zložitejšie a náročnejšie;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regióny EÚ sa </w:t>
            </w:r>
            <w:r>
              <w:rPr>
                <w:b/>
                <w:i/>
              </w:rPr>
              <w:t>značne líšia, pokiaľ ide o ich sociálno-ekonomické podmienky</w:t>
            </w:r>
            <w:r>
              <w:t xml:space="preserve">, a je jasné, že neexistuje univerzálne riešenie, ktoré by umožnilo primerane reagovať na ich </w:t>
            </w:r>
            <w:r>
              <w:rPr>
                <w:b/>
                <w:i/>
              </w:rPr>
              <w:t>rozdielne</w:t>
            </w:r>
            <w:r>
              <w:t xml:space="preserve"> územné a sociálno-ekonomické potreby;</w:t>
            </w:r>
          </w:p>
        </w:tc>
        <w:tc>
          <w:tcPr>
            <w:tcW w:w="4876" w:type="dxa"/>
            <w:tcBorders>
              <w:top w:val="nil"/>
              <w:left w:val="nil"/>
              <w:bottom w:val="nil"/>
              <w:right w:val="nil"/>
            </w:tcBorders>
          </w:tcPr>
          <w:p>
            <w:pPr>
              <w:pStyle w:val="Normal6a"/>
            </w:pPr>
            <w:r>
              <w:t>B.</w:t>
            </w:r>
            <w:r>
              <w:tab/>
            </w:r>
            <w:r>
              <w:t xml:space="preserve">keďže regióny EÚ sa </w:t>
            </w:r>
            <w:r>
              <w:rPr>
                <w:b/>
                <w:i/>
              </w:rPr>
              <w:t>vyznačujú vysokým stupňom územnej, hospodárskej a sociálnej rozmanitosti s rôznou úrovňou rozvoja</w:t>
            </w:r>
            <w:r>
              <w:t xml:space="preserve">, </w:t>
            </w:r>
            <w:r>
              <w:rPr>
                <w:b/>
                <w:i/>
              </w:rPr>
              <w:t>odlišnou infraštruktúrou, rôznymi demografickými trendmi a podmienkami na trhu práce</w:t>
            </w:r>
            <w:r>
              <w:t xml:space="preserve"> a je jasné, že neexistuje univerzálne riešenie, ktoré by umožnilo primerane reagovať na ich </w:t>
            </w:r>
            <w:r>
              <w:rPr>
                <w:b/>
                <w:i/>
              </w:rPr>
              <w:t>rôzne</w:t>
            </w:r>
            <w:r>
              <w:t xml:space="preserve"> územné a sociálno-ekonomické potreby; </w:t>
            </w:r>
            <w:r>
              <w:rPr>
                <w:b/>
                <w:i/>
              </w:rPr>
              <w:t>keďže programy politiky súdržnosti by sa preto mali vykonávať tak, aby riešili tieto rozdiely, a to poskytovaním flexibilných, miestnych/regionálnych a prispôsobených riešení, ktoré zohľadňujú osobitné potreby, charakteristiky a potenciál každého regiónu;</w:t>
            </w:r>
            <w:r>
              <w:t xml:space="preserve"> </w:t>
            </w:r>
            <w:r>
              <w:rPr>
                <w:b/>
                <w:i/>
              </w:rPr>
              <w:t>keďže takýto prístup je nevyhnutný na zabezpečenie toho, aby sa pri zelenej a digitálnej transformácii nezabudlo na žiadny región, ako aj na posilnenie hospodárskej, sociálnej a územnej súdržnosti v celej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regióny </w:t>
            </w:r>
            <w:r>
              <w:rPr>
                <w:b/>
                <w:i/>
              </w:rPr>
              <w:t>EÚ</w:t>
            </w:r>
            <w:r>
              <w:t xml:space="preserve"> sa značne líšia, pokiaľ ide o </w:t>
            </w:r>
            <w:r>
              <w:rPr>
                <w:b/>
                <w:i/>
              </w:rPr>
              <w:t>ich</w:t>
            </w:r>
            <w:r>
              <w:t xml:space="preserve"> sociálno-ekonomické podmienky, a je </w:t>
            </w:r>
            <w:r>
              <w:rPr>
                <w:b/>
                <w:i/>
              </w:rPr>
              <w:t>jasné</w:t>
            </w:r>
            <w:r>
              <w:t xml:space="preserve">, že neexistuje univerzálne riešenie, ktoré by </w:t>
            </w:r>
            <w:r>
              <w:rPr>
                <w:b/>
                <w:i/>
              </w:rPr>
              <w:t>umožnilo primerane reagovať na</w:t>
            </w:r>
            <w:r>
              <w:t xml:space="preserve"> ich rozdielne územné a sociálno-ekonomické potreby;</w:t>
            </w:r>
          </w:p>
        </w:tc>
        <w:tc>
          <w:tcPr>
            <w:tcW w:w="4876" w:type="dxa"/>
            <w:tcBorders>
              <w:top w:val="nil"/>
              <w:left w:val="nil"/>
              <w:bottom w:val="nil"/>
              <w:right w:val="nil"/>
            </w:tcBorders>
          </w:tcPr>
          <w:p>
            <w:pPr>
              <w:pStyle w:val="Normal6a"/>
            </w:pPr>
            <w:r>
              <w:t>B.</w:t>
            </w:r>
            <w:r>
              <w:tab/>
            </w:r>
            <w:r>
              <w:t xml:space="preserve">keďže regióny </w:t>
            </w:r>
            <w:r>
              <w:rPr>
                <w:b/>
                <w:i/>
              </w:rPr>
              <w:t>Európskej únie</w:t>
            </w:r>
            <w:r>
              <w:t xml:space="preserve"> sa značne líšia, pokiaľ ide o sociálno-ekonomické podmienky, a je </w:t>
            </w:r>
            <w:r>
              <w:rPr>
                <w:b/>
                <w:i/>
              </w:rPr>
              <w:t>zrejmé</w:t>
            </w:r>
            <w:r>
              <w:t xml:space="preserve">, že neexistuje univerzálne riešenie, ktoré by </w:t>
            </w:r>
            <w:r>
              <w:rPr>
                <w:b/>
                <w:i/>
              </w:rPr>
              <w:t>bolo schopné primerane riešiť</w:t>
            </w:r>
            <w:r>
              <w:t xml:space="preserve"> ich rozdielne územné a sociálno-ekonomické potreby</w:t>
            </w:r>
            <w:r>
              <w:rPr>
                <w:b/>
                <w:i/>
              </w:rPr>
              <w:t>, a preto je nevyhnutné zachovať územné plány spravodlivej transformácie a zároveň zabezpečiť zapojenie regionálnych a miestnych samospráv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keďže regióny EÚ sa značne líšia, pokiaľ ide o ich sociálno-ekonomické podmienky, a je jasné, že neexistuje univerzálne riešenie, ktoré by umožnilo primerane reagovať na ich rozdielne územné a sociálno-ekonomické potreby;</w:t>
            </w:r>
          </w:p>
        </w:tc>
        <w:tc>
          <w:tcPr>
            <w:tcW w:w="4876" w:type="dxa"/>
            <w:tcBorders>
              <w:top w:val="nil"/>
              <w:left w:val="nil"/>
              <w:bottom w:val="nil"/>
              <w:right w:val="nil"/>
            </w:tcBorders>
          </w:tcPr>
          <w:p>
            <w:pPr>
              <w:pStyle w:val="Normal6a"/>
            </w:pPr>
            <w:r>
              <w:t>B.</w:t>
            </w:r>
            <w:r>
              <w:tab/>
            </w:r>
            <w:r>
              <w:t xml:space="preserve">keďže regióny EÚ sa značne líšia, pokiaľ ide o ich sociálno-ekonomické podmienky, a je jasné, že neexistuje univerzálne riešenie, ktoré by umožnilo primerane reagovať na ich rozdielne územné a sociálno-ekonomické potreby; </w:t>
            </w:r>
            <w:r>
              <w:rPr>
                <w:b/>
                <w:i/>
              </w:rPr>
              <w:t>keďže najslabšie regióny trpia transformáciou najviac, zatiaľ čo v súčasnosti ju môžu využívať len tie najbohatšie;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zraniteľná situácia ostrovov, ostrovných a najvzdialenejších regiónov si vyžaduje osobitnú pozornosť a podporu vzhľadom na vážne sociálno-ekonomické výzvy, ktorým čelia pri prechode na energetické ciele EÚ do roku 2030 a cieľ klimaticky neutrálneho hospodárstva do roku 2050;</w:t>
            </w:r>
            <w:r>
              <w:t xml:space="preserve"> </w:t>
            </w:r>
            <w:r>
              <w:rPr>
                <w:b/>
                <w:i/>
              </w:rPr>
              <w:t>keďže súčasné znevýhodnenia ostrovov vyplývajúce z ostrovného charakteru v kombinácii s vážnym vplyvom klimatickej krízy ešte viac znevýhodňujú ich občanov, čo prehlbuje existujúce sociálne a hospodárske rozdiely;</w:t>
            </w:r>
            <w:r>
              <w:t xml:space="preserve"> </w:t>
            </w:r>
            <w:r>
              <w:rPr>
                <w:b/>
                <w:i/>
              </w:rPr>
              <w:t>keďže rastúci výskyt extrémnych poveternostných javov a prírodných katastrof, ako sú suchá, záplavy a prírodné požiare, ešte viac prehlbuje rozdiely v rozvoji a bráni pokroku v udržateľnom rozvoji ostrovných regiónov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regióny EÚ sa značne líšia, pokiaľ ide o ich sociálno-ekonomické podmienky, a je jasné, že neexistuje univerzálne riešenie, ktoré by umožnilo primerane reagovať na ich rozdielne územné a sociálno-ekonomické potreby;</w:t>
            </w:r>
            <w:r>
              <w:t xml:space="preserve"> </w:t>
            </w:r>
            <w:r>
              <w:rPr>
                <w:b/>
                <w:i/>
              </w:rPr>
              <w:t>keďže v súčasnom geopolitickom kontexte, ktorý sa vyznačuje neistotou súvisiacou s energetickou bezpečnosťou a stabilitou medzinárodných trhov, sa niektoré regióny pravdepodobne budú musieť aspoň krátkodobo vrátiť k tradičným hospodárskym činnostiam, a to aj v odvetviach, ako je ťažba alebo využívanie prírodných zdrojov, s cieľom uspokojiť domáce potreby a znížiť závislosť od vonkajších zdrojov energie;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účinnosť stratégií spravodlivej transformácie závisí od koherentného a strategického využívania finančných nástrojov EÚ;</w:t>
            </w:r>
            <w:r>
              <w:t xml:space="preserve"> </w:t>
            </w:r>
            <w:r>
              <w:rPr>
                <w:b/>
                <w:i/>
              </w:rPr>
              <w:t>keďže fragmentácia finančných prostriedkov v súčasnom programovom období má negatívny vplyv na niektoré regióny;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hlavným cieľom politiky súdržnosti bola (a zostáva) hospodárska konvergencia, ale zároveň hrozí, že zelená transformácia tieto ambície zvráti a zničí tým, že prehĺbi hospodárske rozdiely medzi regiónmi;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klimatické riziká neúmerne postihujú zraniteľné obyvateľstvo v dôsledku sociálno-ekonomických faktorov, ktoré ešte viac obmedzujú schopnosť zraniteľných skupín zotaviť sa z katastrof;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keďže fyzické odpojenie a izolácia ostrovov od pevniny predstavuje trvalú štrukturálnu nevýhodu, ktorá ovplyvňuje viaceré aspekty hospodárskeho a sociálneho života vrátane prístupu na trh práce, ako aj prístupu k vzdelávaniu, zdravotnej starostlivosti, mobilite a verejným službám;</w:t>
            </w:r>
            <w:r>
              <w:t xml:space="preserve"> </w:t>
            </w:r>
            <w:r>
              <w:rPr>
                <w:b/>
                <w:i/>
              </w:rPr>
              <w:t>keďže ostrovy majú vzhľadom na svoje obmedzené územie oveľa nižšie príležitosti na zvyšovanie úrovne zručností a rekvalifikáciu, čím sa obmedzuje schopnosť pracovníkov prispôsobiť sa štrukturálnym zmenám alebo zmenám v odvetviach, ako sú zmeny spôsobené zelenou a digitálnou transformáciou;</w:t>
            </w:r>
            <w:r>
              <w:t xml:space="preserve"> </w:t>
            </w:r>
            <w:r>
              <w:rPr>
                <w:b/>
                <w:i/>
              </w:rPr>
              <w:t>keďže tento nedostatok alternatív v mnohých prípadoch núti pracovníkov opustiť svoje domovské regióny s cieľom získať prístup k pracovným príležitostiam inde, čo účinne oslabuje ich „právo zotrvať“ a prispieva k vyľudňovaniu a úniku mozgov na ostrovných územiach;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keďže najnaliehavejším súčasným problémom je industrializácia chudobnejších regiónov, a nie ich deindustrializácia prostredníctvom zelenej transformácie;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keďže najchudobnejšie a najzraniteľnejšie regióny sa nachádzajú vo východnej časti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keďže vojna na Ukrajine má na tieto regióny ďalší negatívny vplyv;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keďže v mnohých odvetviach, ktoré boli najviac zasiahnuté dekarbonizáciou, prevládali pred transformáciou nepriaznivé pracovné podmienky a tieto odvetvia záviseli od sezónnych pracovníkov, ktorí sa snažili dosiahnuť sociálnu spravodlivosť;</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keďže v mnohých odvetviach, ktoré boli najviac zasiahnuté dekarbonizáciou, prevládali pred transformáciou nepriaznivé pracovné podmienky a tieto odvetvia záviseli od sezónnych pracovníkov, ktorí sa snažili dosiahnuť sociálnu spravodlivosť;</w:t>
            </w:r>
          </w:p>
        </w:tc>
        <w:tc>
          <w:tcPr>
            <w:tcW w:w="4876" w:type="dxa"/>
            <w:tcBorders>
              <w:top w:val="nil"/>
              <w:left w:val="nil"/>
              <w:bottom w:val="nil"/>
              <w:right w:val="nil"/>
            </w:tcBorders>
          </w:tcPr>
          <w:p>
            <w:pPr>
              <w:pStyle w:val="Normal6a"/>
            </w:pPr>
            <w:r>
              <w:t>C.</w:t>
            </w:r>
            <w:r>
              <w:tab/>
            </w:r>
            <w:r>
              <w:t xml:space="preserve">keďže v mnohých odvetviach, ktoré boli najviac zasiahnuté dekarbonizáciou, prevládali pred transformáciou nepriaznivé pracovné podmienky a tieto odvetvia záviseli od sezónnych pracovníkov, ktorí sa snažili dosiahnuť sociálnu spravodlivosť; </w:t>
            </w:r>
            <w:r>
              <w:rPr>
                <w:b/>
                <w:i/>
              </w:rPr>
              <w:t>keďže takíto pracovníci nie sú schopní absolvovať vážnu rekvalifikáciu, ktorú od nich vyžaduje zelená transformácia;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keďže </w:t>
            </w:r>
            <w:r>
              <w:rPr>
                <w:b/>
                <w:i/>
              </w:rPr>
              <w:t>v mnohých odvetviach</w:t>
            </w:r>
            <w:r>
              <w:t xml:space="preserve">, ktoré boli najviac zasiahnuté dekarbonizáciou, </w:t>
            </w:r>
            <w:r>
              <w:rPr>
                <w:b/>
                <w:i/>
              </w:rPr>
              <w:t>prevládali pred transformáciou nepriaznivé pracovné podmienky a tieto odvetvia záviseli</w:t>
            </w:r>
            <w:r>
              <w:t xml:space="preserve"> od sezónnych pracovníkov</w:t>
            </w:r>
            <w:r>
              <w:rPr>
                <w:b/>
                <w:i/>
              </w:rPr>
              <w:t>, ktorí sa snažili dosiahnuť sociálnu spravodlivosť</w:t>
            </w:r>
            <w:r>
              <w:t>;</w:t>
            </w:r>
          </w:p>
        </w:tc>
        <w:tc>
          <w:tcPr>
            <w:tcW w:w="4876" w:type="dxa"/>
            <w:tcBorders>
              <w:top w:val="nil"/>
              <w:left w:val="nil"/>
              <w:bottom w:val="nil"/>
              <w:right w:val="nil"/>
            </w:tcBorders>
          </w:tcPr>
          <w:p>
            <w:pPr>
              <w:pStyle w:val="Normal6a"/>
            </w:pPr>
            <w:r>
              <w:t>C.</w:t>
            </w:r>
            <w:r>
              <w:tab/>
            </w:r>
            <w:r>
              <w:t xml:space="preserve">keďže </w:t>
            </w:r>
            <w:r>
              <w:rPr>
                <w:b/>
                <w:i/>
              </w:rPr>
              <w:t>niektoré odvetvia</w:t>
            </w:r>
            <w:r>
              <w:t xml:space="preserve">, ktoré boli najviac zasiahnuté dekarbonizáciou, </w:t>
            </w:r>
            <w:r>
              <w:rPr>
                <w:b/>
                <w:i/>
              </w:rPr>
              <w:t>čelili nepriaznivým pracovným podmienkam a závislosti</w:t>
            </w:r>
            <w:r>
              <w:t xml:space="preserve"> od sezónnych pracovníkov;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keďže spravodlivá transformácia by mala uprednostňovať sociálne začlenenie a využiť jeho významný potenciál na vytváranie kvalitných pracovných miest na všetkých úrovniach zručností;</w:t>
            </w:r>
            <w:r>
              <w:t xml:space="preserve"> </w:t>
            </w:r>
            <w:r>
              <w:rPr>
                <w:b/>
                <w:i/>
              </w:rPr>
              <w:t>keďže by mala aktívne riešiť diskrimináciu na pracovisku, zabezpečiť dôstojné a kvalitné pracovné podmienky a zvýšiť pracovné normy vo všetkých odvetviach;</w:t>
            </w:r>
            <w:r>
              <w:t xml:space="preserve"> </w:t>
            </w:r>
            <w:r>
              <w:rPr>
                <w:b/>
                <w:i/>
              </w:rPr>
              <w:t>keďže politiky spravodlivej transformácie by mali klásť osobitný dôraz na potreby najviac postihnutých komunít a najzraniteľnejších skupín obyvateľstva;</w:t>
            </w:r>
            <w:r>
              <w:t xml:space="preserve"> </w:t>
            </w:r>
            <w:r>
              <w:rPr>
                <w:b/>
                <w:i/>
              </w:rPr>
              <w:t>keďže prierezový prístup by sa mal systematicky začleňovať do právnych predpisov a politík EÚ a členských štátov s cieľom zabezpečiť úplné začlenenie mladých a starších pracovníkov, žien, osôb so zdravotným postihnutím a pracovníkov zo znevýhodnených regiónov a so sociálno-ekonomickým znevýhodnením;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keďže jadrová energia je zahrnutá do zelenej taxonómie, a preto prispieva k prechodu na dekarbonizované hospodárstvo;</w:t>
            </w:r>
            <w:r>
              <w:t xml:space="preserve"> </w:t>
            </w:r>
            <w:r>
              <w:rPr>
                <w:b/>
                <w:i/>
              </w:rPr>
              <w:t>keďže viac investícií do tejto formy energie by EÚ pomohlo dosiahnuť strategickú autonómiu a ciele znižovania emisií uhlíka;</w:t>
            </w:r>
            <w:r>
              <w:t xml:space="preserve"> </w:t>
            </w:r>
            <w:r>
              <w:rPr>
                <w:b/>
                <w:i/>
              </w:rPr>
              <w:t>keďže tento zdroj energie by bol navyše účinnou náhradou, pokiaľ ide o energetickú hospodárnosť, tvorbu pracovných miest a hospodársky rast v regiónoch, na ktoré sa vzťahuje transformácia;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keďže prechod na ekologickú udržateľnosť musí ísť ruka v ruke s hospodárskou a sociálnou spravodlivosťou;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keďže priemerné emisie CO2 z výroby elektrickej energie v roku 2023 sa v členských štátoch EÚ výrazne líšili v závislosti od prítomnosti jadrových elektrární – emisie členských štátov s jadrovými elektrárňami boli výrazne nižšie;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keďže únik mozgov neúmerne postihuje menej rozvinuté regióny a ak sa tento jav nebude riešiť, bude mať dlhodobé a trvalé následky pre budúcnosť Európskej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keďže proces energetickej transformácie by mal ísť ruka v ruke s hospodárskou konkurencieschopnosťou a je nevyhnutné chrániť energetickú bezpečnosť týchto oblastí;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keďže EÚ je na rozdiel od svojich hlavných konkurentov svetovým lídrom v oblasti znižovania emisií a zároveň rieši mnohé výzvy vyvolané zložitým globálnym geopolitickým a hospodárskym kontextom;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keďže Fond EÚ na spravodlivú transformáciu (FST) mal byť kľúčovým nástrojom na zabezpečenie toho, aby sa nezabudlo na ľudí žijúcich v oblastiach dotknutých prechodom na klimatickú neutralitu; keďže doterajšia miera čerpania je nižšia ako 5 %;</w:t>
            </w:r>
          </w:p>
        </w:tc>
        <w:tc>
          <w:tcPr>
            <w:tcW w:w="4876" w:type="dxa"/>
            <w:tcBorders>
              <w:top w:val="nil"/>
              <w:left w:val="nil"/>
              <w:bottom w:val="nil"/>
              <w:right w:val="nil"/>
            </w:tcBorders>
          </w:tcPr>
          <w:p>
            <w:pPr>
              <w:pStyle w:val="Normal6a"/>
            </w:pPr>
            <w:r>
              <w:t>D.</w:t>
            </w:r>
            <w:r>
              <w:tab/>
            </w:r>
            <w:r>
              <w:t xml:space="preserve">keďže Fond EÚ na spravodlivú transformáciu (FST) mal byť kľúčovým nástrojom na zabezpečenie toho, aby sa nezabudlo na ľudí žijúcich v oblastiach dotknutých prechodom na klimatickú neutralitu; keďže doterajšia miera čerpania je nižšia ako 5 %; </w:t>
            </w:r>
            <w:r>
              <w:rPr>
                <w:b/>
                <w:i/>
              </w:rPr>
              <w:t>keďže mnohým postihnutým obciam však chýba základná infraštruktúra a základné služby, čo im sťažuje prilákanie produktívnych investícií, ktoré vedú k udržateľnému oživeniu hospodárstva;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keďže Fond EÚ na spravodlivú transformáciu (FST) mal byť </w:t>
            </w:r>
            <w:r>
              <w:rPr>
                <w:b/>
                <w:i/>
              </w:rPr>
              <w:t>kľúčovým</w:t>
            </w:r>
            <w:r>
              <w:t xml:space="preserve"> nástrojom na </w:t>
            </w:r>
            <w:r>
              <w:rPr>
                <w:b/>
                <w:i/>
              </w:rPr>
              <w:t>zabezpečenie toho, aby sa nezabudlo na ľudí žijúcich v oblastiach dotknutých prechodom na klimatickú neutralitu</w:t>
            </w:r>
            <w:r>
              <w:t>; keďže doterajšia miera čerpania je nižšia ako 5 %;</w:t>
            </w:r>
          </w:p>
        </w:tc>
        <w:tc>
          <w:tcPr>
            <w:tcW w:w="4876" w:type="dxa"/>
            <w:tcBorders>
              <w:top w:val="nil"/>
              <w:left w:val="nil"/>
              <w:bottom w:val="nil"/>
              <w:right w:val="nil"/>
            </w:tcBorders>
          </w:tcPr>
          <w:p>
            <w:pPr>
              <w:pStyle w:val="Normal6a"/>
            </w:pPr>
            <w:r>
              <w:t>D.</w:t>
            </w:r>
            <w:r>
              <w:tab/>
            </w:r>
            <w:r>
              <w:t xml:space="preserve">keďže Fond EÚ na spravodlivú transformáciu (FST) mal byť </w:t>
            </w:r>
            <w:r>
              <w:rPr>
                <w:b/>
                <w:i/>
              </w:rPr>
              <w:t>dôležitým doplnkovým</w:t>
            </w:r>
            <w:r>
              <w:t xml:space="preserve"> nástrojom na </w:t>
            </w:r>
            <w:r>
              <w:rPr>
                <w:b/>
                <w:i/>
              </w:rPr>
              <w:t>územiach závislých od fosílnych palív, ktoré boli dotknuté prechodom na klimatickú neutralitu, a mal prispieť k jedinému špecifickému cieľu – umožniť regiónom a ľuďom riešiť sociálne, pracovné, hospodárske a environmentálne vplyvy transformácie</w:t>
            </w:r>
            <w:r>
              <w:t xml:space="preserve">; keďže doterajšia miera čerpania je nižšia ako 5 </w:t>
            </w:r>
            <w:r>
              <w:rPr>
                <w:b/>
                <w:i/>
              </w:rPr>
              <w:t>%, pričom miera predbežného financovania bola vyššia ako 31</w:t>
            </w:r>
            <w:r>
              <w: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keďže Fond EÚ na spravodlivú transformáciu (FST) mal byť kľúčovým nástrojom na zabezpečenie toho, aby sa nezabudlo na ľudí žijúcich v oblastiach dotknutých prechodom na klimatickú neutralitu; keďže doterajšia miera čerpania je nižšia ako 5 %;</w:t>
            </w:r>
          </w:p>
        </w:tc>
        <w:tc>
          <w:tcPr>
            <w:tcW w:w="4876" w:type="dxa"/>
            <w:tcBorders>
              <w:top w:val="nil"/>
              <w:left w:val="nil"/>
              <w:bottom w:val="nil"/>
              <w:right w:val="nil"/>
            </w:tcBorders>
          </w:tcPr>
          <w:p>
            <w:pPr>
              <w:pStyle w:val="Normal6a"/>
            </w:pPr>
            <w:r>
              <w:t>D.</w:t>
            </w:r>
            <w:r>
              <w:tab/>
            </w:r>
            <w:r>
              <w:t xml:space="preserve">keďže Fond EÚ na spravodlivú transformáciu (FST) mal byť kľúčovým nástrojom na zabezpečenie toho, aby sa nezabudlo na ľudí žijúcich v oblastiach dotknutých prechodom na klimatickú neutralitu; keďže doterajšia miera čerpania je nižšia ako 5 %; </w:t>
            </w:r>
            <w:r>
              <w:rPr>
                <w:b/>
                <w:i/>
              </w:rPr>
              <w:t>keďže zelená a digitálna transformácia si vyžaduje účinné záchranné siete a mechanizmy ochrany na podporu tých pracovníkov, ktorých pracovné miesta sú zasiahnuté;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keďže Fond EÚ na spravodlivú transformáciu (FST) </w:t>
            </w:r>
            <w:r>
              <w:rPr>
                <w:b/>
                <w:i/>
              </w:rPr>
              <w:t>mal</w:t>
            </w:r>
            <w:r>
              <w:t xml:space="preserve"> byť kľúčovým nástrojom na zabezpečenie toho, aby sa nezabudlo na ľudí žijúcich v oblastiach dotknutých prechodom na klimatickú neutralitu; </w:t>
            </w:r>
            <w:r>
              <w:rPr>
                <w:b/>
                <w:i/>
              </w:rPr>
              <w:t>keďže doterajšia miera čerpania je nižšia ako 5 %;</w:t>
            </w:r>
          </w:p>
        </w:tc>
        <w:tc>
          <w:tcPr>
            <w:tcW w:w="4876" w:type="dxa"/>
            <w:tcBorders>
              <w:top w:val="nil"/>
              <w:left w:val="nil"/>
              <w:bottom w:val="nil"/>
              <w:right w:val="nil"/>
            </w:tcBorders>
          </w:tcPr>
          <w:p>
            <w:pPr>
              <w:pStyle w:val="Normal6a"/>
            </w:pPr>
            <w:r>
              <w:t>D.</w:t>
            </w:r>
            <w:r>
              <w:tab/>
            </w:r>
            <w:r>
              <w:t xml:space="preserve">keďže Fond EÚ na spravodlivú transformáciu (FST) </w:t>
            </w:r>
            <w:r>
              <w:rPr>
                <w:b/>
                <w:i/>
              </w:rPr>
              <w:t>má</w:t>
            </w:r>
            <w:r>
              <w:t xml:space="preserve"> byť kľúčovým nástrojom na zabezpečenie toho, aby sa nezabudlo na ľudí žijúcich v oblastiach dotknutých prechodom na klimatickú neutralitu;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Jan Farský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keďže Fond EÚ na spravodlivú transformáciu (FST) </w:t>
            </w:r>
            <w:r>
              <w:rPr>
                <w:b/>
                <w:i/>
              </w:rPr>
              <w:t>mal byť</w:t>
            </w:r>
            <w:r>
              <w:t xml:space="preserve"> kľúčovým nástrojom na zabezpečenie toho, aby sa nezabudlo na ľudí žijúcich v oblastiach dotknutých prechodom na klimatickú neutralitu; keďže doterajšia miera čerpania je nižšia ako 5 %;</w:t>
            </w:r>
          </w:p>
        </w:tc>
        <w:tc>
          <w:tcPr>
            <w:tcW w:w="4876" w:type="dxa"/>
            <w:tcBorders>
              <w:top w:val="nil"/>
              <w:left w:val="nil"/>
              <w:bottom w:val="nil"/>
              <w:right w:val="nil"/>
            </w:tcBorders>
          </w:tcPr>
          <w:p>
            <w:pPr>
              <w:pStyle w:val="Normal6a"/>
            </w:pPr>
            <w:r>
              <w:t>D.</w:t>
            </w:r>
            <w:r>
              <w:tab/>
            </w:r>
            <w:r>
              <w:t xml:space="preserve">keďže Fond EÚ na spravodlivú transformáciu (FST) </w:t>
            </w:r>
            <w:r>
              <w:rPr>
                <w:b/>
                <w:i/>
              </w:rPr>
              <w:t>je a mal by byť naďalej</w:t>
            </w:r>
            <w:r>
              <w:t xml:space="preserve"> kľúčovým nástrojom na zabezpečenie toho, aby sa nezabudlo na ľudí žijúcich v oblastiach dotknutých prechodom na klimatickú neutralitu; keďže doterajšia miera čerpania je nižšia ako 5 %;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keďže pokiaľ sa v bývalých regiónoch s ťažbou rašeliny a uhlia neprijmú primerané opatrenia, hrozí, že sa stanú ekonomicky neaktívnymi;</w:t>
            </w:r>
          </w:p>
        </w:tc>
        <w:tc>
          <w:tcPr>
            <w:tcW w:w="4876" w:type="dxa"/>
            <w:tcBorders>
              <w:top w:val="nil"/>
              <w:left w:val="nil"/>
              <w:bottom w:val="nil"/>
              <w:right w:val="nil"/>
            </w:tcBorders>
          </w:tcPr>
          <w:p>
            <w:pPr>
              <w:pStyle w:val="Normal6a"/>
            </w:pPr>
            <w:r>
              <w:t>E.</w:t>
            </w:r>
            <w:r>
              <w:tab/>
            </w:r>
            <w:r>
              <w:t xml:space="preserve">keďže pokiaľ sa v bývalých regiónoch s ťažbou rašeliny a uhlia neprijmú primerané opatrenia, hrozí, že sa stanú ekonomicky neaktívnymi </w:t>
            </w:r>
            <w:r>
              <w:rPr>
                <w:b/>
                <w:i/>
              </w:rPr>
              <w:t>a dosiahnu stav ekonomickej stagnácie;</w:t>
            </w:r>
            <w:r>
              <w:t xml:space="preserve"> </w:t>
            </w:r>
            <w:r>
              <w:rPr>
                <w:b/>
                <w:i/>
              </w:rPr>
              <w:t>keďže v týchto oblastiach často dochádza k pretrvávajúcemu vyľudňovaniu, je tam obmedzený prístup k investíciám, nedostatočná infraštruktúra a prepojenosť, pričom dochádza k prehlbovaniu rozdielov v produktivite a pracovných príležitostiach v porovnaní s dynamickejšími regiónmi;</w:t>
            </w:r>
            <w:r>
              <w:t xml:space="preserve"> </w:t>
            </w:r>
            <w:r>
              <w:rPr>
                <w:b/>
                <w:i/>
              </w:rPr>
              <w:t>keďže bez komplexnej podpory a stratégií udržateľného rozvoja prispôsobených ich jedinečným geografickým a sociálno-ekonomickým výzvam hrozí takýmto regiónom dlhodobý úpadok, čo spôsobí ďalšie prehlbovanie územných rozdielov a oslabenie celkovej hospodárskej a sociálnej súdržnosti v celej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Rody Tolassy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keďže pokiaľ sa v bývalých regiónoch s ťažbou rašeliny a uhlia neprijmú primerané opatrenia, hrozí, že sa stanú ekonomicky neaktívnymi;</w:t>
            </w:r>
          </w:p>
        </w:tc>
        <w:tc>
          <w:tcPr>
            <w:tcW w:w="4876" w:type="dxa"/>
            <w:tcBorders>
              <w:top w:val="nil"/>
              <w:left w:val="nil"/>
              <w:bottom w:val="nil"/>
              <w:right w:val="nil"/>
            </w:tcBorders>
          </w:tcPr>
          <w:p>
            <w:pPr>
              <w:pStyle w:val="Normal6a"/>
            </w:pPr>
            <w:r>
              <w:t>E.</w:t>
            </w:r>
            <w:r>
              <w:tab/>
            </w:r>
            <w:r>
              <w:t xml:space="preserve">keďže pokiaľ sa v bývalých regiónoch s ťažbou rašeliny a uhlia neprijmú primerané opatrenia, hrozí, že sa stanú ekonomicky neaktívnymi; </w:t>
            </w:r>
            <w:r>
              <w:rPr>
                <w:b/>
                <w:i/>
              </w:rPr>
              <w:t>keďže najvzdialenejšie regióny, ktoré čelia vlastným výzva v oblasti dodávok energie, potrebujú prispôsobené opatrenia na zníženie ich závislosti od fosílnych palív, najmä od ropy, aby mohli splniť ciele Únie v oblasti klímy;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keďže </w:t>
            </w:r>
            <w:r>
              <w:rPr>
                <w:b/>
                <w:i/>
              </w:rPr>
              <w:t>pokiaľ sa v bývalých regiónoch s ťažbou</w:t>
            </w:r>
            <w:r>
              <w:t xml:space="preserve"> rašeliny </w:t>
            </w:r>
            <w:r>
              <w:rPr>
                <w:b/>
                <w:i/>
              </w:rPr>
              <w:t>a uhlia neprijmú primerané opatrenia, hrozí, že sa stanú ekonomicky neaktívnymi</w:t>
            </w:r>
            <w:r>
              <w:t>;</w:t>
            </w:r>
          </w:p>
        </w:tc>
        <w:tc>
          <w:tcPr>
            <w:tcW w:w="4876" w:type="dxa"/>
            <w:tcBorders>
              <w:top w:val="nil"/>
              <w:left w:val="nil"/>
              <w:bottom w:val="nil"/>
              <w:right w:val="nil"/>
            </w:tcBorders>
          </w:tcPr>
          <w:p>
            <w:pPr>
              <w:pStyle w:val="Normal6a"/>
            </w:pPr>
            <w:r>
              <w:t>E.</w:t>
            </w:r>
            <w:r>
              <w:tab/>
            </w:r>
            <w:r>
              <w:t xml:space="preserve">keďže </w:t>
            </w:r>
            <w:r>
              <w:rPr>
                <w:b/>
                <w:i/>
              </w:rPr>
              <w:t>ak sa neprijmú primerané opatrenia v regiónoch, ktoré boli v minulosti závislé od produkcie elektriny, ťažby</w:t>
            </w:r>
            <w:r>
              <w:t xml:space="preserve"> rašeliny</w:t>
            </w:r>
            <w:r>
              <w:rPr>
                <w:b/>
                <w:i/>
              </w:rPr>
              <w:t>, baníctva a rafinérií, hrozí im hospodársky úpadok, čím sa znižuje ich konkurencieschopnosť</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keďže pokiaľ sa v bývalých regiónoch s ťažbou rašeliny a uhlia neprijmú primerané opatrenia, hrozí, že sa stanú ekonomicky neaktívnymi;</w:t>
            </w:r>
          </w:p>
        </w:tc>
        <w:tc>
          <w:tcPr>
            <w:tcW w:w="4876" w:type="dxa"/>
            <w:tcBorders>
              <w:top w:val="nil"/>
              <w:left w:val="nil"/>
              <w:bottom w:val="nil"/>
              <w:right w:val="nil"/>
            </w:tcBorders>
          </w:tcPr>
          <w:p>
            <w:pPr>
              <w:pStyle w:val="Normal6a"/>
            </w:pPr>
            <w:r>
              <w:t>E.</w:t>
            </w:r>
            <w:r>
              <w:tab/>
            </w:r>
            <w:r>
              <w:t xml:space="preserve">keďže pokiaľ sa v bývalých regiónoch s ťažbou rašeliny a uhlia neprijmú primerané opatrenia, </w:t>
            </w:r>
            <w:r>
              <w:rPr>
                <w:b/>
                <w:i/>
              </w:rPr>
              <w:t>ako aj v bývalých metalurgických regiónoch a iných regiónoch s ťažkým priemyslom,</w:t>
            </w:r>
            <w:r>
              <w:t xml:space="preserve"> hrozí, že sa stanú ekonomicky neaktívnymi;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keďže pokiaľ sa v bývalých regiónoch s ťažbou rašeliny a uhlia neprijmú primerané opatrenia, hrozí, že sa stanú ekonomicky neaktívnymi;</w:t>
            </w:r>
          </w:p>
        </w:tc>
        <w:tc>
          <w:tcPr>
            <w:tcW w:w="4876" w:type="dxa"/>
            <w:tcBorders>
              <w:top w:val="nil"/>
              <w:left w:val="nil"/>
              <w:bottom w:val="nil"/>
              <w:right w:val="nil"/>
            </w:tcBorders>
          </w:tcPr>
          <w:p>
            <w:pPr>
              <w:pStyle w:val="Normal6a"/>
            </w:pPr>
            <w:r>
              <w:t>E.</w:t>
            </w:r>
            <w:r>
              <w:tab/>
            </w:r>
            <w:r>
              <w:t xml:space="preserve">keďže pokiaľ sa v bývalých regiónoch s ťažbou rašeliny a uhlia neprijmú primerané </w:t>
            </w:r>
            <w:r>
              <w:rPr>
                <w:b/>
                <w:i/>
              </w:rPr>
              <w:t>a finančné</w:t>
            </w:r>
            <w:r>
              <w:t xml:space="preserve"> opatrenia, hrozí, že sa stanú ekonomicky neaktívnymi;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keďže pokiaľ sa v bývalých regiónoch s ťažbou rašeliny a uhlia neprijmú primerané opatrenia, hrozí, že sa stanú ekonomicky neaktívnymi;</w:t>
            </w:r>
          </w:p>
        </w:tc>
        <w:tc>
          <w:tcPr>
            <w:tcW w:w="4876" w:type="dxa"/>
            <w:tcBorders>
              <w:top w:val="nil"/>
              <w:left w:val="nil"/>
              <w:bottom w:val="nil"/>
              <w:right w:val="nil"/>
            </w:tcBorders>
          </w:tcPr>
          <w:p>
            <w:pPr>
              <w:pStyle w:val="Normal6a"/>
            </w:pPr>
            <w:r>
              <w:t>E.</w:t>
            </w:r>
            <w:r>
              <w:tab/>
            </w:r>
            <w:r>
              <w:t xml:space="preserve">keďže pokiaľ sa v bývalých regiónoch s ťažbou rašeliny a uhlia neprijmú primerané opatrenia, hrozí, že sa stanú </w:t>
            </w:r>
            <w:r>
              <w:rPr>
                <w:b/>
                <w:i/>
              </w:rPr>
              <w:t>úplne</w:t>
            </w:r>
            <w:r>
              <w:t xml:space="preserve"> ekonomicky neaktívnymi;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Nevado del Campo, Borja Giménez Larraz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keďže FST sa obmedzuje na konkrétne územia a pri uplatňovaní zásady subsidiarity by vo fáze programovania finančných zdrojov po roku 2027 bolo vhodné uplatňovať prístup v teréne, ktorý zohľadňuje zvýšenú informovanosť miestnych a regionálnych orgánov v oblastiach, na ktoré sa program vzťahuje, a v prípade potreby ich nabáda, aby navrhovali stratégie zdola nahor, ktoré zohľadňujú úlohu najreprezentatívnejších subjektov na územiach, ktoré sú predmetom programovania;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keďže demografické zmeny vrátane vyľudňovania vidieka a starnutia obyvateľstva zintenzívňujú zraniteľnosť niektorých regiónov EÚ voči hospodárskej nečinnosti a mali by sa riešiť prostredníctvom špecializovaných mechanizmov v budúcom VFR;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keďže v celej Európe a zvlášť vo vidieckych a odľahlých oblastiach, pretrvávajú rozdiely v rýchlosti digitálnej transformácie a v pripojení;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proces podávania žiadostí o prostriedky z FST sa musí zjednodušiť a spružniť, aby sa </w:t>
            </w:r>
            <w:r>
              <w:rPr>
                <w:b/>
                <w:i/>
              </w:rPr>
              <w:t>maximalizovalo jeho využitie</w:t>
            </w:r>
            <w:r>
              <w:t>;</w:t>
            </w:r>
          </w:p>
        </w:tc>
        <w:tc>
          <w:tcPr>
            <w:tcW w:w="4876" w:type="dxa"/>
            <w:tcBorders>
              <w:top w:val="nil"/>
              <w:left w:val="nil"/>
              <w:bottom w:val="nil"/>
              <w:right w:val="nil"/>
            </w:tcBorders>
          </w:tcPr>
          <w:p>
            <w:pPr>
              <w:pStyle w:val="Normal6a"/>
            </w:pPr>
            <w:r>
              <w:t>F.</w:t>
            </w:r>
            <w:r>
              <w:tab/>
            </w:r>
            <w:r>
              <w:t xml:space="preserve">keďže proces podávania žiadostí o prostriedky z FST sa musí zjednodušiť a spružniť, aby sa </w:t>
            </w:r>
            <w:r>
              <w:rPr>
                <w:b/>
                <w:i/>
              </w:rPr>
              <w:t>zabezpečila širšia dostupnosť a umožnilo rýchlejšie a účinnejšie využívanie zdrojov;</w:t>
            </w:r>
            <w:r>
              <w:t xml:space="preserve"> </w:t>
            </w:r>
            <w:r>
              <w:rPr>
                <w:b/>
                <w:i/>
              </w:rPr>
              <w:t>keďže zjednodušenie postupov je nevyhnutné na maximalizáciu vplyvu FST, najmä v prípade menších regiónov a miestnych orgánov s obmedzenou administratívnou kapacitou, a na zabezpečenie toho, aby sa podpora včas dostala ku komunitám a pracovníkom najviac zasiahnutým zelenou transformáciou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keďže proces podávania žiadostí o prostriedky z FST sa musí zjednodušiť a spružniť, aby sa maximalizovalo jeho využitie;</w:t>
            </w:r>
          </w:p>
        </w:tc>
        <w:tc>
          <w:tcPr>
            <w:tcW w:w="4876" w:type="dxa"/>
            <w:tcBorders>
              <w:top w:val="nil"/>
              <w:left w:val="nil"/>
              <w:bottom w:val="nil"/>
              <w:right w:val="nil"/>
            </w:tcBorders>
          </w:tcPr>
          <w:p>
            <w:pPr>
              <w:pStyle w:val="Normal6a"/>
            </w:pPr>
            <w:r>
              <w:t>F.</w:t>
            </w:r>
            <w:r>
              <w:tab/>
            </w:r>
            <w:r>
              <w:t>keďže proces podávania žiadostí o prostriedky z FST sa musí zjednodušiť</w:t>
            </w:r>
            <w:r>
              <w:rPr>
                <w:b/>
                <w:i/>
              </w:rPr>
              <w:t>, zefektívniť</w:t>
            </w:r>
            <w:r>
              <w:t xml:space="preserve"> a spružniť, aby sa maximalizovalo jeho využitie;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keďže environmentálna integrita FST sa musí posilniť uplatňovaním prísnejších environmentálnych podmienok vrátane systematického presadzovania zásady „výrazne nenarušiť“ a vykonávaním komplexných a transparentných environmentálnych usmernení a záruk;</w:t>
            </w:r>
            <w:r>
              <w:t xml:space="preserve"> </w:t>
            </w:r>
            <w:r>
              <w:rPr>
                <w:b/>
                <w:i/>
              </w:rPr>
              <w:t>keďže prísne uplatňovanie zásady „znečisťovateľ platí“ je nevyhnutné na zabezpečenie toho, aby náklady spojené s obnovou a ochranou prírody a zmenou účelu lokalít ovplyvnených činnosťami škodlivými pre životné prostredie v plnej miere znášali zodpovedné spoločnosti a subjekty, a to najmä tie, ktoré z týchto činností mali finančný prospech;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keďže niektoré členské štáty, ako napríklad Španielsko, už viac ako desať rokov postupne zatvárajú svoje odvetvia s vysokými emisiami uhlíka, čo viedlo k výraznému vyľudňovaniu v mnohých vidieckych oblastiach, ktoré v niektorých prípadoch presahuje 50 %, a to aj pred zavedením Fondu na spravodlivú transformáciu;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keďže územný a miestne orientovaný prístup je kľúčom k zabezpečeniu toho, aby nástroje financovania účinne reagovali na miestne potreby, najmä pri podpore priemyselnej transformácie a zvyšovaní konkurencieschopnosti ohrozených regiónov;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keďže doprava má zásadný význam pre dosiahnutie klimatickej neutrality do roku 2050;</w:t>
            </w:r>
            <w:r>
              <w:t xml:space="preserve"> </w:t>
            </w:r>
            <w:r>
              <w:rPr>
                <w:b/>
                <w:i/>
              </w:rPr>
              <w:t>keďže na urýchlenie prechodu na udržateľnú a inteligentnú mobilitu inkluzívnym a sociálne spravodlivým spôsobom a v súlade so zelenou dohodou sú potrebné väčšie investície;</w:t>
            </w:r>
            <w:r>
              <w:t xml:space="preserve"> </w:t>
            </w:r>
            <w:r>
              <w:rPr>
                <w:b/>
                <w:i/>
              </w:rPr>
              <w:t>keďže individuálna mobilita by mala zostať dostupná a cenovo prijateľná pre všetkých, najmä pre občanov vidieckych, odľahlých a ostrovných oblastí, ktorí nemajú žiadny alebo majú len obmedzený prístup ku kvalitnej verejnej doprave alebo iným riešeniam mobility.</w:t>
            </w:r>
            <w:r>
              <w:t xml:space="preserve"> </w:t>
            </w:r>
            <w:r>
              <w:rPr>
                <w:b/>
                <w:i/>
              </w:rPr>
              <w:t>keďže niektoré regióny, komunity a odvetvia, najmä bývalé rašelinové a ťažobné regióny, najvzdialenejšie regióny a ostrovy, čelia pri tejto transformácii jedinečným a značným výzvam v oblasti mobility;</w:t>
            </w:r>
            <w:r>
              <w:t xml:space="preserve"> </w:t>
            </w:r>
            <w:r>
              <w:rPr>
                <w:b/>
                <w:i/>
              </w:rPr>
              <w:t>keďže tieto oblasti majú často väčšie problémy v dôsledku ich geografickej izolácie, obmedzeného prístupu k modernej dopravnej infraštruktúre a nadmerného spoliehania sa na tradičné druhy dopravy s vysokými emisiami uhlíka, ktoré im bránia prijať udržateľnejšie alternatívy;</w:t>
            </w:r>
            <w:r>
              <w:t xml:space="preserve"> </w:t>
            </w:r>
            <w:r>
              <w:rPr>
                <w:b/>
                <w:i/>
              </w:rPr>
              <w:t>keďže politika súdržnosti by mala zohrávať kľúčovú úlohu pri riešení týchto rozdielov a podpore spravodlivej a účinnej transformácie mobility vo všetkých regiónoch;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keďže odolná, bezpečná a udržateľná infraštruktúra má zásadný význam pre riešenie výziev spojených so zmenou klímy, zabezpečenie dlhodobej environmentálnej a sociálnej udržateľnosti a podporu inkluzívneho hospodárskeho rastu;</w:t>
            </w:r>
            <w:r>
              <w:t xml:space="preserve"> </w:t>
            </w:r>
            <w:r>
              <w:rPr>
                <w:b/>
                <w:i/>
              </w:rPr>
              <w:t>keďže infraštruktúra vo všetkých odvetviach sa musí posilniť, aby odolala rastúcim vplyvom udalostí súvisiacich s klímou a zároveň prispievala k uhlíkovo neutrálnym cieľom;</w:t>
            </w:r>
            <w:r>
              <w:t xml:space="preserve"> </w:t>
            </w:r>
            <w:r>
              <w:rPr>
                <w:b/>
                <w:i/>
              </w:rPr>
              <w:t>keďže modernizácia a diverzifikácia systémov infraštruktúry môže zlepšiť prístupnosť, podporiť inovácie a podporiť prechod na ekologické hospodárstvo;</w:t>
            </w:r>
            <w:r>
              <w:t xml:space="preserve"> </w:t>
            </w:r>
            <w:r>
              <w:rPr>
                <w:b/>
                <w:i/>
              </w:rPr>
              <w:t>keďže nedostatky v infraštruktúre a nedostatočný prístup k moderným službám neprimerane ovplyvňuje najmä tie regióne, ktoré sú geograficky izolované alebo ekonomicky znevýhodnené;</w:t>
            </w:r>
            <w:r>
              <w:t xml:space="preserve"> </w:t>
            </w:r>
            <w:r>
              <w:rPr>
                <w:b/>
                <w:i/>
              </w:rPr>
              <w:t>keďže cielené investície do odolnej infraštruktúry vytvoria pracovné príležitosti, zlepšia sociálnu spravodlivosť a podporia silnejšie komunity tým, že zabezpečia, aby všetky oblasti využívali udržateľnú, spoľahlivú a dostupnú infraštruktúru, keďže politika súdržnosti by mala zohrávať strategickú úlohu pri prekonávaní nedostatkov v infraštruktúre, podpore územnej súdržnosti a zabezpečení toho, aby sa pri zelenej transformácii nezabudlo na žiadny región;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keďže cestovný ruch je kľúčovým odvetvím hospodárstva EÚ, priamo a nepriamo prispieva k viac ako 10 % HDP EÚ a zohráva kľúčovú úlohu pri zvyšovaní konkurencieschopnosti, sociálneho blahobytu a udržateľnej tvorby pracovných miest, najmä v regiónoch, ktoré sú vo veľkej miere závislé od cestovného ruchu;</w:t>
            </w:r>
            <w:r>
              <w:t xml:space="preserve"> </w:t>
            </w:r>
            <w:r>
              <w:rPr>
                <w:b/>
                <w:i/>
              </w:rPr>
              <w:t>keďže cestovný ruch môže významne prispieť k územnej súdržnosti, najmä vo vzdialených, vidieckych, pobrežných, najvzdialenejších a ostrovných regiónoch, a môže podporiť hospodársku diverzifikáciu a spravodlivú transformáciu v oblastiach, ktoré čelia štrukturálnym výzvam, úbytku obyvateľstva alebo závislosti od odvetví s vysokými emisiami uhlíka;</w:t>
            </w:r>
            <w:r>
              <w:t xml:space="preserve"> </w:t>
            </w:r>
            <w:r>
              <w:rPr>
                <w:b/>
                <w:i/>
              </w:rPr>
              <w:t>keďže odvetvie cestovného ruchu EÚ, ktoré tvorí prevažne 2,3 milióna MSP, zamestnáva približne 12,3 milióna ľudí a predstavuje významnú hospodársku činnosť so silnými multiplikačnými účinkami v rôznych odvetviach;</w:t>
            </w:r>
            <w:r>
              <w:t xml:space="preserve"> </w:t>
            </w:r>
            <w:r>
              <w:rPr>
                <w:b/>
                <w:i/>
              </w:rPr>
              <w:t>keďže politika súdržnosti by mala podporovať stratégie udržateľného cestovného ruchu ako súčasť spravodlivej transformácie, posilňovať odolnosť, inovácie, zelenú a digitálnu transformáciu v odvetví cestovného ruchu a zároveň podporovať inkluzívny rast a chrániť kultúrne a prírodné dedičstvo;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Zameranie sa na oblasti, v ktorých dochádza k strate pracovných miest</w:t>
            </w:r>
          </w:p>
        </w:tc>
        <w:tc>
          <w:tcPr>
            <w:tcW w:w="4876" w:type="dxa"/>
            <w:tcBorders>
              <w:top w:val="nil"/>
              <w:left w:val="nil"/>
              <w:bottom w:val="nil"/>
              <w:right w:val="nil"/>
            </w:tcBorders>
          </w:tcPr>
          <w:p>
            <w:pPr>
              <w:pStyle w:val="Normal6a"/>
            </w:pPr>
            <w:r>
              <w:t>Zameranie sa na oblasti, v ktorých dochádza k strate pracovných miest</w:t>
            </w:r>
            <w:r>
              <w:rPr>
                <w:b/>
                <w:i/>
              </w:rPr>
              <w:t>, revízia lehôt a elektrické siete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 Farský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zdôrazňuje význam zachovania FST vo viacročnom finančnom rámci na obdobie po roku 2027, s cieľom zabrániť strate pracovných miest a pomôcť regiónom, na ktoré sa FST vzťahuje, pri ich prechode na uhlíkovo neutrálne hospodárstvo;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vyzýva Komisiu, aby v rámci FST uľahčila zriadenie osobitných hospodárskych zón v </w:t>
            </w:r>
            <w:r>
              <w:rPr>
                <w:b/>
                <w:i/>
              </w:rPr>
              <w:t>oblastiach dotknutých zatváraním závodov, pričom prioritný prístup k financovaniu by sa najprv poskytoval lokalitám v okruhu 50 km od miest, kde došlo k strate pracovných miest, a ďalším lokalitám, v ktorých by dôsledky takýchto strát odôvodňovali prístup k FST</w:t>
            </w:r>
            <w:r>
              <w:t>;</w:t>
            </w:r>
          </w:p>
        </w:tc>
        <w:tc>
          <w:tcPr>
            <w:tcW w:w="4876" w:type="dxa"/>
            <w:tcBorders>
              <w:top w:val="nil"/>
              <w:left w:val="nil"/>
              <w:bottom w:val="nil"/>
              <w:right w:val="nil"/>
            </w:tcBorders>
          </w:tcPr>
          <w:p>
            <w:pPr>
              <w:pStyle w:val="Normal6a"/>
            </w:pPr>
            <w:r>
              <w:t>1.</w:t>
            </w:r>
            <w:r>
              <w:tab/>
            </w:r>
            <w:r>
              <w:t xml:space="preserve">vyzýva Komisiu, aby v rámci FST uľahčila zriadenie osobitných hospodárskych zón v </w:t>
            </w:r>
            <w:r>
              <w:rPr>
                <w:b/>
                <w:i/>
              </w:rPr>
              <w:t>partnerstve s členskými štátmi a regiónmi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vyzýva Komisiu, aby v rámci FST uľahčila zriadenie osobitných hospodárskych zón v oblastiach dotknutých zatváraním závodov, pričom </w:t>
            </w:r>
            <w:r>
              <w:rPr>
                <w:b/>
                <w:i/>
              </w:rPr>
              <w:t>prioritný prístup k financovaniu by sa najprv poskytoval lokalitám v okruhu 50 km od miest, kde došlo k strate pracovných miest, a ďalším lokalitám, v ktorých by dôsledky takýchto strát odôvodňovali prístup k FST</w:t>
            </w:r>
            <w:r>
              <w:t>;</w:t>
            </w:r>
          </w:p>
        </w:tc>
        <w:tc>
          <w:tcPr>
            <w:tcW w:w="4876" w:type="dxa"/>
            <w:tcBorders>
              <w:top w:val="nil"/>
              <w:left w:val="nil"/>
              <w:bottom w:val="nil"/>
              <w:right w:val="nil"/>
            </w:tcBorders>
          </w:tcPr>
          <w:p>
            <w:pPr>
              <w:pStyle w:val="Normal6a"/>
            </w:pPr>
            <w:r>
              <w:t>1.</w:t>
            </w:r>
            <w:r>
              <w:tab/>
            </w:r>
            <w:r>
              <w:t xml:space="preserve">vyzýva Komisiu, aby v rámci FST uľahčila zriadenie osobitných hospodárskych zón v oblastiach dotknutých zatváraním závodov, pričom </w:t>
            </w:r>
            <w:r>
              <w:rPr>
                <w:b/>
                <w:i/>
              </w:rPr>
              <w:t>zohľadní nielen geografické kritériá, ale aj sociálne kritériá, ako sú miestne miery nezamestnanosti, sociálno-ekonomická neistota a zvýšené riziká sociálneho vylúčenia;</w:t>
            </w:r>
            <w:r>
              <w:t xml:space="preserve"> </w:t>
            </w:r>
            <w:r>
              <w:rPr>
                <w:b/>
                <w:i/>
              </w:rPr>
              <w:t>zdôrazňuje, že prístup k financovaniu by mal byť založený na dôkladnej analýze skutočných sociálnych a hospodárskych vplyvov, a nie len na logike geografickej blízkosti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vyzýva Komisiu, aby v rámci FST uľahčila zriadenie osobitných hospodárskych </w:t>
            </w:r>
            <w:r>
              <w:rPr>
                <w:b/>
                <w:i/>
              </w:rPr>
              <w:t>zón</w:t>
            </w:r>
            <w:r>
              <w:t xml:space="preserve"> v oblastiach dotknutých zatváraním závodov, pričom prioritný prístup k financovaniu by sa najprv poskytoval lokalitám v okruhu 50 km od </w:t>
            </w:r>
            <w:r>
              <w:rPr>
                <w:b/>
                <w:i/>
              </w:rPr>
              <w:t>miest, kde</w:t>
            </w:r>
            <w:r>
              <w:t xml:space="preserve"> došlo k strate pracovných miest, </w:t>
            </w:r>
            <w:r>
              <w:rPr>
                <w:b/>
                <w:i/>
              </w:rPr>
              <w:t>a ďalším lokalitám, v ktorých by dôsledky takýchto</w:t>
            </w:r>
            <w:r>
              <w:t xml:space="preserve"> strát </w:t>
            </w:r>
            <w:r>
              <w:rPr>
                <w:b/>
                <w:i/>
              </w:rPr>
              <w:t>odôvodňovali</w:t>
            </w:r>
            <w:r>
              <w:t xml:space="preserve"> prístup k FST;</w:t>
            </w:r>
          </w:p>
        </w:tc>
        <w:tc>
          <w:tcPr>
            <w:tcW w:w="4876" w:type="dxa"/>
            <w:tcBorders>
              <w:top w:val="nil"/>
              <w:left w:val="nil"/>
              <w:bottom w:val="nil"/>
              <w:right w:val="nil"/>
            </w:tcBorders>
          </w:tcPr>
          <w:p>
            <w:pPr>
              <w:pStyle w:val="Normal6a"/>
            </w:pPr>
            <w:r>
              <w:t>1.</w:t>
            </w:r>
            <w:r>
              <w:tab/>
            </w:r>
            <w:r>
              <w:t xml:space="preserve">vyzýva Komisiu, aby </w:t>
            </w:r>
            <w:r>
              <w:rPr>
                <w:b/>
                <w:i/>
              </w:rPr>
              <w:t>na návrh členského štátu</w:t>
            </w:r>
            <w:r>
              <w:t xml:space="preserve"> v rámci FST uľahčila zriadenie osobitných hospodárskych v oblastiach dotknutých zatváraním závodov, pričom prioritný prístup k financovaniu by sa najprv poskytoval </w:t>
            </w:r>
            <w:r>
              <w:rPr>
                <w:b/>
                <w:i/>
              </w:rPr>
              <w:t>priamo zasiahnutým</w:t>
            </w:r>
            <w:r>
              <w:t xml:space="preserve"> lokalitám v okruhu 50 km od </w:t>
            </w:r>
            <w:r>
              <w:rPr>
                <w:b/>
                <w:i/>
              </w:rPr>
              <w:t>oblasti, v ktorej</w:t>
            </w:r>
            <w:r>
              <w:t xml:space="preserve"> došlo k strate pracovných miest, </w:t>
            </w:r>
            <w:r>
              <w:rPr>
                <w:b/>
                <w:i/>
              </w:rPr>
              <w:t>ako aj iným oblastiam, za predpokladu, že je riadne odôvodnené, že priamy alebo nepriamy vplyv týchto</w:t>
            </w:r>
            <w:r>
              <w:t xml:space="preserve"> strát </w:t>
            </w:r>
            <w:r>
              <w:rPr>
                <w:b/>
                <w:i/>
              </w:rPr>
              <w:t>si vyžaduje</w:t>
            </w:r>
            <w:r>
              <w:t xml:space="preserve"> prístup k FST;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vyzýva Komisiu, aby v rámci FST uľahčila zriadenie osobitných hospodárskych zón v oblastiach dotknutých zatváraním závodov, pričom prioritný prístup k financovaniu by sa najprv poskytoval lokalitám v okruhu 50 km od miest, kde došlo k strate pracovných miest, a ďalším lokalitám, v ktorých by dôsledky takýchto strát odôvodňovali prístup k FST;</w:t>
            </w:r>
          </w:p>
        </w:tc>
        <w:tc>
          <w:tcPr>
            <w:tcW w:w="4876" w:type="dxa"/>
            <w:tcBorders>
              <w:top w:val="nil"/>
              <w:left w:val="nil"/>
              <w:bottom w:val="nil"/>
              <w:right w:val="nil"/>
            </w:tcBorders>
          </w:tcPr>
          <w:p>
            <w:pPr>
              <w:pStyle w:val="Normal6a"/>
            </w:pPr>
            <w:r>
              <w:t>1.</w:t>
            </w:r>
            <w:r>
              <w:tab/>
            </w:r>
            <w:r>
              <w:t>vyzýva Komisiu, aby v rámci FST uľahčila zriadenie osobitných hospodárskych zón v oblastiach dotknutých zatváraním závodov, pričom prioritný prístup k financovaniu by sa najprv poskytoval lokalitám v okruhu 50 km od miest, kde došlo k strate pracovných miest, a ďalším lokalitám, v ktorých by dôsledky takýchto strát odôvodňovali prístup k FST</w:t>
            </w:r>
            <w:r>
              <w:rPr>
                <w:b/>
                <w:i/>
              </w:rPr>
              <w:t>, pričom sa zabezpečí, aby hospodárska obnova bola udržateľná a vedená komunitou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vyzýva Komisiu, aby v rámci FST uľahčila zriadenie osobitných hospodárskych zón v oblastiach dotknutých zatváraním závodov, pričom prioritný prístup k financovaniu by sa najprv poskytoval lokalitám v okruhu 50 km od miest, kde došlo k strate pracovných miest, a ďalším lokalitám, v ktorých by dôsledky takýchto strát odôvodňovali prístup k FST;</w:t>
            </w:r>
          </w:p>
        </w:tc>
        <w:tc>
          <w:tcPr>
            <w:tcW w:w="4876" w:type="dxa"/>
            <w:tcBorders>
              <w:top w:val="nil"/>
              <w:left w:val="nil"/>
              <w:bottom w:val="nil"/>
              <w:right w:val="nil"/>
            </w:tcBorders>
          </w:tcPr>
          <w:p>
            <w:pPr>
              <w:pStyle w:val="Normal6a"/>
            </w:pPr>
            <w:r>
              <w:t>1.</w:t>
            </w:r>
            <w:r>
              <w:tab/>
            </w:r>
            <w:r>
              <w:t>vyzýva Komisiu, aby v rámci FST uľahčila zriadenie osobitných hospodárskych zón v oblastiach dotknutých zatváraním závodov, pričom prioritný prístup k financovaniu by sa najprv poskytoval lokalitám v okruhu 50 km od miest, kde došlo k strate pracovných miest, a ďalším lokalitám, v ktorých by dôsledky takýchto strát odôvodňovali prístup k FST</w:t>
            </w:r>
            <w:r>
              <w:rPr>
                <w:b/>
                <w:i/>
              </w:rPr>
              <w:t>, pričom sa zohľadnia príspevky miestnych orgánov</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vyzýva Komisiu, aby v rámci FST uľahčila zriadenie osobitných hospodárskych zón v oblastiach dotknutých zatváraním závodov, pričom prioritný prístup k financovaniu by sa najprv poskytoval lokalitám v okruhu </w:t>
            </w:r>
            <w:r>
              <w:rPr>
                <w:b/>
                <w:i/>
              </w:rPr>
              <w:t>50</w:t>
            </w:r>
            <w:r>
              <w:t xml:space="preserve"> km od miest, kde došlo k strate pracovných miest, a ďalším lokalitám, v ktorých by dôsledky takýchto strát odôvodňovali prístup k FST;</w:t>
            </w:r>
          </w:p>
        </w:tc>
        <w:tc>
          <w:tcPr>
            <w:tcW w:w="4876" w:type="dxa"/>
            <w:tcBorders>
              <w:top w:val="nil"/>
              <w:left w:val="nil"/>
              <w:bottom w:val="nil"/>
              <w:right w:val="nil"/>
            </w:tcBorders>
          </w:tcPr>
          <w:p>
            <w:pPr>
              <w:pStyle w:val="Normal6a"/>
            </w:pPr>
            <w:r>
              <w:t>1.</w:t>
            </w:r>
            <w:r>
              <w:tab/>
            </w:r>
            <w:r>
              <w:t xml:space="preserve">vyzýva Komisiu, aby v rámci FST uľahčila zriadenie osobitných hospodárskych zón v oblastiach dotknutých zatváraním závodov, pričom prioritný prístup k financovaniu by sa najprv poskytoval lokalitám v okruhu </w:t>
            </w:r>
            <w:r>
              <w:rPr>
                <w:b/>
                <w:i/>
              </w:rPr>
              <w:t>80</w:t>
            </w:r>
            <w:r>
              <w:t> km od miest, kde došlo k strate pracovných miest, a ďalším lokalitám, v ktorých by dôsledky takýchto strát odôvodňovali prístup k FST;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zdôrazňuje, že územná pôsobnosť fondov, ako sú miestne administratívne jednotky uvedené v nariadení (ES) č. 1059/2003, ktoré majú nízku hustotu obyvateľstva, sa musí ďalej vymedziť v súlade s kritériami stanovenými v usmerneniach o regionálnej štátnej pomoci (2021/C 153/01), aby sa zabezpečilo, že investície sa skutočne dostanú k obciam, ktoré sú priamo postihnuté vyradením zariadení s vysokými emisiami uhlíka z prevádzky, a nebudú zamerané výlučne na veľké mestské centrá na úrovni NUTS 3;</w:t>
            </w:r>
            <w:r>
              <w:t xml:space="preserve"> </w:t>
            </w:r>
            <w:r>
              <w:rPr>
                <w:b/>
                <w:i/>
              </w:rPr>
              <w:t>navrhuje zavedenie účinných daňových stimulov pre spoločnosti usadzujúce sa v obciach v zmysle článku 107 ods. 3 písm. a) a c) ZFEÚ;</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Matthias Ecke, Nora Mebarek,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zdôrazňuje, že európske štrukturálne a investičné fondy sa musia premeniť na skutočný nástroj transformácie, ktorý zabezpečí sociálne spravodlivú transformáciu;</w:t>
            </w:r>
            <w:r>
              <w:t xml:space="preserve"> </w:t>
            </w:r>
            <w:r>
              <w:rPr>
                <w:b/>
                <w:i/>
              </w:rPr>
              <w:t>žiada, aby sa Fond na spravodlivú transformáciu (FST) zachoval v budúcej štruktúre financovania a aby sa rozšíril na regióny, ktoré sú obzvlášť zasiahnuté prechodom na klimaticky neutrálne hospodárstvo z dôvodu odvetvového charakteru ich hospodárstva;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považuje za potrebné, aby sa prijali opatrenia na urýchlenie miery čerpania finančných prostriedkov z FST, a to aj zjednodušením administratívnych postupov a vytvorením podporných a poradenských mechanizmov pre miestne orgány, aby sa zaistilo maximálne čerpanie týchto základných fondov;</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Možné vytvorenie osobitných hospodárskych zón v rámci FST by malo byť založené na objektívnych kritériách, pričom by sa mali zohľadniť hospodárske, sociálne a pracovné vplyvy týchto oblastí vyplývajúce z procesu transformácie;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zdôrazňuje, že súčasná a budúca politika súdržnosti by sa mala výrazne zamerať na slabšie regióny a že jednou z jej priorít by malo byť zmiernenie negatívnych účinkov zelenej transformácie;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zdôrazňuje, že hoci je využívanie úrovne NUTS 3 krokom správnym smerom, pokiaľ ide o územné zameranie, v mnohých prípadoch stále nepostačuje na zabezpečenie toho, aby sa zdroje dostali k obciam, ktoré sú najviac postihnuté energetickou transformáciou;</w:t>
            </w:r>
            <w:r>
              <w:t xml:space="preserve"> </w:t>
            </w:r>
            <w:r>
              <w:rPr>
                <w:b/>
                <w:i/>
              </w:rPr>
              <w:t>žiada, aby sa preskúmala životaschopnosť mechanizmov vykonávania alebo prioritizácie na úrovni miestnych administratívnych jednotiek, najmä vo vidieckych alebo vyľudnených oblastiach, kde boli znečisťujúce zariadenia skutočne zatvorené;</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zdôrazňuje, že politika súdržnosti je správnou reakciou na hospodárske rozdiely a že táto úloha je v súčasnosti obzvlášť dôležitá vzhľadom na hrozbu deindustrializácie;</w:t>
            </w:r>
            <w:r>
              <w:t xml:space="preserve"> </w:t>
            </w:r>
            <w:r>
              <w:rPr>
                <w:b/>
                <w:i/>
              </w:rPr>
              <w:t>silne zdôrazňuje, že zelená transformácia by nemala narúšať súdržnosť;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požaduje, aby sa v týchto zónach zaviedli osobitné predpisy vrátane nižších daňových sadzieb pre podniky a investície a aby sa v súvislosti s plánovaním pohotovo prijímali rozhodnutia;</w:t>
            </w:r>
            <w:r>
              <w:t xml:space="preserve"> </w:t>
            </w:r>
            <w:r>
              <w:rPr>
                <w:b/>
                <w:i/>
              </w:rPr>
              <w:t>opätovne potvrdzuje, že takéto opatrenia môžu viesť k tvorbe pracovných miest a poskytovať príležitosti ľuďom žijúcim v týchto regiónoch;</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požaduje, aby sa v týchto zónach zaviedli osobitné predpisy vrátane nižších daňových sadzieb pre podniky a investície a aby sa v súvislosti s plánovaním pohotovo prijímali rozhodnutia; opätovne potvrdzuje, že takéto opatrenia môžu viesť k tvorbe pracovných miest a poskytovať príležitosti ľuďom žijúcim v týchto regiónoch;</w:t>
            </w:r>
          </w:p>
        </w:tc>
        <w:tc>
          <w:tcPr>
            <w:tcW w:w="4876" w:type="dxa"/>
            <w:tcBorders>
              <w:top w:val="nil"/>
              <w:left w:val="nil"/>
              <w:bottom w:val="nil"/>
              <w:right w:val="nil"/>
            </w:tcBorders>
          </w:tcPr>
          <w:p>
            <w:pPr>
              <w:pStyle w:val="Normal6a"/>
            </w:pPr>
            <w:r>
              <w:t>2.</w:t>
            </w:r>
            <w:r>
              <w:tab/>
            </w:r>
            <w:r>
              <w:t>požaduje, aby sa v týchto zónach zaviedli osobitné predpisy</w:t>
            </w:r>
            <w:r>
              <w:rPr>
                <w:b/>
                <w:i/>
              </w:rPr>
              <w:t>, finančné nástroje a stimuly</w:t>
            </w:r>
            <w:r>
              <w:t xml:space="preserve"> vrátane </w:t>
            </w:r>
            <w:r>
              <w:rPr>
                <w:b/>
                <w:i/>
              </w:rPr>
              <w:t>dočasných a cielených</w:t>
            </w:r>
            <w:r>
              <w:t xml:space="preserve"> nižších daňových sadzieb pre podniky a investície a aby sa v súvislosti s plánovaním pohotovo prijímali rozhodnutia </w:t>
            </w:r>
            <w:r>
              <w:rPr>
                <w:b/>
                <w:i/>
              </w:rPr>
              <w:t>na základe silnej sociálnej podmienenosti</w:t>
            </w:r>
            <w:r>
              <w:t>; opätovne potvrdzuje, že takéto opatrenia môžu viesť k tvorbe pracovných miest</w:t>
            </w:r>
            <w:r>
              <w:rPr>
                <w:b/>
                <w:i/>
              </w:rPr>
              <w:t>, podporovať MSP</w:t>
            </w:r>
            <w:r>
              <w:t xml:space="preserve"> a poskytovať príležitosti ľuďom žijúcim v týchto regiónoch</w:t>
            </w:r>
            <w:r>
              <w:rPr>
                <w:b/>
                <w:i/>
              </w:rPr>
              <w:t>, vrátane mikropodnikov a tradičných miestnych a rodinných podnikov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požaduje, aby sa v týchto zónach zaviedli osobitné predpisy vrátane nižších daňových sadzieb pre podniky a investície a aby sa v súvislosti s plánovaním pohotovo prijímali rozhodnutia; opätovne potvrdzuje, že takéto opatrenia môžu viesť k tvorbe pracovných miest a poskytovať príležitosti ľuďom žijúcim v týchto regiónoch;</w:t>
            </w:r>
          </w:p>
        </w:tc>
        <w:tc>
          <w:tcPr>
            <w:tcW w:w="4876" w:type="dxa"/>
            <w:tcBorders>
              <w:top w:val="nil"/>
              <w:left w:val="nil"/>
              <w:bottom w:val="nil"/>
              <w:right w:val="nil"/>
            </w:tcBorders>
          </w:tcPr>
          <w:p>
            <w:pPr>
              <w:pStyle w:val="Normal6a"/>
            </w:pPr>
            <w:r>
              <w:t>2.</w:t>
            </w:r>
            <w:r>
              <w:tab/>
            </w:r>
            <w:r>
              <w:t xml:space="preserve">požaduje, aby sa v týchto zónach zaviedli osobitné predpisy vrátane nižších daňových sadzieb </w:t>
            </w:r>
            <w:r>
              <w:rPr>
                <w:b/>
                <w:i/>
              </w:rPr>
              <w:t>za predpokladu, že neohrozia zásadu stability na jednotnom trhu,</w:t>
            </w:r>
            <w:r>
              <w:t xml:space="preserve"> pre podniky a investície</w:t>
            </w:r>
            <w:r>
              <w:rPr>
                <w:b/>
                <w:i/>
              </w:rPr>
              <w:t>,</w:t>
            </w:r>
            <w:r>
              <w:t> a aby sa v súvislosti s plánovaním pohotovo prijímali rozhodnutia; opätovne potvrdzuje, že takéto opatrenia môžu viesť k tvorbe pracovných miest a poskytovať príležitosti ľuďom žijúcim v týchto regiónoch</w:t>
            </w:r>
            <w:r>
              <w:rPr>
                <w:b/>
                <w:i/>
              </w:rPr>
              <w:t>, čím sa posilní regionálny rozvoj a konkurencieschopnosť</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požaduje, aby sa v týchto zónach zaviedli osobitné predpisy vrátane nižších daňových sadzieb pre podniky a investície a aby sa v súvislosti s plánovaním pohotovo prijímali rozhodnutia; opätovne potvrdzuje, že takéto opatrenia môžu viesť k tvorbe pracovných miest a poskytovať príležitosti ľuďom žijúcim v týchto regiónoch;</w:t>
            </w:r>
          </w:p>
        </w:tc>
        <w:tc>
          <w:tcPr>
            <w:tcW w:w="4876" w:type="dxa"/>
            <w:tcBorders>
              <w:top w:val="nil"/>
              <w:left w:val="nil"/>
              <w:bottom w:val="nil"/>
              <w:right w:val="nil"/>
            </w:tcBorders>
          </w:tcPr>
          <w:p>
            <w:pPr>
              <w:pStyle w:val="Normal6a"/>
            </w:pPr>
            <w:r>
              <w:t>2.</w:t>
            </w:r>
            <w:r>
              <w:tab/>
            </w:r>
            <w:r>
              <w:t xml:space="preserve">požaduje, aby sa v týchto zónach zaviedli osobitné predpisy vrátane </w:t>
            </w:r>
            <w:r>
              <w:rPr>
                <w:b/>
                <w:i/>
              </w:rPr>
              <w:t>dočasných a cielených</w:t>
            </w:r>
            <w:r>
              <w:t xml:space="preserve"> nižších daňových sadzieb pre podniky a investície a aby sa v súvislosti s plánovaním pohotovo prijímali rozhodnutia </w:t>
            </w:r>
            <w:r>
              <w:rPr>
                <w:b/>
                <w:i/>
              </w:rPr>
              <w:t>na základe silnej sociálnej podmienenosti</w:t>
            </w:r>
            <w:r>
              <w:t xml:space="preserve">; opätovne potvrdzuje, že takéto opatrenia môžu viesť k tvorbe </w:t>
            </w:r>
            <w:r>
              <w:rPr>
                <w:b/>
                <w:i/>
              </w:rPr>
              <w:t>nových zelených</w:t>
            </w:r>
            <w:r>
              <w:t xml:space="preserve"> pracovných miest a poskytovať príležitosti ľuďom žijúcim v týchto regiónoch;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požaduje, aby sa v týchto zónach zaviedli osobitné predpisy </w:t>
            </w:r>
            <w:r>
              <w:rPr>
                <w:b/>
                <w:i/>
              </w:rPr>
              <w:t>vrátane nižších daňových sadzieb</w:t>
            </w:r>
            <w:r>
              <w:t xml:space="preserve"> pre podniky a investície a aby sa v súvislosti s plánovaním pohotovo prijímali rozhodnutia; opätovne potvrdzuje, že takéto opatrenia </w:t>
            </w:r>
            <w:r>
              <w:rPr>
                <w:b/>
                <w:i/>
              </w:rPr>
              <w:t>môžu</w:t>
            </w:r>
            <w:r>
              <w:t xml:space="preserve"> viesť k tvorbe pracovných miest a poskytovať príležitosti ľuďom žijúcim v týchto regiónoch;</w:t>
            </w:r>
          </w:p>
        </w:tc>
        <w:tc>
          <w:tcPr>
            <w:tcW w:w="4876" w:type="dxa"/>
            <w:tcBorders>
              <w:top w:val="nil"/>
              <w:left w:val="nil"/>
              <w:bottom w:val="nil"/>
              <w:right w:val="nil"/>
            </w:tcBorders>
          </w:tcPr>
          <w:p>
            <w:pPr>
              <w:pStyle w:val="Normal6a"/>
            </w:pPr>
            <w:r>
              <w:t>2.</w:t>
            </w:r>
            <w:r>
              <w:tab/>
            </w:r>
            <w:r>
              <w:t xml:space="preserve">požaduje, aby sa v týchto zónach zaviedli osobitné </w:t>
            </w:r>
            <w:r>
              <w:rPr>
                <w:b/>
                <w:i/>
              </w:rPr>
              <w:t>opatrenia a</w:t>
            </w:r>
            <w:r>
              <w:t xml:space="preserve"> predpisy</w:t>
            </w:r>
            <w:r>
              <w:rPr>
                <w:b/>
                <w:i/>
              </w:rPr>
              <w:t>, ako sú napríklad stimuly</w:t>
            </w:r>
            <w:r>
              <w:t xml:space="preserve"> pre podniky a investície</w:t>
            </w:r>
            <w:r>
              <w:rPr>
                <w:b/>
                <w:i/>
              </w:rPr>
              <w:t>,</w:t>
            </w:r>
            <w:r>
              <w:t xml:space="preserve"> a aby sa v súvislosti s plánovaním pohotovo prijímali rozhodnutia; opätovne potvrdzuje, že takéto opatrenia </w:t>
            </w:r>
            <w:r>
              <w:rPr>
                <w:b/>
                <w:i/>
              </w:rPr>
              <w:t>by mohli</w:t>
            </w:r>
            <w:r>
              <w:t xml:space="preserve"> viesť k tvorbe pracovných miest a poskytovať príležitosti </w:t>
            </w:r>
            <w:r>
              <w:rPr>
                <w:b/>
                <w:i/>
              </w:rPr>
              <w:t>hospodárskych subjektom a</w:t>
            </w:r>
            <w:r>
              <w:t xml:space="preserve"> ľuďom žijúcim v týchto regiónoch;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požaduje zahrnutie ostrovných regiónov ako oblastí oprávnených na uplatňovanie nižších daňových sadzieb v rámci ostrovných hospodárskych zón, na ktoré sa vzťahuje FST, s cieľom riešiť neprimerane vysoké životné náklady na týchto územiach, ktoré ešte viac zhoršujú vplyvy zelenej a energetickej transformácie;</w:t>
            </w:r>
            <w:r>
              <w:t xml:space="preserve"> </w:t>
            </w:r>
            <w:r>
              <w:rPr>
                <w:b/>
                <w:i/>
              </w:rPr>
              <w:t>zdôrazňuje, že takéto fiškálne opatrenia sú nevyhnutné na posilnenie hospodárskej životaschopnosti ostrovných komunít, podporu miestnych podnikov a prilákanie udržateľných investícií;</w:t>
            </w:r>
            <w:r>
              <w:t xml:space="preserve"> </w:t>
            </w:r>
            <w:r>
              <w:rPr>
                <w:b/>
                <w:i/>
              </w:rPr>
              <w:t>zdôrazňuje, že cielené daňové stimuly môžu byť účinným nástrojom na boj proti pretrvávajúcemu trendu vyľudňovania ostrovov, podporu tvorby pracovných miest a posilnenie odolných a sebestačných miestnych hospodárstiev pri súčasnom zabezpečení spravodlivého a inkluzívneho prechodu na klimatickú neutralitu;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naliehavo vyzýva Komisiu a členské štáty, aby vo výberových kritériách pre projekty oprávnené na financovanie z FST uplatňovali skutočnú a účinnú pozitívnu diskrimináciu, aby sa zvýšil počet podnikateľských iniciatív priamo v obciach postihnutých zatvorením priemyselných podnikov s vysokými emisiami uhlíka, čím sa zabezpečí, aby sa tento stimul premietol do hmatateľných výsledkov;</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žiada, aby sa venovala osobitná pozornosť potrebe podporovať pripojenia do elektrizačnej sústavy v prípade projektov realizovaných v osobitných hospodárskych oblastiach, ktoré prispievajú k reštrukturalizácii a reindustrializácii týchto oblastí;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zdôrazňuje, že </w:t>
            </w:r>
            <w:r>
              <w:rPr>
                <w:b/>
                <w:i/>
              </w:rPr>
              <w:t>sa ukázalo, že</w:t>
            </w:r>
            <w:r>
              <w:t xml:space="preserve"> osobitné hospodárske zóny </w:t>
            </w:r>
            <w:r>
              <w:rPr>
                <w:b/>
                <w:i/>
              </w:rPr>
              <w:t>stimulujú</w:t>
            </w:r>
            <w:r>
              <w:t xml:space="preserve"> investície a rast v regiónoch, tak ako to bolo v prípade osobitnej hospodárskej zóny zriadenej v roku 1959 na letisku Shannon v grófstve Clare (Írsko) a v roku 1996 v Katoviciach v regióne Sliezsko (Poľsko);</w:t>
            </w:r>
          </w:p>
        </w:tc>
        <w:tc>
          <w:tcPr>
            <w:tcW w:w="4876" w:type="dxa"/>
            <w:tcBorders>
              <w:top w:val="nil"/>
              <w:left w:val="nil"/>
              <w:bottom w:val="nil"/>
              <w:right w:val="nil"/>
            </w:tcBorders>
          </w:tcPr>
          <w:p>
            <w:pPr>
              <w:pStyle w:val="Normal6a"/>
            </w:pPr>
            <w:r>
              <w:t>3.</w:t>
            </w:r>
            <w:r>
              <w:tab/>
            </w:r>
            <w:r>
              <w:t xml:space="preserve">zdôrazňuje, že osobitné hospodárske zóny </w:t>
            </w:r>
            <w:r>
              <w:rPr>
                <w:b/>
                <w:i/>
              </w:rPr>
              <w:t>môžu stimulovať</w:t>
            </w:r>
            <w:r>
              <w:t xml:space="preserve"> investície a rast v regiónoch, tak ako to bolo v prípade osobitnej hospodárskej zóny zriadenej v roku 1959 na letisku Shannon v grófstve Clare (Írsko) a v roku 1996 v Katoviciach v regióne Sliezsko (Poľsko); </w:t>
            </w:r>
            <w:r>
              <w:rPr>
                <w:b/>
                <w:i/>
              </w:rPr>
              <w:t>trvá však na tom, že tieto mechanizmy sa musia riadiť prísnymi európskymi pravidlami, aby sa zabezpečilo, že hospodárske výhody sa skutočne dostanú k miestnemu obyvateľstvu, zabránia akejkoľvek forme sociálneho alebo daňového dumpingu a budú podliehať prísnym kritériám sociálnej, hospodárskej a environmentálnej udržateľnosti;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žiada, aby sa zvážili výhody predĺženia lehôt na vykonávanie po skončení programového obdobia s cieľom umožniť týmto regiónom dosiahnuť stanovené ciele transformácie;</w:t>
            </w:r>
            <w:r>
              <w:t xml:space="preserve"> </w:t>
            </w:r>
            <w:r>
              <w:rPr>
                <w:b/>
                <w:i/>
              </w:rPr>
              <w:t>zdôrazňuje, že transformácia regiónov oprávnených na podporu z FST ešte nie je dokončená a bude si naďalej vyžadovať osobitnú pomoc pri riešení rôznych výziev spojených s energetickou transformáciou v budúcnosti;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zdôrazňuje, že demografický pokles v niektorých oblastiach si vyžaduje osobitnú pozornosť pri navrhovaní a vykonávaní projektov, ktoré zohľadňujú synergie medzi FST a FEDER, najmä v súvislosti s infraštruktúrou na podporu mobility pracovníkov;</w:t>
            </w:r>
            <w:r>
              <w:t xml:space="preserve"> </w:t>
            </w:r>
            <w:r>
              <w:rPr>
                <w:b/>
                <w:i/>
              </w:rPr>
              <w:t>okrem toho vyzýva na rozšírenie oprávnených území v rámci FST a na zváženie synergií s Sociálno-klimatickým fondom s cieľom zahrnúť rodiny, ktoré zažívajú energetickú chudobu alebo sú ňou ohrozené;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Nora Mebarek, Marcos Ros Sempere,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vyzýva Komisiu, aby sa osobitne zamerala na obce pod administratívnou úrovňou NUTS 3, ktoré sú priamejšie postihnuté sociálnymi, územnými a hospodárskymi výzvami spojenými s transformáciou;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zdôrazňuje potrebu rozšíriť elektrické distribučné siete ako nevyhnutný prvok účinnej energetickej transformácie na príslušných územiach;</w:t>
            </w:r>
            <w:r>
              <w:t xml:space="preserve"> </w:t>
            </w:r>
            <w:r>
              <w:rPr>
                <w:b/>
                <w:i/>
              </w:rPr>
              <w:t>zdôrazňuje najmä, že na to, aby sa pripravila pôda pre zvýšené investície do energie z obnoviteľných zdrojov, je potrebné zvýšiť kapacitu hostingu siete a posilniť systémy uskladňovania energie;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Nora Mebarek, Marcos Ros Sempere,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požaduje primerané posúdenie výziev, ktoré vznikajú na územiach, kde je úbytok obyvateľstva realitou;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naliehavo vyzýva Komisiu a členské štáty, aby využili finančné prostriedky dostupné v rámci Mechanizmu na podporu obnovy a odolnosti na podporu procesu transformácie na príslušných územiach;</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opakuje, že mnohé z regiónov, na ktoré sa vzťahuje FST, majú hrdú históriu odbornej prípravy a učňovskej prípravy a že pokračovanie týchto programov by sa malo považovať za prioritu;</w:t>
            </w:r>
          </w:p>
        </w:tc>
        <w:tc>
          <w:tcPr>
            <w:tcW w:w="4876" w:type="dxa"/>
            <w:tcBorders>
              <w:top w:val="nil"/>
              <w:left w:val="nil"/>
              <w:bottom w:val="nil"/>
              <w:right w:val="nil"/>
            </w:tcBorders>
          </w:tcPr>
          <w:p>
            <w:pPr>
              <w:pStyle w:val="Normal6a"/>
            </w:pPr>
            <w:r>
              <w:t>4.</w:t>
            </w:r>
            <w:r>
              <w:tab/>
            </w:r>
            <w:r>
              <w:t xml:space="preserve">opakuje, že mnohé z regiónov, na ktoré sa vzťahuje FST, majú hrdú históriu odbornej prípravy a učňovskej prípravy a že pokračovanie týchto programov by sa malo považovať za prioritu; </w:t>
            </w:r>
            <w:r>
              <w:rPr>
                <w:b/>
                <w:i/>
              </w:rPr>
              <w:t>požaduje osobitné zdroje financovania v rámci FST na podporu žien, mladých ľudí a marginalizovaných komunít, pokiaľ ide o prístup k možnostiam odbornej prípravy a učňovskej prípravy;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opakuje, že mnohé z regiónov, na ktoré sa vzťahuje FST, majú hrdú históriu odbornej prípravy a učňovskej prípravy </w:t>
            </w:r>
            <w:r>
              <w:rPr>
                <w:b/>
                <w:i/>
              </w:rPr>
              <w:t>a že pokračovanie týchto programov by sa malo považovať za prioritu</w:t>
            </w:r>
            <w:r>
              <w:t>;</w:t>
            </w:r>
          </w:p>
        </w:tc>
        <w:tc>
          <w:tcPr>
            <w:tcW w:w="4876" w:type="dxa"/>
            <w:tcBorders>
              <w:top w:val="nil"/>
              <w:left w:val="nil"/>
              <w:bottom w:val="nil"/>
              <w:right w:val="nil"/>
            </w:tcBorders>
          </w:tcPr>
          <w:p>
            <w:pPr>
              <w:pStyle w:val="Normal6a"/>
            </w:pPr>
            <w:r>
              <w:t>4.</w:t>
            </w:r>
            <w:r>
              <w:tab/>
            </w:r>
            <w:r>
              <w:t xml:space="preserve">opakuje, že mnohé z regiónov, na ktoré sa vzťahuje FST, majú hrdú históriu </w:t>
            </w:r>
            <w:r>
              <w:rPr>
                <w:b/>
                <w:i/>
              </w:rPr>
              <w:t>podmienok</w:t>
            </w:r>
            <w:r>
              <w:t xml:space="preserve"> odbornej prípravy a učňovskej prípravy</w:t>
            </w:r>
            <w:r>
              <w:rPr>
                <w:b/>
                <w:i/>
              </w:rPr>
              <w:t>, ktoré sú nevyhnutné na rekvalifikáciu pracovníkov v reakcii na nové požiadavky trhu práce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opakuje, že mnohé z regiónov, na ktoré sa vzťahuje FST, majú hrdú históriu odbornej prípravy a učňovskej prípravy a že pokračovanie týchto programov by sa malo považovať za prioritu;</w:t>
            </w:r>
          </w:p>
        </w:tc>
        <w:tc>
          <w:tcPr>
            <w:tcW w:w="4876" w:type="dxa"/>
            <w:tcBorders>
              <w:top w:val="nil"/>
              <w:left w:val="nil"/>
              <w:bottom w:val="nil"/>
              <w:right w:val="nil"/>
            </w:tcBorders>
          </w:tcPr>
          <w:p>
            <w:pPr>
              <w:pStyle w:val="Normal6a"/>
            </w:pPr>
            <w:r>
              <w:t>4.</w:t>
            </w:r>
            <w:r>
              <w:tab/>
            </w:r>
            <w:r>
              <w:t xml:space="preserve">opakuje, že mnohé z regiónov, na ktoré sa vzťahuje FST, majú </w:t>
            </w:r>
            <w:r>
              <w:rPr>
                <w:b/>
                <w:i/>
              </w:rPr>
              <w:t>významnú a</w:t>
            </w:r>
            <w:r>
              <w:t xml:space="preserve"> hrdú históriu odbornej prípravy a učňovskej prípravy a že pokračovanie týchto programov by sa malo považovať za prioritu;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zdôrazňuje, že je dôležité zabezpečiť, aby FST podporoval začleňovanie osôb so zdravotným postihnutím podporou vytvárania nových foriem udržateľného zamestnania, ktoré budú prispôsobené ich potrebám;</w:t>
            </w:r>
            <w:r>
              <w:t xml:space="preserve"> </w:t>
            </w:r>
            <w:r>
              <w:rPr>
                <w:b/>
                <w:i/>
              </w:rPr>
              <w:t>zdôrazňuje, že je potrebné zabezpečiť, aby projekty financované v rámci FST boli navrhnuté tak, aby boli inkluzívne a prístupné a aby podporovali rovnaké príležitosti pre osoby so zdravotným postihnutím;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zastáva názor, že odborná príprava je nevyhnutnou reakciou na hospodársku transformáciu regiónov;</w:t>
            </w:r>
            <w:r>
              <w:t xml:space="preserve"> </w:t>
            </w:r>
            <w:r>
              <w:rPr>
                <w:b/>
                <w:i/>
              </w:rPr>
              <w:t>konštatuje, že odborná príprava má len obmedzené kapacity a že dopyt po nej naznačuje existenciu krízovej situácie spôsobenej zelenou transformáciou;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 tejto súvislosti zdôrazňuje, že prioritou musia byť investície do všetkých úrovní vzdelávania a odbornej prípravy v dotknutých oblastiach; zdôrazňuje potrebu financovania výučby;</w:t>
            </w:r>
          </w:p>
        </w:tc>
        <w:tc>
          <w:tcPr>
            <w:tcW w:w="4876" w:type="dxa"/>
            <w:tcBorders>
              <w:top w:val="nil"/>
              <w:left w:val="nil"/>
              <w:bottom w:val="nil"/>
              <w:right w:val="nil"/>
            </w:tcBorders>
          </w:tcPr>
          <w:p>
            <w:pPr>
              <w:pStyle w:val="Normal6a"/>
            </w:pPr>
            <w:r>
              <w:t>5.</w:t>
            </w:r>
            <w:r>
              <w:tab/>
            </w:r>
            <w:r>
              <w:t>v tejto súvislosti zdôrazňuje, že prioritou musia byť investície do všetkých úrovní vzdelávania a odbornej prípravy v dotknutých oblastiach</w:t>
            </w:r>
            <w:r>
              <w:rPr>
                <w:b/>
                <w:i/>
              </w:rPr>
              <w:t>, a to aj začlenením digitálnych zručností, gramotnosti a základnej matematickej gramotnosti, ako aj zručností STEM do programov odbornej prípravy v súlade s nedávnymi oznámeniami Komisie o únii zručností, Akčnom pláne pre základné zručnosti a strategickom rámci pre vzdelávanie v oblasti STEM;</w:t>
            </w:r>
            <w:r>
              <w:t xml:space="preserve"> </w:t>
            </w:r>
            <w:r>
              <w:rPr>
                <w:b/>
                <w:i/>
              </w:rPr>
              <w:t>zdôrazňuje význam cieleného financovania na posilnenie základných digitálnych a technických zručností s cieľom zvýšiť zamestnateľnosť a konkurencieschopnosť</w:t>
            </w:r>
            <w:r>
              <w:t>; zdôrazňuje potrebu financovania výučby;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 tejto súvislosti zdôrazňuje, že prioritou musia byť investície do všetkých úrovní vzdelávania a odbornej prípravy v dotknutých oblastiach; zdôrazňuje potrebu financovania výučby;</w:t>
            </w:r>
          </w:p>
        </w:tc>
        <w:tc>
          <w:tcPr>
            <w:tcW w:w="4876" w:type="dxa"/>
            <w:tcBorders>
              <w:top w:val="nil"/>
              <w:left w:val="nil"/>
              <w:bottom w:val="nil"/>
              <w:right w:val="nil"/>
            </w:tcBorders>
          </w:tcPr>
          <w:p>
            <w:pPr>
              <w:pStyle w:val="Normal6a"/>
            </w:pPr>
            <w:r>
              <w:t>5.</w:t>
            </w:r>
            <w:r>
              <w:tab/>
            </w:r>
            <w:r>
              <w:t xml:space="preserve">v tejto súvislosti zdôrazňuje, že prioritou musia byť investície do všetkých úrovní vzdelávania a odbornej prípravy v dotknutých oblastiach; zdôrazňuje potrebu financovania výučby; </w:t>
            </w:r>
            <w:r>
              <w:rPr>
                <w:b/>
                <w:i/>
              </w:rPr>
              <w:t>konštatuje, že prostredníctvom odbornej prípravy pracovníkov, zvyšovania úrovne ich zručností, rekvalifikácie a celoživotného vzdelávania je nutné zabezpečiť, aby sa na ceste k zelenej a digitálnej transformácii EÚ na nikoho nezabudlo, a to bez ohľadu na pracovné odvetvie, typ zmluvy, pohlavie alebo geografickú polohu;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 tejto súvislosti zdôrazňuje, že prioritou musia byť investície do všetkých úrovní vzdelávania a odbornej prípravy v dotknutých oblastiach; zdôrazňuje potrebu financovania výučby;</w:t>
            </w:r>
          </w:p>
        </w:tc>
        <w:tc>
          <w:tcPr>
            <w:tcW w:w="4876" w:type="dxa"/>
            <w:tcBorders>
              <w:top w:val="nil"/>
              <w:left w:val="nil"/>
              <w:bottom w:val="nil"/>
              <w:right w:val="nil"/>
            </w:tcBorders>
          </w:tcPr>
          <w:p>
            <w:pPr>
              <w:pStyle w:val="Normal6a"/>
            </w:pPr>
            <w:r>
              <w:t>5.</w:t>
            </w:r>
            <w:r>
              <w:tab/>
            </w:r>
            <w:r>
              <w:t xml:space="preserve">v tejto súvislosti zdôrazňuje, že prioritou musia byť investície do všetkých úrovní vzdelávania a odbornej prípravy v dotknutých oblastiach; zdôrazňuje potrebu financovania výučby </w:t>
            </w:r>
            <w:r>
              <w:rPr>
                <w:b/>
                <w:i/>
              </w:rPr>
              <w:t>pre deti a študentov pochádzajúcich z postihnutých oblastí vrátane finančnej podpory vysokoškolského vzdelávania až po univerzitnú úroveň</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 tejto súvislosti zdôrazňuje, že prioritou musia byť investície do všetkých úrovní vzdelávania a odbornej prípravy v dotknutých oblastiach; zdôrazňuje potrebu financovania výučby;</w:t>
            </w:r>
          </w:p>
        </w:tc>
        <w:tc>
          <w:tcPr>
            <w:tcW w:w="4876" w:type="dxa"/>
            <w:tcBorders>
              <w:top w:val="nil"/>
              <w:left w:val="nil"/>
              <w:bottom w:val="nil"/>
              <w:right w:val="nil"/>
            </w:tcBorders>
          </w:tcPr>
          <w:p>
            <w:pPr>
              <w:pStyle w:val="Normal6a"/>
            </w:pPr>
            <w:r>
              <w:t>5.</w:t>
            </w:r>
            <w:r>
              <w:tab/>
            </w:r>
            <w:r>
              <w:t>V tejto súvislosti zdôrazňuje, že prioritou musia byť investície do všetkých úrovní vzdelávania a odbornej prípravy v dotknutých oblastiach</w:t>
            </w:r>
            <w:r>
              <w:rPr>
                <w:b/>
                <w:i/>
              </w:rPr>
              <w:t>, ako aj do zvyšovania úrovne zručností a rekvalifikácie pracovníkov na alternatívne zamestnanie, a to aj prostredníctvom pomoci pri hľadaní zamestnania</w:t>
            </w:r>
            <w:r>
              <w:t>; zdôrazňuje potrebu financovania výučby;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 tejto súvislosti zdôrazňuje, že prioritou musia byť investície do všetkých úrovní vzdelávania a odbornej prípravy v dotknutých oblastiach; zdôrazňuje potrebu financovania výučby;</w:t>
            </w:r>
          </w:p>
        </w:tc>
        <w:tc>
          <w:tcPr>
            <w:tcW w:w="4876" w:type="dxa"/>
            <w:tcBorders>
              <w:top w:val="nil"/>
              <w:left w:val="nil"/>
              <w:bottom w:val="nil"/>
              <w:right w:val="nil"/>
            </w:tcBorders>
          </w:tcPr>
          <w:p>
            <w:pPr>
              <w:pStyle w:val="Normal6a"/>
            </w:pPr>
            <w:r>
              <w:t>5.</w:t>
            </w:r>
            <w:r>
              <w:tab/>
            </w:r>
            <w:r>
              <w:t>v tejto súvislosti zdôrazňuje, že prioritou musia byť investície do všetkých úrovní vzdelávania a odbornej prípravy v dotknutých oblastiach</w:t>
            </w:r>
            <w:r>
              <w:rPr>
                <w:b/>
                <w:i/>
              </w:rPr>
              <w:t>, vrátane investícií do zelených a digitálnych zručností</w:t>
            </w:r>
            <w:r>
              <w:t>; zdôrazňuje potrebu financovania výučby;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 tejto súvislosti zdôrazňuje, že prioritou musia byť investície do všetkých úrovní vzdelávania a odbornej prípravy v dotknutých oblastiach; zdôrazňuje potrebu financovania </w:t>
            </w:r>
            <w:r>
              <w:rPr>
                <w:b/>
                <w:i/>
              </w:rPr>
              <w:t>výučby</w:t>
            </w:r>
            <w:r>
              <w:t>;</w:t>
            </w:r>
          </w:p>
        </w:tc>
        <w:tc>
          <w:tcPr>
            <w:tcW w:w="4876" w:type="dxa"/>
            <w:tcBorders>
              <w:top w:val="nil"/>
              <w:left w:val="nil"/>
              <w:bottom w:val="nil"/>
              <w:right w:val="nil"/>
            </w:tcBorders>
          </w:tcPr>
          <w:p>
            <w:pPr>
              <w:pStyle w:val="Normal6a"/>
            </w:pPr>
            <w:r>
              <w:t>5.</w:t>
            </w:r>
            <w:r>
              <w:tab/>
            </w:r>
            <w:r>
              <w:t xml:space="preserve">v tejto súvislosti zdôrazňuje, že prioritou musia byť investície do všetkých úrovní vzdelávania a odbornej prípravy v dotknutých oblastiach; zdôrazňuje potrebu financovania </w:t>
            </w:r>
            <w:r>
              <w:rPr>
                <w:b/>
                <w:i/>
              </w:rPr>
              <w:t>opatrení spojených s výučbou</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 tejto súvislosti zdôrazňuje, že prioritou musia byť investície do všetkých úrovní vzdelávania a odbornej prípravy v dotknutých oblastiach; zdôrazňuje potrebu financovania výučby;</w:t>
            </w:r>
          </w:p>
        </w:tc>
        <w:tc>
          <w:tcPr>
            <w:tcW w:w="4876" w:type="dxa"/>
            <w:tcBorders>
              <w:top w:val="nil"/>
              <w:left w:val="nil"/>
              <w:bottom w:val="nil"/>
              <w:right w:val="nil"/>
            </w:tcBorders>
          </w:tcPr>
          <w:p>
            <w:pPr>
              <w:pStyle w:val="Normal6a"/>
            </w:pPr>
            <w:r>
              <w:t>5.</w:t>
            </w:r>
            <w:r>
              <w:tab/>
            </w:r>
            <w:r>
              <w:t xml:space="preserve">v tejto súvislosti zdôrazňuje, že prioritou musia byť investície do všetkých úrovní vzdelávania a odbornej prípravy v dotknutých oblastiach; zdôrazňuje potrebu </w:t>
            </w:r>
            <w:r>
              <w:rPr>
                <w:b/>
                <w:i/>
              </w:rPr>
              <w:t>primeraného</w:t>
            </w:r>
            <w:r>
              <w:t xml:space="preserve"> financovania výučby </w:t>
            </w:r>
            <w:r>
              <w:rPr>
                <w:b/>
                <w:i/>
              </w:rPr>
              <w:t>z prostriedkov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 tejto súvislosti zdôrazňuje, že prioritou musia byť investície do všetkých úrovní vzdelávania a odbornej prípravy v dotknutých oblastiach; zdôrazňuje </w:t>
            </w:r>
            <w:r>
              <w:rPr>
                <w:b/>
                <w:i/>
              </w:rPr>
              <w:t>potrebu</w:t>
            </w:r>
            <w:r>
              <w:t xml:space="preserve"> financovania výučby;</w:t>
            </w:r>
          </w:p>
        </w:tc>
        <w:tc>
          <w:tcPr>
            <w:tcW w:w="4876" w:type="dxa"/>
            <w:tcBorders>
              <w:top w:val="nil"/>
              <w:left w:val="nil"/>
              <w:bottom w:val="nil"/>
              <w:right w:val="nil"/>
            </w:tcBorders>
          </w:tcPr>
          <w:p>
            <w:pPr>
              <w:pStyle w:val="Normal6a"/>
            </w:pPr>
            <w:r>
              <w:t>5.</w:t>
            </w:r>
            <w:r>
              <w:tab/>
            </w:r>
            <w:r>
              <w:t xml:space="preserve">v tejto súvislosti zdôrazňuje, že prioritou musia byť investície do všetkých úrovní vzdelávania a odbornej prípravy v dotknutých oblastiach; zdôrazňuje </w:t>
            </w:r>
            <w:r>
              <w:rPr>
                <w:b/>
                <w:i/>
              </w:rPr>
              <w:t>možnosť</w:t>
            </w:r>
            <w:r>
              <w:t xml:space="preserve"> financovania výučby;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zdôrazňuje, že investície do kvalitných verejných služieb zohrávajú kľúčovú úlohu pri budovaní sociálnej odolnosti a zvládaní hospodárskych a sociálnych kríz;</w:t>
            </w:r>
            <w:r>
              <w:t xml:space="preserve"> </w:t>
            </w:r>
            <w:r>
              <w:rPr>
                <w:b/>
                <w:i/>
              </w:rPr>
              <w:t>okrem toho je presvedčený, že financovanie by malo byť viac zamerané na investície do ľudí, keďže hospodárstva regiónov EÚ je možné posilniť účinnou kombináciou investícií do inovácií, ľudského kapitálu, dobrej správy vecí verejných a inštitucionálnej kapacity;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žiada, aby sa aspoň 50 % finančných prostriedkov vyčlenených na vzdelávanie v dotknutých regiónoch využilo na učňovskú prípravu, pričom oceňuje už vynaložené investície do učňovskej prípravy;</w:t>
            </w:r>
          </w:p>
        </w:tc>
        <w:tc>
          <w:tcPr>
            <w:tcW w:w="4876" w:type="dxa"/>
            <w:tcBorders>
              <w:top w:val="nil"/>
              <w:left w:val="nil"/>
              <w:bottom w:val="nil"/>
              <w:right w:val="nil"/>
            </w:tcBorders>
          </w:tcPr>
          <w:p>
            <w:pPr>
              <w:pStyle w:val="Normal6a"/>
            </w:pPr>
            <w:r>
              <w:t>6.</w:t>
            </w:r>
            <w:r>
              <w:tab/>
            </w:r>
            <w:r>
              <w:t>žiada, aby sa aspoň 50 % finančných prostriedkov vyčlenených na vzdelávanie v dotknutých regiónoch využilo na učňovskú prípravu, pričom oceňuje už vynaložené investície do učňovskej prípravy</w:t>
            </w:r>
            <w:r>
              <w:rPr>
                <w:b/>
                <w:i/>
              </w:rPr>
              <w:t>, pričom prioritou je okrem iného odborná príprava v oblasti starostlivosti o starších ľudí a podpora miestneho podnikania prostredníctvom programov na podporu zakladania mikropodnikov, družstiev a sociálneho hospodárstva prispôsobeného charakteristikám tejto oblasti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Valentina Palmisano, 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žiada, aby sa aspoň 50 % finančných prostriedkov vyčlenených na vzdelávanie v dotknutých regiónoch </w:t>
            </w:r>
            <w:r>
              <w:rPr>
                <w:b/>
                <w:i/>
              </w:rPr>
              <w:t>využilo na učňovskú</w:t>
            </w:r>
            <w:r>
              <w:t xml:space="preserve"> prípravu, pričom oceňuje už vynaložené investície do učňovskej prípravy;</w:t>
            </w:r>
          </w:p>
        </w:tc>
        <w:tc>
          <w:tcPr>
            <w:tcW w:w="4876" w:type="dxa"/>
            <w:tcBorders>
              <w:top w:val="nil"/>
              <w:left w:val="nil"/>
              <w:bottom w:val="nil"/>
              <w:right w:val="nil"/>
            </w:tcBorders>
          </w:tcPr>
          <w:p>
            <w:pPr>
              <w:pStyle w:val="Normal6a"/>
            </w:pPr>
            <w:r>
              <w:t>6.</w:t>
            </w:r>
            <w:r>
              <w:tab/>
            </w:r>
            <w:r>
              <w:t xml:space="preserve">žiada, aby sa aspoň 50 % finančných prostriedkov vyčlenených na vzdelávanie v dotknutých regiónoch </w:t>
            </w:r>
            <w:r>
              <w:rPr>
                <w:b/>
                <w:i/>
              </w:rPr>
              <w:t>vyčlenilo na vysokokvalitné programy učňovskej prípravy, čím sa zabezpečí, aby tieto programy ponúkali primeranú odmenu, dôstojné pracovné podmienky a kvalitnú odbornú</w:t>
            </w:r>
            <w:r>
              <w:t xml:space="preserve"> prípravu </w:t>
            </w:r>
            <w:r>
              <w:rPr>
                <w:b/>
                <w:i/>
              </w:rPr>
              <w:t>v súlade so zásadami smernice EÚ 2022/2041 o primeranej minimálnej mzde</w:t>
            </w:r>
            <w:r>
              <w:t>, pričom oceňuje už vynaložené investície do učňovskej prípravy;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žiada, aby sa aspoň 50 % finančných prostriedkov vyčlenených na vzdelávanie v dotknutých regiónoch využilo na učňovskú prípravu, pričom oceňuje už vynaložené investície do učňovskej prípravy;</w:t>
            </w:r>
          </w:p>
        </w:tc>
        <w:tc>
          <w:tcPr>
            <w:tcW w:w="4876" w:type="dxa"/>
            <w:tcBorders>
              <w:top w:val="nil"/>
              <w:left w:val="nil"/>
              <w:bottom w:val="nil"/>
              <w:right w:val="nil"/>
            </w:tcBorders>
          </w:tcPr>
          <w:p>
            <w:pPr>
              <w:pStyle w:val="Normal6a"/>
            </w:pPr>
            <w:r>
              <w:t>6.</w:t>
            </w:r>
            <w:r>
              <w:tab/>
            </w:r>
            <w:r>
              <w:t xml:space="preserve">žiada, aby sa aspoň 50 % finančných prostriedkov vyčlenených na vzdelávanie v dotknutých regiónoch využilo na učňovskú prípravu, </w:t>
            </w:r>
            <w:r>
              <w:rPr>
                <w:b/>
                <w:i/>
              </w:rPr>
              <w:t>zvyšovanie úrovne zručností a rekvalifikáciu,</w:t>
            </w:r>
            <w:r>
              <w:t xml:space="preserve"> pričom oceňuje už vynaložené investície do učňovskej prípravy; </w:t>
            </w:r>
            <w:r>
              <w:rPr>
                <w:b/>
                <w:i/>
              </w:rPr>
              <w:t>konštatuje, že program by mal podporovať celoživotné vzdelávanie pre všetkých pracovníkov v regióne;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žiada, aby sa aspoň 50 % finančných prostriedkov vyčlenených na vzdelávanie v dotknutých regiónoch využilo na učňovskú prípravu, pričom oceňuje už vynaložené investície do učňovskej prípravy;</w:t>
            </w:r>
          </w:p>
        </w:tc>
        <w:tc>
          <w:tcPr>
            <w:tcW w:w="4876" w:type="dxa"/>
            <w:tcBorders>
              <w:top w:val="nil"/>
              <w:left w:val="nil"/>
              <w:bottom w:val="nil"/>
              <w:right w:val="nil"/>
            </w:tcBorders>
          </w:tcPr>
          <w:p>
            <w:pPr>
              <w:pStyle w:val="Normal6a"/>
            </w:pPr>
            <w:r>
              <w:t>6.</w:t>
            </w:r>
            <w:r>
              <w:tab/>
            </w:r>
            <w:r>
              <w:t xml:space="preserve">žiada, aby sa aspoň 50 % finančných prostriedkov vyčlenených na vzdelávanie v dotknutých regiónoch využilo na učňovskú prípravu </w:t>
            </w:r>
            <w:r>
              <w:rPr>
                <w:b/>
                <w:i/>
              </w:rPr>
              <w:t>a odborné vzdelávanie, ktoré zodpovedá potrebám miestnej komunity</w:t>
            </w:r>
            <w:r>
              <w:t>, pričom oceňuje už vynaložené investície do učňovskej prípravy;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žiada, aby sa </w:t>
            </w:r>
            <w:r>
              <w:rPr>
                <w:b/>
                <w:i/>
              </w:rPr>
              <w:t>aspoň 50 %</w:t>
            </w:r>
            <w:r>
              <w:t xml:space="preserve"> finančných prostriedkov vyčlenených na vzdelávanie v dotknutých regiónoch </w:t>
            </w:r>
            <w:r>
              <w:rPr>
                <w:b/>
                <w:i/>
              </w:rPr>
              <w:t>využilo</w:t>
            </w:r>
            <w:r>
              <w:t xml:space="preserve"> na učňovskú prípravu, pričom oceňuje už vynaložené investície do učňovskej prípravy;</w:t>
            </w:r>
          </w:p>
        </w:tc>
        <w:tc>
          <w:tcPr>
            <w:tcW w:w="4876" w:type="dxa"/>
            <w:tcBorders>
              <w:top w:val="nil"/>
              <w:left w:val="nil"/>
              <w:bottom w:val="nil"/>
              <w:right w:val="nil"/>
            </w:tcBorders>
          </w:tcPr>
          <w:p>
            <w:pPr>
              <w:pStyle w:val="Normal6a"/>
            </w:pPr>
            <w:r>
              <w:t>6.</w:t>
            </w:r>
            <w:r>
              <w:tab/>
            </w:r>
            <w:r>
              <w:t xml:space="preserve">žiada, aby sa </w:t>
            </w:r>
            <w:r>
              <w:rPr>
                <w:b/>
                <w:i/>
              </w:rPr>
              <w:t>značný podiel</w:t>
            </w:r>
            <w:r>
              <w:t xml:space="preserve"> finančných prostriedkov vyčlenených na vzdelávanie v dotknutých regiónoch </w:t>
            </w:r>
            <w:r>
              <w:rPr>
                <w:b/>
                <w:i/>
              </w:rPr>
              <w:t>využil</w:t>
            </w:r>
            <w:r>
              <w:t xml:space="preserve"> na učňovskú prípravu, pričom oceňuje už vynaložené investície do učňovskej prípravy;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žiada</w:t>
            </w:r>
            <w:r>
              <w:rPr>
                <w:b/>
                <w:i/>
              </w:rPr>
              <w:t>, aby sa aspoň 50 % finančných prostriedkov vyčlenených na vzdelávanie v dotknutých regiónoch využilo na učňovskú prípravu, pričom oceňuje už vynaložené investície do</w:t>
            </w:r>
            <w:r>
              <w:t xml:space="preserve"> učňovskej </w:t>
            </w:r>
            <w:r>
              <w:rPr>
                <w:b/>
                <w:i/>
              </w:rPr>
              <w:t>prípravy</w:t>
            </w:r>
            <w:r>
              <w:t>;</w:t>
            </w:r>
          </w:p>
        </w:tc>
        <w:tc>
          <w:tcPr>
            <w:tcW w:w="4876" w:type="dxa"/>
            <w:tcBorders>
              <w:top w:val="nil"/>
              <w:left w:val="nil"/>
              <w:bottom w:val="nil"/>
              <w:right w:val="nil"/>
            </w:tcBorders>
          </w:tcPr>
          <w:p>
            <w:pPr>
              <w:pStyle w:val="Normal6a"/>
            </w:pPr>
            <w:r>
              <w:t>6.</w:t>
            </w:r>
            <w:r>
              <w:tab/>
            </w:r>
            <w:r>
              <w:t xml:space="preserve">žiada </w:t>
            </w:r>
            <w:r>
              <w:rPr>
                <w:b/>
                <w:i/>
              </w:rPr>
              <w:t>členské štáty, aby do plánov spravodlivej transformácie územia zahrnuli cielený prístup k vzdelávaniu a</w:t>
            </w:r>
            <w:r>
              <w:t xml:space="preserve"> učňovskej </w:t>
            </w:r>
            <w:r>
              <w:rPr>
                <w:b/>
                <w:i/>
              </w:rPr>
              <w:t>príprave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vyzýva Komisiu, aby do Fondu na spravodlivú transformáciu začlenila osobitný mechanizmus s cieľom zabezpečiť, aby sa kritériá oprávnenosti a miery spolufinancovania mohli upraviť pre najvzdialenejšie regióny a ZKÚ, čím sa zabezpečí účinnejšia reakcia na osobitné výzvy súvisiace s ich ostrovným charakterom, odľahlosťou a hospodárskou zraniteľnosťou;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žiada, aby sa financovanie z Európskeho sociálneho fondu plus (ESF+) viac zameriavalo na regióny a aby sa posilnili synergie medzi ESF+ a FST, najmä pokiaľ ide o vzdelávanie a odbornú prípravu;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žiada, aby sa </w:t>
            </w:r>
            <w:r>
              <w:rPr>
                <w:b/>
                <w:i/>
              </w:rPr>
              <w:t>financovanie z</w:t>
            </w:r>
            <w:r>
              <w:t xml:space="preserve"> Európskeho sociálneho fondu plus (ESF+) viac zameriavalo na regióny </w:t>
            </w:r>
            <w:r>
              <w:rPr>
                <w:b/>
                <w:i/>
              </w:rPr>
              <w:t>a</w:t>
            </w:r>
            <w:r>
              <w:t xml:space="preserve"> aby sa posilnili synergie medzi ESF+ a FST, najmä pokiaľ ide o vzdelávanie a odbornú prípravu;</w:t>
            </w:r>
          </w:p>
        </w:tc>
        <w:tc>
          <w:tcPr>
            <w:tcW w:w="4876" w:type="dxa"/>
            <w:tcBorders>
              <w:top w:val="nil"/>
              <w:left w:val="nil"/>
              <w:bottom w:val="nil"/>
              <w:right w:val="nil"/>
            </w:tcBorders>
          </w:tcPr>
          <w:p>
            <w:pPr>
              <w:pStyle w:val="Normal6a"/>
            </w:pPr>
            <w:r>
              <w:t>7.</w:t>
            </w:r>
            <w:r>
              <w:tab/>
            </w:r>
            <w:r>
              <w:t xml:space="preserve">žiada, aby sa </w:t>
            </w:r>
            <w:r>
              <w:rPr>
                <w:b/>
                <w:i/>
              </w:rPr>
              <w:t>spravovanie</w:t>
            </w:r>
            <w:r>
              <w:t xml:space="preserve"> Európskeho sociálneho fondu plus (ESF+) </w:t>
            </w:r>
            <w:r>
              <w:rPr>
                <w:b/>
                <w:i/>
              </w:rPr>
              <w:t>riadilo viacúrovňovým prístupom zahŕňajúcim financovanie zo strany vnútroštátnych, regionálnych a miestnych orgánov, a aby sa</w:t>
            </w:r>
            <w:r>
              <w:t xml:space="preserve"> viac zameriavalo na regióny</w:t>
            </w:r>
            <w:r>
              <w:rPr>
                <w:b/>
                <w:i/>
              </w:rPr>
              <w:t>, a žiada,</w:t>
            </w:r>
            <w:r>
              <w:t xml:space="preserve"> aby sa posilnili synergie medzi ESF+ a FST, najmä pokiaľ ide o vzdelávanie a odbornú prípravu;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žiada, aby sa financovanie z Európskeho sociálneho fondu plus (ESF+) viac zameriavalo na regióny a aby sa posilnili synergie medzi ESF+ a FST, najmä pokiaľ ide o vzdelávanie a odbornú prípravu;</w:t>
            </w:r>
          </w:p>
        </w:tc>
        <w:tc>
          <w:tcPr>
            <w:tcW w:w="4876" w:type="dxa"/>
            <w:tcBorders>
              <w:top w:val="nil"/>
              <w:left w:val="nil"/>
              <w:bottom w:val="nil"/>
              <w:right w:val="nil"/>
            </w:tcBorders>
          </w:tcPr>
          <w:p>
            <w:pPr>
              <w:pStyle w:val="Normal6a"/>
            </w:pPr>
            <w:r>
              <w:t>7.</w:t>
            </w:r>
            <w:r>
              <w:tab/>
            </w:r>
            <w:r>
              <w:t xml:space="preserve">žiada, aby sa financovanie z Európskeho sociálneho fondu plus (ESF+) viac zameriavalo na regióny a aby sa posilnili </w:t>
            </w:r>
            <w:r>
              <w:rPr>
                <w:b/>
                <w:i/>
              </w:rPr>
              <w:t>a zlepšili</w:t>
            </w:r>
            <w:r>
              <w:t xml:space="preserve"> synergie medzi ESF+ a FST, najmä pokiaľ ide o vzdelávanie a odbornú prípravu </w:t>
            </w:r>
            <w:r>
              <w:rPr>
                <w:b/>
                <w:i/>
              </w:rPr>
              <w:t>a vo vzťahu k mobilite pracovníkov z oblastí, kde dochádza k demografickému poklesu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uznáva kľúčovú úlohu automobilového priemyslu v Európskej únii, najmä pokiaľ ide o zamestnanosť v rôznych regiónoch;</w:t>
            </w:r>
            <w:r>
              <w:t xml:space="preserve"> </w:t>
            </w:r>
            <w:r>
              <w:rPr>
                <w:b/>
                <w:i/>
              </w:rPr>
              <w:t>považuje začlenenie automobilového priemyslu do rozsahu spravodlivej transformácie za nevyhnutné vzhľadom na výzvy, ktoré prináša celosvetová hospodárska súťaž pri prechode na elektromobilitu, a vplyv neodôvodnených obchodných prekážok;</w:t>
            </w:r>
            <w:r>
              <w:t xml:space="preserve"> </w:t>
            </w:r>
            <w:r>
              <w:rPr>
                <w:b/>
                <w:i/>
              </w:rPr>
              <w:t>zdôrazňuje potrebu cielených politík, ktoré uprednostňujú rekvalifikáciu pracovníkov, a iniciatív zameraných na diverzifikáciu hospodárskeho modelu regiónov s významným automobilovým priemyslom;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berie na vedomie, že problémy s likviditou odrádzajú potenciálnych príjemcov, ako sú obce, od podávania žiadostí o projekty financované v rámci politiky súdržnosti, a preto vyzýva na výrazné a prispôsobené zvýšenie predbežného financovania v takýchto prípadoch;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konštatuje, že zelená transformácia má silný rodový rozmer, pričom ženy majú tendenciu byť nedostatočne zastúpené na zelených pracovných miestach a muži majú tendenciu byť viac zasiahnutí zánikom pracovných miest s vysokými emisiami uhlíka;</w:t>
            </w:r>
            <w:r>
              <w:t xml:space="preserve"> </w:t>
            </w:r>
            <w:r>
              <w:rPr>
                <w:b/>
                <w:i/>
              </w:rPr>
              <w:t>zdôrazňuje preto potrebu rodového hľadiska pri navrhovaní a vykonávaní všetkých politík transformácie, aby sa zabránilo prehlbovaniu rozdielov na miestnych trhoch práce;</w:t>
            </w:r>
            <w:r>
              <w:t xml:space="preserve"> </w:t>
            </w:r>
            <w:r>
              <w:rPr>
                <w:b/>
                <w:i/>
              </w:rPr>
              <w:t>pripomína, že pre sociálne spravodlivú zelenú transformáciu má zásadný význam ekonomika starostlivosti a odvetvie starostlivosti (ako je starostlivosť o deti v ranom veku alebo dlhodobá starostlivosť), v ktorej dominujú ženy a v ktorej je vytváranie pracovných miest nevyhnutné na prerozdelenie neplatenej práce v oblasti starostlivosti, čo je predpokladom na to, aby ženy mali v rámci transformácie rovnaké pracovné príležitosti ako muži, ako aj vzhľadom na nové zdravotné hrozby súvisiace so zmenou klímy a znečistením;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domnieva sa, že rámec riadenia je kľúčový pre vykonávanie spravodlivej transformácie a že všetci dotknutí občania a zainteresované strany musia byť zapojení do procesu transformácie a do rozhodovania o spoločnej budúcnosti;</w:t>
            </w:r>
            <w:r>
              <w:t xml:space="preserve"> </w:t>
            </w:r>
            <w:r>
              <w:rPr>
                <w:b/>
                <w:i/>
              </w:rPr>
              <w:t>v tejto súvislosti sa vo všetkých fázach musí uplatňovať participatívny prístup a nepretržitý dialóg vrátane prípravy dlhodobej rozvojovej stratégie, vytvorenia systému monitorovania a hodnotenia a medziodvetvového prístupu;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aby spolupracovala s členskými štátmi s cieľom zabezpečiť, aby </w:t>
            </w:r>
            <w:r>
              <w:rPr>
                <w:b/>
                <w:i/>
              </w:rPr>
              <w:t>pracovníci</w:t>
            </w:r>
            <w:r>
              <w:t>, ktorí prišli o prácu</w:t>
            </w:r>
            <w:r>
              <w:rPr>
                <w:b/>
                <w:i/>
              </w:rPr>
              <w:t>, mali osobitný status</w:t>
            </w:r>
            <w:r>
              <w:t>, pokiaľ ide o účasť na programoch zamestnanosti a odbornej prípravy podporovaných z ESF+ v ich príslušnej lokalite;</w:t>
            </w:r>
          </w:p>
        </w:tc>
        <w:tc>
          <w:tcPr>
            <w:tcW w:w="4876" w:type="dxa"/>
            <w:tcBorders>
              <w:top w:val="nil"/>
              <w:left w:val="nil"/>
              <w:bottom w:val="nil"/>
              <w:right w:val="nil"/>
            </w:tcBorders>
          </w:tcPr>
          <w:p>
            <w:pPr>
              <w:pStyle w:val="Normal6a"/>
            </w:pPr>
            <w:r>
              <w:t>8.</w:t>
            </w:r>
            <w:r>
              <w:tab/>
            </w:r>
            <w:r>
              <w:t>vyzýva Komisiu, aby spolupracovala s členskými štátmi</w:t>
            </w:r>
            <w:r>
              <w:rPr>
                <w:b/>
                <w:i/>
              </w:rPr>
              <w:t>, miestnymi a regionálnymi orgánmi, odborovými zväzmi a miestnymi podnikmi</w:t>
            </w:r>
            <w:r>
              <w:t xml:space="preserve"> s cieľom zabezpečiť, aby </w:t>
            </w:r>
            <w:r>
              <w:rPr>
                <w:b/>
                <w:i/>
              </w:rPr>
              <w:t>sa osobitná pozornosť venovala pracovníkom</w:t>
            </w:r>
            <w:r>
              <w:t>, ktorí prišli o prácu, pokiaľ ide o účasť na programoch zamestnanosti a odbornej prípravy podporovaných z ESF+ v ich príslušnej lokalite;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vyzýva Komisiu, aby spolupracovala s členskými štátmi s cieľom zabezpečiť, aby pracovníci, ktorí prišli o prácu, mali osobitný status, pokiaľ ide o účasť na programoch zamestnanosti a odbornej prípravy podporovaných z ESF+ v ich príslušnej lokalite;</w:t>
            </w:r>
          </w:p>
        </w:tc>
        <w:tc>
          <w:tcPr>
            <w:tcW w:w="4876" w:type="dxa"/>
            <w:tcBorders>
              <w:top w:val="nil"/>
              <w:left w:val="nil"/>
              <w:bottom w:val="nil"/>
              <w:right w:val="nil"/>
            </w:tcBorders>
          </w:tcPr>
          <w:p>
            <w:pPr>
              <w:pStyle w:val="Normal6a"/>
            </w:pPr>
            <w:r>
              <w:t>8.</w:t>
            </w:r>
            <w:r>
              <w:tab/>
            </w:r>
            <w:r>
              <w:t xml:space="preserve">vyzýva Komisiu, aby spolupracovala s členskými štátmi s cieľom zabezpečiť, aby pracovníci, ktorí prišli o prácu, mali osobitný status, pokiaľ ide o účasť na programoch zamestnanosti a odbornej prípravy podporovaných z ESF+ </w:t>
            </w:r>
            <w:r>
              <w:rPr>
                <w:b/>
                <w:i/>
              </w:rPr>
              <w:t>alebo na iných programoch financovaných EÚ</w:t>
            </w:r>
            <w:r>
              <w:t xml:space="preserve"> v ich príslušnej lokalite;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aby spolupracovala s členskými štátmi s cieľom zabezpečiť, aby pracovníci, ktorí prišli o prácu, mali </w:t>
            </w:r>
            <w:r>
              <w:rPr>
                <w:b/>
                <w:i/>
              </w:rPr>
              <w:t>osobitný status, pokiaľ ide o účasť</w:t>
            </w:r>
            <w:r>
              <w:t xml:space="preserve"> na programoch zamestnanosti a odbornej prípravy podporovaných z ESF+ </w:t>
            </w:r>
            <w:r>
              <w:rPr>
                <w:b/>
                <w:i/>
              </w:rPr>
              <w:t>v ich príslušnej lokalite</w:t>
            </w:r>
            <w:r>
              <w:t>;</w:t>
            </w:r>
          </w:p>
        </w:tc>
        <w:tc>
          <w:tcPr>
            <w:tcW w:w="4876" w:type="dxa"/>
            <w:tcBorders>
              <w:top w:val="nil"/>
              <w:left w:val="nil"/>
              <w:bottom w:val="nil"/>
              <w:right w:val="nil"/>
            </w:tcBorders>
          </w:tcPr>
          <w:p>
            <w:pPr>
              <w:pStyle w:val="Normal6a"/>
            </w:pPr>
            <w:r>
              <w:t>8.</w:t>
            </w:r>
            <w:r>
              <w:tab/>
            </w:r>
            <w:r>
              <w:t xml:space="preserve">vyzýva Komisiu, aby spolupracovala s členskými štátmi s cieľom zabezpečiť, aby pracovníci, ktorí </w:t>
            </w:r>
            <w:r>
              <w:rPr>
                <w:b/>
                <w:i/>
              </w:rPr>
              <w:t>v tejto súvislosti</w:t>
            </w:r>
            <w:r>
              <w:t xml:space="preserve"> prišli o prácu, mali </w:t>
            </w:r>
            <w:r>
              <w:rPr>
                <w:b/>
                <w:i/>
              </w:rPr>
              <w:t>prioritný prístup k účasti</w:t>
            </w:r>
            <w:r>
              <w:t xml:space="preserve"> na programoch zamestnanosti a odbornej prípravy podporovaných z ESF+ </w:t>
            </w:r>
            <w:r>
              <w:rPr>
                <w:b/>
                <w:i/>
              </w:rPr>
              <w:t>vo svojich komunitách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zdôrazňuje, že je potrebné prostredníctvom FST zaviesť ambiciózne a cielené programy odbornej prípravy a rekvalifikácie aj pre uchádzačov o zamestnanie a pracovníkov priamo postihnutých hospodárskou transformáciou spôsobenou dekarbonizáciou, najmä v prioritných odvetviach, ako je energia z obnoviteľných zdrojov, obehové hospodárstvo, udržateľné stavebníctvo a mobilita, aby sa zabránilo vzniku dlhodobej štrukturálnej nezamestnanosti a zmiernilo sa sociálne napätie;</w:t>
            </w:r>
            <w:r>
              <w:t xml:space="preserve"> </w:t>
            </w:r>
            <w:r>
              <w:rPr>
                <w:b/>
                <w:i/>
              </w:rPr>
              <w:t>trvá na tom, že na tieto opatrenia treba v plánoch spravodlivej transformácie územia vyčleniť osobitné finančné prostriedky;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zdôrazňuje, že v rámci dotknutých oblastí treba v spolupráci s miestnymi podnikmi rozvíjať programy učňovskej prípravy, aby tak študenti mohli zbierať skúsenosti vo svojich komunitách a poskytlo sa im „právo zostať“;</w:t>
            </w:r>
          </w:p>
        </w:tc>
        <w:tc>
          <w:tcPr>
            <w:tcW w:w="4876" w:type="dxa"/>
            <w:tcBorders>
              <w:top w:val="nil"/>
              <w:left w:val="nil"/>
              <w:bottom w:val="nil"/>
              <w:right w:val="nil"/>
            </w:tcBorders>
          </w:tcPr>
          <w:p>
            <w:pPr>
              <w:pStyle w:val="Normal6a"/>
            </w:pPr>
            <w:r>
              <w:t>9.</w:t>
            </w:r>
            <w:r>
              <w:tab/>
            </w:r>
            <w:r>
              <w:t xml:space="preserve">zdôrazňuje, že v rámci dotknutých oblastí treba v spolupráci s miestnymi podnikmi rozvíjať programy učňovskej prípravy, aby tak študenti mohli zbierať skúsenosti vo svojich komunitách a poskytlo sa im „právo zostať“; </w:t>
            </w:r>
            <w:r>
              <w:rPr>
                <w:b/>
                <w:i/>
              </w:rPr>
              <w:t>vyzýva Komisiu, aby vydala osobitné usmernenia k uplatňovaniu a presadzovaniu tejto zásady vo všetkých politikách EÚ;</w:t>
            </w:r>
            <w:r>
              <w:t xml:space="preserve"> </w:t>
            </w:r>
            <w:r>
              <w:rPr>
                <w:b/>
                <w:i/>
              </w:rPr>
              <w:t>vyzýva na prísnejšie začlenenie tejto zásady ako prierezovej zásady do všetkých politík EÚ, aby podporovali ciele sociálnej, hospodárskej a územnej súdržnosti, ako sa uvádza v článkoch 3 a 174 ZFEÚ;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zdôrazňuje, že </w:t>
            </w:r>
            <w:r>
              <w:rPr>
                <w:b/>
                <w:i/>
              </w:rPr>
              <w:t>v rámci dotknutých oblastí treba v spolupráci s miestnymi</w:t>
            </w:r>
            <w:r>
              <w:t xml:space="preserve"> podnikmi </w:t>
            </w:r>
            <w:r>
              <w:rPr>
                <w:b/>
                <w:i/>
              </w:rPr>
              <w:t>rozvíjať programy učňovskej prípravy, aby tak študenti mohli zbierať skúsenosti vo</w:t>
            </w:r>
            <w:r>
              <w:t xml:space="preserve"> svojich </w:t>
            </w:r>
            <w:r>
              <w:rPr>
                <w:b/>
                <w:i/>
              </w:rPr>
              <w:t>komunitách a poskytlo sa im</w:t>
            </w:r>
            <w:r>
              <w:t xml:space="preserve"> „právo zostať“;</w:t>
            </w:r>
          </w:p>
        </w:tc>
        <w:tc>
          <w:tcPr>
            <w:tcW w:w="4876" w:type="dxa"/>
            <w:tcBorders>
              <w:top w:val="nil"/>
              <w:left w:val="nil"/>
              <w:bottom w:val="nil"/>
              <w:right w:val="nil"/>
            </w:tcBorders>
          </w:tcPr>
          <w:p>
            <w:pPr>
              <w:pStyle w:val="Normal6a"/>
            </w:pPr>
            <w:r>
              <w:t>9.</w:t>
            </w:r>
            <w:r>
              <w:tab/>
            </w:r>
            <w:r>
              <w:t xml:space="preserve">zdôrazňuje, že </w:t>
            </w:r>
            <w:r>
              <w:rPr>
                <w:b/>
                <w:i/>
              </w:rPr>
              <w:t>treba rozvíjať programy učňovskej prípravy a odbornej prípravy pre oblasti postihnuté procesom transformácie a podporovať spoluprácu medzi</w:t>
            </w:r>
            <w:r>
              <w:t xml:space="preserve"> podnikmi </w:t>
            </w:r>
            <w:r>
              <w:rPr>
                <w:b/>
                <w:i/>
              </w:rPr>
              <w:t>a miestnou komunitou;</w:t>
            </w:r>
            <w:r>
              <w:t xml:space="preserve"> </w:t>
            </w:r>
            <w:r>
              <w:rPr>
                <w:b/>
                <w:i/>
              </w:rPr>
              <w:t>zdôrazňuje, že vždy, keď súkromný sektor v tejto súvislosti nestačí, mal by zohrávať aktívnu úlohu aj verejný sektor, pričom by mal zabezpečiť, aby stážisti dostali príležitosti v rámci</w:t>
            </w:r>
            <w:r>
              <w:t xml:space="preserve"> svojich </w:t>
            </w:r>
            <w:r>
              <w:rPr>
                <w:b/>
                <w:i/>
              </w:rPr>
              <w:t>komunít, a aby sa zaručilo ich</w:t>
            </w:r>
            <w:r>
              <w:t xml:space="preserve"> „právo zostať“;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zdôrazňuje</w:t>
            </w:r>
            <w:r>
              <w:rPr>
                <w:b/>
                <w:i/>
              </w:rPr>
              <w:t>, že v rámci dotknutých oblastí treba</w:t>
            </w:r>
            <w:r>
              <w:t xml:space="preserve"> v spolupráci s miestnymi podnikmi </w:t>
            </w:r>
            <w:r>
              <w:rPr>
                <w:b/>
                <w:i/>
              </w:rPr>
              <w:t>rozvíjať programy učňovskej prípravy</w:t>
            </w:r>
            <w:r>
              <w:t xml:space="preserve">, aby tak študenti mohli zbierať skúsenosti vo svojich komunitách a </w:t>
            </w:r>
            <w:r>
              <w:rPr>
                <w:b/>
                <w:i/>
              </w:rPr>
              <w:t>poskytlo sa im „právo</w:t>
            </w:r>
            <w:r>
              <w:t xml:space="preserve"> zostať</w:t>
            </w:r>
            <w:r>
              <w:rPr>
                <w:b/>
                <w:i/>
              </w:rPr>
              <w:t>“</w:t>
            </w:r>
            <w:r>
              <w:t>;</w:t>
            </w:r>
          </w:p>
        </w:tc>
        <w:tc>
          <w:tcPr>
            <w:tcW w:w="4876" w:type="dxa"/>
            <w:tcBorders>
              <w:top w:val="nil"/>
              <w:left w:val="nil"/>
              <w:bottom w:val="nil"/>
              <w:right w:val="nil"/>
            </w:tcBorders>
          </w:tcPr>
          <w:p>
            <w:pPr>
              <w:pStyle w:val="Normal6a"/>
            </w:pPr>
            <w:r>
              <w:t>9.</w:t>
            </w:r>
            <w:r>
              <w:tab/>
            </w:r>
            <w:r>
              <w:t xml:space="preserve">zdôrazňuje </w:t>
            </w:r>
            <w:r>
              <w:rPr>
                <w:b/>
                <w:i/>
              </w:rPr>
              <w:t>potrebu rozvíjať programy učňovskej prípravy a rôzne programy pružného vzdelávania na všetkých úrovniach pre dotknuté oblasti</w:t>
            </w:r>
            <w:r>
              <w:t xml:space="preserve"> v spolupráci s miestnymi podnikmi, aby tak študenti </w:t>
            </w:r>
            <w:r>
              <w:rPr>
                <w:b/>
                <w:i/>
              </w:rPr>
              <w:t>a nezamestnaní pracovníci</w:t>
            </w:r>
            <w:r>
              <w:t xml:space="preserve"> mohli zbierať skúsenosti vo svojich komunitách a </w:t>
            </w:r>
            <w:r>
              <w:rPr>
                <w:b/>
                <w:i/>
              </w:rPr>
              <w:t>nových odborných oblastiach, čo im umožní</w:t>
            </w:r>
            <w:r>
              <w:t xml:space="preserve"> zostať </w:t>
            </w:r>
            <w:r>
              <w:rPr>
                <w:b/>
                <w:i/>
              </w:rPr>
              <w:t>a vybudovať si úspešný život vo svojich domovských mestách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zdôrazňuje, že v rámci dotknutých oblastí treba v spolupráci s miestnymi podnikmi rozvíjať programy učňovskej prípravy, </w:t>
            </w:r>
            <w:r>
              <w:rPr>
                <w:b/>
                <w:i/>
              </w:rPr>
              <w:t>aby tak študenti mohli zbierať skúsenosti vo svojich</w:t>
            </w:r>
            <w:r>
              <w:t xml:space="preserve"> komunitách </w:t>
            </w:r>
            <w:r>
              <w:rPr>
                <w:b/>
                <w:i/>
              </w:rPr>
              <w:t>a poskytlo</w:t>
            </w:r>
            <w:r>
              <w:t xml:space="preserve"> sa im „právo zostať“;</w:t>
            </w:r>
          </w:p>
        </w:tc>
        <w:tc>
          <w:tcPr>
            <w:tcW w:w="4876" w:type="dxa"/>
            <w:tcBorders>
              <w:top w:val="nil"/>
              <w:left w:val="nil"/>
              <w:bottom w:val="nil"/>
              <w:right w:val="nil"/>
            </w:tcBorders>
          </w:tcPr>
          <w:p>
            <w:pPr>
              <w:pStyle w:val="Normal6a"/>
            </w:pPr>
            <w:r>
              <w:t>9.</w:t>
            </w:r>
            <w:r>
              <w:tab/>
            </w:r>
            <w:r>
              <w:t>zdôrazňuje, že v rámci dotknutých oblastí treba v spolupráci s miestnymi podnikmi</w:t>
            </w:r>
            <w:r>
              <w:rPr>
                <w:b/>
                <w:i/>
              </w:rPr>
              <w:t>, inštitúciami vysokoškolského vzdelávania, centrami pre odbornú prípravu a celoživotné vzdelávanie a verejnou správou</w:t>
            </w:r>
            <w:r>
              <w:t xml:space="preserve"> rozvíjať programy učňovskej prípravy, </w:t>
            </w:r>
            <w:r>
              <w:rPr>
                <w:b/>
                <w:i/>
              </w:rPr>
              <w:t>s cieľom budovať profesionálnu budúcnosť študentov v ich</w:t>
            </w:r>
            <w:r>
              <w:t xml:space="preserve"> komunitách</w:t>
            </w:r>
            <w:r>
              <w:rPr>
                <w:b/>
                <w:i/>
              </w:rPr>
              <w:t>, čím</w:t>
            </w:r>
            <w:r>
              <w:t xml:space="preserve"> sa im </w:t>
            </w:r>
            <w:r>
              <w:rPr>
                <w:b/>
                <w:i/>
              </w:rPr>
              <w:t>poskytne</w:t>
            </w:r>
            <w:r>
              <w:t xml:space="preserve"> „právo zostať“;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Valentina Palmisano, 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zdôrazňuje, že v rámci dotknutých oblastí treba v spolupráci s miestnymi podnikmi rozvíjať programy učňovskej prípravy</w:t>
            </w:r>
            <w:r>
              <w:rPr>
                <w:b/>
                <w:i/>
              </w:rPr>
              <w:t>, aby tak študenti mohli zbierať skúsenosti vo svojich</w:t>
            </w:r>
            <w:r>
              <w:t xml:space="preserve"> komunitách a poskytlo sa im „právo zostať“;</w:t>
            </w:r>
          </w:p>
        </w:tc>
        <w:tc>
          <w:tcPr>
            <w:tcW w:w="4876" w:type="dxa"/>
            <w:tcBorders>
              <w:top w:val="nil"/>
              <w:left w:val="nil"/>
              <w:bottom w:val="nil"/>
              <w:right w:val="nil"/>
            </w:tcBorders>
          </w:tcPr>
          <w:p>
            <w:pPr>
              <w:pStyle w:val="Normal6a"/>
            </w:pPr>
            <w:r>
              <w:t>9.</w:t>
            </w:r>
            <w:r>
              <w:tab/>
            </w:r>
            <w:r>
              <w:t xml:space="preserve">zdôrazňuje, že v rámci dotknutých oblastí treba v spolupráci s miestnymi podnikmi </w:t>
            </w:r>
            <w:r>
              <w:rPr>
                <w:b/>
                <w:i/>
              </w:rPr>
              <w:t>a orgánmi verejnej správy</w:t>
            </w:r>
            <w:r>
              <w:t xml:space="preserve"> rozvíjať programy učňovskej prípravy </w:t>
            </w:r>
            <w:r>
              <w:rPr>
                <w:b/>
                <w:i/>
              </w:rPr>
              <w:t>s cieľom vybudovať ich profesionálnu budúcnosť v príslušných</w:t>
            </w:r>
            <w:r>
              <w:t xml:space="preserve"> komunitách</w:t>
            </w:r>
            <w:r>
              <w:rPr>
                <w:b/>
                <w:i/>
              </w:rPr>
              <w:t>, aby tak zbierali zmysluplné skúsenosti</w:t>
            </w:r>
            <w:r>
              <w:t xml:space="preserve"> a poskytlo sa im „právo zostať“;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zdôrazňuje, že v rámci dotknutých oblastí treba v spolupráci s miestnymi podnikmi rozvíjať programy učňovskej prípravy, aby tak študenti mohli zbierať skúsenosti vo svojich komunitách a poskytlo sa im „právo zostať“;</w:t>
            </w:r>
          </w:p>
        </w:tc>
        <w:tc>
          <w:tcPr>
            <w:tcW w:w="4876" w:type="dxa"/>
            <w:tcBorders>
              <w:top w:val="nil"/>
              <w:left w:val="nil"/>
              <w:bottom w:val="nil"/>
              <w:right w:val="nil"/>
            </w:tcBorders>
          </w:tcPr>
          <w:p>
            <w:pPr>
              <w:pStyle w:val="Normal6a"/>
            </w:pPr>
            <w:r>
              <w:t>9.</w:t>
            </w:r>
            <w:r>
              <w:tab/>
            </w:r>
            <w:r>
              <w:t>zdôrazňuje, že v rámci dotknutých oblastí treba v spolupráci s miestnymi podnikmi rozvíjať programy učňovskej prípravy, aby tak študenti mohli zbierať skúsenosti vo svojich komunitách a poskytlo sa im „právo zostať“</w:t>
            </w:r>
            <w:r>
              <w:rPr>
                <w:b/>
                <w:i/>
              </w:rPr>
              <w:t>, ktoré je z hľadiska politiky súdržnosti absolútnou prioritou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zdôrazňuje, že v rámci dotknutých oblastí treba v spolupráci s miestnymi podnikmi rozvíjať programy učňovskej prípravy, aby tak študenti mohli zbierať skúsenosti vo svojich komunitách a poskytlo sa im „právo zostať“;</w:t>
            </w:r>
          </w:p>
        </w:tc>
        <w:tc>
          <w:tcPr>
            <w:tcW w:w="4876" w:type="dxa"/>
            <w:tcBorders>
              <w:top w:val="nil"/>
              <w:left w:val="nil"/>
              <w:bottom w:val="nil"/>
              <w:right w:val="nil"/>
            </w:tcBorders>
          </w:tcPr>
          <w:p>
            <w:pPr>
              <w:pStyle w:val="Normal6a"/>
            </w:pPr>
            <w:r>
              <w:t>9.</w:t>
            </w:r>
            <w:r>
              <w:tab/>
            </w:r>
            <w:r>
              <w:t>zdôrazňuje, že v rámci dotknutých oblastí treba v spolupráci s miestnymi podnikmi</w:t>
            </w:r>
            <w:r>
              <w:rPr>
                <w:b/>
                <w:i/>
              </w:rPr>
              <w:t>, odborovými zväzmi, ako aj regionálnymi a miestnymi orgánmi</w:t>
            </w:r>
            <w:r>
              <w:t xml:space="preserve"> rozvíjať programy učňovskej prípravy, aby tak študenti mohli zbierať skúsenosti vo svojich komunitách a poskytlo sa im „právo zostať“;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zdôrazňuje, že účinné programy rekvalifikácie a zvyšovania úrovne zručností si pred akýmkoľvek postupným ukončením alebo významnou priemyselnou zmenou vyžadujú primerané plánovanie a prípravu v dostatočnom predstihu;</w:t>
            </w:r>
            <w:r>
              <w:t xml:space="preserve"> </w:t>
            </w:r>
            <w:r>
              <w:rPr>
                <w:b/>
                <w:i/>
              </w:rPr>
              <w:t>uznáva, že dosiahnutie tohto cieľa si vyžaduje zabezpečenie toho, aby pracovníci mali právo na platenú odbornú prípravu počas pracovného času, čí sa odstránia hlavné prekážky, ktoré pracovníkom bránia v účasti na odbornej príprave, konkrétne náklady, rodinné povinnosti a časové obmedzenia;</w:t>
            </w:r>
            <w:r>
              <w:t xml:space="preserve"> </w:t>
            </w:r>
            <w:r>
              <w:rPr>
                <w:b/>
                <w:i/>
              </w:rPr>
              <w:t>vyzýva preto na posilnenie legislatívnych opatrení EÚ s cieľom uľahčiť aktívne predvídanie a plánovanie potrieb v oblasti zručností a zabezpečiť tieto práva pre všetkých dotknutých pracovníkov;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zdôrazňuje, že účinné programy rekvalifikácie a zvyšovania úrovne zručností si pred akýmkoľvek postupným ukončením alebo významnou priemyselnou zmenou vyžadujú primerané plánovanie a prípravu v dostatočnom predstihu;</w:t>
            </w:r>
            <w:r>
              <w:t xml:space="preserve"> </w:t>
            </w:r>
            <w:r>
              <w:rPr>
                <w:b/>
                <w:i/>
              </w:rPr>
              <w:t>uznáva, že dosiahnutie tohto cieľa si vyžaduje zabezpečenie toho, aby pracovníci mali právo na platenú odbornú prípravu počas pracovného času, čí sa odstránia hlavné prekážky, ktoré pracovníkom bránia v účasti na odbornej príprave, konkrétne náklady, rodinné povinnosti a časové obmedzenia;</w:t>
            </w:r>
            <w:r>
              <w:t xml:space="preserve"> </w:t>
            </w:r>
            <w:r>
              <w:rPr>
                <w:b/>
                <w:i/>
              </w:rPr>
              <w:t>vyzýva preto na posilnenie legislatívnych opatrení EÚ s cieľom uľahčiť aktívne predvídanie a plánovanie potrieb v oblasti zručností a zabezpečiť tieto práva pre všetkých dotknutých pracovníkov;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vyzýva Komisiu, aby navrhla smernicu o spravodlivej transformácii vo svete práce s cieľom zabezpečiť spravodlivý rámec pre tieto transformácie s využitím nástrojov politiky súdržnosti na financovanie bezplatnej odbornej prípravy počas pracovného času, uznávanie nadobudnutých zručností a zvýšená podpora pre dotknutých pracovníkov;</w:t>
            </w:r>
            <w:r>
              <w:t xml:space="preserve"> </w:t>
            </w:r>
            <w:r>
              <w:rPr>
                <w:b/>
                <w:i/>
              </w:rPr>
              <w:t>naliehavo tiež vyzýva na väčšiu koordináciu medzi Fondom na spravodlivú transformáciu, Európskym sociálnym fondom+ a Európskym fondom regionálneho rozvoja s cieľom maximalizovať ich vplyv na presun a rekvalifikáciu pracovníkov postihnutých priemyselnými reštrukturalizáciami;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navrhuje vytvoriť regionálny mechanizmus na monitorovanie a hodnotenie vplyvu programov učňovskej prípravy so zapojením všetkých zainteresovaných strán – miestnych orgánov, zamestnávateľov, vzdelávacích inštitúcií a mladých ľudí.</w:t>
            </w:r>
            <w:r>
              <w:t xml:space="preserve"> </w:t>
            </w:r>
            <w:r>
              <w:rPr>
                <w:b/>
                <w:i/>
              </w:rPr>
              <w:t>Umožnilo by to rýchle prispôsobenie stratégií odbornej prípravy požiadavkám trhu práce a priamu spätnú väzbu od účastníkov, čím by sa zabezpečila udržateľnosť a efektívnosť učňovskej prípravy v dlhodobom horizonte;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zdôrazňuje, že zelená transformácia v mnohých prípadoch zničila hospodárske tradície, sociálne a hospodárske väzby v mnohých oblastiach, čo spôsobilo nielen hospodársku krízu, ale aj sociálnu krízu, ktorá sa okrem iného prejavuje duševnými problémami zamestnancov.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zdôrazňuje, že je dôležité dodržiavať zásadu partnerstva a Európsky kódex správania pre partnerstvo pri každom plánovaní, vykonávaní a monitorovaní politiky súdržnosti EÚ a nadviazať úzku spoluprácu medzi regionálnymi a miestnymi samosprávami, mimovládnymi organizáciami a zainteresovanými stranami vrátane environmentálnych MVO;</w:t>
            </w:r>
            <w:r>
              <w:t xml:space="preserve"> </w:t>
            </w:r>
            <w:r>
              <w:rPr>
                <w:b/>
                <w:i/>
              </w:rPr>
              <w:t>zdôrazňuje, že v tomto procese by sa malo zohľadniť aj rodové hľadisko;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domnieva sa, že v rámci spravodlivej transformácie sa prehliada špecifická situácia dotknutých pracovníkov na plný pracovný čas, pracovníkov na kratší pracovný čas a študentov; poukazuje na to, že poskytovaniu náhradného sezónneho zamestnania sa venovala len malá alebo žiadna pozornosť;</w:t>
            </w:r>
          </w:p>
        </w:tc>
        <w:tc>
          <w:tcPr>
            <w:tcW w:w="4876" w:type="dxa"/>
            <w:tcBorders>
              <w:top w:val="nil"/>
              <w:left w:val="nil"/>
              <w:bottom w:val="nil"/>
              <w:right w:val="nil"/>
            </w:tcBorders>
          </w:tcPr>
          <w:p>
            <w:pPr>
              <w:pStyle w:val="Normal6a"/>
            </w:pPr>
            <w:r>
              <w:t>10.</w:t>
            </w:r>
            <w:r>
              <w:tab/>
            </w:r>
            <w:r>
              <w:t>domnieva sa, že v rámci spravodlivej transformácie sa prehliada špecifická situácia dotknutých pracovníkov na plný pracovný čas, pracovníkov na kratší pracovný čas a študentov; poukazuje na to, že poskytovaniu náhradného sezónneho zamestnania sa venovala len malá alebo žiadna pozornosť</w:t>
            </w:r>
            <w:r>
              <w:rPr>
                <w:b/>
                <w:i/>
              </w:rPr>
              <w:t>, a zdôrazňuje potrebu dodatočnej podpory pre odľahlé oblasti, ako sú najvzdialenejšie regióny a ZKÚ, kde sú možnosti rekvalifikácie vzhľadom na osobitné miestne charakteristiky ich trhov práce obmedzenejšie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domnieva sa, že v rámci spravodlivej transformácie sa </w:t>
            </w:r>
            <w:r>
              <w:rPr>
                <w:b/>
                <w:i/>
              </w:rPr>
              <w:t>prehliada špecifická situácia dotknutých</w:t>
            </w:r>
            <w:r>
              <w:t xml:space="preserve"> pracovníkov </w:t>
            </w:r>
            <w:r>
              <w:rPr>
                <w:b/>
                <w:i/>
              </w:rPr>
              <w:t>na plný pracovný čas, pracovníkov na kratší pracovný čas a študentov;</w:t>
            </w:r>
            <w:r>
              <w:t xml:space="preserve"> </w:t>
            </w:r>
            <w:r>
              <w:rPr>
                <w:b/>
                <w:i/>
              </w:rPr>
              <w:t>poukazuje na to, že poskytovaniu náhradného sezónneho zamestnania sa venovala len malá alebo žiadna pozornosť</w:t>
            </w:r>
            <w:r>
              <w:t>;</w:t>
            </w:r>
          </w:p>
        </w:tc>
        <w:tc>
          <w:tcPr>
            <w:tcW w:w="4876" w:type="dxa"/>
            <w:tcBorders>
              <w:top w:val="nil"/>
              <w:left w:val="nil"/>
              <w:bottom w:val="nil"/>
              <w:right w:val="nil"/>
            </w:tcBorders>
          </w:tcPr>
          <w:p>
            <w:pPr>
              <w:pStyle w:val="Normal6a"/>
            </w:pPr>
            <w:r>
              <w:t>10.</w:t>
            </w:r>
            <w:r>
              <w:tab/>
            </w:r>
            <w:r>
              <w:t xml:space="preserve">domnieva sa, že v rámci spravodlivej transformácie sa </w:t>
            </w:r>
            <w:r>
              <w:rPr>
                <w:b/>
                <w:i/>
              </w:rPr>
              <w:t>dostatočne nezohľadnili osobitosti rôznych profilov</w:t>
            </w:r>
            <w:r>
              <w:t xml:space="preserve"> pracovníkov </w:t>
            </w:r>
            <w:r>
              <w:rPr>
                <w:b/>
                <w:i/>
              </w:rPr>
              <w:t>a dotknutých komunít;</w:t>
            </w:r>
            <w:r>
              <w:t xml:space="preserve"> </w:t>
            </w:r>
            <w:r>
              <w:rPr>
                <w:b/>
                <w:i/>
              </w:rPr>
              <w:t>vyjadruje tiež poľutovanie nad tým, že neboli vytvorené alternatívy sezónnej práce, a to ani ako zdroj dodatočného príjmu pre pracovníkov, ani ako príležitosť na získanie príjmu pre študentov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domnieva sa, že v rámci spravodlivej transformácie sa </w:t>
            </w:r>
            <w:r>
              <w:rPr>
                <w:b/>
                <w:i/>
              </w:rPr>
              <w:t>prehliada</w:t>
            </w:r>
            <w:r>
              <w:t xml:space="preserve"> špecifická situácia dotknutých pracovníkov na plný pracovný čas, pracovníkov na kratší pracovný čas a študentov; poukazuje na to, že poskytovaniu náhradného sezónneho zamestnania sa venovala len malá alebo žiadna pozornosť;</w:t>
            </w:r>
          </w:p>
        </w:tc>
        <w:tc>
          <w:tcPr>
            <w:tcW w:w="4876" w:type="dxa"/>
            <w:tcBorders>
              <w:top w:val="nil"/>
              <w:left w:val="nil"/>
              <w:bottom w:val="nil"/>
              <w:right w:val="nil"/>
            </w:tcBorders>
          </w:tcPr>
          <w:p>
            <w:pPr>
              <w:pStyle w:val="Normal6a"/>
            </w:pPr>
            <w:r>
              <w:t>10.</w:t>
            </w:r>
            <w:r>
              <w:tab/>
            </w:r>
            <w:r>
              <w:t xml:space="preserve">domnieva sa, že v rámci spravodlivej transformácie sa </w:t>
            </w:r>
            <w:r>
              <w:rPr>
                <w:b/>
                <w:i/>
              </w:rPr>
              <w:t>neuprednostňuje</w:t>
            </w:r>
            <w:r>
              <w:t xml:space="preserve"> špecifická situácia dotknutých pracovníkov na plný pracovný čas, pracovníkov na kratší pracovný čas a študentov; poukazuje na to, že poskytovaniu náhradného sezónneho zamestnania sa venovala len malá alebo žiadna pozornosť;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domnieva sa</w:t>
            </w:r>
            <w:r>
              <w:t xml:space="preserve">, že v rámci spravodlivej transformácie sa prehliada špecifická situácia dotknutých pracovníkov na plný pracovný čas, pracovníkov na kratší pracovný čas a študentov; </w:t>
            </w:r>
            <w:r>
              <w:rPr>
                <w:b/>
                <w:i/>
              </w:rPr>
              <w:t>poukazuje na to</w:t>
            </w:r>
            <w:r>
              <w:t>, že poskytovaniu náhradného sezónneho zamestnania sa venovala len malá alebo žiadna pozornosť;</w:t>
            </w:r>
          </w:p>
        </w:tc>
        <w:tc>
          <w:tcPr>
            <w:tcW w:w="4876" w:type="dxa"/>
            <w:tcBorders>
              <w:top w:val="nil"/>
              <w:left w:val="nil"/>
              <w:bottom w:val="nil"/>
              <w:right w:val="nil"/>
            </w:tcBorders>
          </w:tcPr>
          <w:p>
            <w:pPr>
              <w:pStyle w:val="Normal6a"/>
            </w:pPr>
            <w:r>
              <w:t>10.</w:t>
            </w:r>
            <w:r>
              <w:tab/>
            </w:r>
            <w:r>
              <w:rPr>
                <w:b/>
                <w:i/>
              </w:rPr>
              <w:t>konštatuje</w:t>
            </w:r>
            <w:r>
              <w:t xml:space="preserve">, že v rámci spravodlivej transformácie sa prehliada špecifická situácia dotknutých pracovníkov na plný pracovný čas, pracovníkov na kratší pracovný čas a študentov; </w:t>
            </w:r>
            <w:r>
              <w:rPr>
                <w:b/>
                <w:i/>
              </w:rPr>
              <w:t>konštatuje</w:t>
            </w:r>
            <w:r>
              <w:t>, že poskytovaniu náhradného sezónneho zamestnania sa venovala len malá alebo žiadna pozornosť;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varuje, že niektoré podniky v priemyselných odvetvia, ktoré boli zatvorené alebo sa práve zatvárajú, ponúkajú nadštandardné pracovné podmienky vrátane vyšších miezd, príspevkov za rizikovú prácu a zdravotného poistenia pre pracovníkov a ich rodiny;</w:t>
            </w:r>
            <w:r>
              <w:t xml:space="preserve"> </w:t>
            </w:r>
            <w:r>
              <w:rPr>
                <w:b/>
                <w:i/>
              </w:rPr>
              <w:t>zdôrazňuje preto potrebu dočasného financovania v rámci FST s cieľom kompenzovať rozdiel medzi dávkami v nezamestnanosti a novou mzdou, čo umožní plynulejší prechod a zabezpečí splnenie všetkých predtým prijatých zmluvných záväzkov;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zdôrazňuje potrebu </w:t>
            </w:r>
            <w:r>
              <w:rPr>
                <w:b/>
                <w:i/>
              </w:rPr>
              <w:t>financovania</w:t>
            </w:r>
            <w:r>
              <w:t xml:space="preserve"> rád pre vyššie vzdelávanie a odbornú prípravu s cieľom </w:t>
            </w:r>
            <w:r>
              <w:rPr>
                <w:b/>
                <w:i/>
              </w:rPr>
              <w:t>rekvalifikovať pracovníkov a ich rodiny, ktoré prišli o prácu, a to najmä osoby vo veku nad 50 rokov;</w:t>
            </w:r>
            <w:r>
              <w:t xml:space="preserve"> </w:t>
            </w:r>
            <w:r>
              <w:rPr>
                <w:b/>
                <w:i/>
              </w:rPr>
              <w:t>navrhuje, aby FST ponúkal príležitosti na rekvalifikáciu aj pre partnerov(-ky) a manželov(-ky) dotknutých pracovníkov</w:t>
            </w:r>
            <w:r>
              <w:t>;</w:t>
            </w:r>
          </w:p>
        </w:tc>
        <w:tc>
          <w:tcPr>
            <w:tcW w:w="4876" w:type="dxa"/>
            <w:tcBorders>
              <w:top w:val="nil"/>
              <w:left w:val="nil"/>
              <w:bottom w:val="nil"/>
              <w:right w:val="nil"/>
            </w:tcBorders>
          </w:tcPr>
          <w:p>
            <w:pPr>
              <w:pStyle w:val="Normal6a"/>
            </w:pPr>
            <w:r>
              <w:t>11.</w:t>
            </w:r>
            <w:r>
              <w:tab/>
            </w:r>
            <w:r>
              <w:t xml:space="preserve">zdôrazňuje potrebu </w:t>
            </w:r>
            <w:r>
              <w:rPr>
                <w:b/>
                <w:i/>
              </w:rPr>
              <w:t>doplniť financovanie</w:t>
            </w:r>
            <w:r>
              <w:t xml:space="preserve"> rád pre vyššie vzdelávanie a odbornú prípravu s cieľom </w:t>
            </w:r>
            <w:r>
              <w:rPr>
                <w:b/>
                <w:i/>
              </w:rPr>
              <w:t>zabezpečiť rekvalifikáciu pracovníkov, ktorí zvažujú zmenu svojho profesijného profilu, ako aj ich rodín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zdôrazňuje potrebu financovania rád pre vyššie vzdelávanie a odbornú prípravu s cieľom rekvalifikovať pracovníkov a ich rodiny, ktoré prišli o prácu, a to najmä osoby vo veku nad 50 rokov; navrhuje, aby FST ponúkal príležitosti na rekvalifikáciu aj pre partnerov(-ky) a manželov(-ky) dotknutých pracovníkov;</w:t>
            </w:r>
          </w:p>
        </w:tc>
        <w:tc>
          <w:tcPr>
            <w:tcW w:w="4876" w:type="dxa"/>
            <w:tcBorders>
              <w:top w:val="nil"/>
              <w:left w:val="nil"/>
              <w:bottom w:val="nil"/>
              <w:right w:val="nil"/>
            </w:tcBorders>
          </w:tcPr>
          <w:p>
            <w:pPr>
              <w:pStyle w:val="Normal6a"/>
            </w:pPr>
            <w:r>
              <w:t>11.</w:t>
            </w:r>
            <w:r>
              <w:tab/>
            </w:r>
            <w:r>
              <w:t xml:space="preserve">zdôrazňuje potrebu financovania rád pre vyššie vzdelávanie a odbornú prípravu s cieľom rekvalifikovať pracovníkov a ich rodiny, ktoré prišli o prácu, a to najmä osoby vo veku nad 50 rokov </w:t>
            </w:r>
            <w:r>
              <w:rPr>
                <w:b/>
                <w:i/>
              </w:rPr>
              <w:t>a predovšetkým ženy</w:t>
            </w:r>
            <w:r>
              <w:t>; navrhuje, aby FST ponúkal príležitosti na rekvalifikáciu aj pre partnerov(-ky) a manželov(-ky) dotknutých pracovníkov;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zdôrazňuje potrebu financovania rád pre vyššie vzdelávanie a odbornú prípravu s cieľom rekvalifikovať pracovníkov a ich rodiny, ktoré prišli o prácu, a to najmä osoby vo veku nad 50 rokov; navrhuje, aby FST ponúkal príležitosti na rekvalifikáciu aj pre partnerov(-ky) a manželov(-ky) dotknutých pracovníkov;</w:t>
            </w:r>
          </w:p>
        </w:tc>
        <w:tc>
          <w:tcPr>
            <w:tcW w:w="4876" w:type="dxa"/>
            <w:tcBorders>
              <w:top w:val="nil"/>
              <w:left w:val="nil"/>
              <w:bottom w:val="nil"/>
              <w:right w:val="nil"/>
            </w:tcBorders>
          </w:tcPr>
          <w:p>
            <w:pPr>
              <w:pStyle w:val="Normal6a"/>
            </w:pPr>
            <w:r>
              <w:t>11.</w:t>
            </w:r>
            <w:r>
              <w:tab/>
            </w:r>
            <w:r>
              <w:t xml:space="preserve">zdôrazňuje potrebu financovania rád pre vyššie vzdelávanie a odbornú prípravu s cieľom rekvalifikovať pracovníkov a ich rodiny, ktoré prišli o prácu, a to najmä osoby vo veku nad 50 rokov; navrhuje, aby FST ponúkal príležitosti na rekvalifikáciu </w:t>
            </w:r>
            <w:r>
              <w:rPr>
                <w:b/>
                <w:i/>
              </w:rPr>
              <w:t>a vzdelávanie</w:t>
            </w:r>
            <w:r>
              <w:t xml:space="preserve"> aj pre partnerov(-ky) a manželov(-ky) dotknutých pracovníkov;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zdôrazňuje potrebu financovania rád pre vyššie vzdelávanie a odbornú prípravu s cieľom rekvalifikovať pracovníkov a ich rodiny, ktoré prišli o prácu, a to najmä osoby vo veku nad 50 rokov; navrhuje, aby FST ponúkal príležitosti na rekvalifikáciu aj pre </w:t>
            </w:r>
            <w:r>
              <w:rPr>
                <w:b/>
                <w:i/>
              </w:rPr>
              <w:t>partnerov(-ky) a manželov(-ky)</w:t>
            </w:r>
            <w:r>
              <w:t xml:space="preserve"> dotknutých pracovníkov;</w:t>
            </w:r>
          </w:p>
        </w:tc>
        <w:tc>
          <w:tcPr>
            <w:tcW w:w="4876" w:type="dxa"/>
            <w:tcBorders>
              <w:top w:val="nil"/>
              <w:left w:val="nil"/>
              <w:bottom w:val="nil"/>
              <w:right w:val="nil"/>
            </w:tcBorders>
          </w:tcPr>
          <w:p>
            <w:pPr>
              <w:pStyle w:val="Normal6a"/>
            </w:pPr>
            <w:r>
              <w:t>11.</w:t>
            </w:r>
            <w:r>
              <w:tab/>
            </w:r>
            <w:r>
              <w:t xml:space="preserve">zdôrazňuje potrebu financovania rád pre vyššie vzdelávanie a odbornú prípravu s cieľom rekvalifikovať pracovníkov a ich rodiny, ktoré prišli o prácu, a to najmä osoby vo veku nad 50 rokov; navrhuje, aby FST ponúkal príležitosti na rekvalifikáciu aj pre </w:t>
            </w:r>
            <w:r>
              <w:rPr>
                <w:b/>
                <w:i/>
              </w:rPr>
              <w:t>rodinných príslušníkov</w:t>
            </w:r>
            <w:r>
              <w:t xml:space="preserve"> dotknutých pracovníkov;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zdôrazňuje potrebu financovania rád pre vyššie vzdelávanie a odbornú prípravu s cieľom rekvalifikovať pracovníkov a ich rodiny, ktoré prišli o prácu, a to najmä osoby vo veku nad 50 rokov; navrhuje, aby FST ponúkal príležitosti na rekvalifikáciu </w:t>
            </w:r>
            <w:r>
              <w:rPr>
                <w:b/>
                <w:i/>
              </w:rPr>
              <w:t>aj pre partnerov(-ky) a manželov(-ky) dotknutých pracovníkov</w:t>
            </w:r>
            <w:r>
              <w:t>;</w:t>
            </w:r>
          </w:p>
        </w:tc>
        <w:tc>
          <w:tcPr>
            <w:tcW w:w="4876" w:type="dxa"/>
            <w:tcBorders>
              <w:top w:val="nil"/>
              <w:left w:val="nil"/>
              <w:bottom w:val="nil"/>
              <w:right w:val="nil"/>
            </w:tcBorders>
          </w:tcPr>
          <w:p>
            <w:pPr>
              <w:pStyle w:val="Normal6a"/>
            </w:pPr>
            <w:r>
              <w:t>11.</w:t>
            </w:r>
            <w:r>
              <w:tab/>
            </w:r>
            <w:r>
              <w:t xml:space="preserve">zdôrazňuje potrebu financovania rád pre vyššie vzdelávanie a odbornú prípravu s cieľom rekvalifikovať pracovníkov a ich rodiny, ktoré prišli o prácu, a to najmä osoby vo veku nad 50 rokov; navrhuje, aby FST </w:t>
            </w:r>
            <w:r>
              <w:rPr>
                <w:b/>
                <w:i/>
              </w:rPr>
              <w:t>naďalej</w:t>
            </w:r>
            <w:r>
              <w:t xml:space="preserve"> ponúkal príležitosti na rekvalifikáciu </w:t>
            </w:r>
            <w:r>
              <w:rPr>
                <w:b/>
                <w:i/>
              </w:rPr>
              <w:t>uchádzačom o zamestnanie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upozorňuje na nezamestnanosť vo všeobecnosti i nezamestnanosť mladých ľudí, najmä v mnohých regiónoch, vidieckych oblastiach a členských štátoch, a preto zdôrazňuje potrebu dostupnosti cenovo dostupného bývania, dopravy a vzdelávania, ako aj začlenenia príslušníkov mladých generácií, zvlášť tých, ktorí pochádzajú z nízkopríjmových domácností;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zdôrazňuje, že členské štáty musia v súvislosti s novými projektmi zamestnanosti v rámci FST uprednostniť prístup k pozemkom a budovám vo vlastníctve štátu a že tento proces by mal podliehať dohľadu;</w:t>
            </w:r>
          </w:p>
        </w:tc>
        <w:tc>
          <w:tcPr>
            <w:tcW w:w="4876" w:type="dxa"/>
            <w:tcBorders>
              <w:top w:val="nil"/>
              <w:left w:val="nil"/>
              <w:bottom w:val="nil"/>
              <w:right w:val="nil"/>
            </w:tcBorders>
          </w:tcPr>
          <w:p>
            <w:pPr>
              <w:pStyle w:val="Normal6a"/>
            </w:pPr>
            <w:r>
              <w:t>12.</w:t>
            </w:r>
            <w:r>
              <w:tab/>
            </w:r>
            <w:r>
              <w:t>zdôrazňuje, že členské štáty musia v súvislosti s novými projektmi zamestnanosti v rámci FST uprednostniť prístup k pozemkom a budovám vo vlastníctve štátu</w:t>
            </w:r>
            <w:r>
              <w:rPr>
                <w:b/>
                <w:i/>
              </w:rPr>
              <w:t>, najmä v odvetviach energie z obnoviteľných zdrojov, energetickej obnovy alebo zelenej reindustrializácie,</w:t>
            </w:r>
            <w:r>
              <w:t xml:space="preserve"> a že tento proces by mal podliehať dohľadu;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zdôrazňuje, že členské štáty musia v súvislosti s novými projektmi zamestnanosti v rámci FST uprednostniť prístup k pozemkom </w:t>
            </w:r>
            <w:r>
              <w:rPr>
                <w:b/>
                <w:i/>
              </w:rPr>
              <w:t>a budovám</w:t>
            </w:r>
            <w:r>
              <w:t xml:space="preserve"> vo vlastníctve štátu a že tento proces by mal podliehať dohľadu;</w:t>
            </w:r>
          </w:p>
        </w:tc>
        <w:tc>
          <w:tcPr>
            <w:tcW w:w="4876" w:type="dxa"/>
            <w:tcBorders>
              <w:top w:val="nil"/>
              <w:left w:val="nil"/>
              <w:bottom w:val="nil"/>
              <w:right w:val="nil"/>
            </w:tcBorders>
          </w:tcPr>
          <w:p>
            <w:pPr>
              <w:pStyle w:val="Normal6a"/>
            </w:pPr>
            <w:r>
              <w:t>12.</w:t>
            </w:r>
            <w:r>
              <w:tab/>
            </w:r>
            <w:r>
              <w:t xml:space="preserve">zdôrazňuje, že členské štáty musia v súvislosti s novými projektmi zamestnanosti </w:t>
            </w:r>
            <w:r>
              <w:rPr>
                <w:b/>
                <w:i/>
              </w:rPr>
              <w:t>(vrátane oblasti energie z obnoviteľných zdrojov)</w:t>
            </w:r>
            <w:r>
              <w:t xml:space="preserve"> v rámci FST uprednostniť prístup k pozemkom</w:t>
            </w:r>
            <w:r>
              <w:rPr>
                <w:b/>
                <w:i/>
              </w:rPr>
              <w:t>, budovám a iným aktívam</w:t>
            </w:r>
            <w:r>
              <w:t xml:space="preserve"> vo vlastníctve štátu a že tento proces by mal podliehať dohľadu;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zdôrazňuje, že členské štáty musia v súvislosti s novými projektmi zamestnanosti v rámci FST uprednostniť prístup k pozemkom a budovám vo vlastníctve štátu a že tento proces by mal podliehať dohľadu;</w:t>
            </w:r>
          </w:p>
        </w:tc>
        <w:tc>
          <w:tcPr>
            <w:tcW w:w="4876" w:type="dxa"/>
            <w:tcBorders>
              <w:top w:val="nil"/>
              <w:left w:val="nil"/>
              <w:bottom w:val="nil"/>
              <w:right w:val="nil"/>
            </w:tcBorders>
          </w:tcPr>
          <w:p>
            <w:pPr>
              <w:pStyle w:val="Normal6a"/>
            </w:pPr>
            <w:r>
              <w:t>12.</w:t>
            </w:r>
            <w:r>
              <w:tab/>
            </w:r>
            <w:r>
              <w:t xml:space="preserve">zdôrazňuje, že členské štáty musia v súvislosti s novými projektmi zamestnanosti v rámci FST </w:t>
            </w:r>
            <w:r>
              <w:rPr>
                <w:b/>
                <w:i/>
              </w:rPr>
              <w:t>podľa možnosti</w:t>
            </w:r>
            <w:r>
              <w:t xml:space="preserve"> uprednostniť prístup k pozemkom a budovám vo vlastníctve štátu a že tento proces by mal podliehať dohľadu;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zdôrazňuje, že členské štáty musia v súvislosti s novými projektmi zamestnanosti v rámci FST uprednostniť prístup k pozemkom a budovám vo vlastníctve štátu a že tento proces by mal podliehať dohľadu;</w:t>
            </w:r>
          </w:p>
        </w:tc>
        <w:tc>
          <w:tcPr>
            <w:tcW w:w="4876" w:type="dxa"/>
            <w:tcBorders>
              <w:top w:val="nil"/>
              <w:left w:val="nil"/>
              <w:bottom w:val="nil"/>
              <w:right w:val="nil"/>
            </w:tcBorders>
          </w:tcPr>
          <w:p>
            <w:pPr>
              <w:pStyle w:val="Normal6a"/>
            </w:pPr>
            <w:r>
              <w:t>12.</w:t>
            </w:r>
            <w:r>
              <w:tab/>
            </w:r>
            <w:r>
              <w:t xml:space="preserve">zdôrazňuje, že členské štáty musia v súvislosti s novými projektmi zamestnanosti v rámci FST uprednostniť prístup k pozemkom a budovám vo vlastníctve štátu a že tento proces by mal podliehať dohľadu </w:t>
            </w:r>
            <w:r>
              <w:rPr>
                <w:b/>
                <w:i/>
              </w:rPr>
              <w:t>a monitorovaniu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zdôrazňuje, že </w:t>
            </w:r>
            <w:r>
              <w:rPr>
                <w:b/>
                <w:i/>
              </w:rPr>
              <w:t>členské štáty musia v súvislosti s novými projektmi zamestnanosti</w:t>
            </w:r>
            <w:r>
              <w:t xml:space="preserve"> v rámci FST </w:t>
            </w:r>
            <w:r>
              <w:rPr>
                <w:b/>
                <w:i/>
              </w:rPr>
              <w:t>uprednostniť prístup k pozemkom a budovám vo vlastníctve štátu a že tento proces by mal podliehať dohľadu</w:t>
            </w:r>
            <w:r>
              <w:t>;</w:t>
            </w:r>
          </w:p>
        </w:tc>
        <w:tc>
          <w:tcPr>
            <w:tcW w:w="4876" w:type="dxa"/>
            <w:tcBorders>
              <w:top w:val="nil"/>
              <w:left w:val="nil"/>
              <w:bottom w:val="nil"/>
              <w:right w:val="nil"/>
            </w:tcBorders>
          </w:tcPr>
          <w:p>
            <w:pPr>
              <w:pStyle w:val="Normal6a"/>
            </w:pPr>
            <w:r>
              <w:t>12.</w:t>
            </w:r>
            <w:r>
              <w:tab/>
            </w:r>
            <w:r>
              <w:t xml:space="preserve">zdôrazňuje, že </w:t>
            </w:r>
            <w:r>
              <w:rPr>
                <w:b/>
                <w:i/>
              </w:rPr>
              <w:t>projekty</w:t>
            </w:r>
            <w:r>
              <w:t xml:space="preserve"> v rámci FST </w:t>
            </w:r>
            <w:r>
              <w:rPr>
                <w:b/>
                <w:i/>
              </w:rPr>
              <w:t>by mali byť koordinované a prepojené s miestnymi a vnútroštátnymi stratégiami a iniciatívami s cieľom zvýšiť ich vplyv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zdôrazňuje, že členské štáty musia v súvislosti s novými projektmi zamestnanosti v rámci FST uprednostniť prístup k pozemkom a budovám vo vlastníctve štátu a že tento proces by mal podliehať dohľadu;</w:t>
            </w:r>
          </w:p>
        </w:tc>
        <w:tc>
          <w:tcPr>
            <w:tcW w:w="4876" w:type="dxa"/>
            <w:tcBorders>
              <w:top w:val="nil"/>
              <w:left w:val="nil"/>
              <w:bottom w:val="nil"/>
              <w:right w:val="nil"/>
            </w:tcBorders>
          </w:tcPr>
          <w:p>
            <w:pPr>
              <w:pStyle w:val="Normal6a"/>
            </w:pPr>
            <w:r>
              <w:t>12.</w:t>
            </w:r>
            <w:r>
              <w:tab/>
            </w:r>
            <w:r>
              <w:t>zdôrazňuje, že členské štáty musia v súvislosti s novými projektmi zamestnanosti v rámci FST uprednostniť prístup k pozemkom a budovám vo vlastníctve štátu a že tento proces by mal podliehať dohľadu;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zdôrazňuje, že členské štáty </w:t>
            </w:r>
            <w:r>
              <w:rPr>
                <w:b/>
                <w:i/>
              </w:rPr>
              <w:t>musia v súvislosti s novými projektmi zamestnanosti v rámci FST uprednostniť prístup k pozemkom a budovám vo vlastníctve štátu a že tento proces by mal podliehať dohľadu</w:t>
            </w:r>
            <w:r>
              <w:t>;</w:t>
            </w:r>
          </w:p>
        </w:tc>
        <w:tc>
          <w:tcPr>
            <w:tcW w:w="4876" w:type="dxa"/>
            <w:tcBorders>
              <w:top w:val="nil"/>
              <w:left w:val="nil"/>
              <w:bottom w:val="nil"/>
              <w:right w:val="nil"/>
            </w:tcBorders>
          </w:tcPr>
          <w:p>
            <w:pPr>
              <w:pStyle w:val="Normal6a"/>
            </w:pPr>
            <w:r>
              <w:t>12.</w:t>
            </w:r>
            <w:r>
              <w:tab/>
            </w:r>
            <w:r>
              <w:t xml:space="preserve">zdôrazňuje, že členské štáty </w:t>
            </w:r>
            <w:r>
              <w:rPr>
                <w:b/>
                <w:i/>
              </w:rPr>
              <w:t>by mali vždy, keď je to možné, rekonštruovať a obnoviť budovy v súvislosti s projektmi financovanými v rámci FST alebo zmeniť ich účel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zdôrazňuje, že verejné financovanie poskytované prostredníctvom FST, ESF+, iných programov financovania EÚ a vnútroštátnych systémov by malo byť podmienené jasnými záväzkami podnikov investovať do zvyšovania úrovne zručností a rekvalifikácie pracovníkov;</w:t>
            </w:r>
            <w:r>
              <w:t xml:space="preserve"> </w:t>
            </w:r>
            <w:r>
              <w:rPr>
                <w:b/>
                <w:i/>
              </w:rPr>
              <w:t>zdôrazňuje, že silné sociálne podmienky výslovne spojené s odbornou prípravou pracovnej sily zabezpečujú, aby prechodné opatrenia nielen chránili zamestnanosť, ale aj zvyšovali dlhodobú zamestnateľnosť pracovníkov;</w:t>
            </w:r>
            <w:r>
              <w:t xml:space="preserve"> </w:t>
            </w:r>
            <w:r>
              <w:rPr>
                <w:b/>
                <w:i/>
              </w:rPr>
              <w:t>vyzýva preto Komisiu a členské štáty, aby systematicky začleňovali požiadavky na investície do zručností do všetkých príslušných nástrojov financovania;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so znepokojením konštatuje, že v posledných rokoch došlo k výraznému poklesu primeranej úrovne vnútroštátneho financovania členských štátov vo vzťahu k ich chudobnejším regiónom;</w:t>
            </w:r>
            <w:r>
              <w:t xml:space="preserve"> </w:t>
            </w:r>
            <w:r>
              <w:rPr>
                <w:b/>
                <w:i/>
              </w:rPr>
              <w:t>pripomína, že je dôležité dodržiavať pravidlo EÚ o doplnkovosti;</w:t>
            </w:r>
            <w:r>
              <w:t xml:space="preserve"> </w:t>
            </w:r>
            <w:r>
              <w:rPr>
                <w:b/>
                <w:i/>
              </w:rPr>
              <w:t>vyzýva Komisiu, aby zabezpečila, že vnútroštátne orgány budú pri navrhovaní a realizácii projektov štrukturálnych a investičných fondov náležite zohľadňovať aj vnútornú súdržnosť;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pripomína</w:t>
            </w:r>
            <w:r>
              <w:t>, že demografické zmeny a migrácia vedú v niektorých regiónoch EÚ k neustálemu odlivu mladých a kvalifikovaných pracovníkov, čo postihuje najmä vidiecke oblasti;</w:t>
            </w:r>
          </w:p>
        </w:tc>
        <w:tc>
          <w:tcPr>
            <w:tcW w:w="4876" w:type="dxa"/>
            <w:tcBorders>
              <w:top w:val="nil"/>
              <w:left w:val="nil"/>
              <w:bottom w:val="nil"/>
              <w:right w:val="nil"/>
            </w:tcBorders>
          </w:tcPr>
          <w:p>
            <w:pPr>
              <w:pStyle w:val="Normal6a"/>
            </w:pPr>
            <w:r>
              <w:t>13.</w:t>
            </w:r>
            <w:r>
              <w:tab/>
            </w:r>
            <w:r>
              <w:rPr>
                <w:b/>
                <w:i/>
              </w:rPr>
              <w:t>vyjadruje poľutovanie nad tým</w:t>
            </w:r>
            <w:r>
              <w:t xml:space="preserve">, že demografické zmeny a migrácia vedú v niektorých regiónoch EÚ k neustálemu odlivu mladých a kvalifikovaných pracovníkov, čo postihuje najmä vidiecke oblasti; </w:t>
            </w:r>
            <w:r>
              <w:rPr>
                <w:b/>
                <w:i/>
              </w:rPr>
              <w:t>pripomína, že takáto migrácia a vyľudňovanie vážne ovplyvňujú konkurencieschopnosť, hospodársky rast, potravinovú bezpečnosť, produktivitu a udržateľnosť;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pripomína, že demografické zmeny a migrácia vedú v niektorých regiónoch EÚ k neustálemu odlivu mladých a kvalifikovaných pracovníkov, čo postihuje najmä vidiecke oblasti;</w:t>
            </w:r>
          </w:p>
        </w:tc>
        <w:tc>
          <w:tcPr>
            <w:tcW w:w="4876" w:type="dxa"/>
            <w:tcBorders>
              <w:top w:val="nil"/>
              <w:left w:val="nil"/>
              <w:bottom w:val="nil"/>
              <w:right w:val="nil"/>
            </w:tcBorders>
          </w:tcPr>
          <w:p>
            <w:pPr>
              <w:pStyle w:val="Normal6a"/>
            </w:pPr>
            <w:r>
              <w:t>13.</w:t>
            </w:r>
            <w:r>
              <w:tab/>
            </w:r>
            <w:r>
              <w:t xml:space="preserve">pripomína, že demografické zmeny a migrácia vedú v niektorých regiónoch EÚ k neustálemu odlivu mladých a kvalifikovaných pracovníkov, čo postihuje najmä vidiecke oblasti; </w:t>
            </w:r>
            <w:r>
              <w:rPr>
                <w:b/>
                <w:i/>
              </w:rPr>
              <w:t>pripomína význam pevných vzťahov medzi vidiekom a mestom, ako aj osobitnú podporu pre ženy žijúce na vidieku;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pripomína, že demografické zmeny a migrácia vedú v niektorých regiónoch EÚ k neustálemu odlivu mladých a kvalifikovaných pracovníkov, čo postihuje najmä vidiecke oblasti;</w:t>
            </w:r>
          </w:p>
        </w:tc>
        <w:tc>
          <w:tcPr>
            <w:tcW w:w="4876" w:type="dxa"/>
            <w:tcBorders>
              <w:top w:val="nil"/>
              <w:left w:val="nil"/>
              <w:bottom w:val="nil"/>
              <w:right w:val="nil"/>
            </w:tcBorders>
          </w:tcPr>
          <w:p>
            <w:pPr>
              <w:pStyle w:val="Normal6a"/>
            </w:pPr>
            <w:r>
              <w:t>13.</w:t>
            </w:r>
            <w:r>
              <w:tab/>
            </w:r>
            <w:r>
              <w:t xml:space="preserve">pripomína, že demografické zmeny a migrácia </w:t>
            </w:r>
            <w:r>
              <w:rPr>
                <w:b/>
                <w:i/>
              </w:rPr>
              <w:t>v Európskej únii a mimo nej</w:t>
            </w:r>
            <w:r>
              <w:t xml:space="preserve"> vedú v niektorých regiónoch EÚ k neustálemu odlivu mladých a kvalifikovaných pracovníkov, čo postihuje najmä vidiecke oblasti</w:t>
            </w:r>
            <w:r>
              <w:rPr>
                <w:b/>
                <w:i/>
              </w:rPr>
              <w:t>, pričom obzvlášť zasiahnuté sú vidiecke oblasti, vnútrozemské oblasti a najvzdialenejšie regióny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pripomína, že demografické zmeny a migrácia vedú v niektorých regiónoch EÚ k neustálemu odlivu mladých a kvalifikovaných pracovníkov, čo postihuje najmä vidiecke oblasti;</w:t>
            </w:r>
          </w:p>
        </w:tc>
        <w:tc>
          <w:tcPr>
            <w:tcW w:w="4876" w:type="dxa"/>
            <w:tcBorders>
              <w:top w:val="nil"/>
              <w:left w:val="nil"/>
              <w:bottom w:val="nil"/>
              <w:right w:val="nil"/>
            </w:tcBorders>
          </w:tcPr>
          <w:p>
            <w:pPr>
              <w:pStyle w:val="Normal6a"/>
            </w:pPr>
            <w:r>
              <w:t>13.</w:t>
            </w:r>
            <w:r>
              <w:tab/>
            </w:r>
            <w:r>
              <w:t xml:space="preserve">pripomína, že demografické zmeny a migrácia vedú v niektorých regiónoch EÚ k neustálemu odlivu mladých a kvalifikovaných pracovníkov, čo postihuje najmä vidiecke oblasti; </w:t>
            </w:r>
            <w:r>
              <w:rPr>
                <w:b/>
                <w:i/>
              </w:rPr>
              <w:t>zdôrazňuje strategický význam otázky „práva zostať“;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pripomína, že demografické zmeny a migrácia vedú v niektorých regiónoch EÚ k neustálemu odlivu mladých a kvalifikovaných pracovníkov, čo postihuje najmä vidiecke oblasti;</w:t>
            </w:r>
          </w:p>
        </w:tc>
        <w:tc>
          <w:tcPr>
            <w:tcW w:w="4876" w:type="dxa"/>
            <w:tcBorders>
              <w:top w:val="nil"/>
              <w:left w:val="nil"/>
              <w:bottom w:val="nil"/>
              <w:right w:val="nil"/>
            </w:tcBorders>
          </w:tcPr>
          <w:p>
            <w:pPr>
              <w:pStyle w:val="Normal6a"/>
            </w:pPr>
            <w:r>
              <w:t>13.</w:t>
            </w:r>
            <w:r>
              <w:tab/>
            </w:r>
            <w:r>
              <w:t>pripomína, že demografické zmeny a migrácia vedú v niektorých regiónoch EÚ k neustálemu odlivu mladých a kvalifikovaných pracovníkov, čo postihuje najmä vidiecke oblasti</w:t>
            </w:r>
            <w:r>
              <w:rPr>
                <w:b/>
                <w:i/>
              </w:rPr>
              <w:t>, ostrovy a odľahlé oblasti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pripomína, že demografické zmeny a migrácia vedú v niektorých regiónoch EÚ k neustálemu odlivu mladých a kvalifikovaných pracovníkov, čo postihuje najmä vidiecke oblasti;</w:t>
            </w:r>
          </w:p>
        </w:tc>
        <w:tc>
          <w:tcPr>
            <w:tcW w:w="4876" w:type="dxa"/>
            <w:tcBorders>
              <w:top w:val="nil"/>
              <w:left w:val="nil"/>
              <w:bottom w:val="nil"/>
              <w:right w:val="nil"/>
            </w:tcBorders>
          </w:tcPr>
          <w:p>
            <w:pPr>
              <w:pStyle w:val="Normal6a"/>
            </w:pPr>
            <w:r>
              <w:t>13.</w:t>
            </w:r>
            <w:r>
              <w:tab/>
            </w:r>
            <w:r>
              <w:t xml:space="preserve">pripomína, že demografické zmeny a migrácia vedú v niektorých </w:t>
            </w:r>
            <w:r>
              <w:rPr>
                <w:b/>
                <w:i/>
              </w:rPr>
              <w:t>uhoľných</w:t>
            </w:r>
            <w:r>
              <w:t xml:space="preserve"> regiónoch EÚ k neustálemu odlivu mladých a kvalifikovaných pracovníkov, čo postihuje najmä vidiecke oblasti;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poukazuje na to, že regióny postihnuté ekologickou transformáciou čelia nedostatku zručností a pracovnej sily, zatiaľ čo v mnohých častiach Európy pretrváva kríza v oblasti bývania a preplnenosť v mestských oblastiach, a navrhuje vytvorenie programu cenovo dostupného bývania v týchto regiónoch.</w:t>
            </w:r>
            <w:r>
              <w:t xml:space="preserve"> </w:t>
            </w:r>
            <w:r>
              <w:rPr>
                <w:b/>
                <w:i/>
              </w:rPr>
              <w:t>Tento program by mal prilákať mladých ľudí, a tým prispieť k hospodárskej a sociálnej revitalizácii týchto oblastí;</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zdôrazňuje, že je naliehavo potrebné začleniť demografické aspekty do budúcich rozpočtových rámcov EÚ;</w:t>
            </w:r>
            <w:r>
              <w:t xml:space="preserve"> </w:t>
            </w:r>
            <w:r>
              <w:rPr>
                <w:b/>
                <w:i/>
              </w:rPr>
              <w:t>vyzýva na začlenenie demografických ukazovateľov, regionálnych cieľov a pružných politických nástrojov na podporu území neúmerne postihnutých starnutím obyvateľstva, odchodom mladých ľudí alebo trvalým úbytkom obyvateľstva;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zdôrazňuje, že je potrebné, aby Komisia schválila „sociálne dohody“ pre zamestnancov na roky 2025 – 2049;</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zdôrazňuje, že je potrebné, aby Komisia schválila „sociálne dohody“ pre zamestnancov na roky 2025 – 2049;</w:t>
            </w:r>
          </w:p>
        </w:tc>
        <w:tc>
          <w:tcPr>
            <w:tcW w:w="4876" w:type="dxa"/>
            <w:tcBorders>
              <w:top w:val="nil"/>
              <w:left w:val="nil"/>
              <w:bottom w:val="nil"/>
              <w:right w:val="nil"/>
            </w:tcBorders>
          </w:tcPr>
          <w:p>
            <w:pPr>
              <w:pStyle w:val="Normal6a"/>
            </w:pPr>
            <w:r>
              <w:t>14.</w:t>
            </w:r>
            <w:r>
              <w:tab/>
            </w:r>
            <w:r>
              <w:t>zdôrazňuje, že je potrebné, aby Komisia schválila „sociálne dohody“ pre zamestnancov na roky 2025 – 2049</w:t>
            </w:r>
            <w:r>
              <w:rPr>
                <w:b/>
                <w:i/>
              </w:rPr>
              <w:t>, a ako dodatočné kritérium prideľovania finančných prostriedkov z FST zahrnula vyľudňovanie území, ktoré už ukončili vyraďovanie svojich zariadení s vysokými emisiami uhlíka z prevádzky, ako je to v prípade Španielska, kde niektoré obce zaznamenali demografickú stratu až do výšky 50 %</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zdôrazňuje, že je potrebné, aby Komisia schválila „sociálne dohody“ pre zamestnancov na roky 2025 – 2049;</w:t>
            </w:r>
          </w:p>
        </w:tc>
        <w:tc>
          <w:tcPr>
            <w:tcW w:w="4876" w:type="dxa"/>
            <w:tcBorders>
              <w:top w:val="nil"/>
              <w:left w:val="nil"/>
              <w:bottom w:val="nil"/>
              <w:right w:val="nil"/>
            </w:tcBorders>
          </w:tcPr>
          <w:p>
            <w:pPr>
              <w:pStyle w:val="Normal6a"/>
            </w:pPr>
            <w:r>
              <w:t>14.</w:t>
            </w:r>
            <w:r>
              <w:tab/>
            </w:r>
            <w:r>
              <w:t xml:space="preserve">zdôrazňuje, že je potrebné, aby Komisia schválila „sociálne dohody“ pre zamestnancov na roky 2025 – 2049; </w:t>
            </w:r>
            <w:r>
              <w:rPr>
                <w:b/>
                <w:i/>
              </w:rPr>
              <w:t>zdôrazňuje, že by mal byť založený na dôkladnej diagnostike a hospodárskych prognózach;</w:t>
            </w:r>
            <w:r>
              <w:t xml:space="preserve"> </w:t>
            </w:r>
            <w:r>
              <w:rPr>
                <w:b/>
                <w:i/>
              </w:rPr>
              <w:t>trvá na tom, že v návrhoch Komisie by sa v tejto súvislosti mala zohľadniť odlišná situácia v regiónoch, ich hospodárske tradície a špecifiká;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zdôrazňuje, že je potrebné, aby Komisia schválila „sociálne dohody“ pre zamestnancov na roky 2025 – 2049;</w:t>
            </w:r>
          </w:p>
        </w:tc>
        <w:tc>
          <w:tcPr>
            <w:tcW w:w="4876" w:type="dxa"/>
            <w:tcBorders>
              <w:top w:val="nil"/>
              <w:left w:val="nil"/>
              <w:bottom w:val="nil"/>
              <w:right w:val="nil"/>
            </w:tcBorders>
          </w:tcPr>
          <w:p>
            <w:pPr>
              <w:pStyle w:val="Normal6a"/>
            </w:pPr>
            <w:r>
              <w:t>14.</w:t>
            </w:r>
            <w:r>
              <w:tab/>
            </w:r>
            <w:r>
              <w:t>zdôrazňuje, že je potrebné, aby Komisia schválila „sociálne dohody“ pre zamestnancov na roky 2025 – 2049</w:t>
            </w:r>
            <w:r>
              <w:rPr>
                <w:b/>
                <w:i/>
              </w:rPr>
              <w:t>, a nabáda na vytvorenie združení pracovníkov v odvetviach postihnutých transformáciou, ktoré by bývalým zamestnancom umožnili priamo čerpať výhody regionálnej hospodárskej obnovy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zdôrazňuje, že je potrebné, aby </w:t>
            </w:r>
            <w:r>
              <w:rPr>
                <w:b/>
                <w:i/>
              </w:rPr>
              <w:t>Komisia schválila</w:t>
            </w:r>
            <w:r>
              <w:t xml:space="preserve"> „sociálne </w:t>
            </w:r>
            <w:r>
              <w:rPr>
                <w:b/>
                <w:i/>
              </w:rPr>
              <w:t>dohody“ pre zamestnancov na roky 2025 – 2049</w:t>
            </w:r>
            <w:r>
              <w:t>;</w:t>
            </w:r>
          </w:p>
        </w:tc>
        <w:tc>
          <w:tcPr>
            <w:tcW w:w="4876" w:type="dxa"/>
            <w:tcBorders>
              <w:top w:val="nil"/>
              <w:left w:val="nil"/>
              <w:bottom w:val="nil"/>
              <w:right w:val="nil"/>
            </w:tcBorders>
          </w:tcPr>
          <w:p>
            <w:pPr>
              <w:pStyle w:val="Normal6a"/>
            </w:pPr>
            <w:r>
              <w:t>14.</w:t>
            </w:r>
            <w:r>
              <w:tab/>
            </w:r>
            <w:r>
              <w:t xml:space="preserve">zdôrazňuje, že je potrebné, aby </w:t>
            </w:r>
            <w:r>
              <w:rPr>
                <w:b/>
                <w:i/>
              </w:rPr>
              <w:t>sa bezodkladne schválili</w:t>
            </w:r>
            <w:r>
              <w:t xml:space="preserve"> „sociálne </w:t>
            </w:r>
            <w:r>
              <w:rPr>
                <w:b/>
                <w:i/>
              </w:rPr>
              <w:t>zmluvy“ uzatvárané pre odvetvia hospodárstva prechádzajúce procesom spravodlivej transformácie a oznamované Komisii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vyzýva na vytvorenie celoeurópskeho systému SURE 2.0 na ochranu zamestnanosti a priemyselnej kapacity počas rýchlych hospodárskych, technologických a energetických transformácií;</w:t>
            </w:r>
            <w:r>
              <w:t xml:space="preserve"> </w:t>
            </w:r>
            <w:r>
              <w:rPr>
                <w:b/>
                <w:i/>
              </w:rPr>
              <w:t>zdôrazňuje, že takýto systém, ktorý vychádza z úspešných skúseností s pôvodným programom SURE počas pandémie COVID-19, by zabezpečil udržanie pracovných miest, zvyšovanie úrovne zručností pracovnej sily a štruktúrovanú priemyselnú transformáciu, najmä v odvetviach s vysokým rizikom straty pracovných miest;</w:t>
            </w:r>
            <w:r>
              <w:t xml:space="preserve"> </w:t>
            </w:r>
            <w:r>
              <w:rPr>
                <w:b/>
                <w:i/>
              </w:rPr>
              <w:t>chápe, že pri strate priemyselnej kapacity a zručností v regióne, je ich návrat mimoriadne zložitý, zdôrazňuje, že finančná podpora prostredníctvom nástroja SURE 2.0 by mala byť podmienená silnou sociálnou ochranou, aktívnym plánovaním transformácie, konzultáciou s pracovníkmi a investíciami do zručností pracovnej sily, čím sa zabráni sociálne nákladným a hospodársky škodlivým stratám pracovných miest a ochránia sa znevýhodnené regióny;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zdôrazňuje kľúčovú úlohu, ktorú politika súdržnosti zohráva pri plnení politických priorít EÚ a posilňovaní hospodárstva EÚ tým, že prispieva k spravodlivej, inkluzívnej a udržateľnej transformácii a rozvoju, podporuje hospodársku a sociálnu konvergenciu medzi krajinami a regiónmi a podporuje inovácie a zamestnanosť;</w:t>
            </w:r>
            <w:r>
              <w:t xml:space="preserve"> </w:t>
            </w:r>
            <w:r>
              <w:rPr>
                <w:b/>
                <w:i/>
              </w:rPr>
              <w:t>vyjadruje poľutovanie nad tým, že pre obmedzenú flexibilitu súčasného VFR sa Komisia uchýlila k presmerovaniu politiky súdržnosti, ktorá síce nie je nástrojom reakcie na krízu, ale bola vo VFR opakovane použitá na kompenzáciu nedostatkov v rozpočtovej flexibilite alebo mechanizmoch reakcie na krízu na úkor svojich dlhodobých politických cieľov;</w:t>
            </w:r>
            <w:r>
              <w:t xml:space="preserve"> </w:t>
            </w:r>
            <w:r>
              <w:rPr>
                <w:b/>
                <w:i/>
              </w:rPr>
              <w:t>vyzýva Komisiu a členské štáty, aby urýchlili vykonávanie politiky súdržnosti;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uznáva, že implementácia prostriedkov FST je v kompetencii členských štátov, zdôrazňuje však, že sú potrebné zjednodušenia a že Komisia musí pri informovaní členských štátov zaujať naliehavejší prístup;</w:t>
            </w:r>
          </w:p>
        </w:tc>
        <w:tc>
          <w:tcPr>
            <w:tcW w:w="4876" w:type="dxa"/>
            <w:tcBorders>
              <w:top w:val="nil"/>
              <w:left w:val="nil"/>
              <w:bottom w:val="nil"/>
              <w:right w:val="nil"/>
            </w:tcBorders>
          </w:tcPr>
          <w:p>
            <w:pPr>
              <w:pStyle w:val="Normal6a"/>
            </w:pPr>
            <w:r>
              <w:t>15.</w:t>
            </w:r>
            <w:r>
              <w:tab/>
            </w:r>
            <w:r>
              <w:t xml:space="preserve">uznáva, že implementácia prostriedkov FST je v kompetencii členských štátov, zdôrazňuje však, že sú potrebné zjednodušenia a že Komisia musí pri informovaní členských štátov zaujať naliehavejší prístup; </w:t>
            </w:r>
            <w:r>
              <w:rPr>
                <w:b/>
                <w:i/>
              </w:rPr>
              <w:t>zdôrazňuje, že je potrebné posilniť ich autonómiu pri riadení fondov, najmä tým, že sa zníži administratívna záťaž Komisie a umožní sa jej prispôsobiť kritériá výberu vnútroštátnym a regionálnym podmienkam;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uznáva, že</w:t>
            </w:r>
            <w:r>
              <w:t xml:space="preserve"> implementácia prostriedkov FST je v kompetencii členských štátov, </w:t>
            </w:r>
            <w:r>
              <w:rPr>
                <w:b/>
                <w:i/>
              </w:rPr>
              <w:t>zdôrazňuje však, že sú potrebné zjednodušenia a</w:t>
            </w:r>
            <w:r>
              <w:t xml:space="preserve"> že Komisia </w:t>
            </w:r>
            <w:r>
              <w:rPr>
                <w:b/>
                <w:i/>
              </w:rPr>
              <w:t>musí pri informovaní členských štátov zaujať naliehavejší prístup</w:t>
            </w:r>
            <w:r>
              <w:t>;</w:t>
            </w:r>
          </w:p>
        </w:tc>
        <w:tc>
          <w:tcPr>
            <w:tcW w:w="4876" w:type="dxa"/>
            <w:tcBorders>
              <w:top w:val="nil"/>
              <w:left w:val="nil"/>
              <w:bottom w:val="nil"/>
              <w:right w:val="nil"/>
            </w:tcBorders>
          </w:tcPr>
          <w:p>
            <w:pPr>
              <w:pStyle w:val="Normal6a"/>
            </w:pPr>
            <w:r>
              <w:t>15.</w:t>
            </w:r>
            <w:r>
              <w:tab/>
            </w:r>
            <w:r>
              <w:rPr>
                <w:b/>
                <w:i/>
              </w:rPr>
              <w:t>zdôrazňuje, že hoci</w:t>
            </w:r>
            <w:r>
              <w:t xml:space="preserve"> implementácia prostriedkov FST je v kompetencii členských štátov, </w:t>
            </w:r>
            <w:r>
              <w:rPr>
                <w:b/>
                <w:i/>
              </w:rPr>
              <w:t>je nevyhnutné zjednodušiť prístup k žiadostiam a rozšíriť rozsah pôsobnosti fondu, aby bol pružnejší a umožnil ostatným rovnako postihnutým regiónom využívať túto podporu;</w:t>
            </w:r>
            <w:r>
              <w:t xml:space="preserve"> </w:t>
            </w:r>
            <w:r>
              <w:rPr>
                <w:b/>
                <w:i/>
              </w:rPr>
              <w:t>zdôrazňuje,</w:t>
            </w:r>
            <w:r>
              <w:t xml:space="preserve"> že Komisia </w:t>
            </w:r>
            <w:r>
              <w:rPr>
                <w:b/>
                <w:i/>
              </w:rPr>
              <w:t>by mala v spolupráci s členskými štátmi vydať výkladové usmernenia k otázkam vykonávania, ktoré vyvolávajú najväčšiu neistotu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uznáva, že implementácia prostriedkov FST je v kompetencii členských štátov, </w:t>
            </w:r>
            <w:r>
              <w:rPr>
                <w:b/>
                <w:i/>
              </w:rPr>
              <w:t>zdôrazňuje však, že sú potrebné zjednodušenia a že Komisia musí pri informovaní členských štátov zaujať</w:t>
            </w:r>
            <w:r>
              <w:t xml:space="preserve"> naliehavejší prístup;</w:t>
            </w:r>
          </w:p>
        </w:tc>
        <w:tc>
          <w:tcPr>
            <w:tcW w:w="4876" w:type="dxa"/>
            <w:tcBorders>
              <w:top w:val="nil"/>
              <w:left w:val="nil"/>
              <w:bottom w:val="nil"/>
              <w:right w:val="nil"/>
            </w:tcBorders>
          </w:tcPr>
          <w:p>
            <w:pPr>
              <w:pStyle w:val="Normal6a"/>
            </w:pPr>
            <w:r>
              <w:t>15.</w:t>
            </w:r>
            <w:r>
              <w:tab/>
            </w:r>
            <w:r>
              <w:t xml:space="preserve">uznáva, že implementácia prostriedkov FST je v kompetencii členských štátov, </w:t>
            </w:r>
            <w:r>
              <w:rPr>
                <w:b/>
                <w:i/>
              </w:rPr>
              <w:t>ale žiada, aby miestne a regionálne samosprávy a miestne samosprávy zohrávali v rozhodovacom procese významnejšiu úlohu, čím sa zabezpečí, že stratégie financovania budú v súlade s osobitnými potrebami komunít postihnutých transformáciou;</w:t>
            </w:r>
            <w:r>
              <w:t xml:space="preserve"> </w:t>
            </w:r>
            <w:r>
              <w:rPr>
                <w:b/>
                <w:i/>
              </w:rPr>
              <w:t>zdôrazňuje, že je potrebné zjednodušenie a aby Komisie uplatňovala</w:t>
            </w:r>
            <w:r>
              <w:t xml:space="preserve"> naliehavejší prístup </w:t>
            </w:r>
            <w:r>
              <w:rPr>
                <w:b/>
                <w:i/>
              </w:rPr>
              <w:t>k oznamovaniu informácií členským štátom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uznáva, že implementácia prostriedkov FST je v kompetencii členských štátov, zdôrazňuje však, že sú potrebné zjednodušenia a že Komisia musí pri informovaní členských štátov zaujať naliehavejší prístup;</w:t>
            </w:r>
          </w:p>
        </w:tc>
        <w:tc>
          <w:tcPr>
            <w:tcW w:w="4876" w:type="dxa"/>
            <w:tcBorders>
              <w:top w:val="nil"/>
              <w:left w:val="nil"/>
              <w:bottom w:val="nil"/>
              <w:right w:val="nil"/>
            </w:tcBorders>
          </w:tcPr>
          <w:p>
            <w:pPr>
              <w:pStyle w:val="Normal6a"/>
            </w:pPr>
            <w:r>
              <w:t>15.</w:t>
            </w:r>
            <w:r>
              <w:tab/>
            </w:r>
            <w:r>
              <w:t xml:space="preserve">uznáva, že implementácia prostriedkov FST je v kompetencii členských štátov, zdôrazňuje však, že sú potrebné zjednodušenia a že Komisia musí pri informovaní členských štátov zaujať naliehavejší prístup; </w:t>
            </w:r>
            <w:r>
              <w:rPr>
                <w:b/>
                <w:i/>
              </w:rPr>
              <w:t>a zabezpečila lepšiu koordináciu medzi vnútroštátnymi a európskymi orgánmi s cieľom urýchliť prideľovanie finančných prostriedkov a účinné vykonávanie iniciatív FST;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uznáva, že implementácia prostriedkov FST je v kompetencii členských štátov, zdôrazňuje však, že sú potrebné zjednodušenia a že Komisia musí pri informovaní členských štátov zaujať naliehavejší prístup;</w:t>
            </w:r>
          </w:p>
        </w:tc>
        <w:tc>
          <w:tcPr>
            <w:tcW w:w="4876" w:type="dxa"/>
            <w:tcBorders>
              <w:top w:val="nil"/>
              <w:left w:val="nil"/>
              <w:bottom w:val="nil"/>
              <w:right w:val="nil"/>
            </w:tcBorders>
          </w:tcPr>
          <w:p>
            <w:pPr>
              <w:pStyle w:val="Normal6a"/>
            </w:pPr>
            <w:r>
              <w:t>15.</w:t>
            </w:r>
            <w:r>
              <w:tab/>
            </w:r>
            <w:r>
              <w:t xml:space="preserve">uznáva, že implementácia prostriedkov FST je v kompetencii členských štátov, zdôrazňuje však, že sú potrebné zjednodušenia a že Komisia musí pri informovaní členských štátov zaujať naliehavejší prístup; </w:t>
            </w:r>
            <w:r>
              <w:rPr>
                <w:b/>
                <w:i/>
              </w:rPr>
              <w:t>vyzýva členské štáty, aby uplatňovali konzistentný prístup medzi FST a investíciami v rámci iných strategických fondov spojených so spravodlivou transformáciou;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uznáva, že implementácia prostriedkov FST je v kompetencii členských štátov, zdôrazňuje však, že sú potrebné zjednodušenia a </w:t>
            </w:r>
            <w:r>
              <w:rPr>
                <w:b/>
                <w:i/>
              </w:rPr>
              <w:t>že Komisia musí pri informovaní členských štátov zaujať naliehavejší prístup</w:t>
            </w:r>
            <w:r>
              <w:t>;</w:t>
            </w:r>
          </w:p>
        </w:tc>
        <w:tc>
          <w:tcPr>
            <w:tcW w:w="4876" w:type="dxa"/>
            <w:tcBorders>
              <w:top w:val="nil"/>
              <w:left w:val="nil"/>
              <w:bottom w:val="nil"/>
              <w:right w:val="nil"/>
            </w:tcBorders>
          </w:tcPr>
          <w:p>
            <w:pPr>
              <w:pStyle w:val="Normal6a"/>
            </w:pPr>
            <w:r>
              <w:t>15.</w:t>
            </w:r>
            <w:r>
              <w:tab/>
            </w:r>
            <w:r>
              <w:t xml:space="preserve">uznáva, že implementácia prostriedkov FST je v kompetencii členských štátov, zdôrazňuje však, že sú potrebné zjednodušenia a </w:t>
            </w:r>
            <w:r>
              <w:rPr>
                <w:b/>
                <w:i/>
              </w:rPr>
              <w:t>vyzýva Komisiu, aby zaujala naliehavejší prístup k spolupráci s členskými štátmi pri hľadaní prispôsobených riešení pri plnom dodržiavaní zásady subsidiarity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naliehavo vyzýva Európsku komisiu, aby zefektívnila a zosúladila finančné nástroje v rámci viacročného finančného rámca (VFR) na obdobie po roku 2027 a zabezpečila súdržný a koordinovaný prístup k podpore stratégií spravodlivej transformácie;</w:t>
            </w:r>
            <w:r>
              <w:t xml:space="preserve"> </w:t>
            </w:r>
            <w:r>
              <w:rPr>
                <w:b/>
                <w:i/>
              </w:rPr>
              <w:t>zdôrazňuje, že roztrieštené toky financovania bránia dosahovaniu vplyvu a efektívnosti, a preto požaduje jednotný a strategický rámec, ktorý umožní synergie medzi všetkými príslušnými fondmi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vyzýva Komisiu, aby podporovala systematické vytváranie miestnych konzultačných orgánov na územiach využívajúcich FST s cieľom zabezpečiť plnú účasť miestnych orgánov, odborových zväzov, podnikov a občianskej spoločnosti na riadení, výbere a monitorovaní financovaných projektov, čím sa zabezpečí legitímnosť a účinnosť plánov spravodlivej transformácie územia;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zdôrazňuje, že FST by mal byť dostatočne flexibilný na to, aby mohol podporovať rôzne iniciatívy v závislosti od miestnych a regionálnych potrieb;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vyzýva členské štáty a regionálne orgány, aby zriadili miestne rady pre zručnosti alebo podobné orgány viacerých zainteresovaných strán, ako sa odporúča v oznámení o únii zručností, ktorých úlohou bude diagnostikovať miestne nedostatky v zručnostiach, predvídať potreby zručností súvisiace so zelenou a digitálnou transformáciou a poskytovať poradenstvo v oblasti cielených investícií v rámci FST a ESF+;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Rody Tolassy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domnieva sa, že Komisia mala pre každý členský štát stanoviť jasné parametre v oblastiach, ako je investovanie do vzdelávania a odbornej prípravy a umožnenie externým investorom zachovať kultúru a tradície bývalých regiónov s ťažbou uhlia a rašeliny;</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domnieva sa, že Komisia mala pre každý členský štát stanoviť jasné parametre v oblastiach, ako je investovanie do vzdelávania a odbornej prípravy a umožnenie externým investorom zachovať kultúru a tradície bývalých regiónov s ťažbou uhlia a rašeliny;</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domnieva sa, že Komisia mala pre každý členský štát stanoviť jasné parametre v oblastiach, ako je investovanie do vzdelávania a odbornej prípravy a umožnenie externým investorom zachovať kultúru a tradície bývalých regiónov s ťažbou uhlia a rašeliny;</w:t>
            </w:r>
          </w:p>
        </w:tc>
        <w:tc>
          <w:tcPr>
            <w:tcW w:w="4876" w:type="dxa"/>
            <w:tcBorders>
              <w:top w:val="nil"/>
              <w:left w:val="nil"/>
              <w:bottom w:val="nil"/>
              <w:right w:val="nil"/>
            </w:tcBorders>
          </w:tcPr>
          <w:p>
            <w:pPr>
              <w:pStyle w:val="Normal6a"/>
            </w:pPr>
            <w:r>
              <w:t>16.</w:t>
            </w:r>
            <w:r>
              <w:tab/>
            </w:r>
            <w:r>
              <w:t>domnieva sa, že Komisia mala pre každý členský štát stanoviť jasné parametre v oblastiach, ako je investovanie do vzdelávania a odbornej prípravy</w:t>
            </w:r>
            <w:r>
              <w:rPr>
                <w:b/>
                <w:i/>
              </w:rPr>
              <w:t>, zvyšovanie úrovne zručností a rekvalifikácie pracovníkov pre alternatívne zamestnanie</w:t>
            </w:r>
            <w:r>
              <w:t xml:space="preserve"> a umožnenie externým investorom zachovať kultúru a tradície bývalých regiónov s ťažbou uhlia a rašeliny; </w:t>
            </w:r>
            <w:r>
              <w:rPr>
                <w:b/>
                <w:i/>
              </w:rPr>
              <w:t>podporuje výmenu know-how a najlepších postupov medzi regiónmi v procese transformácie, pričom dochádza k podpore vzájomného učenia, budovaniu kapacít a urýchleniu udržateľného rozvoja;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domnieva sa, že Komisia mala pre každý členský štát stanoviť jasné parametre v oblastiach, ako je investovanie do vzdelávania a odbornej prípravy a umožnenie externým investorom zachovať kultúru a tradície bývalých regiónov s ťažbou uhlia a rašeliny;</w:t>
            </w:r>
          </w:p>
        </w:tc>
        <w:tc>
          <w:tcPr>
            <w:tcW w:w="4876" w:type="dxa"/>
            <w:tcBorders>
              <w:top w:val="nil"/>
              <w:left w:val="nil"/>
              <w:bottom w:val="nil"/>
              <w:right w:val="nil"/>
            </w:tcBorders>
          </w:tcPr>
          <w:p>
            <w:pPr>
              <w:pStyle w:val="Normal6a"/>
            </w:pPr>
            <w:r>
              <w:t>16.</w:t>
            </w:r>
            <w:r>
              <w:tab/>
            </w:r>
            <w:r>
              <w:t>domnieva sa, že Komisia mala pre každý členský štát stanoviť jasné parametre v oblastiach, ako je investovanie do vzdelávania</w:t>
            </w:r>
            <w:r>
              <w:rPr>
                <w:b/>
                <w:i/>
              </w:rPr>
              <w:t>, zvyšovania úrovne zručností, rekvalifikácie</w:t>
            </w:r>
            <w:r>
              <w:t xml:space="preserve"> a odbornej prípravy a umožnenie externým investorom zachovať kultúru a tradície bývalých regiónov s ťažbou uhlia a rašeliny; </w:t>
            </w:r>
            <w:r>
              <w:rPr>
                <w:b/>
                <w:i/>
              </w:rPr>
              <w:t>okrem toho vyzýva na synergie s iniciatívou Nový európsky Bauhaus, aby sa zvážili projekty, ktoré zmenia účel starých priemyselných zariadení na sociálne a kultúrne priestory, najmä v zanedbávaných susedských oblastiach;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domnieva sa, že Komisia mala pre každý členský štát stanoviť jasné parametre v oblastiach, ako je investovanie do vzdelávania a odbornej prípravy a umožnenie externým investorom zachovať kultúru a tradície bývalých regiónov s ťažbou uhlia a rašeliny;</w:t>
            </w:r>
          </w:p>
        </w:tc>
        <w:tc>
          <w:tcPr>
            <w:tcW w:w="4876" w:type="dxa"/>
            <w:tcBorders>
              <w:top w:val="nil"/>
              <w:left w:val="nil"/>
              <w:bottom w:val="nil"/>
              <w:right w:val="nil"/>
            </w:tcBorders>
          </w:tcPr>
          <w:p>
            <w:pPr>
              <w:pStyle w:val="Normal6a"/>
            </w:pPr>
            <w:r>
              <w:t>16.</w:t>
            </w:r>
            <w:r>
              <w:tab/>
            </w:r>
            <w:r>
              <w:t>domnieva sa, že Komisia mala pre každý členský štát stanoviť jasné parametre v oblastiach, ako je investovanie do vzdelávania a odbornej prípravy a umožnenie externým investorom zachovať kultúru a tradície bývalých regiónov s ťažbou uhlia a rašeliny</w:t>
            </w:r>
            <w:r>
              <w:rPr>
                <w:b/>
                <w:i/>
              </w:rPr>
              <w:t>, ako aj čistenie znečistených oblastí v blízkosti ťažobných lokalít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uznáva zásadnú úlohu Európskej investičnej banky pri podpore spravodlivej transformácie;</w:t>
            </w:r>
            <w:r>
              <w:t xml:space="preserve"> </w:t>
            </w:r>
            <w:r>
              <w:rPr>
                <w:b/>
                <w:i/>
              </w:rPr>
              <w:t>zdôrazňuje, že je potrebné naďalej posilňovať spoluprácu medzi verejnými a súkromnými finančnými inštitúciami s cieľom mobilizovať dodatočné investície a zabezpečiť, aby sa pri prechode na udržateľné hospodárstvo nezabudlo na žiadny región ani komunitu;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zdôrazňuje, že územný a miestne orientovaný prístup musí byť základom všetkých finančných nástrojov podporujúcich spravodlivú transformáciu, najmä tých, ktoré podporujú odolnosť priemyslu a inovácie;</w:t>
            </w:r>
            <w:r>
              <w:t xml:space="preserve"> </w:t>
            </w:r>
            <w:r>
              <w:rPr>
                <w:b/>
                <w:i/>
              </w:rPr>
              <w:t>zdôrazňuje, že takýto prístup je nevyhnutný na účinné riešenie rôznych regionálnych výziev a uvoľnenie potenciálu miestneho rozvoja;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zdôrazňuje, že je potrebné, aby plány pre oblasti spravodlivej transformácie zahŕňali jasný záväzok rozvíjať strategické iniciatívy v oblasti obnovy a rozvoja s osobitným zameraním na rozvoj podnikov a vytváranie pracovných miest v oblastiach, ktoré sú najviac postihnuté ukončením výroby fosílnych palív;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zdôrazňuje, že je dôležité zamerať sa na opatrenia, ako je zmena účelu starých priemyselných zariadení a banských lokalít na nové inovatívne, ekologické a interaktívne centrá pre kultúru a iné multifunkčné činnosti;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žiada, aby sa na miestnej úrovni zabezpečila väčšia sloboda výberu na ceste k dekarbonizácii, a to podporou viacerých riešení v súlade s technologickou, politickou a hospodárskou perspektívou;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domnieva sa, že spoločensky prospešné investovanie by sa malo uprednostňovať a zameriavať na miestnu zelenú infraštruktúru a projekty v oblasti energie z obnoviteľných zdrojov, ktorých cieľom je zlepšenie energetickej efektívnosti vrátane renovácie, rozvoja a modernizácie energeticky účinných budov, miestnej infraštruktúry na recykláciu a nakladanie s odpadom, rozširovanie regionálnych a miestnych solárnych, veterných a vodných elektrární, udržateľnej dopravy, ktoré stimulujú miestne hospodárstva a ponúkajú veľký potenciál na vytváranie miestnych pracovných miest, ktoré nemožno presunúť do iných krajín, najmä v oblasti stavebníctva, strojárstva, údržbe a v súvisiacich odvetviach;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žiada, aby sa posilnili synergie medzi verejným a súkromným sektorom, aby mohli spoločne riešiť proces transformácie, čím sa pripraví pôda pre produktívnu konverziu dotknutých území;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uznáva, že financovanie rozsiahlych projektov zdola nahor je nedostatočné; odporúča, aby sa tieto medzery v prípade potreby vyplnili z prostriedkov FST;</w:t>
            </w:r>
          </w:p>
        </w:tc>
        <w:tc>
          <w:tcPr>
            <w:tcW w:w="4876" w:type="dxa"/>
            <w:tcBorders>
              <w:top w:val="nil"/>
              <w:left w:val="nil"/>
              <w:bottom w:val="nil"/>
              <w:right w:val="nil"/>
            </w:tcBorders>
          </w:tcPr>
          <w:p>
            <w:pPr>
              <w:pStyle w:val="Normal6a"/>
            </w:pPr>
            <w:r>
              <w:t>17.</w:t>
            </w:r>
            <w:r>
              <w:tab/>
            </w:r>
            <w:r>
              <w:t xml:space="preserve">uznáva, že financovanie rozsiahlych projektov zdola nahor je nedostatočné; odporúča, aby sa tieto medzery v prípade potreby vyplnili z prostriedkov FST; </w:t>
            </w:r>
            <w:r>
              <w:rPr>
                <w:b/>
                <w:i/>
              </w:rPr>
              <w:t>zdôrazňuje, že je dôležité poskytovať regiónom špecializovanú technickú podporu od najskorších fáz, aby sa posilnila ich kapacita plánovania zdola nahor a poskytla sa pomoc potenciálnym príjemcom pri príprave vysokokvalitných projektov s veľkým vplyvom;</w:t>
            </w:r>
            <w:r>
              <w:t xml:space="preserve"> </w:t>
            </w:r>
            <w:r>
              <w:rPr>
                <w:b/>
                <w:i/>
              </w:rPr>
              <w:t>vyzýva na vytvorenie rozsiahleho koordinačného mechanizmu na aktívne zapojenie regionálnych a miestnych orgánov do vypracúvania a vykonávania plánov spravodlivej transformácie územia a dohľadu nad nimi;</w:t>
            </w:r>
            <w:r>
              <w:t xml:space="preserve"> </w:t>
            </w:r>
            <w:r>
              <w:rPr>
                <w:b/>
                <w:i/>
              </w:rPr>
              <w:t>zdôrazňuje, že je potrebné v plnej miere zohľadniť územné špecifiká a zaručiť zmysluplnú účasť miestnych zainteresovaných strán vrátane občianskej spoločnosti, odborových zväzov, inštitúcií vysokoškolského vzdelávania a obchodných komôr na rozhodovacom procese;</w:t>
            </w:r>
            <w:r>
              <w:t xml:space="preserve"> </w:t>
            </w:r>
            <w:r>
              <w:rPr>
                <w:b/>
                <w:i/>
              </w:rPr>
              <w:t>požaduje vypracovanie jasnej a operačnej stratégie na zlepšenie čerpania finančných prostriedkov riadiacimi orgánmi, ktorá by kombinovala praktickú pomoc s podporou kapitálových investícií a podporovala využívanie praktických nástrojov, ako sú mechanizmy technickej pomoci a zriadenie regionálnych jednotných kontaktných miest na zefektívnenie prístupu k financovaniu a zlepšenie efektívnosti vykonávania;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uznáva, že financovanie rozsiahlych projektov zdola nahor je nedostatočné; odporúča, aby sa tieto medzery </w:t>
            </w:r>
            <w:r>
              <w:rPr>
                <w:b/>
                <w:i/>
              </w:rPr>
              <w:t>v prípade potreby vyplnili z prostriedkov FST</w:t>
            </w:r>
            <w:r>
              <w:t>;</w:t>
            </w:r>
          </w:p>
        </w:tc>
        <w:tc>
          <w:tcPr>
            <w:tcW w:w="4876" w:type="dxa"/>
            <w:tcBorders>
              <w:top w:val="nil"/>
              <w:left w:val="nil"/>
              <w:bottom w:val="nil"/>
              <w:right w:val="nil"/>
            </w:tcBorders>
          </w:tcPr>
          <w:p>
            <w:pPr>
              <w:pStyle w:val="Normal6a"/>
            </w:pPr>
            <w:r>
              <w:t>17.</w:t>
            </w:r>
            <w:r>
              <w:tab/>
            </w:r>
            <w:r>
              <w:t xml:space="preserve">uznáva, že financovanie rozsiahlych projektov zdola nahor je nedostatočné; odporúča, aby sa tieto medzery </w:t>
            </w:r>
            <w:r>
              <w:rPr>
                <w:b/>
                <w:i/>
              </w:rPr>
              <w:t>vyplnili z prostriedkov FST a aby sa v rámci zdrojov EFRR a FST osobitne uprednostňovali investície do základnej infraštruktúry, sociálnych služieb, logistických sietí a pripojiteľnosti s cieľom zabezpečiť životaschopnosť nových podnikateľských projektov v obciach, ktorých sa týka transformácia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uznáva, že financovanie rozsiahlych projektov zdola nahor je nedostatočné; odporúča, aby sa tieto medzery v prípade potreby vyplnili z </w:t>
            </w:r>
            <w:r>
              <w:rPr>
                <w:b/>
                <w:i/>
              </w:rPr>
              <w:t>prostriedkov</w:t>
            </w:r>
            <w:r>
              <w:t xml:space="preserve"> FST;</w:t>
            </w:r>
          </w:p>
        </w:tc>
        <w:tc>
          <w:tcPr>
            <w:tcW w:w="4876" w:type="dxa"/>
            <w:tcBorders>
              <w:top w:val="nil"/>
              <w:left w:val="nil"/>
              <w:bottom w:val="nil"/>
              <w:right w:val="nil"/>
            </w:tcBorders>
          </w:tcPr>
          <w:p>
            <w:pPr>
              <w:pStyle w:val="Normal6a"/>
            </w:pPr>
            <w:r>
              <w:t>17.</w:t>
            </w:r>
            <w:r>
              <w:tab/>
            </w:r>
            <w:r>
              <w:t xml:space="preserve">uznáva, že financovanie rozsiahlych projektov zdola nahor je nedostatočné; odporúča, aby sa tieto medzery v prípade potreby vyplnili z </w:t>
            </w:r>
            <w:r>
              <w:rPr>
                <w:b/>
                <w:i/>
              </w:rPr>
              <w:t>pokračovania</w:t>
            </w:r>
            <w:r>
              <w:t xml:space="preserve"> FST;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uznáva, že financovanie rozsiahlych projektov zdola nahor je nedostatočné; odporúča, aby sa tieto medzery v prípade potreby vyplnili z prostriedkov FST;</w:t>
            </w:r>
          </w:p>
        </w:tc>
        <w:tc>
          <w:tcPr>
            <w:tcW w:w="4876" w:type="dxa"/>
            <w:tcBorders>
              <w:top w:val="nil"/>
              <w:left w:val="nil"/>
              <w:bottom w:val="nil"/>
              <w:right w:val="nil"/>
            </w:tcBorders>
          </w:tcPr>
          <w:p>
            <w:pPr>
              <w:pStyle w:val="Normal6a"/>
            </w:pPr>
            <w:r>
              <w:t>17.</w:t>
            </w:r>
            <w:r>
              <w:tab/>
            </w:r>
            <w:r>
              <w:t xml:space="preserve">uznáva, že financovanie rozsiahlych projektov zdola nahor je nedostatočné; odporúča, aby sa tieto medzery v prípade potreby vyplnili z prostriedkov FST </w:t>
            </w:r>
            <w:r>
              <w:rPr>
                <w:b/>
                <w:i/>
              </w:rPr>
              <w:t>alebo iného budúceho mechanizmu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zdôrazňuje potenciál demokratického a participatívneho ekologického plánovania pre tvorbu pracovných miest;</w:t>
            </w:r>
            <w:r>
              <w:t xml:space="preserve"> </w:t>
            </w:r>
            <w:r>
              <w:rPr>
                <w:b/>
                <w:i/>
              </w:rPr>
              <w:t>zdôrazňuje, že na dosiahnutie pokroku pri zelenej a spravodlivej transformácii je potrebné posilniť kapacity na všetkých úrovniach, najmä však na úrovni miestnych a regionálnych samospráv, a poskytnúť im dostatok zdrojov, aby sa zabezpečilo participatívne ekologické plánovanie, kvalitné posudzovanie vplyvu projektov na životné prostredie, spoľahlivá analýza uplatňovania zásady „nespôsobovať významnú škodu“, účinné vykonávanie právnych predpisov v oblasti životného prostredia a klímy, a aby sa zaručilo čerpanie finančných prostriedkov EÚ a zároveň znížilo riziko zrušenia záväzkov po skončení obdobia financovania;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vyzýva Komisiu a členské štáty, aby v súlade so zásadou viacúrovňového riadenia stanovenou v nariadení (EÚ) 2021/1060 zaviedli mechanizmy, ktoré zabezpečia účinnú účasť miestnych orgánov na plánovaní, výbere a vykonávaní projektov financovaných z FST, a to nad rámec jednoduchej verejnej konzultácie;</w:t>
            </w:r>
            <w:r>
              <w:t xml:space="preserve"> </w:t>
            </w:r>
            <w:r>
              <w:rPr>
                <w:b/>
                <w:i/>
              </w:rPr>
              <w:t>zdôrazňuje, že takáto účasť by zlepšila prispôsobenie projektov skutočným potrebám území;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zdôrazňuje, že je dôležité zosúladiť politiku súdržnosti vrátane FST s regionálnymi inovačnými stratégiami a prioritami inteligentnej špecializácie s cieľom posilniť regionálnu konkurencieschopnosť a zabezpečiť, aby investície do vzdelávania, výskumu, inovácií a digitalizácie priamo podporovali hospodársku diverzifikáciu a odolnosť oblastí, kde prebieha transformácia;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zdôrazňuje význam prispôsobenia mechanizmov financovania EÚ s cieľom lepšie pomôcť regiónom, ktoré čelia najzávažnejším výzvam pri dosahovaní zelenej transformácie;</w:t>
            </w:r>
            <w:r>
              <w:t xml:space="preserve"> </w:t>
            </w:r>
            <w:r>
              <w:rPr>
                <w:b/>
                <w:i/>
              </w:rPr>
              <w:t>zdôrazňuje, že v budúcom VFR sa musia zohľadniť asymetrické vplyvy dekarbonizácie, ktoré môžu prehĺbiť existujúce hospodárske a sociálne rozdiely na nižšej ako celoštátnej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odporúča, aby členské štáty mali možnosť prerozdeliť časť finančných prostriedkov v rámci FST na iné súvisiace priority v súlade s osobitnými hospodárskymi a sociálnymi potrebami svojich regiónov bez toho, aby to Komisia musela systematicky vopred schvaľovať;</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Ana Miranda Paz, 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zdôrazňuje, že FST by mal zohrávať rozhodujúcu úlohu pri podpore dekarbonizácie a mal by zabezpečiť, aby projekty, ktoré podporujú zavádzajúce tvrdenia týkajúce sa životného prostredia, mali zakázaný prístup k finančným prostriedkom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zdôrazňuje potrebu intenzívnejšieho zapojenia občianskej spoločnosti do rozhodovacieho procesu, ako aj presadzovania prístupov smerujúcich zdola nahor s cieľom čo najlepšie riešiť miestne a regionálne potreby;</w:t>
            </w:r>
            <w:r>
              <w:t xml:space="preserve"> </w:t>
            </w:r>
            <w:r>
              <w:rPr>
                <w:b/>
                <w:i/>
              </w:rPr>
              <w:t>naliehavo preto vyzýva Komisiu, aby v rámci pripravovaného zjednodušenia politiky súdržnosti posilnila prístup zdola nahor tým, že zabezpečí riadne konzultácie s miestnymi a regionálnymi samosprávami, mimovládnymi organizáciami a MSP a ich zapojenie;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uznáva nedostatok zodpovedajúceho financovania pre skupiny v dobrovoľníckom sektore, ktoré žiadajú o podporu z FST;</w:t>
            </w:r>
            <w:r>
              <w:t xml:space="preserve"> </w:t>
            </w:r>
            <w:r>
              <w:rPr>
                <w:b/>
                <w:i/>
              </w:rPr>
              <w:t>navrhuje poskytnúť až 90 % prostriedkov pre skupiny, ktoré sa považujú za nízkorizikové, čím sa zabezpečí, aby sa tieto skupiny vyhli vysokým úrokovým sadzbám na vyrovnávacie a preklenovacie financovanie;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uznáva nedostatok zodpovedajúceho financovania pre skupiny v dobrovoľníckom sektore, ktoré žiadajú o podporu z FST; </w:t>
            </w:r>
            <w:r>
              <w:rPr>
                <w:b/>
                <w:i/>
              </w:rPr>
              <w:t>navrhuje poskytnúť až 90 % prostriedkov pre skupiny, ktoré sa považujú za nízkorizikové, čím sa zabezpečí, aby sa tieto skupiny vyhli vysokým úrokovým sadzbám na vyrovnávacie a preklenovacie financovanie;</w:t>
            </w:r>
          </w:p>
        </w:tc>
        <w:tc>
          <w:tcPr>
            <w:tcW w:w="4876" w:type="dxa"/>
            <w:tcBorders>
              <w:top w:val="nil"/>
              <w:left w:val="nil"/>
              <w:bottom w:val="nil"/>
              <w:right w:val="nil"/>
            </w:tcBorders>
          </w:tcPr>
          <w:p>
            <w:pPr>
              <w:pStyle w:val="Normal6a"/>
            </w:pPr>
            <w:r>
              <w:t>18.</w:t>
            </w:r>
            <w:r>
              <w:tab/>
            </w:r>
            <w:r>
              <w:t>uznáva nedostatok zodpovedajúceho financovania pre skupiny v dobrovoľníckom sektore, ktoré žiadajú o podporu z FST;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uznáva nedostatok zodpovedajúceho financovania pre skupiny v dobrovoľníckom sektore, ktoré žiadajú o podporu z FST</w:t>
            </w:r>
            <w:r>
              <w:rPr>
                <w:b/>
                <w:i/>
              </w:rPr>
              <w:t>;</w:t>
            </w:r>
            <w:r>
              <w:t xml:space="preserve"> </w:t>
            </w:r>
            <w:r>
              <w:rPr>
                <w:b/>
                <w:i/>
              </w:rPr>
              <w:t>navrhuje poskytnúť až</w:t>
            </w:r>
            <w:r>
              <w:t xml:space="preserve"> 90 % prostriedkov pre skupiny, ktoré sa považujú za nízkorizikové, čím sa zabezpečí, aby sa tieto skupiny vyhli vysokým úrokovým sadzbám na </w:t>
            </w:r>
            <w:r>
              <w:rPr>
                <w:b/>
                <w:i/>
              </w:rPr>
              <w:t>vyrovnávacie</w:t>
            </w:r>
            <w:r>
              <w:t xml:space="preserve"> a preklenovacie financovanie;</w:t>
            </w:r>
          </w:p>
        </w:tc>
        <w:tc>
          <w:tcPr>
            <w:tcW w:w="4876" w:type="dxa"/>
            <w:tcBorders>
              <w:top w:val="nil"/>
              <w:left w:val="nil"/>
              <w:bottom w:val="nil"/>
              <w:right w:val="nil"/>
            </w:tcBorders>
          </w:tcPr>
          <w:p>
            <w:pPr>
              <w:pStyle w:val="Normal6a"/>
            </w:pPr>
            <w:r>
              <w:t>18.</w:t>
            </w:r>
            <w:r>
              <w:tab/>
            </w:r>
            <w:r>
              <w:t>uznáva nedostatok zodpovedajúceho financovania pre skupiny v dobrovoľníckom sektore, ktoré žiadajú o podporu z FST</w:t>
            </w:r>
            <w:r>
              <w:rPr>
                <w:b/>
                <w:i/>
              </w:rPr>
              <w:t>, a požaduje zjednodušený mechanizmus financovania vrátane predbežného financovania až do výšky</w:t>
            </w:r>
            <w:r>
              <w:t xml:space="preserve"> 90 % prostriedkov pre skupiny, ktoré sa považujú za nízkorizikové, čím sa zabezpečí, aby sa tieto skupiny vyhli vysokým úrokovým sadzbám na </w:t>
            </w:r>
            <w:r>
              <w:rPr>
                <w:b/>
                <w:i/>
              </w:rPr>
              <w:t>vyrovnávanie</w:t>
            </w:r>
            <w:r>
              <w:t xml:space="preserve"> a preklenovacie financovanie</w:t>
            </w:r>
            <w:r>
              <w:rPr>
                <w:b/>
                <w:i/>
              </w:rPr>
              <w:t>, čím sa miestnym dobrovoľníckym a komunitným organizáciám umožní účinne realizovať projekty súvisiace s transformáciou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uznáva nedostatok zodpovedajúceho financovania pre skupiny v dobrovoľníckom sektore, ktoré žiadajú o podporu z FST; </w:t>
            </w:r>
            <w:r>
              <w:rPr>
                <w:b/>
                <w:i/>
              </w:rPr>
              <w:t>navrhuje</w:t>
            </w:r>
            <w:r>
              <w:t xml:space="preserve"> poskytnúť </w:t>
            </w:r>
            <w:r>
              <w:rPr>
                <w:b/>
                <w:i/>
              </w:rPr>
              <w:t>až 90 % prostriedkov</w:t>
            </w:r>
            <w:r>
              <w:t xml:space="preserve"> pre skupiny, ktoré sa považujú za nízkorizikové, čím sa zabezpečí, aby sa tieto skupiny vyhli vysokým úrokovým sadzbám na vyrovnávacie a preklenovacie financovanie;</w:t>
            </w:r>
          </w:p>
        </w:tc>
        <w:tc>
          <w:tcPr>
            <w:tcW w:w="4876" w:type="dxa"/>
            <w:tcBorders>
              <w:top w:val="nil"/>
              <w:left w:val="nil"/>
              <w:bottom w:val="nil"/>
              <w:right w:val="nil"/>
            </w:tcBorders>
          </w:tcPr>
          <w:p>
            <w:pPr>
              <w:pStyle w:val="Normal6a"/>
            </w:pPr>
            <w:r>
              <w:t>18.</w:t>
            </w:r>
            <w:r>
              <w:tab/>
            </w:r>
            <w:r>
              <w:t xml:space="preserve">uznáva nedostatok zodpovedajúceho financovania pre skupiny v dobrovoľníckom sektore, ktoré žiadajú o podporu z FST; </w:t>
            </w:r>
            <w:r>
              <w:rPr>
                <w:b/>
                <w:i/>
              </w:rPr>
              <w:t>zdôrazňuje, že je dôležité</w:t>
            </w:r>
            <w:r>
              <w:t xml:space="preserve"> poskytnúť </w:t>
            </w:r>
            <w:r>
              <w:rPr>
                <w:b/>
                <w:i/>
              </w:rPr>
              <w:t>dostatočné zálohové financovanie</w:t>
            </w:r>
            <w:r>
              <w:t xml:space="preserve"> pre skupiny, ktoré sa považujú za nízkorizikové, čím sa zabezpečí, aby sa tieto skupiny vyhli vysokým úrokovým sadzbám na vyrovnávacie a preklenovacie financovanie;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uznáva nedostatok zodpovedajúceho financovania pre skupiny v dobrovoľníckom sektore, ktoré žiadajú o podporu z FST; navrhuje poskytnúť až 90 % prostriedkov pre skupiny, ktoré sa považujú za nízkorizikové, čím sa zabezpečí, aby sa tieto skupiny vyhli vysokým úrokovým sadzbám na vyrovnávacie a preklenovacie financovanie;</w:t>
            </w:r>
          </w:p>
        </w:tc>
        <w:tc>
          <w:tcPr>
            <w:tcW w:w="4876" w:type="dxa"/>
            <w:tcBorders>
              <w:top w:val="nil"/>
              <w:left w:val="nil"/>
              <w:bottom w:val="nil"/>
              <w:right w:val="nil"/>
            </w:tcBorders>
          </w:tcPr>
          <w:p>
            <w:pPr>
              <w:pStyle w:val="Normal6a"/>
            </w:pPr>
            <w:r>
              <w:t>18.</w:t>
            </w:r>
            <w:r>
              <w:tab/>
            </w:r>
            <w:r>
              <w:t xml:space="preserve">uznáva nedostatok zodpovedajúceho financovania pre skupiny v dobrovoľníckom sektore, ktoré žiadajú o podporu z FST; navrhuje poskytnúť až 90 % prostriedkov pre skupiny, ktoré sa považujú za nízkorizikové, čím sa zabezpečí, aby sa tieto skupiny vyhli vysokým úrokovým sadzbám </w:t>
            </w:r>
            <w:r>
              <w:rPr>
                <w:b/>
                <w:i/>
              </w:rPr>
              <w:t>a poplatkom</w:t>
            </w:r>
            <w:r>
              <w:t xml:space="preserve"> na vyrovnávacie a preklenovacie financovanie;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zdôrazňuje negatívny vplyv pravidiel štátnej pomoci na dobrovoľnícke a neziskové skupiny a naliehavo žiada, aby sa dobrovoľníckym skupinám, ktoré sa považujú za nízkorizikové, poskytla väčšia flexibilita pri dosahovaní cieľov v oblasti zamestnanosti;</w:t>
            </w:r>
          </w:p>
        </w:tc>
        <w:tc>
          <w:tcPr>
            <w:tcW w:w="4876" w:type="dxa"/>
            <w:tcBorders>
              <w:top w:val="nil"/>
              <w:left w:val="nil"/>
              <w:bottom w:val="nil"/>
              <w:right w:val="nil"/>
            </w:tcBorders>
          </w:tcPr>
          <w:p>
            <w:pPr>
              <w:pStyle w:val="Normal6a"/>
            </w:pPr>
            <w:r>
              <w:t>19.</w:t>
            </w:r>
            <w:r>
              <w:tab/>
            </w:r>
            <w:r>
              <w:t xml:space="preserve">zdôrazňuje negatívny vplyv pravidiel štátnej pomoci na dobrovoľnícke a neziskové skupiny a naliehavo žiada, aby sa dobrovoľníckym skupinám, ktoré sa považujú za nízkorizikové, poskytla väčšia flexibilita pri dosahovaní cieľov v oblasti zamestnanosti; </w:t>
            </w:r>
            <w:r>
              <w:rPr>
                <w:b/>
                <w:i/>
              </w:rPr>
              <w:t>zdôrazňuje, že subjekty sociálneho hospodárstva zohrávajú zásadnú úlohu pri poskytovaní konkrétnych, komunitných reakcií na sociálne potreby občanov EÚ a pri podpore inkluzívnych riešení spravodlivej transformácie zameraných na ľudí;</w:t>
            </w:r>
            <w:r>
              <w:t xml:space="preserve"> </w:t>
            </w:r>
            <w:r>
              <w:rPr>
                <w:b/>
                <w:i/>
              </w:rPr>
              <w:t>vyzýva Komisiu, aby zrevidovala a prispôsobila existujúce pravidlá štátnej pomoci, a to aj prostredníctvom úpravy maximálnych prahov štátnej pomoci smerom nahor pre činnosti zamerané na opätovné začlenenie do trhu práce;</w:t>
            </w:r>
            <w:r>
              <w:t xml:space="preserve"> </w:t>
            </w:r>
            <w:r>
              <w:rPr>
                <w:b/>
                <w:i/>
              </w:rPr>
              <w:t>zdôrazňuje, že takéto úpravy sú potrebné na to, aby subjekty sociálneho hospodárstva mohli zmysluplne prispievať k cieľom EÚ v oblasti zamestnanosti a súdržnosti, najmä v zraniteľných regiónoch a regiónoch, kde prebieha transformácia;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zdôrazňuje </w:t>
            </w:r>
            <w:r>
              <w:rPr>
                <w:b/>
                <w:i/>
              </w:rPr>
              <w:t>negatívny vplyv pravidiel</w:t>
            </w:r>
            <w:r>
              <w:t xml:space="preserve"> štátnej pomoci </w:t>
            </w:r>
            <w:r>
              <w:rPr>
                <w:b/>
                <w:i/>
              </w:rPr>
              <w:t>na dobrovoľnícke a neziskové skupiny a naliehavo žiada, aby sa dobrovoľníckym skupinám, ktoré sa považujú za nízkorizikové, poskytla väčšia flexibilita pri dosahovaní cieľov v oblasti zamestnanosti</w:t>
            </w:r>
            <w:r>
              <w:t>;</w:t>
            </w:r>
          </w:p>
        </w:tc>
        <w:tc>
          <w:tcPr>
            <w:tcW w:w="4876" w:type="dxa"/>
            <w:tcBorders>
              <w:top w:val="nil"/>
              <w:left w:val="nil"/>
              <w:bottom w:val="nil"/>
              <w:right w:val="nil"/>
            </w:tcBorders>
          </w:tcPr>
          <w:p>
            <w:pPr>
              <w:pStyle w:val="Normal6a"/>
            </w:pPr>
            <w:r>
              <w:t>19.</w:t>
            </w:r>
            <w:r>
              <w:tab/>
            </w:r>
            <w:r>
              <w:t>zdôrazňuje</w:t>
            </w:r>
            <w:r>
              <w:rPr>
                <w:b/>
                <w:i/>
              </w:rPr>
              <w:t>, že pravidlá</w:t>
            </w:r>
            <w:r>
              <w:t xml:space="preserve"> štátnej pomoci </w:t>
            </w:r>
            <w:r>
              <w:rPr>
                <w:b/>
                <w:i/>
              </w:rPr>
              <w:t>možno za odôvodnených podmienok zmierniť pre dobrovoľnícke a neziskové skupiny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zdôrazňuje negatívny vplyv pravidiel štátnej pomoci na dobrovoľnícke a neziskové skupiny a naliehavo žiada, aby sa dobrovoľníckym skupinám, ktoré sa považujú za nízkorizikové, poskytla väčšia flexibilita pri dosahovaní cieľov v oblasti zamestnanosti;</w:t>
            </w:r>
          </w:p>
        </w:tc>
        <w:tc>
          <w:tcPr>
            <w:tcW w:w="4876" w:type="dxa"/>
            <w:tcBorders>
              <w:top w:val="nil"/>
              <w:left w:val="nil"/>
              <w:bottom w:val="nil"/>
              <w:right w:val="nil"/>
            </w:tcBorders>
          </w:tcPr>
          <w:p>
            <w:pPr>
              <w:pStyle w:val="Normal6a"/>
            </w:pPr>
            <w:r>
              <w:t>19.</w:t>
            </w:r>
            <w:r>
              <w:tab/>
            </w:r>
            <w:r>
              <w:t xml:space="preserve">zdôrazňuje </w:t>
            </w:r>
            <w:r>
              <w:rPr>
                <w:b/>
                <w:i/>
              </w:rPr>
              <w:t>zaťažujúci a</w:t>
            </w:r>
            <w:r>
              <w:t xml:space="preserve"> negatívny vplyv pravidiel štátnej pomoci na dobrovoľnícke a neziskové skupiny a naliehavo žiada, aby sa dobrovoľníckym skupinám, ktoré sa považujú za nízkorizikové, poskytla väčšia flexibilita pri dosahovaní cieľov v oblasti zamestnanosti;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vyzýva Komisiu, aby </w:t>
            </w:r>
            <w:r>
              <w:rPr>
                <w:b/>
                <w:i/>
              </w:rPr>
              <w:t>spolupracovala s členskými štátmi s cieľom dosiahnuť väčšiu konzistentnosť a jasnosť pri výklade právnych predpisov EÚ o štátnej pomoci, pokiaľ sa vzťahujú na komunitné a neziskové skupiny</w:t>
            </w:r>
            <w:r>
              <w:t>;</w:t>
            </w:r>
          </w:p>
        </w:tc>
        <w:tc>
          <w:tcPr>
            <w:tcW w:w="4876" w:type="dxa"/>
            <w:tcBorders>
              <w:top w:val="nil"/>
              <w:left w:val="nil"/>
              <w:bottom w:val="nil"/>
              <w:right w:val="nil"/>
            </w:tcBorders>
          </w:tcPr>
          <w:p>
            <w:pPr>
              <w:pStyle w:val="Normal6a"/>
            </w:pPr>
            <w:r>
              <w:t>20.</w:t>
            </w:r>
            <w:r>
              <w:tab/>
            </w:r>
            <w:r>
              <w:t xml:space="preserve">vyzýva Komisiu, aby </w:t>
            </w:r>
            <w:r>
              <w:rPr>
                <w:b/>
                <w:i/>
              </w:rPr>
              <w:t>členským štátom poskytla väčšiu flexibilitu pri uplatňovaní pravidiel štátnej pomoci na projekty v rámci FST s cieľom zabrániť tomu, aby príliš prísna regulácia potlačila vnútroštátne iniciatívy zamerané na dosiahnutie spravodlivej transformácie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Nora Mebarek, Marcos Ros Sempere,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vyzýva Komisiu, aby spolupracovala s členskými štátmi s cieľom dosiahnuť väčšie zapojenie regionálnych a miestnych orgánov do vymedzenia a vykonávania projektov spojených s FST;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vyzýva Komisiu, aby uľahčila vytvorenie systému ekologických komunít, ktorý umožní miestnu účasť na komunitných projektoch zelenej energie a umožní bývalým pracovníkom a ich rodinám investovať do takýchto projektov alebo sa do nich zapojiť;</w:t>
            </w:r>
            <w:r>
              <w:t xml:space="preserve"> </w:t>
            </w:r>
            <w:r>
              <w:rPr>
                <w:b/>
                <w:i/>
              </w:rPr>
              <w:t>poukazuje na úspech podobných iniciatív;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vyzýva Komisiu, aby uľahčila vytvorenie systému ekologických komunít, ktorý umožní miestnu účasť na komunitných projektoch zelenej energie a umožní bývalým pracovníkom a ich rodinám investovať do takýchto projektov alebo sa do nich zapojiť;</w:t>
            </w:r>
            <w:r>
              <w:t xml:space="preserve"> </w:t>
            </w:r>
            <w:r>
              <w:rPr>
                <w:b/>
                <w:i/>
              </w:rPr>
              <w:t>poukazuje na úspech podobných iniciatív;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vyzýva Komisiu, aby uľahčila vytvorenie systému ekologických komunít, ktorý umožní miestnu účasť na komunitných projektoch zelenej energie a umožní bývalým pracovníkom a ich rodinám investovať do takýchto projektov alebo sa do nich zapojiť;</w:t>
            </w:r>
            <w:r>
              <w:t xml:space="preserve"> </w:t>
            </w:r>
            <w:r>
              <w:rPr>
                <w:b/>
                <w:i/>
              </w:rPr>
              <w:t>poukazuje na úspech podobných iniciatív;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vyzýva Komisiu, aby uľahčila vytvorenie systému ekologických komunít, ktorý umožní miestnu účasť na komunitných projektoch zelenej energie a umožní bývalým pracovníkom a ich rodinám investovať do takýchto projektov alebo sa do nich zapojiť; poukazuje na úspech podobných iniciatív;</w:t>
            </w:r>
          </w:p>
        </w:tc>
        <w:tc>
          <w:tcPr>
            <w:tcW w:w="4876" w:type="dxa"/>
            <w:tcBorders>
              <w:top w:val="nil"/>
              <w:left w:val="nil"/>
              <w:bottom w:val="nil"/>
              <w:right w:val="nil"/>
            </w:tcBorders>
          </w:tcPr>
          <w:p>
            <w:pPr>
              <w:pStyle w:val="Normal6a"/>
            </w:pPr>
            <w:r>
              <w:t>21.</w:t>
            </w:r>
            <w:r>
              <w:tab/>
            </w:r>
            <w:r>
              <w:t xml:space="preserve">vyzýva Komisiu, aby uľahčila vytvorenie systému ekologických komunít, ktorý umožní miestnu účasť na komunitných projektoch zelenej energie a umožní bývalým pracovníkom a ich rodinám investovať do takýchto projektov alebo sa do nich zapojiť; poukazuje na úspech podobných iniciatív; </w:t>
            </w:r>
            <w:r>
              <w:rPr>
                <w:b/>
                <w:i/>
              </w:rPr>
              <w:t>zdôrazňuje, že je potrebné vypracovať posilnený model prínosov pre komunitu, ktorý je špecifický pre región zapojený do spravodlivej transformácie, s cieľom poskytnúť dodatočné príjmy a zabezpečiť rozdelenie zisku zo štátneho a súkromného rozvoja v oblasti energie z obnoviteľných zdrojov počas dlhšieho obdobia, pričom sa zaistí väčšia flexibilita pri využívaní finančných prostriedkov na začlenenie rozvoja podnikov a vytvárania pracovných miest;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vyzýva </w:t>
            </w:r>
            <w:r>
              <w:rPr>
                <w:b/>
                <w:i/>
              </w:rPr>
              <w:t>Komisiu, aby uľahčila vytvorenie systému ekologických komunít, ktorý umožní miestnu účasť na komunitných projektoch zelenej</w:t>
            </w:r>
            <w:r>
              <w:t xml:space="preserve"> energie </w:t>
            </w:r>
            <w:r>
              <w:rPr>
                <w:b/>
                <w:i/>
              </w:rPr>
              <w:t>a umožní bývalým pracovníkom a ich rodinám investovať do takýchto projektov alebo sa do nich zapojiť;</w:t>
            </w:r>
            <w:r>
              <w:t xml:space="preserve"> </w:t>
            </w:r>
            <w:r>
              <w:rPr>
                <w:b/>
                <w:i/>
              </w:rPr>
              <w:t>poukazuje na úspech podobných iniciatív</w:t>
            </w:r>
            <w:r>
              <w:t>;</w:t>
            </w:r>
          </w:p>
        </w:tc>
        <w:tc>
          <w:tcPr>
            <w:tcW w:w="4876" w:type="dxa"/>
            <w:tcBorders>
              <w:top w:val="nil"/>
              <w:left w:val="nil"/>
              <w:bottom w:val="nil"/>
              <w:right w:val="nil"/>
            </w:tcBorders>
          </w:tcPr>
          <w:p>
            <w:pPr>
              <w:pStyle w:val="Normal6a"/>
            </w:pPr>
            <w:r>
              <w:t>21.</w:t>
            </w:r>
            <w:r>
              <w:tab/>
            </w:r>
            <w:r>
              <w:t xml:space="preserve">vyzýva </w:t>
            </w:r>
            <w:r>
              <w:rPr>
                <w:b/>
                <w:i/>
              </w:rPr>
              <w:t>členské štáty a riadiace orgány, aby vyčlenili časť zdrojov FST na podporu sociálnej inovácie a sociálneho a solidárneho hospodárstva, najmä financovaním občianskych energetických družstiev, participatívnych miestnych projektov výroby</w:t>
            </w:r>
            <w:r>
              <w:t xml:space="preserve"> energie </w:t>
            </w:r>
            <w:r>
              <w:rPr>
                <w:b/>
                <w:i/>
              </w:rPr>
              <w:t>z obnoviteľných zdrojov a iniciatív podporujúcich miestne obehové hospodárstvo, čím sa posilní prepojenie medzi ekologickou transformáciou a sociálnym začlenením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vyzýva Komisiu, aby uľahčila vytvorenie systému ekologických komunít, ktorý umožní miestnu účasť na komunitných projektoch </w:t>
            </w:r>
            <w:r>
              <w:rPr>
                <w:b/>
                <w:i/>
              </w:rPr>
              <w:t>zelenej energie</w:t>
            </w:r>
            <w:r>
              <w:t xml:space="preserve"> a umožní bývalým pracovníkom a ich rodinám investovať do takýchto projektov alebo sa do nich zapojiť; poukazuje na úspech podobných iniciatív;</w:t>
            </w:r>
          </w:p>
        </w:tc>
        <w:tc>
          <w:tcPr>
            <w:tcW w:w="4876" w:type="dxa"/>
            <w:tcBorders>
              <w:top w:val="nil"/>
              <w:left w:val="nil"/>
              <w:bottom w:val="nil"/>
              <w:right w:val="nil"/>
            </w:tcBorders>
          </w:tcPr>
          <w:p>
            <w:pPr>
              <w:pStyle w:val="Normal6a"/>
            </w:pPr>
            <w:r>
              <w:t>21.</w:t>
            </w:r>
            <w:r>
              <w:tab/>
            </w:r>
            <w:r>
              <w:t xml:space="preserve">vyzýva Komisiu, aby uľahčila vytvorenie systému ekologických komunít, ktorý umožní miestnu účasť na komunitných projektoch </w:t>
            </w:r>
            <w:r>
              <w:rPr>
                <w:b/>
                <w:i/>
              </w:rPr>
              <w:t>dekarbonizovanej energetiky</w:t>
            </w:r>
            <w:r>
              <w:t xml:space="preserve"> a umožní bývalým pracovníkom a ich rodinám investovať do takýchto projektov alebo sa do nich zapojiť; poukazuje na úspech podobných iniciatív;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Valentina Palmisano, 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vyzýva Komisiu, aby stanovila plán energetickej transformácie zameraný na najzraniteľnejšie rodiny s cieľom zabrániť tomu, aby im v procese transformácie vznikli vysoké náklady na udržateľné energetické modely;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vyzýva Komisiu, aby nabádala členské štáty, aby v plnej miere vykonávali ustanovenia smernice (EÚ) 2019/994 týkajúce sa občianskych energetických spoločenstiev;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vyzýva Komisiu, aby uľahčila vytvorenie systému sociálnej odbornej prípravy pre starších nezamestnaných pracovníkov, ktorí sa nedokážu rekvalifikovať a nájsť si nové pracovné miesto; zdôrazňuje, že v prípade niektorých pracovníkov by sa tým mohla vyplniť medzera medzi zamestnaním a odchodom do dôchodku;</w:t>
            </w:r>
          </w:p>
        </w:tc>
        <w:tc>
          <w:tcPr>
            <w:tcW w:w="4876" w:type="dxa"/>
            <w:tcBorders>
              <w:top w:val="nil"/>
              <w:left w:val="nil"/>
              <w:bottom w:val="nil"/>
              <w:right w:val="nil"/>
            </w:tcBorders>
          </w:tcPr>
          <w:p>
            <w:pPr>
              <w:pStyle w:val="Normal6a"/>
            </w:pPr>
            <w:r>
              <w:t>22.</w:t>
            </w:r>
            <w:r>
              <w:tab/>
            </w:r>
            <w:r>
              <w:t xml:space="preserve">vyzýva Komisiu, aby uľahčila vytvorenie systému sociálnej odbornej prípravy pre starších nezamestnaných pracovníkov, </w:t>
            </w:r>
            <w:r>
              <w:rPr>
                <w:b/>
                <w:i/>
              </w:rPr>
              <w:t>najmä ženy a dlhodobo nezamestnané osoby, ktoré majú ťažkosti s hľadaním práce, a ľudí,</w:t>
            </w:r>
            <w:r>
              <w:t xml:space="preserve"> ktorí sa nedokážu rekvalifikovať a nájsť si nové pracovné miesto; zdôrazňuje, že v prípade niektorých pracovníkov by sa tým mohla vyplniť medzera medzi zamestnaním a odchodom do dôchodku; </w:t>
            </w:r>
            <w:r>
              <w:rPr>
                <w:b/>
                <w:i/>
              </w:rPr>
              <w:t>domnieva sa, že každá iniciatíva musí zahŕňať podrobný plán rekvalifikácie a zvyšovania úrovne zručností pracovníkov, ktorý poskytne alternatívne možnosti zamestnania pre ľudí, ktorí sú v súčasnosti zamestnaní, a uprednostní plány na omladenie zamestnancov prostredníctvom čiastočného odchodu do dôchodku;</w:t>
            </w:r>
            <w:r>
              <w:t xml:space="preserve"> </w:t>
            </w:r>
            <w:r>
              <w:rPr>
                <w:b/>
                <w:i/>
              </w:rPr>
              <w:t>ako aj podporu sociálneho dialógu a kolektívneho vyjednávania v tomto odvetví;</w:t>
            </w:r>
            <w:r>
              <w:t xml:space="preserve"> </w:t>
            </w:r>
            <w:r>
              <w:rPr>
                <w:b/>
                <w:i/>
              </w:rPr>
              <w:t>zdôrazňuje, že je potrebné posilniť úlohu žien a podporovať integráciu osôb so zdravotným postihnutím;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vyzýva Komisiu, aby uľahčila vytvorenie systému sociálnej odbornej prípravy pre starších nezamestnaných pracovníkov, ktorí sa nedokážu rekvalifikovať a nájsť si nové pracovné miesto; zdôrazňuje, že v prípade niektorých pracovníkov by sa tým mohla vyplniť medzera medzi zamestnaním a odchodom do dôchodku;</w:t>
            </w:r>
          </w:p>
        </w:tc>
        <w:tc>
          <w:tcPr>
            <w:tcW w:w="4876" w:type="dxa"/>
            <w:tcBorders>
              <w:top w:val="nil"/>
              <w:left w:val="nil"/>
              <w:bottom w:val="nil"/>
              <w:right w:val="nil"/>
            </w:tcBorders>
          </w:tcPr>
          <w:p>
            <w:pPr>
              <w:pStyle w:val="Normal6a"/>
            </w:pPr>
            <w:r>
              <w:t>22.</w:t>
            </w:r>
            <w:r>
              <w:tab/>
            </w:r>
            <w:r>
              <w:t>vyzýva Komisiu, aby uľahčila vytvorenie systému sociálnej odbornej prípravy pre starších nezamestnaných pracovníkov, ktorí sa nedokážu rekvalifikovať a nájsť si nové pracovné miesto</w:t>
            </w:r>
            <w:r>
              <w:rPr>
                <w:b/>
                <w:i/>
              </w:rPr>
              <w:t>, čím sa zabezpečí ich podpora, aby mali zaručenú dôstojnú životnú úroveň</w:t>
            </w:r>
            <w:r>
              <w:t>; zdôrazňuje, že v prípade niektorých pracovníkov by sa tým mohla vyplniť medzera medzi zamestnaním a odchodom do dôchodku;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vyzýva Komisiu, aby prostredníctvom budúceho FST zvážila vytvorenie posilneného dočasného mechanizmu sociálnej ochrany pre pracovníkov priamo postihnutých priemyselnou a energetickou transformáciou vrátane opatrení, ako je príjem počas transformácie, cielené rozšírenie dávok v nezamestnanosti a špecializované služby psychologickej a sociálnej podpory, s cieľom zabrániť akémukoľvek zvýšenému riziku neistoty na územiach, ktoré sú najviac sociálno-ekonomicky vystavené prechodu na uhlíkovú neutralitu;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pripomína, že pre sociálne spravodlivú zelenú transformáciu má zásadný význam ekonomika starostlivosti a odvetvie starostlivosti (ako je starostlivosť o deti v ranom veku alebo dlhodobá starostlivosť), v ktorej dominujú ženy a v ktorej je vytváranie pracovných miest nevyhnutné na prerozdelenie neplatenej práce v oblasti starostlivosti, čo je predpokladom na to, aby ženy mali v rámci transformácie rovnaké pracovné príležitosti ako muži, ako aj vzhľadom na nové zdravotné hrozby súvisiace so zmenou klímy a znečistením;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naliehavo vyzýva Komisiu, aby pri prideľovaní finančných prostriedkov z FST členským štátom zohľadnila kritérium kumulatívneho vyľudňovania v dôsledku procesov skorého zatvárania priemyselných podnikov, napríklad v prípade uhoľných elektrární a iných odvetví produkujúcich emisie, a to najmä v krajinách, ktoré dosiahli včasné ciele znižovania emisií;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žiada, aby sa v rámci FST znížilo administratívne zaťaženie komunít zamestnávaním manažérov z praxe v mestách a obciach, ktorí by pomáhali pri príprave žiadostí o financovanie a vypracúvaní návrhov;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žiada, aby sa v rámci FST znížilo administratívne zaťaženie komunít zamestnávaním manažérov z praxe v mestách a obciach, ktorí by pomáhali pri príprave žiadostí o financovanie a vypracúvaní návrhov;</w:t>
            </w:r>
          </w:p>
        </w:tc>
        <w:tc>
          <w:tcPr>
            <w:tcW w:w="4876" w:type="dxa"/>
            <w:tcBorders>
              <w:top w:val="nil"/>
              <w:left w:val="nil"/>
              <w:bottom w:val="nil"/>
              <w:right w:val="nil"/>
            </w:tcBorders>
          </w:tcPr>
          <w:p>
            <w:pPr>
              <w:pStyle w:val="Normal6a"/>
            </w:pPr>
            <w:r>
              <w:t>23.</w:t>
            </w:r>
            <w:r>
              <w:tab/>
            </w:r>
            <w:r>
              <w:t xml:space="preserve">žiada, aby sa v rámci FST znížilo administratívne zaťaženie komunít zamestnávaním manažérov z praxe v mestách a obciach, ktorí by pomáhali pri príprave žiadostí o financovanie a vypracúvaní návrhov; </w:t>
            </w:r>
            <w:r>
              <w:rPr>
                <w:b/>
                <w:i/>
              </w:rPr>
              <w:t>zdôrazňuje, že miestne a regionálne samosprávy zohrávajú kľúčovú úlohu pri zabezpečovaní účinného navrhovania, vykonávania a monitorovania programov EÚ vzhľadom na ich blízkosť k občanom a dôkladné pochopenie územných potrieb;</w:t>
            </w:r>
            <w:r>
              <w:t xml:space="preserve"> </w:t>
            </w:r>
            <w:r>
              <w:rPr>
                <w:b/>
                <w:i/>
              </w:rPr>
              <w:t>vyzýva na doplnkové posilnenie kapacít miestnej a regionálnej úrovne a inštitucionálnej podpory z FST, a to aj prostredníctvom primeraného, dostupného a včasného financovania príslušných opatrení a inštitúcií;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žiada, aby sa v rámci FST znížilo administratívne zaťaženie komunít zamestnávaním manažérov z praxe v mestách a obciach, ktorí by pomáhali pri príprave žiadostí o financovanie a vypracúvaní návrhov;</w:t>
            </w:r>
          </w:p>
        </w:tc>
        <w:tc>
          <w:tcPr>
            <w:tcW w:w="4876" w:type="dxa"/>
            <w:tcBorders>
              <w:top w:val="nil"/>
              <w:left w:val="nil"/>
              <w:bottom w:val="nil"/>
              <w:right w:val="nil"/>
            </w:tcBorders>
          </w:tcPr>
          <w:p>
            <w:pPr>
              <w:pStyle w:val="Normal6a"/>
            </w:pPr>
            <w:r>
              <w:t>23.</w:t>
            </w:r>
            <w:r>
              <w:tab/>
            </w:r>
            <w:r>
              <w:t>žiada, aby sa v rámci FST znížilo administratívne zaťaženie komunít zamestnávaním manažérov z praxe v mestách a obciach, ktorí by pomáhali pri príprave žiadostí o financovanie a vypracúvaní návrhov</w:t>
            </w:r>
            <w:r>
              <w:rPr>
                <w:b/>
                <w:i/>
              </w:rPr>
              <w:t>, čím sa zabezpečí, aby aj tieto regióny mali rovnaký prístup k finančným prostriedkom EÚ, čo pomôže odstrániť regionálne rozdiely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žiada, aby sa v rámci FST znížilo administratívne zaťaženie komunít </w:t>
            </w:r>
            <w:r>
              <w:rPr>
                <w:b/>
                <w:i/>
              </w:rPr>
              <w:t>zamestnávaním manažérov</w:t>
            </w:r>
            <w:r>
              <w:t xml:space="preserve"> z praxe v </w:t>
            </w:r>
            <w:r>
              <w:rPr>
                <w:b/>
                <w:i/>
              </w:rPr>
              <w:t>mestách a obciach</w:t>
            </w:r>
            <w:r>
              <w:t>, ktorí by pomáhali pri príprave žiadostí o financovanie a vypracúvaní návrhov;</w:t>
            </w:r>
          </w:p>
        </w:tc>
        <w:tc>
          <w:tcPr>
            <w:tcW w:w="4876" w:type="dxa"/>
            <w:tcBorders>
              <w:top w:val="nil"/>
              <w:left w:val="nil"/>
              <w:bottom w:val="nil"/>
              <w:right w:val="nil"/>
            </w:tcBorders>
          </w:tcPr>
          <w:p>
            <w:pPr>
              <w:pStyle w:val="Normal6a"/>
            </w:pPr>
            <w:r>
              <w:t>23.</w:t>
            </w:r>
            <w:r>
              <w:tab/>
            </w:r>
            <w:r>
              <w:t xml:space="preserve">žiada, aby sa v rámci FST znížilo administratívne zaťaženie komunít </w:t>
            </w:r>
            <w:r>
              <w:rPr>
                <w:b/>
                <w:i/>
              </w:rPr>
              <w:t>zabezpečením oprávnenosti konzultantov</w:t>
            </w:r>
            <w:r>
              <w:t xml:space="preserve"> z praxe v </w:t>
            </w:r>
            <w:r>
              <w:rPr>
                <w:b/>
                <w:i/>
              </w:rPr>
              <w:t>projektoch</w:t>
            </w:r>
            <w:r>
              <w:t>, ktorí by pomáhali pri príprave žiadostí o financovanie a vypracúvaní návrhov</w:t>
            </w:r>
            <w:r>
              <w:rPr>
                <w:b/>
                <w:i/>
              </w:rPr>
              <w:t>, ako aj pri riadení projektov po ich výbere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žiada, aby sa v rámci FST znížilo administratívne zaťaženie komunít zamestnávaním manažérov z praxe v mestách a obciach, ktorí by pomáhali pri príprave žiadostí o financovanie a vypracúvaní návrhov;</w:t>
            </w:r>
          </w:p>
        </w:tc>
        <w:tc>
          <w:tcPr>
            <w:tcW w:w="4876" w:type="dxa"/>
            <w:tcBorders>
              <w:top w:val="nil"/>
              <w:left w:val="nil"/>
              <w:bottom w:val="nil"/>
              <w:right w:val="nil"/>
            </w:tcBorders>
          </w:tcPr>
          <w:p>
            <w:pPr>
              <w:pStyle w:val="Normal6a"/>
            </w:pPr>
            <w:r>
              <w:t>23.</w:t>
            </w:r>
            <w:r>
              <w:tab/>
            </w:r>
            <w:r>
              <w:t>žiada, aby sa v rámci FST znížilo administratívne zaťaženie komunít zamestnávaním manažérov z praxe v mestách a obciach, ktorí by pomáhali pri príprave žiadostí o financovanie a vypracúvaní návrhov</w:t>
            </w:r>
            <w:r>
              <w:rPr>
                <w:b/>
                <w:i/>
              </w:rPr>
              <w:t>, a to zriadením jednotného kontaktného miesta a primeraných digitálnych platforiem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žiada, aby sa </w:t>
            </w:r>
            <w:r>
              <w:rPr>
                <w:b/>
                <w:i/>
              </w:rPr>
              <w:t>v rámci FST</w:t>
            </w:r>
            <w:r>
              <w:t xml:space="preserve"> znížilo administratívne zaťaženie komunít </w:t>
            </w:r>
            <w:r>
              <w:rPr>
                <w:b/>
                <w:i/>
              </w:rPr>
              <w:t>zamestnávaním manažérov z praxe v mestách a obciach, ktorí by pomáhali pri príprave</w:t>
            </w:r>
            <w:r>
              <w:t xml:space="preserve"> žiadostí </w:t>
            </w:r>
            <w:r>
              <w:rPr>
                <w:b/>
                <w:i/>
              </w:rPr>
              <w:t>o financovanie a vypracúvaní návrhov</w:t>
            </w:r>
            <w:r>
              <w:t>;</w:t>
            </w:r>
          </w:p>
        </w:tc>
        <w:tc>
          <w:tcPr>
            <w:tcW w:w="4876" w:type="dxa"/>
            <w:tcBorders>
              <w:top w:val="nil"/>
              <w:left w:val="nil"/>
              <w:bottom w:val="nil"/>
              <w:right w:val="nil"/>
            </w:tcBorders>
          </w:tcPr>
          <w:p>
            <w:pPr>
              <w:pStyle w:val="Normal6a"/>
            </w:pPr>
            <w:r>
              <w:t>23.</w:t>
            </w:r>
            <w:r>
              <w:tab/>
            </w:r>
            <w:r>
              <w:t xml:space="preserve">žiada, aby sa znížilo administratívne zaťaženie komunít </w:t>
            </w:r>
            <w:r>
              <w:rPr>
                <w:b/>
                <w:i/>
              </w:rPr>
              <w:t>v dôsledku FST vytvorením špecializovaných tímov na vybavovanie</w:t>
            </w:r>
            <w:r>
              <w:t xml:space="preserve"> žiadostí;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žiada, aby sa v rámci FST znížilo administratívne zaťaženie komunít zamestnávaním manažérov z praxe v mestách a obciach, ktorí by pomáhali pri príprave žiadostí o financovanie a vypracúvaní návrhov;</w:t>
            </w:r>
          </w:p>
        </w:tc>
        <w:tc>
          <w:tcPr>
            <w:tcW w:w="4876" w:type="dxa"/>
            <w:tcBorders>
              <w:top w:val="nil"/>
              <w:left w:val="nil"/>
              <w:bottom w:val="nil"/>
              <w:right w:val="nil"/>
            </w:tcBorders>
          </w:tcPr>
          <w:p>
            <w:pPr>
              <w:pStyle w:val="Normal6a"/>
            </w:pPr>
            <w:r>
              <w:t>23.</w:t>
            </w:r>
            <w:r>
              <w:tab/>
            </w:r>
            <w:r>
              <w:t xml:space="preserve">žiada, aby sa v rámci FST znížilo administratívne zaťaženie komunít zamestnávaním manažérov z praxe v mestách a obciach, ktorí by </w:t>
            </w:r>
            <w:r>
              <w:rPr>
                <w:b/>
                <w:i/>
              </w:rPr>
              <w:t>poskytovali podporu a</w:t>
            </w:r>
            <w:r>
              <w:t xml:space="preserve"> pomáhali pri príprave žiadostí o financovanie a vypracúvaní návrhov;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žiada</w:t>
            </w:r>
            <w:r>
              <w:rPr>
                <w:b/>
                <w:i/>
              </w:rPr>
              <w:t>, aby sa v rámci FST znížilo administratívne zaťaženie komunít zamestnávaním manažérov z praxe v mestách a obciach, ktorí by pomáhali pri príprave žiadostí o financovanie a vypracúvaní návrhov</w:t>
            </w:r>
            <w:r>
              <w:t>;</w:t>
            </w:r>
          </w:p>
        </w:tc>
        <w:tc>
          <w:tcPr>
            <w:tcW w:w="4876" w:type="dxa"/>
            <w:tcBorders>
              <w:top w:val="nil"/>
              <w:left w:val="nil"/>
              <w:bottom w:val="nil"/>
              <w:right w:val="nil"/>
            </w:tcBorders>
          </w:tcPr>
          <w:p>
            <w:pPr>
              <w:pStyle w:val="Normal6a"/>
            </w:pPr>
            <w:r>
              <w:t>23.</w:t>
            </w:r>
            <w:r>
              <w:tab/>
            </w:r>
            <w:r>
              <w:t xml:space="preserve">žiada </w:t>
            </w:r>
            <w:r>
              <w:rPr>
                <w:b/>
                <w:i/>
              </w:rPr>
              <w:t>Komisiu, aby počas preskúmania programov podporovaných z EŠIF v polovici trvania navrhla legislatívne návrhy na uľahčenie využívania FST všetkými zainteresovanými stranami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žiada, aby sa miestne a regionálne orgány, ako aj občania a mimovládne organizácie viac zapájali do rozhodovacieho procesu a procesu financovania, aby sa zabezpečilo náležité riešenie potrieb;</w:t>
            </w:r>
            <w:r>
              <w:t xml:space="preserve"> </w:t>
            </w:r>
            <w:r>
              <w:rPr>
                <w:b/>
                <w:i/>
              </w:rPr>
              <w:t>konštatuje, že potenciál, ktorý existuje na miestnej úrovni, by sa mohol lepšie využiť a investície do regionálneho rozvoja by mohli byť účinnejšie posilnením a uľahčením účasti občanov a miestneho rozvoja vedeného komunitou a podobných nástrojov zdola nahor;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žiada, aby sa orgánom najvzdialenejších regiónov a ZKÚ poskytla dodatočná technická pomoc na riadenie a implementáciu fondov vrátane vytvorenia jednotných kontaktných miest na podporu miestnych projektov spravodlivej transformácie;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žiada, aby sa v rámci FST ocenilo dedičstvo dotknutých komunít a zaviedla sa odborná príprava pre sprievodcov kultúrnym dedičstvom;</w:t>
            </w:r>
            <w:r>
              <w:t xml:space="preserve"> </w:t>
            </w:r>
            <w:r>
              <w:rPr>
                <w:b/>
                <w:i/>
              </w:rPr>
              <w:t>podporuje zriadenie návštevníckych centier zameraných na miestnu históriu;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žiada, aby sa v rámci FST </w:t>
            </w:r>
            <w:r>
              <w:rPr>
                <w:b/>
                <w:i/>
              </w:rPr>
              <w:t>ocenilo dedičstvo dotknutých</w:t>
            </w:r>
            <w:r>
              <w:t xml:space="preserve"> komunít a </w:t>
            </w:r>
            <w:r>
              <w:rPr>
                <w:b/>
                <w:i/>
              </w:rPr>
              <w:t>zaviedla sa odborná príprava</w:t>
            </w:r>
            <w:r>
              <w:t xml:space="preserve"> pre sprievodcov kultúrnym dedičstvom; podporuje zriadenie návštevníckych centier </w:t>
            </w:r>
            <w:r>
              <w:rPr>
                <w:b/>
                <w:i/>
              </w:rPr>
              <w:t>zameraných na</w:t>
            </w:r>
            <w:r>
              <w:t xml:space="preserve"> miestnu históriu;</w:t>
            </w:r>
          </w:p>
        </w:tc>
        <w:tc>
          <w:tcPr>
            <w:tcW w:w="4876" w:type="dxa"/>
            <w:tcBorders>
              <w:top w:val="nil"/>
              <w:left w:val="nil"/>
              <w:bottom w:val="nil"/>
              <w:right w:val="nil"/>
            </w:tcBorders>
          </w:tcPr>
          <w:p>
            <w:pPr>
              <w:pStyle w:val="Normal6a"/>
            </w:pPr>
            <w:r>
              <w:t>24.</w:t>
            </w:r>
            <w:r>
              <w:tab/>
            </w:r>
            <w:r>
              <w:t xml:space="preserve">žiada, aby sa v rámci FST </w:t>
            </w:r>
            <w:r>
              <w:rPr>
                <w:b/>
                <w:i/>
              </w:rPr>
              <w:t>podporovalo zachovanie a oslava kultúrneho a priemyselného dedičstva postihnutých</w:t>
            </w:r>
            <w:r>
              <w:t xml:space="preserve"> komunít a </w:t>
            </w:r>
            <w:r>
              <w:rPr>
                <w:b/>
                <w:i/>
              </w:rPr>
              <w:t>aby sa uznalo za dôležitú súčasť regionálnej identity, sociálnej súdržnosti a udržateľného rozvoja cestovného ruchu;</w:t>
            </w:r>
            <w:r>
              <w:t xml:space="preserve"> </w:t>
            </w:r>
            <w:r>
              <w:rPr>
                <w:b/>
                <w:i/>
              </w:rPr>
              <w:t>nabáda na vytvorenie špecializovaných programov odbornej prípravy</w:t>
            </w:r>
            <w:r>
              <w:t xml:space="preserve"> pre sprievodcov kultúrnym dedičstvom </w:t>
            </w:r>
            <w:r>
              <w:rPr>
                <w:b/>
                <w:i/>
              </w:rPr>
              <w:t>s cieľom podporiť miestnu zamestnanosť a kultúrnu kontinuitu</w:t>
            </w:r>
            <w:r>
              <w:t xml:space="preserve">; podporuje zriadenie návštevníckych centier </w:t>
            </w:r>
            <w:r>
              <w:rPr>
                <w:b/>
                <w:i/>
              </w:rPr>
              <w:t>a tlmočníckych priestorov, ktoré propagujú</w:t>
            </w:r>
            <w:r>
              <w:t xml:space="preserve"> miestnu históriu</w:t>
            </w:r>
            <w:r>
              <w:rPr>
                <w:b/>
                <w:i/>
              </w:rPr>
              <w:t>, tradície a transformačnú cestu týchto regiónov, čím sa posilní miestna identita a priláka kultúrny a vzdelávací cestovný ruch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žiada, aby sa v rámci FST ocenilo dedičstvo dotknutých komunít </w:t>
            </w:r>
            <w:r>
              <w:rPr>
                <w:b/>
                <w:i/>
              </w:rPr>
              <w:t>a zaviedla sa odborná príprava</w:t>
            </w:r>
            <w:r>
              <w:t xml:space="preserve"> pre sprievodcov kultúrnym dedičstvom</w:t>
            </w:r>
            <w:r>
              <w:rPr>
                <w:b/>
                <w:i/>
              </w:rPr>
              <w:t>;</w:t>
            </w:r>
            <w:r>
              <w:t xml:space="preserve"> </w:t>
            </w:r>
            <w:r>
              <w:rPr>
                <w:b/>
                <w:i/>
              </w:rPr>
              <w:t>podporuje zriadenie</w:t>
            </w:r>
            <w:r>
              <w:t xml:space="preserve"> návštevníckych centier zameraných na miestnu históriu;</w:t>
            </w:r>
          </w:p>
        </w:tc>
        <w:tc>
          <w:tcPr>
            <w:tcW w:w="4876" w:type="dxa"/>
            <w:tcBorders>
              <w:top w:val="nil"/>
              <w:left w:val="nil"/>
              <w:bottom w:val="nil"/>
              <w:right w:val="nil"/>
            </w:tcBorders>
          </w:tcPr>
          <w:p>
            <w:pPr>
              <w:pStyle w:val="Normal6a"/>
            </w:pPr>
            <w:r>
              <w:t>24.</w:t>
            </w:r>
            <w:r>
              <w:tab/>
            </w:r>
            <w:r>
              <w:t xml:space="preserve">žiada, aby sa v rámci FST ocenilo dedičstvo dotknutých komunít </w:t>
            </w:r>
            <w:r>
              <w:rPr>
                <w:b/>
                <w:i/>
              </w:rPr>
              <w:t>podporou udržateľného rozvoja cestovného ruchu vrátane odbornej prípravy</w:t>
            </w:r>
            <w:r>
              <w:t xml:space="preserve"> pre sprievodcov kultúrnym dedičstvom </w:t>
            </w:r>
            <w:r>
              <w:rPr>
                <w:b/>
                <w:i/>
              </w:rPr>
              <w:t>a podporou zriaďovania</w:t>
            </w:r>
            <w:r>
              <w:t xml:space="preserve"> návštevníckych centier zameraných na miestnu históriu</w:t>
            </w:r>
            <w:r>
              <w:rPr>
                <w:b/>
                <w:i/>
              </w:rPr>
              <w:t>, čím sa vytvoria miestne pracovné miesta a zachová sa kultúrna identita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Rody Tolassy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žiada, aby sa v rámci FST ocenilo dedičstvo dotknutých komunít a zaviedla sa odborná príprava pre sprievodcov kultúrnym dedičstvom; podporuje zriadenie návštevníckych centier zameraných na miestnu históriu;</w:t>
            </w:r>
          </w:p>
        </w:tc>
        <w:tc>
          <w:tcPr>
            <w:tcW w:w="4876" w:type="dxa"/>
            <w:tcBorders>
              <w:top w:val="nil"/>
              <w:left w:val="nil"/>
              <w:bottom w:val="nil"/>
              <w:right w:val="nil"/>
            </w:tcBorders>
          </w:tcPr>
          <w:p>
            <w:pPr>
              <w:pStyle w:val="Normal6a"/>
            </w:pPr>
            <w:r>
              <w:t>24.</w:t>
            </w:r>
            <w:r>
              <w:tab/>
            </w:r>
            <w:r>
              <w:t xml:space="preserve">žiada, aby sa v rámci FST ocenilo dedičstvo dotknutých komunít </w:t>
            </w:r>
            <w:r>
              <w:rPr>
                <w:b/>
                <w:i/>
              </w:rPr>
              <w:t>vrátane obnovy priemyselných lokalít (bývalé plantáže cukrovej trstiny v najvzdialenejších regiónoch)</w:t>
            </w:r>
            <w:r>
              <w:t xml:space="preserve"> a zaviedla sa odborná príprava pre sprievodcov kultúrnym dedičstvom; podporuje zriadenie </w:t>
            </w:r>
            <w:r>
              <w:rPr>
                <w:b/>
                <w:i/>
              </w:rPr>
              <w:t>moderných a digitálnych</w:t>
            </w:r>
            <w:r>
              <w:t xml:space="preserve"> návštevníckych centier zameraných na miestnu históriu;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žiada, aby sa v rámci FST ocenilo dedičstvo dotknutých komunít a zaviedla sa odborná príprava pre sprievodcov kultúrnym dedičstvom; podporuje zriadenie návštevníckych centier zameraných na miestnu históriu;</w:t>
            </w:r>
          </w:p>
        </w:tc>
        <w:tc>
          <w:tcPr>
            <w:tcW w:w="4876" w:type="dxa"/>
            <w:tcBorders>
              <w:top w:val="nil"/>
              <w:left w:val="nil"/>
              <w:bottom w:val="nil"/>
              <w:right w:val="nil"/>
            </w:tcBorders>
          </w:tcPr>
          <w:p>
            <w:pPr>
              <w:pStyle w:val="Normal6a"/>
            </w:pPr>
            <w:r>
              <w:t>24.</w:t>
            </w:r>
            <w:r>
              <w:tab/>
            </w:r>
            <w:r>
              <w:t xml:space="preserve">žiada, aby sa v rámci FST ocenilo dedičstvo dotknutých komunít a zaviedla sa odborná príprava pre sprievodcov kultúrnym dedičstvom; podporuje zriadenie návštevníckych centier zameraných na miestnu históriu </w:t>
            </w:r>
            <w:r>
              <w:rPr>
                <w:b/>
                <w:i/>
              </w:rPr>
              <w:t>a tradície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žiada, aby sa v rámci FST </w:t>
            </w:r>
            <w:r>
              <w:rPr>
                <w:b/>
                <w:i/>
              </w:rPr>
              <w:t>ocenilo</w:t>
            </w:r>
            <w:r>
              <w:t xml:space="preserve"> dedičstvo dotknutých komunít a zaviedla sa odborná príprava pre sprievodcov kultúrnym dedičstvom; podporuje zriadenie návštevníckych centier zameraných na miestnu históriu;</w:t>
            </w:r>
          </w:p>
        </w:tc>
        <w:tc>
          <w:tcPr>
            <w:tcW w:w="4876" w:type="dxa"/>
            <w:tcBorders>
              <w:top w:val="nil"/>
              <w:left w:val="nil"/>
              <w:bottom w:val="nil"/>
              <w:right w:val="nil"/>
            </w:tcBorders>
          </w:tcPr>
          <w:p>
            <w:pPr>
              <w:pStyle w:val="Normal6a"/>
            </w:pPr>
            <w:r>
              <w:t>24.</w:t>
            </w:r>
            <w:r>
              <w:tab/>
            </w:r>
            <w:r>
              <w:t xml:space="preserve">žiada, aby sa v rámci FST </w:t>
            </w:r>
            <w:r>
              <w:rPr>
                <w:b/>
                <w:i/>
              </w:rPr>
              <w:t>vyzdvihlo</w:t>
            </w:r>
            <w:r>
              <w:t xml:space="preserve"> dedičstvo dotknutých komunít a zaviedla sa odborná príprava pre sprievodcov kultúrnym dedičstvom; podporuje zriadenie návštevníckych centier zameraných na miestnu históriu;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domnieva sa, že zmeny v geopolitickom prostredí vedú spolu s ďalšími faktormi k rozsiahlym zmenám vo fungovaní hospodárstva EÚ;</w:t>
            </w:r>
            <w:r>
              <w:t xml:space="preserve"> </w:t>
            </w:r>
            <w:r>
              <w:rPr>
                <w:b/>
                <w:i/>
              </w:rPr>
              <w:t>naliehavo preto vyzýva Komisiu, aby preskúmala lehoty na ukončenie činnosti kľúčových aktérov v oblasti energetiky v EÚ;</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domnieva sa, že zmeny v geopolitickom prostredí vedú spolu s ďalšími faktormi k rozsiahlym zmenám vo fungovaní hospodárstva EÚ; naliehavo preto vyzýva Komisiu, aby preskúmala lehoty na ukončenie činnosti kľúčových aktérov v oblasti energetiky v EÚ;</w:t>
            </w:r>
          </w:p>
        </w:tc>
        <w:tc>
          <w:tcPr>
            <w:tcW w:w="4876" w:type="dxa"/>
            <w:tcBorders>
              <w:top w:val="nil"/>
              <w:left w:val="nil"/>
              <w:bottom w:val="nil"/>
              <w:right w:val="nil"/>
            </w:tcBorders>
          </w:tcPr>
          <w:p>
            <w:pPr>
              <w:pStyle w:val="Normal6a"/>
            </w:pPr>
            <w:r>
              <w:t>25.</w:t>
            </w:r>
            <w:r>
              <w:tab/>
            </w:r>
            <w:r>
              <w:t xml:space="preserve">domnieva sa, že zmeny v geopolitickom prostredí vedú spolu s ďalšími faktormi k rozsiahlym zmenám vo fungovaní hospodárstva EÚ; naliehavo preto vyzýva Komisiu, aby preskúmala lehoty na ukončenie činnosti kľúčových aktérov v oblasti energetiky v EÚ </w:t>
            </w:r>
            <w:r>
              <w:rPr>
                <w:b/>
                <w:i/>
              </w:rPr>
              <w:t>a prepojila ukončenia činnosti s preukázateľným zabezpečením alternatívneho zamestnania, čím sa zabezpečí „spravodlivosť pred transformáciou“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domnieva sa, že zmeny v geopolitickom prostredí vedú spolu s ďalšími faktormi k rozsiahlym zmenám vo fungovaní hospodárstva EÚ; naliehavo preto vyzýva Komisiu</w:t>
            </w:r>
            <w:r>
              <w:rPr>
                <w:b/>
                <w:i/>
              </w:rPr>
              <w:t>, aby preskúmala</w:t>
            </w:r>
            <w:r>
              <w:t xml:space="preserve"> lehoty na ukončenie činnosti kľúčových aktérov v oblasti energetiky v EÚ;</w:t>
            </w:r>
          </w:p>
        </w:tc>
        <w:tc>
          <w:tcPr>
            <w:tcW w:w="4876" w:type="dxa"/>
            <w:tcBorders>
              <w:top w:val="nil"/>
              <w:left w:val="nil"/>
              <w:bottom w:val="nil"/>
              <w:right w:val="nil"/>
            </w:tcBorders>
          </w:tcPr>
          <w:p>
            <w:pPr>
              <w:pStyle w:val="Normal6a"/>
            </w:pPr>
            <w:r>
              <w:t>25.</w:t>
            </w:r>
            <w:r>
              <w:tab/>
            </w:r>
            <w:r>
              <w:t xml:space="preserve">domnieva sa, že zmeny v geopolitickom prostredí vedú spolu s ďalšími faktormi k rozsiahlym zmenám vo fungovaní hospodárstva EÚ; naliehavo preto vyzýva Komisiu </w:t>
            </w:r>
            <w:r>
              <w:rPr>
                <w:b/>
                <w:i/>
              </w:rPr>
              <w:t>a členské štáty, aby preskúmali</w:t>
            </w:r>
            <w:r>
              <w:t xml:space="preserve"> lehoty na ukončenie činnosti kľúčových aktérov v oblasti energetiky v EÚ</w:t>
            </w:r>
            <w:r>
              <w:rPr>
                <w:b/>
                <w:i/>
              </w:rPr>
              <w:t>, a najmä aby zastavili prevádzkové zatváranie jadrových elektrární</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domnieva sa, že zmeny v geopolitickom prostredí vedú spolu s ďalšími faktormi k rozsiahlym zmenám vo fungovaní hospodárstva EÚ; naliehavo preto vyzýva Komisiu, aby preskúmala lehoty na ukončenie činnosti kľúčových aktérov v oblasti energetiky v EÚ;</w:t>
            </w:r>
          </w:p>
        </w:tc>
        <w:tc>
          <w:tcPr>
            <w:tcW w:w="4876" w:type="dxa"/>
            <w:tcBorders>
              <w:top w:val="nil"/>
              <w:left w:val="nil"/>
              <w:bottom w:val="nil"/>
              <w:right w:val="nil"/>
            </w:tcBorders>
          </w:tcPr>
          <w:p>
            <w:pPr>
              <w:pStyle w:val="Normal6a"/>
            </w:pPr>
            <w:r>
              <w:t>25.</w:t>
            </w:r>
            <w:r>
              <w:tab/>
            </w:r>
            <w:r>
              <w:t>domnieva sa, že zmeny v geopolitickom prostredí vedú spolu s ďalšími faktormi k rozsiahlym zmenám vo fungovaní hospodárstva EÚ; naliehavo preto vyzýva Komisiu, aby preskúmala lehoty na ukončenie činnosti kľúčových aktérov v oblasti energetiky v EÚ</w:t>
            </w:r>
            <w:r>
              <w:rPr>
                <w:b/>
                <w:i/>
              </w:rPr>
              <w:t>, a aby vykonala aj všeobecné preskúmanie plánovaných činností v rámci zelenej transformácie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domnieva sa, že zmeny v geopolitickom prostredí vedú spolu s ďalšími faktormi k rozsiahlym zmenám vo fungovaní hospodárstva EÚ; naliehavo preto vyzýva Komisiu, aby </w:t>
            </w:r>
            <w:r>
              <w:rPr>
                <w:b/>
                <w:i/>
              </w:rPr>
              <w:t>preskúmala</w:t>
            </w:r>
            <w:r>
              <w:t xml:space="preserve"> lehoty na ukončenie činnosti kľúčových aktérov v oblasti energetiky v EÚ;</w:t>
            </w:r>
          </w:p>
        </w:tc>
        <w:tc>
          <w:tcPr>
            <w:tcW w:w="4876" w:type="dxa"/>
            <w:tcBorders>
              <w:top w:val="nil"/>
              <w:left w:val="nil"/>
              <w:bottom w:val="nil"/>
              <w:right w:val="nil"/>
            </w:tcBorders>
          </w:tcPr>
          <w:p>
            <w:pPr>
              <w:pStyle w:val="Normal6a"/>
            </w:pPr>
            <w:r>
              <w:t>25.</w:t>
            </w:r>
            <w:r>
              <w:tab/>
            </w:r>
            <w:r>
              <w:t xml:space="preserve">domnieva sa, že zmeny v geopolitickom prostredí vedú spolu s ďalšími faktormi k rozsiahlym zmenám vo fungovaní hospodárstva EÚ; naliehavo preto vyzýva Komisiu, aby </w:t>
            </w:r>
            <w:r>
              <w:rPr>
                <w:b/>
                <w:i/>
              </w:rPr>
              <w:t>prehodnotila</w:t>
            </w:r>
            <w:r>
              <w:t xml:space="preserve"> lehoty na ukončenie činnosti kľúčových aktérov v oblasti energetiky 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domnieva sa, že zmeny v geopolitickom prostredí vedú spolu s ďalšími faktormi k rozsiahlym zmenám vo fungovaní hospodárstva EÚ; naliehavo preto vyzýva Komisiu, aby </w:t>
            </w:r>
            <w:r>
              <w:rPr>
                <w:b/>
                <w:i/>
              </w:rPr>
              <w:t>preskúmala lehoty na ukončenie činnosti kľúčových aktérov v oblasti energetiky v EÚ</w:t>
            </w:r>
            <w:r>
              <w:t>;</w:t>
            </w:r>
          </w:p>
        </w:tc>
        <w:tc>
          <w:tcPr>
            <w:tcW w:w="4876" w:type="dxa"/>
            <w:tcBorders>
              <w:top w:val="nil"/>
              <w:left w:val="nil"/>
              <w:bottom w:val="nil"/>
              <w:right w:val="nil"/>
            </w:tcBorders>
          </w:tcPr>
          <w:p>
            <w:pPr>
              <w:pStyle w:val="Normal6a"/>
            </w:pPr>
            <w:r>
              <w:t>25.</w:t>
            </w:r>
            <w:r>
              <w:tab/>
            </w:r>
            <w:r>
              <w:t xml:space="preserve">domnieva sa, že zmeny v geopolitickom prostredí vedú spolu s ďalšími faktormi k rozsiahlym zmenám vo fungovaní hospodárstva EÚ; naliehavo preto vyzýva Komisiu, aby </w:t>
            </w:r>
            <w:r>
              <w:rPr>
                <w:b/>
                <w:i/>
              </w:rPr>
              <w:t>zvýšila investície do zelenej, udržateľnej energie a energie z obnoviteľných zdrojov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pripomína, že Komisia zaraďuje jadrovú energiu medzi technológie s nulovými emisiami, a že táto forma energie by sa preto klasifikovala ako zelená energia;</w:t>
            </w:r>
            <w:r>
              <w:t xml:space="preserve"> </w:t>
            </w:r>
            <w:r>
              <w:rPr>
                <w:b/>
                <w:i/>
              </w:rPr>
              <w:t>je presvedčený, že podpora zriadenia a prevádzkovej údržby jadrových elektrární prispieva k cieľom klimatickej neutrality a strategickej autonómie, čím sa znižuje závislosť od fosílnych palív a vonkajších zdrojov;</w:t>
            </w:r>
            <w:r>
              <w:t xml:space="preserve"> </w:t>
            </w:r>
            <w:r>
              <w:rPr>
                <w:b/>
                <w:i/>
              </w:rPr>
              <w:t>domnieva sa, že investície do jadrovej energie by pomohli obmedziť stratu pracovných miest, znížiť energetickú chudobu a podporiť hospodársky rast v oblastiach postihnutých transformáciou;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požaduje revíziu článku 9 nariadenia (EÚ) 2021/1056 s cieľom uľahčiť využívanie finančných prostriedkov dostupných v rámci fondu na rozvoj a prevádzku jadrových elektrární v regiónoch, kde prebieha transformácia;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vyzýva Komisiu, aby nabádala členské štáty, aby vykonávali ustanovenia smernice (EÚ) 2019/994 týkajúce sa občianskych energetických spoločenstiev;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Valentina Palmisano, 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vyzýva Komisiu, aby nabádala členské štáty, aby vykonávali ustanovenia smernice (EÚ) 2019/994 týkajúce sa občianskych energetických spoločenstiev;</w:t>
            </w:r>
          </w:p>
        </w:tc>
        <w:tc>
          <w:tcPr>
            <w:tcW w:w="4876" w:type="dxa"/>
            <w:tcBorders>
              <w:top w:val="nil"/>
              <w:left w:val="nil"/>
              <w:bottom w:val="nil"/>
              <w:right w:val="nil"/>
            </w:tcBorders>
          </w:tcPr>
          <w:p>
            <w:pPr>
              <w:pStyle w:val="Normal6a"/>
            </w:pPr>
            <w:r>
              <w:t>26.</w:t>
            </w:r>
            <w:r>
              <w:tab/>
            </w:r>
            <w:r>
              <w:t xml:space="preserve">vyzýva Komisiu, aby nabádala členské štáty, aby vykonávali ustanovenia smernice (EÚ) 2019/994 týkajúce sa občianskych energetických spoločenstiev </w:t>
            </w:r>
            <w:r>
              <w:rPr>
                <w:b/>
                <w:i/>
              </w:rPr>
              <w:t>a vypracovali osobitné opatrenia na ochranu zraniteľných domácností pred energetickou chudobou v regiónoch, na ktoré sa vzťahuje FST, prostredníctvom podpory nízkonákladových komunitných energetických modelov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vyzýva Komisiu, aby predložila návrh smernice o spravodlivej transformácii vo svete práce, ktorá zaručí včasné a účinné informovanie pracovníkov a odborových zväzov a konzultácie s nimi o plánoch a stratégiách spoločností, ktoré majú vplyv na pracoviská v kontexte spravodlivej transformácie, a s cieľom zachovať pracovné miesta a pracovné podmienky, zabrániť prepúšťaniu a posilniť demokraciu na pracovisku, pokiaľ ide o opatrenia týkajúce sa zmeny klímy, digitálnej transformácie a reštrukturalizácie, ako aj predvídania a riadenia zmien;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vyzýva na jednotné a koherentné uplatňovanie zásad spravodlivej transformácie vo všetkých fondoch EÚ v rámci viacročného finančného rámca (VFR) na obdobie po roku 2027;</w:t>
            </w:r>
            <w:r>
              <w:t xml:space="preserve"> </w:t>
            </w:r>
            <w:r>
              <w:rPr>
                <w:b/>
                <w:i/>
              </w:rPr>
              <w:t>zdôrazňuje, že je dôležité začleniť jasné sociálne a environmentálne podmienky s cieľom zabezpečiť, aby všetky opatrenia financované EÚ zmysluplne prispievali k spravodlivej, inkluzívnej a udržateľnej transformácii a zároveň posilňovali územnú súdržnosť a zabránili zaostávaniu zraniteľných regiónov a komunít;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zdôrazňuje význam členských štátov pri podpore odvetvového sociálneho dialógu a kolektívneho vyjednávania, najmä v novovznikajúcich ekologických odvetviach, ako aj pri zabezpečovaní začlenenia malých a stredných podnikov vrátane podnikov sociálneho hospodárstva;</w:t>
            </w:r>
            <w:r>
              <w:t xml:space="preserve"> </w:t>
            </w:r>
            <w:r>
              <w:rPr>
                <w:b/>
                <w:i/>
              </w:rPr>
              <w:t>zdôrazňuje, že smernica o minimálnej mzde je výbornou príležitosťou na posilnenie kolektívneho vyjednávania o stanovovaní miezd a prítomnosti sociálnych partnerov v rozvíjajúcich sa odvetviach;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26c.‏</w:t>
            </w:r>
            <w:r>
              <w:tab/>
            </w:r>
            <w:r>
              <w:rPr>
                <w:b/>
                <w:i/>
              </w:rPr>
              <w:t>opakuje svoju výzvu, že projekty a príjemcovia finančných prostriedkov EÚ vrátane štátnej pomoci by mali zabezpečiť súlad s cieľmi verejnej politiky, najmä so sociálnymi a environmentálnymi požiadavkami, a musia dodržiavať všetky právne záväzky;</w:t>
            </w:r>
            <w:r>
              <w:t xml:space="preserve"> </w:t>
            </w:r>
            <w:r>
              <w:rPr>
                <w:b/>
                <w:i/>
              </w:rPr>
              <w:t>vyzýva členské štáty, aby zabezpečili, že verejná finančná podpora poskytovaná firmám bude podmienená tým, že finančné prostriedky sa použijú v prospech zamestnancov a prijímajúce podniky sa zdržia vyplácania bonusov manažmentu, vyplácania dividend alebo ponúknutia systémov spätného odkúpenia akcií, a to dovtedy, kým dostávajú finančné prostriedky;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26d.‏</w:t>
            </w:r>
            <w:r>
              <w:tab/>
            </w:r>
            <w:r>
              <w:rPr>
                <w:b/>
                <w:i/>
              </w:rPr>
              <w:t>zdôrazňuje, že verejné orgány by mali ísť príkladom a vo verejnom obstarávaní stanoviť silné sociálne kritériá;</w:t>
            </w:r>
            <w:r>
              <w:t xml:space="preserve"> </w:t>
            </w:r>
            <w:r>
              <w:rPr>
                <w:b/>
                <w:i/>
              </w:rPr>
              <w:t>vyzýva Komisiu, aby zvážila revíziu smernice o verejnom obstarávaní s cieľom ďalej posilniť sociálnu doložku a zabezpečiť, aby prijímajúce podniky a subdodávatelia podporovali kolektívne vyjednávanie a rešpektovali práva pracovníkov, pracovné miesta vysokej kvality, učňovskú prípravu vysokej kvality, odbornú prípravu a dôstojnú a jednotnú odmenu za prácu;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vyzýva Komisiu, aby navrhla nový fond – FST II – na programové obdobie po roku 2027, pričom treba zabezpečiť, aby fungoval v rámci zdieľaného riadenia a zásad partnerstva;</w:t>
            </w:r>
            <w:r>
              <w:t xml:space="preserve"> </w:t>
            </w:r>
            <w:r>
              <w:rPr>
                <w:b/>
                <w:i/>
              </w:rPr>
              <w:t>zdôrazňuje, že tento fond by mal mať väčšie finančné zdroje ako súčasný FST;</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vyzýva Komisiu, aby navrhla nový fond – FST II – na programové obdobie po roku 2027, </w:t>
            </w:r>
            <w:r>
              <w:rPr>
                <w:b/>
                <w:i/>
              </w:rPr>
              <w:t>pričom treba zabezpečiť</w:t>
            </w:r>
            <w:r>
              <w:t xml:space="preserve">, aby fungoval v rámci zdieľaného riadenia a zásad partnerstva; zdôrazňuje, že tento fond by mal mať </w:t>
            </w:r>
            <w:r>
              <w:rPr>
                <w:b/>
                <w:i/>
              </w:rPr>
              <w:t>väčšie</w:t>
            </w:r>
            <w:r>
              <w:t xml:space="preserve"> finančné zdroje ako súčasný FST;</w:t>
            </w:r>
          </w:p>
        </w:tc>
        <w:tc>
          <w:tcPr>
            <w:tcW w:w="4876" w:type="dxa"/>
            <w:tcBorders>
              <w:top w:val="nil"/>
              <w:left w:val="nil"/>
              <w:bottom w:val="nil"/>
              <w:right w:val="nil"/>
            </w:tcBorders>
          </w:tcPr>
          <w:p>
            <w:pPr>
              <w:pStyle w:val="Normal6a"/>
            </w:pPr>
            <w:r>
              <w:t>27.</w:t>
            </w:r>
            <w:r>
              <w:tab/>
            </w:r>
            <w:r>
              <w:t xml:space="preserve">vyzýva Komisiu, aby navrhla nový fond – FST II – na programové obdobie po roku 2027, </w:t>
            </w:r>
            <w:r>
              <w:rPr>
                <w:b/>
                <w:i/>
              </w:rPr>
              <w:t>ktorý regiónom a ľuďom umožní riešiť sociálne, pracovné, demografické, hospodárske a environmentálne vplyvy prechodu na ciele Únie v oblasti energetiky a klimaticky neutrálneho hospodárstva Únie do roku 2030 do roku 2050 a zabezpečí</w:t>
            </w:r>
            <w:r>
              <w:t xml:space="preserve">, aby fungoval v rámci zdieľaného riadenia a </w:t>
            </w:r>
            <w:r>
              <w:rPr>
                <w:b/>
                <w:i/>
              </w:rPr>
              <w:t>aby bol podmienený uspokojivým uplatňovaním</w:t>
            </w:r>
            <w:r>
              <w:t xml:space="preserve"> zásad partnerstva; zdôrazňuje, že tento fond by mal mať </w:t>
            </w:r>
            <w:r>
              <w:rPr>
                <w:b/>
                <w:i/>
              </w:rPr>
              <w:t>podstatne vyššie</w:t>
            </w:r>
            <w:r>
              <w:t xml:space="preserve"> finančné zdroje ako súčasný FST;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vyzýva Komisiu, aby navrhla nový fond – FST II – na programové obdobie po roku 2027, pričom treba zabezpečiť, aby fungoval v rámci zdieľaného riadenia a zásad partnerstva; zdôrazňuje, že tento fond by mal mať väčšie finančné zdroje ako súčasný FST;</w:t>
            </w:r>
          </w:p>
        </w:tc>
        <w:tc>
          <w:tcPr>
            <w:tcW w:w="4876" w:type="dxa"/>
            <w:tcBorders>
              <w:top w:val="nil"/>
              <w:left w:val="nil"/>
              <w:bottom w:val="nil"/>
              <w:right w:val="nil"/>
            </w:tcBorders>
          </w:tcPr>
          <w:p>
            <w:pPr>
              <w:pStyle w:val="Normal6a"/>
            </w:pPr>
            <w:r>
              <w:t>27.</w:t>
            </w:r>
            <w:r>
              <w:tab/>
            </w:r>
            <w:r>
              <w:t xml:space="preserve">vyzýva Komisiu, aby navrhla nový fond – FST II – na programové obdobie po roku 2027, pričom treba zabezpečiť, aby fungoval v rámci zdieľaného riadenia a zásad partnerstva; zdôrazňuje, že tento fond by mal mať väčšie finančné zdroje ako súčasný FST; </w:t>
            </w:r>
            <w:r>
              <w:rPr>
                <w:b/>
                <w:i/>
              </w:rPr>
              <w:t>navrhuje, aby sa do budúcnosti zvážili aj ďalšie dodatočné mechanizmy a programy s rýchlym účinkom – s cieľom podporiť a doplniť FST;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vyzýva Komisiu, aby navrhla nový fond – FST II – na programové obdobie po roku 2027, pričom treba zabezpečiť, aby fungoval v rámci zdieľaného riadenia a zásad partnerstva; zdôrazňuje, že tento fond by mal mať väčšie finančné zdroje ako súčasný FST;</w:t>
            </w:r>
          </w:p>
        </w:tc>
        <w:tc>
          <w:tcPr>
            <w:tcW w:w="4876" w:type="dxa"/>
            <w:tcBorders>
              <w:top w:val="nil"/>
              <w:left w:val="nil"/>
              <w:bottom w:val="nil"/>
              <w:right w:val="nil"/>
            </w:tcBorders>
          </w:tcPr>
          <w:p>
            <w:pPr>
              <w:pStyle w:val="Normal6a"/>
            </w:pPr>
            <w:r>
              <w:t>27.</w:t>
            </w:r>
            <w:r>
              <w:tab/>
            </w:r>
            <w:r>
              <w:t>vyzýva Komisiu, aby navrhla nový fond – FST II – na programové obdobie po roku 2027, pričom treba zabezpečiť, aby fungoval v rámci zdieľaného riadenia a zásad partnerstva; zdôrazňuje, že tento fond by mal mať väčšie finančné zdroje ako súčasný FST</w:t>
            </w:r>
            <w:r>
              <w:rPr>
                <w:b/>
                <w:i/>
              </w:rPr>
              <w:t>, aby sa zabezpečila intervenčná kapacita úmerná rozsahu sociálno-ekonomických výziev spojených s klimatickou transformáciou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vyzýva Komisiu, aby navrhla nový fond – FST II – na programové obdobie po roku 2027, pričom treba zabezpečiť, aby fungoval v rámci zdieľaného riadenia a zásad partnerstva; zdôrazňuje, že tento fond by mal mať väčšie finančné zdroje ako súčasný FST;</w:t>
            </w:r>
          </w:p>
        </w:tc>
        <w:tc>
          <w:tcPr>
            <w:tcW w:w="4876" w:type="dxa"/>
            <w:tcBorders>
              <w:top w:val="nil"/>
              <w:left w:val="nil"/>
              <w:bottom w:val="nil"/>
              <w:right w:val="nil"/>
            </w:tcBorders>
          </w:tcPr>
          <w:p>
            <w:pPr>
              <w:pStyle w:val="Normal6a"/>
            </w:pPr>
            <w:r>
              <w:t>27.</w:t>
            </w:r>
            <w:r>
              <w:tab/>
            </w:r>
            <w:r>
              <w:t>vyzýva Komisiu, aby navrhla nový fond – FST II – na programové obdobie po roku 2027, pričom treba zabezpečiť, aby fungoval v rámci zdieľaného riadenia a zásad partnerstva</w:t>
            </w:r>
            <w:r>
              <w:rPr>
                <w:b/>
                <w:i/>
              </w:rPr>
              <w:t>, a aby poskytoval priamu podporu domácnostiam a komunitám pri transformácii, čím sa zabezpečí, že táto transformácia bude skutočne spravodlivá</w:t>
            </w:r>
            <w:r>
              <w:t>; zdôrazňuje, že tento fond by mal mať väčšie finančné zdroje ako súčasný FST;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vyzýva Komisiu, aby navrhla nový fond – FST </w:t>
            </w:r>
            <w:r>
              <w:rPr>
                <w:b/>
                <w:i/>
              </w:rPr>
              <w:t>II</w:t>
            </w:r>
            <w:r>
              <w:t xml:space="preserve"> – na programové obdobie po roku 2027, pričom treba zabezpečiť, aby fungoval v rámci zdieľaného riadenia a zásad partnerstva; zdôrazňuje, že tento fond by mal mať </w:t>
            </w:r>
            <w:r>
              <w:rPr>
                <w:b/>
                <w:i/>
              </w:rPr>
              <w:t>väčšie finančné zdroje ako súčasný FST;</w:t>
            </w:r>
          </w:p>
        </w:tc>
        <w:tc>
          <w:tcPr>
            <w:tcW w:w="4876" w:type="dxa"/>
            <w:tcBorders>
              <w:top w:val="nil"/>
              <w:left w:val="nil"/>
              <w:bottom w:val="nil"/>
              <w:right w:val="nil"/>
            </w:tcBorders>
          </w:tcPr>
          <w:p>
            <w:pPr>
              <w:pStyle w:val="Normal6a"/>
            </w:pPr>
            <w:r>
              <w:t>27.</w:t>
            </w:r>
            <w:r>
              <w:tab/>
            </w:r>
            <w:r>
              <w:t xml:space="preserve">vyzýva Komisiu, aby navrhla nový fond – FST </w:t>
            </w:r>
            <w:r>
              <w:rPr>
                <w:b/>
                <w:i/>
              </w:rPr>
              <w:t>„II“</w:t>
            </w:r>
            <w:r>
              <w:t xml:space="preserve"> – na programové obdobie po roku 2027, pričom treba zabezpečiť, aby fungoval v rámci zdieľaného riadenia a zásad partnerstva; zdôrazňuje, že tento fond by mal mať </w:t>
            </w:r>
            <w:r>
              <w:rPr>
                <w:b/>
                <w:i/>
              </w:rPr>
              <w:t>vlastné predvídateľné rozpočtové prostriedky, čím by sa zabezpečila jeho nezávislosť od nástrojov reakcie na mimoriadne krízy, ako je nástroj Next Generation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vyzýva Komisiu, aby </w:t>
            </w:r>
            <w:r>
              <w:rPr>
                <w:b/>
                <w:i/>
              </w:rPr>
              <w:t>navrhla nový fond – FST II –</w:t>
            </w:r>
            <w:r>
              <w:t xml:space="preserve"> na programové obdobie po roku 2027</w:t>
            </w:r>
            <w:r>
              <w:rPr>
                <w:b/>
                <w:i/>
              </w:rPr>
              <w:t>, pričom treba zabezpečiť, aby fungoval v rámci</w:t>
            </w:r>
            <w:r>
              <w:t xml:space="preserve"> zdieľaného riadenia a </w:t>
            </w:r>
            <w:r>
              <w:rPr>
                <w:b/>
                <w:i/>
              </w:rPr>
              <w:t>zásad</w:t>
            </w:r>
            <w:r>
              <w:t xml:space="preserve"> partnerstva; zdôrazňuje, že tento fond by mal mať väčšie finančné zdroje ako súčasný FST;</w:t>
            </w:r>
          </w:p>
        </w:tc>
        <w:tc>
          <w:tcPr>
            <w:tcW w:w="4876" w:type="dxa"/>
            <w:tcBorders>
              <w:top w:val="nil"/>
              <w:left w:val="nil"/>
              <w:bottom w:val="nil"/>
              <w:right w:val="nil"/>
            </w:tcBorders>
          </w:tcPr>
          <w:p>
            <w:pPr>
              <w:pStyle w:val="Normal6a"/>
            </w:pPr>
            <w:r>
              <w:t>27.</w:t>
            </w:r>
            <w:r>
              <w:tab/>
            </w:r>
            <w:r>
              <w:t xml:space="preserve">vyzýva Komisiu, aby </w:t>
            </w:r>
            <w:r>
              <w:rPr>
                <w:b/>
                <w:i/>
              </w:rPr>
              <w:t>zachovala spravodlivú transformáciu ako proces v rámci politiky súdržnosti</w:t>
            </w:r>
            <w:r>
              <w:t xml:space="preserve"> na programové obdobie po roku 2027 </w:t>
            </w:r>
            <w:r>
              <w:rPr>
                <w:b/>
                <w:i/>
              </w:rPr>
              <w:t>a zabezpečila, aby fungovala v súlade so zásadami</w:t>
            </w:r>
            <w:r>
              <w:t xml:space="preserve"> zdieľaného riadenia a </w:t>
            </w:r>
            <w:r>
              <w:rPr>
                <w:b/>
                <w:i/>
              </w:rPr>
              <w:t>zásadami</w:t>
            </w:r>
            <w:r>
              <w:t xml:space="preserve"> partnerstva; zdôrazňuje, že tento fond by mal mať väčšie finančné zdroje ako súčasný FST;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vyzýva Komisiu, aby navrhla nový fond – FST II – na programové obdobie po roku 2027, pričom treba zabezpečiť, aby fungoval v rámci zdieľaného riadenia a zásad partnerstva; zdôrazňuje, že tento fond by mal mať väčšie finančné zdroje ako súčasný FST;</w:t>
            </w:r>
          </w:p>
        </w:tc>
        <w:tc>
          <w:tcPr>
            <w:tcW w:w="4876" w:type="dxa"/>
            <w:tcBorders>
              <w:top w:val="nil"/>
              <w:left w:val="nil"/>
              <w:bottom w:val="nil"/>
              <w:right w:val="nil"/>
            </w:tcBorders>
          </w:tcPr>
          <w:p>
            <w:pPr>
              <w:pStyle w:val="Normal6a"/>
            </w:pPr>
            <w:r>
              <w:t>27.</w:t>
            </w:r>
            <w:r>
              <w:tab/>
            </w:r>
            <w:r>
              <w:t xml:space="preserve">vyzýva Komisiu, aby navrhla nový fond – FST II – na programové obdobie po roku 2027, pričom treba zabezpečiť, aby fungoval v rámci zdieľaného riadenia a </w:t>
            </w:r>
            <w:r>
              <w:rPr>
                <w:b/>
                <w:i/>
              </w:rPr>
              <w:t>bol podmienený uspokojivým zohľadnením</w:t>
            </w:r>
            <w:r>
              <w:t xml:space="preserve"> zásad partnerstva; zdôrazňuje, že tento fond by mal mať väčšie finančné zdroje ako súčasný FST;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zdôrazňuje, že je dôležité zachovať strategický cieľ uprednostňovania podpory pre tie regióny, ktoré sú najviac postihnuté prechodom na klimaticky neutrálne hospodárstvo, najmä na základe hospodárskych a sociálnych vplyvov vyplývajúcich z postupného ukončenia uhlíkovo náročných priemyselných odvetví;</w:t>
            </w:r>
            <w:r>
              <w:t xml:space="preserve"> </w:t>
            </w:r>
            <w:r>
              <w:rPr>
                <w:b/>
                <w:i/>
              </w:rPr>
              <w:t>opätovne potvrdzuje, že FST sa musí naďalej zameriavať na územia, v ktorých sa ukončuje používanie čierneho a hnedého uhlia, rašeliny a roponosnej bridlice, ktoré naďalej čelia neprimeraným štrukturálnym výzvam a sú vystavené sociálno-ekonomickej zraniteľnosti;</w:t>
            </w:r>
            <w:r>
              <w:t xml:space="preserve"> </w:t>
            </w:r>
            <w:r>
              <w:rPr>
                <w:b/>
                <w:i/>
              </w:rPr>
              <w:t>požaduje spravodlivejšie rozdelenie finančných prostriedkov, ktoré odráža realitu v praxi, a to prispôsobením kritérií prideľovania na úrovni NUTS 3, najmä s použitím HDP na obyvateľa, namiesto toho, aby sa spoliehalo výlučne na širšie údaje NUTS 2, ako sa to v súčasnosti robí v rámci všeobecnej politiky súdržnosti;</w:t>
            </w:r>
            <w:r>
              <w:t xml:space="preserve"> </w:t>
            </w:r>
            <w:r>
              <w:rPr>
                <w:b/>
                <w:i/>
              </w:rPr>
              <w:t>zdôrazňuje, že mnohé subregióny závislé od uhlia vykazujú výrazne nižší HDP na obyvateľa v porovnaní s ich širšími regiónmi NUTS 2, a preto si zasluhujú zvýšenú finančnú podporu a nižšie požiadavky na vnútroštátne spolufinancovanie v rámci FST;</w:t>
            </w:r>
            <w:r>
              <w:t xml:space="preserve"> </w:t>
            </w:r>
            <w:r>
              <w:rPr>
                <w:b/>
                <w:i/>
              </w:rPr>
              <w:t>zdôrazňuje, že takýto prepracovaný a územne citlivý prístup je nevyhnutný na zabezpečenie rovnomernej a cielenej spravodlivej transformácie;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opätovne potvrdzuje, že politika súdržnosti musí zostať pevne zakotvená vo svojich základných zásadách stanovených v článkoch 174 až 176 Zmluvy o fungovaní Európskej únie s neustálym dôrazom na podporu vyváženého a inkluzívneho územného rozvoja;</w:t>
            </w:r>
            <w:r>
              <w:t xml:space="preserve"> </w:t>
            </w:r>
            <w:r>
              <w:rPr>
                <w:b/>
                <w:i/>
              </w:rPr>
              <w:t>trvá na tom, aby sa v rámci budúceho úsilia o súdržnosť venovala osobitná pozornosť vidieckym oblastiam, regiónom, v ktorých prebieha deindustrializácia, a štrukturálne znevýhodneným regiónom vrátane ostrovov, pohraničných oblastí a horských území;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žiada, aby sa budúci FST II navrhol v úzkej spolupráci s členskými štátmi s cieľom zabezpečiť, aby bolo riadenie financovania menej centralizované a aby bol fond lepšie prispôsobený miestnym podmienkam pri súčasnom zachovaní zásad zdieľaného riadenia;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zdôrazňuje, že FST II by mal byť zameraný na zosúladenie udržateľného rozvoja s konkurencieschopnosťou a zabezpečiť, aby regióny, kde prebieha transformácia, mohli hospodársky prosperovať bez toho, aby boli ohrozené ich environmentálne a sociálne ciele.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zdôrazňuje, že udržateľný cestovný ruch môže byť účinným nástrojom v boji proti hospodárskemu úpadku a nezamestnanosti v dotknutých regiónoch;</w:t>
            </w:r>
            <w:r>
              <w:t xml:space="preserve"> </w:t>
            </w:r>
            <w:r>
              <w:rPr>
                <w:b/>
                <w:i/>
              </w:rPr>
              <w:t>zdôrazňuje, že politika súdržnosti by mala podporovať stratégie udržateľného cestovného ruchu ako súčasť spravodlivej transformácie, posilňovať odolnosť, inovácie, zelenú transformáciu a zároveň podporovať inkluzívny rast, vytvárať nové pracovné miesta a chrániť miestne kultúrne a prírodné dedičstvo;</w:t>
            </w:r>
            <w:r>
              <w:t xml:space="preserve"> </w:t>
            </w:r>
            <w:r>
              <w:rPr>
                <w:b/>
                <w:i/>
              </w:rPr>
              <w:t>zdôrazňuje potrebu ďalších investícií do spoľahlivých údajov, inteligentných nástrojov a techník, ktoré môžu zlepšiť skúsenosť zákazníkov a podporiť prechod na digitálnejší a udržateľnejší ekosystém cestovného ruchu, okrem iného zlepšením riadenia destinácií v prospech miestnych spoločností a hospodárstiev a turistov, pomôcť nasmerovať toky turistov do menej rozvinutých regiónov a rovnomernejšie ich rozložiť počas ročných období a lepšie sa pripravovať, zvládať a riešiť krízy, ako je pandémia, extrémne poveternostné podmienky a iné prírodné katastrofy;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zdôrazňuje, že FST II by mohol rozšíriť svoj rozsah pôsobnosti v súlade s návrhmi členských štátov a zabezpečiť, aby z neho malo úžitok viac území dotknutých procesmi transformácie, a zároveň by sa mohli spružniť pravidlá prideľovania finančných prostriedkov, ako to požadujú členské štáty;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zdôrazňuje, že doprava je jedným z hlavných hospodárskych odvetví, ktoré významne prispievajú k emisiám skleníkových plynov;</w:t>
            </w:r>
            <w:r>
              <w:t xml:space="preserve"> </w:t>
            </w:r>
            <w:r>
              <w:rPr>
                <w:b/>
                <w:i/>
              </w:rPr>
              <w:t>zdôrazňuje, že dopravná politika EÚ má zásadný význam pre hospodársky, sociálny a environmentálny rozvoj a udržateľnosť Európy;</w:t>
            </w:r>
            <w:r>
              <w:t xml:space="preserve"> </w:t>
            </w:r>
            <w:r>
              <w:rPr>
                <w:b/>
                <w:i/>
              </w:rPr>
              <w:t>dôrazne preto žiada, aby dopravná politika EÚ dostala primerané a dostatočné finančné prostriedky na rozvoj udržateľných druhov dopravy a zabezpečenie pracovných miest v odvetviach dopravy postihnutých ekologickou transformáciou vrátane odľahlých geografických oblastí, ako sú ostrovy a ostrovné regióny;</w:t>
            </w:r>
            <w:r>
              <w:t xml:space="preserve"> </w:t>
            </w:r>
            <w:r>
              <w:rPr>
                <w:b/>
                <w:i/>
              </w:rPr>
              <w:t>zdôrazňuje, že politika súdržnosti by mala v tomto procese zohrávať kľúčovú úlohu tým, že podporí spravodlivý prístup k riešeniam udržateľnej mobility vo všetkých regiónoch, zníži územné rozdiely a zabezpečí, aby sa pri prechode na ekologickejší dopravný systém nezanedbal žiadny región;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zdôrazňuje, že FST II by mal zaujať proaktívny prístup a pokúsiť sa predvídať aj transformačné procesy, ktoré možno odôvodnene očakávať v dohľadnej budúcnosti;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27d.</w:t>
            </w:r>
            <w:r>
              <w:tab/>
            </w:r>
            <w:r>
              <w:rPr>
                <w:b/>
                <w:i/>
              </w:rPr>
              <w:t>vyzýva Komisiu, aby sa osobitne zamerala na ostrovy a najvzdialenejšie regióny s cieľom podporiť riešenie ich závažných sociálno-ekonomických problémov vyplývajúcich z prechodu na ciele EÚ v oblasti energetiky a klímy do roku 2030 a klimaticky neutrálne hospodárstvo v EÚ do roku 2050 a aby spolupracovala s členskými štátmi na vyčlenení konkrétnych súm z ich národných pridelených prostriedkov v rámci ich plánov spravodlivej transformácie územia;</w:t>
            </w:r>
            <w:r>
              <w:t xml:space="preserve"> </w:t>
            </w:r>
            <w:r>
              <w:rPr>
                <w:b/>
                <w:i/>
              </w:rPr>
              <w:t>požaduje konkrétne kompenzačné opatrenia, ktoré vyvážia negatívne dôsledky pre hospodársku, sociálnu a územnú súdržnosť ostrovov, na ktorých prebieha transformácia na čistejšie hospodárstvo, pre spoločnosť, ktoré môžu vzniknúť v dôsledku ich závislosti od odvetvia leteckej a námornej dopravy, a preto žiada, aby sa ostrovy stali prioritou pri rozvoji infraštruktúry zameranej na dekarbonizáciu leteckej a námornej dopravy;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27e.</w:t>
            </w:r>
            <w:r>
              <w:tab/>
            </w:r>
            <w:r>
              <w:rPr>
                <w:b/>
                <w:i/>
              </w:rPr>
              <w:t>vyzýva na vynaloženie úsilia so zámerom zabezpečiť väčšiu súdržnosť a koordináciu medzi politikou súdržnosti a ostatnými politikami EÚ s cieľom zlepšiť politickú integráciu aspektov klímy, navrhnúť účinnejšie politiky založené na zdrojoch, poskytovať cielené finančné prostriedky EÚ a následne zlepšiť vykonávanie politík v oblasti klímy na mieste;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772.012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134</w:t>
    </w:r>
    <w:r>
      <w:fldChar w:fldCharType="end"/>
    </w:r>
    <w:r>
      <w:t>/</w:t>
    </w:r>
    <w:r>
      <w:fldChar w:fldCharType="begin"/>
    </w:r>
    <w:r>
      <w:instrText xml:space="preserve"> NUMPAGES </w:instrText>
    </w:r>
    <w:r>
      <w:fldChar w:fldCharType="separate"/>
    </w:r>
    <w:r>
      <w:t>135</w:t>
    </w:r>
    <w:r>
      <w:fldChar w:fldCharType="end"/>
    </w:r>
    <w:r>
      <w:tab/>
    </w:r>
    <w:r>
      <w:rPr>
        <w:rStyle w:val="HideTWBExt"/>
      </w:rPr>
      <w:t>&lt;PathFdR&gt;</w:t>
    </w:r>
    <w:r>
      <w:t>AM\1318327SK.docx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AM\1318327SK.docx</w:t>
    </w:r>
    <w:r>
      <w:rPr>
        <w:rStyle w:val="HideTWBExt"/>
      </w:rPr>
      <w:t>&lt;/PathFdR&gt;</w:t>
    </w:r>
    <w:r>
      <w:tab/>
    </w:r>
    <w:r>
      <w:fldChar w:fldCharType="begin"/>
    </w:r>
    <w:r>
      <w:instrText xml:space="preserve"> PAGE </w:instrText>
    </w:r>
    <w:r>
      <w:fldChar w:fldCharType="separate"/>
    </w:r>
    <w:r>
      <w:t>135</w:t>
    </w:r>
    <w:r>
      <w:fldChar w:fldCharType="end"/>
    </w:r>
    <w:r>
      <w:t>/</w:t>
    </w:r>
    <w:r>
      <w:fldChar w:fldCharType="begin"/>
    </w:r>
    <w:r>
      <w:instrText xml:space="preserve"> NUMPAGES </w:instrText>
    </w:r>
    <w:r>
      <w:fldChar w:fldCharType="separate"/>
    </w:r>
    <w:r>
      <w:t>135</w:t>
    </w:r>
    <w:r>
      <w:fldChar w:fldCharType="end"/>
    </w:r>
    <w:r>
      <w:tab/>
    </w:r>
    <w:r>
      <w:t>PE</w:t>
    </w:r>
    <w:r>
      <w:rPr>
        <w:rStyle w:val="HideTWBExt"/>
      </w:rPr>
      <w:t>&lt;NoPE&gt;</w:t>
    </w:r>
    <w:r>
      <w:t>772.012</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AM\1318327SK.docx</w:t>
    </w:r>
    <w:r>
      <w:rPr>
        <w:rStyle w:val="HideTWBExt"/>
      </w:rPr>
      <w:t>&lt;/PathFdR&gt;</w:t>
    </w:r>
    <w:r>
      <w:tab/>
    </w:r>
    <w:r>
      <w:tab/>
    </w:r>
    <w:r>
      <w:t>PE</w:t>
    </w:r>
    <w:r>
      <w:rPr>
        <w:rStyle w:val="HideTWBExt"/>
      </w:rPr>
      <w:t>&lt;NoPE&gt;</w:t>
    </w:r>
    <w:r>
      <w:t>772.012</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135</Pages>
  <Words>23776</Words>
  <Characters>146946</Characters>
  <Application>Microsoft Office Word</Application>
  <DocSecurity>0</DocSecurity>
  <Lines>1</Lines>
  <Paragraphs>2490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1318327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163758</vt:lpwstr>
  </property>
  <property fmtid="{D5CDD505-2E9C-101B-9397-08002B2CF9AE}" pid="7" name="dmxml.render.traceId">
    <vt:lpwstr>67fcac5f0af14abf8366be8bcf541dc6</vt:lpwstr>
  </property>
  <property fmtid="{D5CDD505-2E9C-101B-9397-08002B2CF9AE}" pid="8" name="FooterPath">
    <vt:lpwstr>AM\1318327SK.docx</vt:lpwstr>
  </property>
  <property fmtid="{D5CDD505-2E9C-101B-9397-08002B2CF9AE}" pid="9" name="PE Number">
    <vt:lpwstr>772.012</vt:lpwstr>
  </property>
  <property fmtid="{D5CDD505-2E9C-101B-9397-08002B2CF9AE}" pid="10" name="UID">
    <vt:lpwstr>eu.europa.europarl-DIN1-2025-0000065662_01.00-sk-01.00_text-xml</vt:lpwstr>
  </property>
</Properties>
</file>