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{REGI}</w:t>
      </w:r>
      <w:r>
        <w:t>Odbor za regionalni razvoj</w:t>
      </w:r>
      <w:r>
        <w:rPr>
          <w:rStyle w:val="HideTWBExt"/>
        </w:rPr>
        <w:t>&lt;/Commission&gt;</w:t>
      </w:r>
    </w:p>
    <w:p>
      <w:pPr>
        <w:pStyle w:val="LineBottom"/>
      </w:pPr>
      <w:r>
        <w:t xml:space="preserve"> </w:t>
      </w:r>
    </w:p>
    <w:p>
      <w:pPr>
        <w:pStyle w:val="CoverReference"/>
      </w:pPr>
      <w:r>
        <w:rPr>
          <w:rStyle w:val="HideTWBExt"/>
        </w:rPr>
        <w:t>&lt;RefProc&gt;</w:t>
      </w:r>
      <w:r>
        <w:t>2024/2121</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{28/03/2025}</w:t>
      </w:r>
      <w:r>
        <w:t>28.3.2025</w:t>
      </w:r>
      <w:r>
        <w:rPr>
          <w:rStyle w:val="HideTWBExt"/>
        </w:rPr>
        <w:t>&lt;/Date&gt;</w:t>
      </w:r>
    </w:p>
    <w:p>
      <w:pPr>
        <w:pStyle w:val="CoverDocType"/>
      </w:pPr>
      <w:r>
        <w:rPr>
          <w:rStyle w:val="HideTWBExt"/>
        </w:rPr>
        <w:t>&lt;TypeAM&gt;</w:t>
      </w:r>
      <w:r>
        <w:t>PREDLOGI SPREMEMB</w:t>
      </w:r>
      <w:r>
        <w:rPr>
          <w:rStyle w:val="HideTWBExt"/>
        </w:rPr>
        <w:t>&lt;/TypeAM&gt;</w:t>
      </w:r>
    </w:p>
    <w:p>
      <w:pPr>
        <w:pStyle w:val="CoverDocType24a"/>
      </w:pPr>
      <w:r>
        <w:rPr>
          <w:rStyle w:val="HideTWBExt"/>
        </w:rPr>
        <w:t>&lt;RangeAM&gt;</w:t>
      </w:r>
      <w:r>
        <w:t>1</w:t>
      </w:r>
      <w:r>
        <w:t xml:space="preserve"> - </w:t>
      </w:r>
      <w:r>
        <w:t>280</w:t>
      </w:r>
      <w:r>
        <w:rPr>
          <w:rStyle w:val="HideTWBExt"/>
        </w:rPr>
        <w:t>&lt;/RangeAM&gt;</w:t>
      </w:r>
    </w:p>
    <w:p>
      <w:pPr>
        <w:pStyle w:val="CoverBold"/>
      </w:pPr>
      <w:r>
        <w:rPr>
          <w:rStyle w:val="HideTWBExt"/>
        </w:rPr>
        <w:t>&lt;TitreType&gt;</w:t>
      </w:r>
      <w:r>
        <w:t>Osnutek poročila</w:t>
      </w:r>
      <w:r>
        <w:rPr>
          <w:rStyle w:val="HideTWBExt"/>
        </w:rPr>
        <w:t>&lt;/TitreType&gt;</w:t>
      </w:r>
    </w:p>
    <w:p>
      <w:pPr>
        <w:pStyle w:val="CoverBold"/>
      </w:pPr>
      <w:r>
        <w:rPr>
          <w:rStyle w:val="HideTWBExt"/>
        </w:rPr>
        <w:t>&lt;Rapporteur&gt;</w:t>
      </w:r>
      <w:r>
        <w:t>Ciaran Mullooly</w:t>
      </w:r>
      <w:r>
        <w:rPr>
          <w:rStyle w:val="HideTWBExt"/>
        </w:rPr>
        <w:t>&lt;/Rapporteur&gt;</w:t>
      </w:r>
    </w:p>
    <w:p>
      <w:pPr>
        <w:pStyle w:val="CoverNormal24a"/>
      </w:pPr>
      <w:r>
        <w:rPr>
          <w:rStyle w:val="HideTWBExt"/>
        </w:rPr>
        <w:t>&lt;DocRefPE&gt;</w:t>
      </w:r>
      <w:r>
        <w:t>(PE769.954v01-00)</w:t>
      </w:r>
      <w:r>
        <w:rPr>
          <w:rStyle w:val="HideTWBExt"/>
        </w:rPr>
        <w:t>&lt;/DocRefPE&gt;</w:t>
      </w:r>
    </w:p>
    <w:p>
      <w:pPr>
        <w:pStyle w:val="CoverNormal"/>
      </w:pPr>
      <w:r>
        <w:rPr>
          <w:rStyle w:val="HideTWBExt"/>
        </w:rPr>
        <w:t>&lt;Titre&gt;</w:t>
      </w:r>
      <w:r>
        <w:t>Vloga kohezijske politike pri podpiranju pravičnega prehoda</w:t>
      </w:r>
      <w:r>
        <w:rPr>
          <w:rStyle w:val="HideTWBExt"/>
        </w:rPr>
        <w:t>&lt;/Titre&gt;</w:t>
      </w:r>
    </w:p>
    <w:p>
      <w:pPr>
        <w:pStyle w:val="CoverNormal24a"/>
      </w:pPr>
      <w:r>
        <w:rPr>
          <w:rStyle w:val="HideTWBExt"/>
        </w:rPr>
        <w:t>&lt;DocRef&gt;</w:t>
      </w:r>
      <w:r>
        <w:t>(2024/2121(INI))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Predlog spremembe</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sporazuma, sprejetega na 21. konferenci pogodbenic Okvirne konvencije Organizacije združenih narodov o spremembi podnebja (COP21) v Parizu 12. decembra 2015 (Pariški sporazum),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6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poročila Evropske agencije za okolje št. 1/2024 – Evropska ocena podnebnih tveganj,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6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svoje resolucije z dne 25. marca 2021 o kohezijski politiki in regionalnih okoljskih strategijah v boju proti podnebnim spremembam,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Rody Tolassy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ob upoštevanju Uredbe (EU) 2021/1119 Evropskega parlamenta in Sveta z dne 30. junija 2021 o vzpostavitvi okvira za doseganje podnebne nevtralnosti in spremembi uredb (ES) št. 401/2009 in (EU) 2018/1999 (evropska podnebna pravila)</w:t>
            </w:r>
            <w:r>
              <w:rPr>
                <w:vertAlign w:val="superscript"/>
              </w:rPr>
              <w:t>5</w:t>
            </w:r>
            <w:r>
              <w:t>, vključno s pravnim ciljem, da EU do leta 2050 doseže podnebno nevtralnost, pri čemer je določen vmesni cilj, da se neto emisije toplogrednih plinov do leta 2030 v primerjavi z ravnmi iz leta 1990 zmanjšajo za vsaj 55 %,</w:t>
            </w:r>
          </w:p>
        </w:tc>
        <w:tc>
          <w:tcPr>
            <w:tcW w:w="4876" w:type="dxa"/>
            <w:tcBorders>
              <w:top w:val="nil"/>
              <w:left w:val="nil"/>
              <w:bottom w:val="nil"/>
              <w:right w:val="nil"/>
            </w:tcBorders>
          </w:tcPr>
          <w:p>
            <w:pPr>
              <w:pStyle w:val="Normal6a"/>
            </w:pPr>
            <w:r>
              <w:rPr>
                <w:b/>
                <w:i/>
              </w:rPr>
              <w:t>–</w:t>
            </w:r>
            <w:r>
              <w:tab/>
            </w:r>
            <w:r>
              <w:t>ob upoštevanju Uredbe (EU) 2021/1119 Evropskega parlamenta in Sveta z dne 30. junija 2021 o vzpostavitvi okvira za doseganje podnebne nevtralnosti in spremembi uredb (ES) št. 401/2009 in (EU) 2018/1999 (evropska podnebna pravila)</w:t>
            </w:r>
            <w:r>
              <w:rPr>
                <w:vertAlign w:val="superscript"/>
              </w:rPr>
              <w:t>5</w:t>
            </w:r>
            <w:r>
              <w:t>, vključno s pravnim ciljem, da EU do leta 2050 doseže podnebno nevtralnost, pri čemer je določen vmesni cilj, da se neto emisije toplogrednih plinov do leta 2030 v primerjavi z ravnmi iz leta 1990 zmanjšajo za vsaj 55 %,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UL L 243, 9.7.2021, str. 1, ELI: http://data.europa.eu/eli/reg/2021/1119/oj.</w:t>
            </w:r>
          </w:p>
        </w:tc>
        <w:tc>
          <w:tcPr>
            <w:tcW w:w="4876" w:type="dxa"/>
            <w:tcBorders>
              <w:top w:val="nil"/>
              <w:left w:val="nil"/>
              <w:bottom w:val="nil"/>
              <w:right w:val="nil"/>
            </w:tcBorders>
          </w:tcPr>
          <w:p>
            <w:pPr>
              <w:pStyle w:val="Normal6a"/>
            </w:pPr>
            <w:r>
              <w:rPr>
                <w:vertAlign w:val="superscript"/>
              </w:rPr>
              <w:t>5</w:t>
            </w:r>
            <w:r>
              <w:t xml:space="preserve"> </w:t>
            </w:r>
            <w:r>
              <w:t>UL L 243, 9.7.2021, str. 1, ELI: http://data.europa.eu/eli/reg/2021/1119/oj.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Uredbe (EU) 2024/1735 Evropskega parlamenta in Sveta z dne 13. junija 2024 o vzpostavitvi okvira ukrepov za krepitev ekosistema proizvodnje neto ničelnih tehnologij Evrope in spremembi Uredbe (EU) 2018/1724,</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sporočila Komisije z dne 14. julija 2021 z naslovom „Pripravljeni na 55“: uresničevanje podnebnega cilja EU za leto 2030 na poti do podnebne nevtralnosti (COM(2021)0550),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7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Uredbe (EU) 2021/241 Evropskega parlamenta in Sveta z dne 12. februarja 2021 o vzpostavitvi mehanizma za okrevanje in odpornost,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7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sporočila Komisije z dne 4. marca 2021 o akcijskem načrtu za evropski steber socialnih pravic (COM(2021)0102),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resolucije Evropskega parlamenta z dne 7. junija 2022 o otokih EU in kohezijski politiki:</w:t>
            </w:r>
            <w:r>
              <w:t xml:space="preserve"> </w:t>
            </w:r>
            <w:r>
              <w:rPr>
                <w:b/>
                <w:i/>
              </w:rPr>
              <w:t>sedanje razmere in prihodnji izzivi (2021/2079(INI)</w:t>
            </w:r>
            <w:r>
              <w:rPr>
                <w:b/>
                <w:i/>
                <w:vertAlign w:val="superscript"/>
              </w:rPr>
              <w:t>5a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https://eur-lex.europa.eu/legal-content/SL/TXT/?uri=OJ:JOC_2022_493_R_0005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8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svoje resolucije z dne 20. maja 2021 o tem, kako spremeniti demografske trende v regijah EU z instrumenti kohezijske politike</w:t>
            </w:r>
            <w:r>
              <w:rPr>
                <w:b/>
                <w:i/>
                <w:vertAlign w:val="superscript"/>
              </w:rPr>
              <w:t>5b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5b</w:t>
            </w:r>
            <w:r>
              <w:t xml:space="preserve"> </w:t>
            </w:r>
            <w:r>
              <w:rPr>
                <w:b/>
                <w:i/>
              </w:rPr>
              <w:t>https://www.europarl.europa.eu/doceo/document/TA-9-2021-0248_SL.html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10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svoje resolucije z dne 23. novembra 2023 o ustvarjanju delovnih mest: pravični prehod in naložbe z učinkom,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13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Teritorialne agende 2030 – Prihodnost za vse kraje, ki je bila sprejeta 1. decembra 2020 na neformalnem srečanju ministrov, pristojnih za prostorsko načrtovanje, teritorialni razvoj in/ali teritorialno kohezijo,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14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dogovora o čisti industriji:</w:t>
            </w:r>
            <w:r>
              <w:t xml:space="preserve"> </w:t>
            </w:r>
            <w:r>
              <w:rPr>
                <w:b/>
                <w:i/>
              </w:rPr>
              <w:t>Skupni načrt za konkurenčnost in razogljičenje z dne 26. februarja 2025, COM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15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sporočila Komisije z dne 5. marca 2025 z naslovom Unija spretnosti (COM(2025)0090),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ker lahko ambiciozni cilj </w:t>
            </w:r>
            <w:r>
              <w:rPr>
                <w:b/>
                <w:i/>
              </w:rPr>
              <w:t>prehoda na</w:t>
            </w:r>
            <w:r>
              <w:t xml:space="preserve"> ogljično </w:t>
            </w:r>
            <w:r>
              <w:rPr>
                <w:b/>
                <w:i/>
              </w:rPr>
              <w:t>nevtralno gospodarstvo</w:t>
            </w:r>
            <w:r>
              <w:t xml:space="preserve"> do leta 2050 </w:t>
            </w:r>
            <w:r>
              <w:rPr>
                <w:b/>
                <w:i/>
              </w:rPr>
              <w:t>pomeni</w:t>
            </w:r>
            <w:r>
              <w:t xml:space="preserve"> priložnosti in </w:t>
            </w:r>
            <w:r>
              <w:rPr>
                <w:b/>
                <w:i/>
              </w:rPr>
              <w:t>nove</w:t>
            </w:r>
            <w:r>
              <w:t xml:space="preserve"> izzive </w:t>
            </w:r>
            <w:r>
              <w:rPr>
                <w:b/>
                <w:i/>
              </w:rPr>
              <w:t>za regije, na katere ta prehod negativno vpliva</w:t>
            </w:r>
            <w:r>
              <w:t>;</w:t>
            </w:r>
          </w:p>
        </w:tc>
        <w:tc>
          <w:tcPr>
            <w:tcW w:w="4876" w:type="dxa"/>
            <w:tcBorders>
              <w:top w:val="nil"/>
              <w:left w:val="nil"/>
              <w:bottom w:val="nil"/>
              <w:right w:val="nil"/>
            </w:tcBorders>
          </w:tcPr>
          <w:p>
            <w:pPr>
              <w:pStyle w:val="Normal6a"/>
            </w:pPr>
            <w:r>
              <w:t>A.</w:t>
            </w:r>
            <w:r>
              <w:tab/>
            </w:r>
            <w:r>
              <w:t xml:space="preserve">ker lahko ambiciozni cilj </w:t>
            </w:r>
            <w:r>
              <w:rPr>
                <w:b/>
                <w:i/>
              </w:rPr>
              <w:t>doseganja</w:t>
            </w:r>
            <w:r>
              <w:t xml:space="preserve"> ogljično </w:t>
            </w:r>
            <w:r>
              <w:rPr>
                <w:b/>
                <w:i/>
              </w:rPr>
              <w:t>nevtralnega gospodarstva</w:t>
            </w:r>
            <w:r>
              <w:t xml:space="preserve"> do leta 2050 </w:t>
            </w:r>
            <w:r>
              <w:rPr>
                <w:b/>
                <w:i/>
              </w:rPr>
              <w:t>v okviru širše zaveze EU zelenemu prehodu prinese znatne gospodarske, okoljske in družbene koristi, kot so ustvarjanje novih gospodarskih sektorjev, zaposlitvene</w:t>
            </w:r>
            <w:r>
              <w:t xml:space="preserve"> priložnosti in </w:t>
            </w:r>
            <w:r>
              <w:rPr>
                <w:b/>
                <w:i/>
              </w:rPr>
              <w:t>boljša kakovost življenja;</w:t>
            </w:r>
            <w:r>
              <w:t xml:space="preserve"> </w:t>
            </w:r>
            <w:r>
              <w:rPr>
                <w:b/>
                <w:i/>
              </w:rPr>
              <w:t>ker se lahko zaradi tega prehoda hkrati povečajo obstoječe razlike in pojavijo nove ranljivosti, zlasti v regijah, ki so strukturno prikrajšane, močno odvisne od ogljično intenzivnih panog ali nimajo infrastrukture in dostopa do vključujočih in pravičnih priložnosti za izobraževanje in usposabljanje, potrebnih za prilagoditev temu hitremu prehodu;</w:t>
            </w:r>
            <w:r>
              <w:t xml:space="preserve"> </w:t>
            </w:r>
            <w:r>
              <w:rPr>
                <w:b/>
                <w:i/>
              </w:rPr>
              <w:t>ker te</w:t>
            </w:r>
            <w:r>
              <w:t xml:space="preserve"> izzive </w:t>
            </w:r>
            <w:r>
              <w:rPr>
                <w:b/>
                <w:i/>
              </w:rPr>
              <w:t>dodatno zaostruje sedanja demografska kriza, vključno z upadanjem in staranjem prebivalstva, ki bi lahko ogrozila sposobnost EU za doseganje ciljev iz Pogodb, zlasti v zvezi z ekonomsko, socialno in teritorialno kohezijo, solidarnostjo med državami članicami in spodbujanjem navzgor usmerjene konvergence v vseh regijah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ker lahko ambiciozni cilj prehoda na ogljično nevtralno gospodarstvo do leta 2050 pomeni priložnosti in nove izzive za regije, na katere ta prehod negativno vpliva;</w:t>
            </w:r>
          </w:p>
        </w:tc>
        <w:tc>
          <w:tcPr>
            <w:tcW w:w="4876" w:type="dxa"/>
            <w:tcBorders>
              <w:top w:val="nil"/>
              <w:left w:val="nil"/>
              <w:bottom w:val="nil"/>
              <w:right w:val="nil"/>
            </w:tcBorders>
          </w:tcPr>
          <w:p>
            <w:pPr>
              <w:pStyle w:val="Normal6a"/>
            </w:pPr>
            <w:r>
              <w:t>A.</w:t>
            </w:r>
            <w:r>
              <w:tab/>
            </w:r>
            <w:r>
              <w:t xml:space="preserve">ker lahko ambiciozni cilj prehoda na ogljično nevtralno gospodarstvo </w:t>
            </w:r>
            <w:r>
              <w:rPr>
                <w:b/>
                <w:i/>
              </w:rPr>
              <w:t>najpozneje</w:t>
            </w:r>
            <w:r>
              <w:t xml:space="preserve"> do leta 2050 pomeni priložnosti in nove izzive za regije, na katere ta prehod negativno vpliva; </w:t>
            </w:r>
            <w:r>
              <w:rPr>
                <w:b/>
                <w:i/>
              </w:rPr>
              <w:t>ker so onesnaženost zraka in vode, tveganje pomanjkanja vode ter energijska revščina v številnih manj razvitih evropskih regijah na splošno še vedno previsoki;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ker </w:t>
            </w:r>
            <w:r>
              <w:rPr>
                <w:b/>
                <w:i/>
              </w:rPr>
              <w:t>lahko</w:t>
            </w:r>
            <w:r>
              <w:t xml:space="preserve"> ambiciozni cilj prehoda na ogljično nevtralno gospodarstvo do leta 2050 </w:t>
            </w:r>
            <w:r>
              <w:rPr>
                <w:b/>
                <w:i/>
              </w:rPr>
              <w:t>pomeni priložnosti in nove</w:t>
            </w:r>
            <w:r>
              <w:t xml:space="preserve"> izzive za regije, </w:t>
            </w:r>
            <w:r>
              <w:rPr>
                <w:b/>
                <w:i/>
              </w:rPr>
              <w:t>na katere ta prehod negativno vpliva</w:t>
            </w:r>
            <w:r>
              <w:t>;</w:t>
            </w:r>
          </w:p>
        </w:tc>
        <w:tc>
          <w:tcPr>
            <w:tcW w:w="4876" w:type="dxa"/>
            <w:tcBorders>
              <w:top w:val="nil"/>
              <w:left w:val="nil"/>
              <w:bottom w:val="nil"/>
              <w:right w:val="nil"/>
            </w:tcBorders>
          </w:tcPr>
          <w:p>
            <w:pPr>
              <w:pStyle w:val="Normal6a"/>
            </w:pPr>
            <w:r>
              <w:t>A.</w:t>
            </w:r>
            <w:r>
              <w:tab/>
            </w:r>
            <w:r>
              <w:t xml:space="preserve">ker ambiciozni cilj prehoda na ogljično nevtralno gospodarstvo do leta 2050 </w:t>
            </w:r>
            <w:r>
              <w:rPr>
                <w:b/>
                <w:i/>
              </w:rPr>
              <w:t>povzroča velike težave in resne</w:t>
            </w:r>
            <w:r>
              <w:t xml:space="preserve"> izzive za </w:t>
            </w:r>
            <w:r>
              <w:rPr>
                <w:b/>
                <w:i/>
              </w:rPr>
              <w:t>številne</w:t>
            </w:r>
            <w:r>
              <w:t xml:space="preserve"> regije, </w:t>
            </w:r>
            <w:r>
              <w:rPr>
                <w:b/>
                <w:i/>
              </w:rPr>
              <w:t>čeprav naj bi bil priložnost in naj bi ustvaril nove možnosti zanje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ker lahko ambiciozni cilj prehoda na ogljično nevtralno gospodarstvo do leta 2050 pomeni priložnosti in nove izzive za regije, na katere ta prehod negativno vpliva;</w:t>
            </w:r>
          </w:p>
        </w:tc>
        <w:tc>
          <w:tcPr>
            <w:tcW w:w="4876" w:type="dxa"/>
            <w:tcBorders>
              <w:top w:val="nil"/>
              <w:left w:val="nil"/>
              <w:bottom w:val="nil"/>
              <w:right w:val="nil"/>
            </w:tcBorders>
          </w:tcPr>
          <w:p>
            <w:pPr>
              <w:pStyle w:val="Normal6a"/>
            </w:pPr>
            <w:r>
              <w:t>A.</w:t>
            </w:r>
            <w:r>
              <w:tab/>
            </w:r>
            <w:r>
              <w:t>ker lahko ambiciozni cilj prehoda na ogljično nevtralno gospodarstvo do leta 2050 pomeni priložnosti in nove izzive za regije, na katere ta prehod negativno vpliva</w:t>
            </w:r>
            <w:r>
              <w:rPr>
                <w:b/>
                <w:i/>
              </w:rPr>
              <w:t>, zlasti za regije, bogate s premogom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André Rougé, Rody Tolassy, 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ker </w:t>
            </w:r>
            <w:r>
              <w:rPr>
                <w:b/>
                <w:i/>
              </w:rPr>
              <w:t>lahko ambiciozni</w:t>
            </w:r>
            <w:r>
              <w:t xml:space="preserve"> cilj prehoda na ogljično nevtralno gospodarstvo do leta 2050 </w:t>
            </w:r>
            <w:r>
              <w:rPr>
                <w:b/>
                <w:i/>
              </w:rPr>
              <w:t>pomeni priložnosti in nove</w:t>
            </w:r>
            <w:r>
              <w:t xml:space="preserve"> izzive za regije, na katere ta prehod negativno vpliva;</w:t>
            </w:r>
          </w:p>
        </w:tc>
        <w:tc>
          <w:tcPr>
            <w:tcW w:w="4876" w:type="dxa"/>
            <w:tcBorders>
              <w:top w:val="nil"/>
              <w:left w:val="nil"/>
              <w:bottom w:val="nil"/>
              <w:right w:val="nil"/>
            </w:tcBorders>
          </w:tcPr>
          <w:p>
            <w:pPr>
              <w:pStyle w:val="Normal6a"/>
            </w:pPr>
            <w:r>
              <w:t>A.</w:t>
            </w:r>
            <w:r>
              <w:tab/>
            </w:r>
            <w:r>
              <w:t xml:space="preserve">ker </w:t>
            </w:r>
            <w:r>
              <w:rPr>
                <w:b/>
                <w:i/>
              </w:rPr>
              <w:t>bo</w:t>
            </w:r>
            <w:r>
              <w:t xml:space="preserve"> cilj prehoda na ogljično nevtralno gospodarstvo do leta 2050 </w:t>
            </w:r>
            <w:r>
              <w:rPr>
                <w:b/>
                <w:i/>
              </w:rPr>
              <w:t>povzročil dodatne in nepremostljive</w:t>
            </w:r>
            <w:r>
              <w:t xml:space="preserve"> izzive za regije, na katere ta prehod </w:t>
            </w:r>
            <w:r>
              <w:rPr>
                <w:b/>
                <w:i/>
              </w:rPr>
              <w:t>že</w:t>
            </w:r>
            <w:r>
              <w:t xml:space="preserve"> negativno vpliva;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ker je bistveno, da regije, za katere ima prehod na podnebno nevtralnost negativne posledice, prejmejo ustrezno podporo za obvladovanje vpliva tega prehoda, da ne bodo utrpele gospodarske stagnacije ali precejšnje izgube delovnih mest;</w:t>
            </w:r>
            <w:r>
              <w:t xml:space="preserve"> </w:t>
            </w:r>
            <w:r>
              <w:rPr>
                <w:b/>
                <w:i/>
              </w:rPr>
              <w:t>ker morajo imeti te regije koristi od posebnih mehanizmov za preoblikovanje in podporo, da bi izzive spremenili v nove gospodarske priložnosti;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ker se evropska celina segreva hitreje kot preostali svet, tveganja, ki jih prinašajo podnebne spremembe, pa so kompleksnejša in jih je vse težje obravnavati;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ker </w:t>
            </w:r>
            <w:r>
              <w:rPr>
                <w:b/>
                <w:i/>
              </w:rPr>
              <w:t>imajo</w:t>
            </w:r>
            <w:r>
              <w:t xml:space="preserve"> regije EU </w:t>
            </w:r>
            <w:r>
              <w:rPr>
                <w:b/>
                <w:i/>
              </w:rPr>
              <w:t>zelo različne socialno-ekonomske značilnosti in</w:t>
            </w:r>
            <w:r>
              <w:t xml:space="preserve"> je jasno, da ni enotne rešitve za vse, ki bi ustrezala njihovim različnim ozemeljskim in socialno-ekonomskim potrebam;</w:t>
            </w:r>
          </w:p>
        </w:tc>
        <w:tc>
          <w:tcPr>
            <w:tcW w:w="4876" w:type="dxa"/>
            <w:tcBorders>
              <w:top w:val="nil"/>
              <w:left w:val="nil"/>
              <w:bottom w:val="nil"/>
              <w:right w:val="nil"/>
            </w:tcBorders>
          </w:tcPr>
          <w:p>
            <w:pPr>
              <w:pStyle w:val="Normal6a"/>
            </w:pPr>
            <w:r>
              <w:t>B.</w:t>
            </w:r>
            <w:r>
              <w:tab/>
            </w:r>
            <w:r>
              <w:t xml:space="preserve">ker </w:t>
            </w:r>
            <w:r>
              <w:rPr>
                <w:b/>
                <w:i/>
              </w:rPr>
              <w:t>je za</w:t>
            </w:r>
            <w:r>
              <w:t xml:space="preserve"> regije EU </w:t>
            </w:r>
            <w:r>
              <w:rPr>
                <w:b/>
                <w:i/>
              </w:rPr>
              <w:t>značilna velika teritorialna, ekonomska in socialna raznolikost, njihova stopnja razvoja, infrastruktura, prevladujoči demografski trendi in razmere na trgu dela pa se razlikujejo, in ker</w:t>
            </w:r>
            <w:r>
              <w:t xml:space="preserve"> je jasno, da ni enotne rešitve za vse, ki bi ustrezala njihovim različnim ozemeljskim in socialno-ekonomskim potrebam; </w:t>
            </w:r>
            <w:r>
              <w:rPr>
                <w:b/>
                <w:i/>
              </w:rPr>
              <w:t>ker bi zato bilo treba programe kohezijske politike izvajati tako, da bi te razlike odpravili s prožnimi, lokalnimi/regionalnimi in prilagojenimi rešitvami, ki upoštevajo posebne potrebe, značilnosti in potencial vsake regije;</w:t>
            </w:r>
            <w:r>
              <w:t xml:space="preserve"> </w:t>
            </w:r>
            <w:r>
              <w:rPr>
                <w:b/>
                <w:i/>
              </w:rPr>
              <w:t>ker je tak pristop ključnega pomena za zagotovitev, da pri zelenem in digitalnem prehodu nobena regija ne bo zapostavljena, ter za krepitev ekonomske, socialne in teritorialne kohezije po vsej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ker imajo regije </w:t>
            </w:r>
            <w:r>
              <w:rPr>
                <w:b/>
                <w:i/>
              </w:rPr>
              <w:t>EU</w:t>
            </w:r>
            <w:r>
              <w:t xml:space="preserve"> zelo različne socialno-ekonomske značilnosti in je </w:t>
            </w:r>
            <w:r>
              <w:rPr>
                <w:b/>
                <w:i/>
              </w:rPr>
              <w:t>jasno</w:t>
            </w:r>
            <w:r>
              <w:t xml:space="preserve">, da ni enotne rešitve za vse, </w:t>
            </w:r>
            <w:r>
              <w:rPr>
                <w:b/>
                <w:i/>
              </w:rPr>
              <w:t>ki bi ustrezala njihovim različnim ozemeljskim in socialno-ekonomskim potrebam</w:t>
            </w:r>
            <w:r>
              <w:t>;</w:t>
            </w:r>
          </w:p>
        </w:tc>
        <w:tc>
          <w:tcPr>
            <w:tcW w:w="4876" w:type="dxa"/>
            <w:tcBorders>
              <w:top w:val="nil"/>
              <w:left w:val="nil"/>
              <w:bottom w:val="nil"/>
              <w:right w:val="nil"/>
            </w:tcBorders>
          </w:tcPr>
          <w:p>
            <w:pPr>
              <w:pStyle w:val="Normal6a"/>
            </w:pPr>
            <w:r>
              <w:t>B.</w:t>
            </w:r>
            <w:r>
              <w:tab/>
            </w:r>
            <w:r>
              <w:t xml:space="preserve">ker imajo regije </w:t>
            </w:r>
            <w:r>
              <w:rPr>
                <w:b/>
                <w:i/>
              </w:rPr>
              <w:t>Evropske unije</w:t>
            </w:r>
            <w:r>
              <w:t xml:space="preserve"> zelo različne socialno-ekonomske značilnosti in je </w:t>
            </w:r>
            <w:r>
              <w:rPr>
                <w:b/>
                <w:i/>
              </w:rPr>
              <w:t>očitno</w:t>
            </w:r>
            <w:r>
              <w:t xml:space="preserve">, da ni enotne rešitve za vse, </w:t>
            </w:r>
            <w:r>
              <w:rPr>
                <w:b/>
                <w:i/>
              </w:rPr>
              <w:t>s katero bi bilo mogoče ustrezno obravnavati njihove raznolike ozemeljske in socialno-ekonomske potrebe, zato je bistveno ohraniti teritorialne načrte za pravični prehod, hkrati pa zagotoviti sodelovanje regionalnih in lokalnih oblasti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ker imajo regije EU zelo različne socialno-ekonomske značilnosti in je jasno, da ni enotne rešitve za vse, ki bi ustrezala njihovim različnim ozemeljskim in socialno-ekonomskim potrebam;</w:t>
            </w:r>
          </w:p>
        </w:tc>
        <w:tc>
          <w:tcPr>
            <w:tcW w:w="4876" w:type="dxa"/>
            <w:tcBorders>
              <w:top w:val="nil"/>
              <w:left w:val="nil"/>
              <w:bottom w:val="nil"/>
              <w:right w:val="nil"/>
            </w:tcBorders>
          </w:tcPr>
          <w:p>
            <w:pPr>
              <w:pStyle w:val="Normal6a"/>
            </w:pPr>
            <w:r>
              <w:t>B.</w:t>
            </w:r>
            <w:r>
              <w:tab/>
            </w:r>
            <w:r>
              <w:t xml:space="preserve">ker imajo regije EU zelo različne socialno-ekonomske značilnosti in je jasno, da ni enotne rešitve za vse, ki bi ustrezala njihovim različnim ozemeljskim in socialno-ekonomskim potrebam; </w:t>
            </w:r>
            <w:r>
              <w:rPr>
                <w:b/>
                <w:i/>
              </w:rPr>
              <w:t>ker tranzicija najbolj prizadene najšibkejše regije, trenutno pa lahko imajo od nje korist le najbogatejše regije;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ker je treba posebno pozornost in podporo nameniti negotovemu položaju otokov, otoških in najbolj oddaljenih regij, saj se pri prehodu na energetske cilje EU za leto 2030 in cilj podnebno nevtralnega gospodarstva do leta 2050 spoprijemajo z resnimi socialno-ekonomskimi izzivi;</w:t>
            </w:r>
            <w:r>
              <w:t xml:space="preserve"> </w:t>
            </w:r>
            <w:r>
              <w:rPr>
                <w:b/>
                <w:i/>
              </w:rPr>
              <w:t>ker so prebivalci otokov zaradi ovir, ki so posledica otoške lege, in hkratnih hudih posledic podnebne krize še bolj prikrajšani, kar dodatno zaostruje obstoječe socialne in ekonomske neenakosti;</w:t>
            </w:r>
            <w:r>
              <w:t xml:space="preserve"> </w:t>
            </w:r>
            <w:r>
              <w:rPr>
                <w:b/>
                <w:i/>
              </w:rPr>
              <w:t>ker vse pogostejši ekstremni vremenski pojavi in naravne nesreče, kot so suše, poplave in požari v naravi, še povečujejo razlike v razvoju in ovirajo napredek pri trajnostnem razvoju otoških regij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ker imajo regije EU zelo različne socialno-ekonomske značilnosti in je jasno, da ni enotne rešitve za vse, ki bi ustrezala njihovim različnim ozemeljskim in socialno-ekonomskim potrebam;</w:t>
            </w:r>
            <w:r>
              <w:t xml:space="preserve"> </w:t>
            </w:r>
            <w:r>
              <w:rPr>
                <w:b/>
                <w:i/>
              </w:rPr>
              <w:t>ker se bodo v sedanjih geopolitičnih razmerah zaradi negotovosti, povezanih z energetsko varnostjo in stabilnostjo mednarodnih trgov, nekatere regije morda morale vsaj kratkoročno vrniti k tradicionalnim gospodarskim dejavnostim, tudi v sektorjih, kot sta rudarstvo ali izkoriščanje naravnih virov, da bi zadovoljile domače potrebe in zmanjšale odvisnost od zunanjih virov energije;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ker je učinkovitost strategij za pravični prehod odvisna od skladne in strateške uporabe finančnih instrumentov EU;</w:t>
            </w:r>
            <w:r>
              <w:t xml:space="preserve"> </w:t>
            </w:r>
            <w:r>
              <w:rPr>
                <w:b/>
                <w:i/>
              </w:rPr>
              <w:t>ker razdrobljenost sredstev v sedanjem programskem obdobju negativno vpliva na nekatere regije;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ker je glavni cilj kohezijske politike bil (in je še vedno) gospodarsko zbliževanje, vendar bi lahko zeleni prehod te težnje spremenil in negativno vplival nanje, ker bi se regije gospodarsko še bolj oddaljile;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ker podnebna tveganja nesorazmerno vplivajo na ranljivo prebivalstvo, saj socialno-ekonomski dejavniki dodatno ovirajo zmožnost ranljivih skupin, da si opomorejo po nesrečah;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ker fizična nepovezanost in odmaknjenost otokov od celine pomenita trajno strukturno slabost, ki vpliva na več vidikov gospodarskega in družbenega življenja, vključno z dostopom do trga dela, izobraževanja, zdravstvenega varstva, mobilnosti in javnih storitev;</w:t>
            </w:r>
            <w:r>
              <w:t xml:space="preserve"> </w:t>
            </w:r>
            <w:r>
              <w:rPr>
                <w:b/>
                <w:i/>
              </w:rPr>
              <w:t>ker so zaradi omejenega ozemlja otokov znatno omejene priložnosti za strokovno izpopolnjevanje in preusposabljanje, kar omejuje zmožnost delavcev, da se prilagodijo strukturnim ali sektorskim spremembam, kot so tiste, ki so posledica zelenega in digitalnega prehoda;</w:t>
            </w:r>
            <w:r>
              <w:t xml:space="preserve"> </w:t>
            </w:r>
            <w:r>
              <w:rPr>
                <w:b/>
                <w:i/>
              </w:rPr>
              <w:t>ker so zaradi tega pomanjkanja alternativ delavci pogosto prisiljeni zapustiti domačo regijo zaradi dostopa do zaposlitvenih možnosti drugje, kar dejansko spodkopava njihovo „pravico, da ostanejo“ ter prispeva k odseljevanju in begu možganov na otoških ozemljih;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ker je trenutno najbolj pereč problem industrializacija revnejših regij, ne pa njihova deindustrializacija zaradi zelenega prehoda;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ker se najrevnejše in najranljivejše regije nahajajo v vzhodnem delu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ker vojna v Ukrajini dodatno negativno vpliva na te regije;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André Rougé, Rody Tolassy, 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ker so bile za številne panoge, ki jih je razogljičenje najbolj prizadelo, značilne neugodne delovne razmere in odvisnost od sezonskih delavcev, ki so si prizadevali za socialno pravičnost pred prehodom;</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ker so bile za številne panoge, ki jih je razogljičenje najbolj prizadelo, značilne neugodne delovne razmere in odvisnost od sezonskih delavcev, ki so si prizadevali za socialno pravičnost pred prehodom;</w:t>
            </w:r>
          </w:p>
        </w:tc>
        <w:tc>
          <w:tcPr>
            <w:tcW w:w="4876" w:type="dxa"/>
            <w:tcBorders>
              <w:top w:val="nil"/>
              <w:left w:val="nil"/>
              <w:bottom w:val="nil"/>
              <w:right w:val="nil"/>
            </w:tcBorders>
          </w:tcPr>
          <w:p>
            <w:pPr>
              <w:pStyle w:val="Normal6a"/>
            </w:pPr>
            <w:r>
              <w:t>C.</w:t>
            </w:r>
            <w:r>
              <w:tab/>
            </w:r>
            <w:r>
              <w:t xml:space="preserve">ker so bile za številne panoge, ki jih je razogljičenje najbolj prizadelo, značilne neugodne delovne razmere in odvisnost od sezonskih delavcev, ki so si prizadevali za socialno pravičnost pred prehodom; </w:t>
            </w:r>
            <w:r>
              <w:rPr>
                <w:b/>
                <w:i/>
              </w:rPr>
              <w:t>ker ti delavci niso zmožni opraviti obsežnega preusposabljanja, kar od njih zahteva zeleni prehod;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ker so </w:t>
            </w:r>
            <w:r>
              <w:rPr>
                <w:b/>
                <w:i/>
              </w:rPr>
              <w:t>bile za številne</w:t>
            </w:r>
            <w:r>
              <w:t xml:space="preserve"> panoge, ki jih je razogljičenje najbolj prizadelo, </w:t>
            </w:r>
            <w:r>
              <w:rPr>
                <w:b/>
                <w:i/>
              </w:rPr>
              <w:t>značilne neugodne delovne razmere in odvisnost</w:t>
            </w:r>
            <w:r>
              <w:t xml:space="preserve"> od sezonskih delavcev, </w:t>
            </w:r>
            <w:r>
              <w:rPr>
                <w:b/>
                <w:i/>
              </w:rPr>
              <w:t>ki so si prizadevali za socialno pravičnost pred prehodom;</w:t>
            </w:r>
          </w:p>
        </w:tc>
        <w:tc>
          <w:tcPr>
            <w:tcW w:w="4876" w:type="dxa"/>
            <w:tcBorders>
              <w:top w:val="nil"/>
              <w:left w:val="nil"/>
              <w:bottom w:val="nil"/>
              <w:right w:val="nil"/>
            </w:tcBorders>
          </w:tcPr>
          <w:p>
            <w:pPr>
              <w:pStyle w:val="Normal6a"/>
            </w:pPr>
            <w:r>
              <w:t>C.</w:t>
            </w:r>
            <w:r>
              <w:tab/>
            </w:r>
            <w:r>
              <w:t xml:space="preserve">ker so </w:t>
            </w:r>
            <w:r>
              <w:rPr>
                <w:b/>
                <w:i/>
              </w:rPr>
              <w:t>se nekatere</w:t>
            </w:r>
            <w:r>
              <w:t xml:space="preserve"> panoge, ki jih je razogljičenje najbolj prizadelo, </w:t>
            </w:r>
            <w:r>
              <w:rPr>
                <w:b/>
                <w:i/>
              </w:rPr>
              <w:t>srečale z neugodnimi delovnimi razmerami in odvisnostjo</w:t>
            </w:r>
            <w:r>
              <w:t xml:space="preserve"> od sezonskih delavcev,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ker bi bilo treba pri pravičnem prehodu dati prednost socialni vključenosti in izkoristiti njegov velik potencial za ustvarjanje kakovostnih delovnih mest na vseh ravneh znanj in spretnosti;</w:t>
            </w:r>
            <w:r>
              <w:t xml:space="preserve"> </w:t>
            </w:r>
            <w:r>
              <w:rPr>
                <w:b/>
                <w:i/>
              </w:rPr>
              <w:t>ker bi si bilo treba aktivno prizadevati za odpravo diskriminacije na delovnem mestu, zagotoviti dostojne in kakovostne delovne pogoje ter zvišati delovne standarde v vseh sektorjih;</w:t>
            </w:r>
            <w:r>
              <w:t xml:space="preserve"> </w:t>
            </w:r>
            <w:r>
              <w:rPr>
                <w:b/>
                <w:i/>
              </w:rPr>
              <w:t>ker bi bilo treba v politikah pravičnega prehoda posebno pozornost nameniti potrebam najbolj prizadetih skupnosti in najranljivejšega prebivalstva;</w:t>
            </w:r>
            <w:r>
              <w:t xml:space="preserve"> </w:t>
            </w:r>
            <w:r>
              <w:rPr>
                <w:b/>
                <w:i/>
              </w:rPr>
              <w:t>ker bi bilo treba presečni pristop sistematično vključevati v zakonodajo in politike EU in držav članic, da bi zagotovili polno vključenost mladih in starejših delavcev, žensk, invalidov ter delavcev iz prikrajšanih regij in socialno-ekonomskih okolij;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ker je jedrska energija vključena v zeleno taksonomijo in torej prispeva k prehodu na razogljičeno gospodarstvo;</w:t>
            </w:r>
            <w:r>
              <w:t xml:space="preserve"> </w:t>
            </w:r>
            <w:r>
              <w:rPr>
                <w:b/>
                <w:i/>
              </w:rPr>
              <w:t>ker bi večje naložbe v to obliko energije pomagale doseči strateško avtonomijo EU in cilje zmanjšanja emisij ogljika;</w:t>
            </w:r>
            <w:r>
              <w:t xml:space="preserve"> </w:t>
            </w:r>
            <w:r>
              <w:rPr>
                <w:b/>
                <w:i/>
              </w:rPr>
              <w:t>ker bi bil ta vir energije tudi učinkovito nadomestilo z zvezi z energetsko učinkovitostjo, ustvarjanjem delovnih mest in gospodarsko rast v regijah v prehodu;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ker mora prehod na ekološko trajnostnost spremljati ekonomska in socialna pravičnost;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ker so se povprečne emisije CO</w:t>
            </w:r>
            <w:r>
              <w:rPr>
                <w:b/>
                <w:i/>
                <w:vertAlign w:val="subscript"/>
              </w:rPr>
              <w:t>2</w:t>
            </w:r>
            <w:r>
              <w:t xml:space="preserve"> </w:t>
            </w:r>
            <w:r>
              <w:rPr>
                <w:b/>
                <w:i/>
              </w:rPr>
              <w:t>iz proizvodnje električne energije v EU leta 2023 med državami članicami z jedrskimi elektrarnami in tistimi brez njih precej razlikovale in so bile emisije v državah članicah z jedrskimi elektrarnami znatno nižje;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ker beg možganov nesorazmerno prizadene manj razvite regije in bo imel ta pojav, če se ga ne bo obravnavalo, dolgoročne in trajne učinke na prihodnost Evropske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ker bi moral biti energetski prehod tesno povezan z gospodarsko konkurenčnostjo in ker je treba zaščititi energetsko varnost teh območij;</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Cd.</w:t>
            </w:r>
            <w:r>
              <w:tab/>
            </w:r>
            <w:r>
              <w:rPr>
                <w:b/>
                <w:i/>
              </w:rPr>
              <w:t>ker je EU v nasprotju s svojimi glavnimi tekmeci vodilna v svetu na področju zmanjševanja emisij, hkrati pa se spoprijema s številnimi izzivi, ki jih povzročajo zapletene svetovne geopolitične in gospodarske razmere;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ker naj bi bil Sklad za pravični prehod (SPP) EU ključno orodje za zagotavljanje, da ljudje, ki živijo na ozemljih, ki jih bo prizadel prehod na podnebno nevtralnost, ne bodo zapostavljeni; ker je bila stopnja </w:t>
            </w:r>
            <w:r>
              <w:rPr>
                <w:b/>
                <w:i/>
              </w:rPr>
              <w:t>absorpcije</w:t>
            </w:r>
            <w:r>
              <w:t xml:space="preserve"> doslej manjša od 5 %;</w:t>
            </w:r>
          </w:p>
        </w:tc>
        <w:tc>
          <w:tcPr>
            <w:tcW w:w="4876" w:type="dxa"/>
            <w:tcBorders>
              <w:top w:val="nil"/>
              <w:left w:val="nil"/>
              <w:bottom w:val="nil"/>
              <w:right w:val="nil"/>
            </w:tcBorders>
          </w:tcPr>
          <w:p>
            <w:pPr>
              <w:pStyle w:val="Normal6a"/>
            </w:pPr>
            <w:r>
              <w:t>D.</w:t>
            </w:r>
            <w:r>
              <w:tab/>
            </w:r>
            <w:r>
              <w:t xml:space="preserve">ker naj bi bil Sklad za pravični prehod (SPP) EU ključno orodje za zagotavljanje, da ljudje, ki živijo na ozemljih, ki jih bo prizadel prehod na podnebno nevtralnost, ne bodo zapostavljeni; ker je bila stopnja </w:t>
            </w:r>
            <w:r>
              <w:rPr>
                <w:b/>
                <w:i/>
              </w:rPr>
              <w:t>črpanja</w:t>
            </w:r>
            <w:r>
              <w:t xml:space="preserve"> doslej manjša od 5 %; </w:t>
            </w:r>
            <w:r>
              <w:rPr>
                <w:b/>
                <w:i/>
              </w:rPr>
              <w:t>ker številne prizadete občine nimajo osnovne infrastrukture in osnovnih storitev, zato s težavo privabljajo produktivne naložbe, ki bi vodile v trajnostno gospodarsko okrevanje;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ker naj bi bil Sklad za pravični prehod (SPP) EU </w:t>
            </w:r>
            <w:r>
              <w:rPr>
                <w:b/>
                <w:i/>
              </w:rPr>
              <w:t>ključno</w:t>
            </w:r>
            <w:r>
              <w:t xml:space="preserve"> orodje </w:t>
            </w:r>
            <w:r>
              <w:rPr>
                <w:b/>
                <w:i/>
              </w:rPr>
              <w:t>za zagotavljanje, da ljudje, ki živijo na ozemljih</w:t>
            </w:r>
            <w:r>
              <w:t xml:space="preserve">, ki jih bo prizadel prehod na podnebno nevtralnost, </w:t>
            </w:r>
            <w:r>
              <w:rPr>
                <w:b/>
                <w:i/>
              </w:rPr>
              <w:t>ne bodo zapostavljeni</w:t>
            </w:r>
            <w:r>
              <w:t>; ker je bila stopnja absorpcije doslej manjša od 5 %;</w:t>
            </w:r>
          </w:p>
        </w:tc>
        <w:tc>
          <w:tcPr>
            <w:tcW w:w="4876" w:type="dxa"/>
            <w:tcBorders>
              <w:top w:val="nil"/>
              <w:left w:val="nil"/>
              <w:bottom w:val="nil"/>
              <w:right w:val="nil"/>
            </w:tcBorders>
          </w:tcPr>
          <w:p>
            <w:pPr>
              <w:pStyle w:val="Normal6a"/>
            </w:pPr>
            <w:r>
              <w:t>D.</w:t>
            </w:r>
            <w:r>
              <w:tab/>
            </w:r>
            <w:r>
              <w:t xml:space="preserve">ker naj bi bil Sklad za pravični prehod (SPP) EU </w:t>
            </w:r>
            <w:r>
              <w:rPr>
                <w:b/>
                <w:i/>
              </w:rPr>
              <w:t>pomembno dopolnilno</w:t>
            </w:r>
            <w:r>
              <w:t xml:space="preserve"> orodje </w:t>
            </w:r>
            <w:r>
              <w:rPr>
                <w:b/>
                <w:i/>
              </w:rPr>
              <w:t>na ozemljih, odvisnih od fosilnih goriv</w:t>
            </w:r>
            <w:r>
              <w:t xml:space="preserve">, ki jih bo prizadel prehod na podnebno nevtralnost, </w:t>
            </w:r>
            <w:r>
              <w:rPr>
                <w:b/>
                <w:i/>
              </w:rPr>
              <w:t>njegov namen pa je prispevati k enotnemu specifičnemu cilju, da se regijam in ljudem omogoči obravnavanje socialnih, zaposlitvenih, gospodarskih in okoljskih učinkov prehoda</w:t>
            </w:r>
            <w:r>
              <w:t xml:space="preserve">; ker je bila stopnja absorpcije doslej manjša od 5 </w:t>
            </w:r>
            <w:r>
              <w:rPr>
                <w:b/>
                <w:i/>
              </w:rPr>
              <w:t>%, stopnja predhodnega financiranja pa več kot 31</w:t>
            </w:r>
            <w:r>
              <w:t>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ker naj bi bil Sklad za pravični prehod (SPP) EU ključno orodje za zagotavljanje, da ljudje, ki živijo na ozemljih, ki jih bo prizadel prehod na podnebno nevtralnost, ne bodo zapostavljeni; ker je bila stopnja absorpcije doslej manjša od 5 %;</w:t>
            </w:r>
          </w:p>
        </w:tc>
        <w:tc>
          <w:tcPr>
            <w:tcW w:w="4876" w:type="dxa"/>
            <w:tcBorders>
              <w:top w:val="nil"/>
              <w:left w:val="nil"/>
              <w:bottom w:val="nil"/>
              <w:right w:val="nil"/>
            </w:tcBorders>
          </w:tcPr>
          <w:p>
            <w:pPr>
              <w:pStyle w:val="Normal6a"/>
            </w:pPr>
            <w:r>
              <w:t>D.</w:t>
            </w:r>
            <w:r>
              <w:tab/>
            </w:r>
            <w:r>
              <w:t xml:space="preserve">ker naj bi bil Sklad za pravični prehod (SPP) EU ključno orodje za zagotavljanje, da ljudje, ki živijo na ozemljih, ki jih bo prizadel prehod na podnebno nevtralnost, ne bodo zapostavljeni; ker je bila stopnja absorpcije doslej manjša od 5 %; </w:t>
            </w:r>
            <w:r>
              <w:rPr>
                <w:b/>
                <w:i/>
              </w:rPr>
              <w:t>ker so za zeleni in digitalni prehod potrebne učinkovite varnostne mreže in zaščitni mehanizmi za podporo delavcem, katerih delovna mesta so prizadeta;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ker </w:t>
            </w:r>
            <w:r>
              <w:rPr>
                <w:b/>
                <w:i/>
              </w:rPr>
              <w:t>naj bi bil</w:t>
            </w:r>
            <w:r>
              <w:t xml:space="preserve"> Sklad za pravični prehod (SPP) EU ključno orodje za zagotavljanje, da ljudje, ki živijo na ozemljih, ki jih bo prizadel prehod na podnebno nevtralnost, ne bodo zapostavljeni; </w:t>
            </w:r>
            <w:r>
              <w:rPr>
                <w:b/>
                <w:i/>
              </w:rPr>
              <w:t>ker je bila stopnja absorpcije doslej manjša od 5 %;</w:t>
            </w:r>
          </w:p>
        </w:tc>
        <w:tc>
          <w:tcPr>
            <w:tcW w:w="4876" w:type="dxa"/>
            <w:tcBorders>
              <w:top w:val="nil"/>
              <w:left w:val="nil"/>
              <w:bottom w:val="nil"/>
              <w:right w:val="nil"/>
            </w:tcBorders>
          </w:tcPr>
          <w:p>
            <w:pPr>
              <w:pStyle w:val="Normal6a"/>
            </w:pPr>
            <w:r>
              <w:t>D.</w:t>
            </w:r>
            <w:r>
              <w:tab/>
            </w:r>
            <w:r>
              <w:t xml:space="preserve">ker </w:t>
            </w:r>
            <w:r>
              <w:rPr>
                <w:b/>
                <w:i/>
              </w:rPr>
              <w:t>je</w:t>
            </w:r>
            <w:r>
              <w:t xml:space="preserve"> Sklad za pravični prehod (SPP) EU ključno orodje za zagotavljanje, da ljudje, ki živijo na ozemljih, ki jih bo prizadel prehod na podnebno nevtralnost, ne bodo zapostavljeni;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Jan Farský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ker </w:t>
            </w:r>
            <w:r>
              <w:rPr>
                <w:b/>
                <w:i/>
              </w:rPr>
              <w:t>naj bi bil</w:t>
            </w:r>
            <w:r>
              <w:t xml:space="preserve"> Sklad za pravični prehod (SPP) EU ključno orodje za zagotavljanje, da ljudje, ki živijo na ozemljih, ki jih bo prizadel prehod na podnebno nevtralnost, ne bodo zapostavljeni; ker je bila stopnja absorpcije doslej manjša od 5 %;</w:t>
            </w:r>
          </w:p>
        </w:tc>
        <w:tc>
          <w:tcPr>
            <w:tcW w:w="4876" w:type="dxa"/>
            <w:tcBorders>
              <w:top w:val="nil"/>
              <w:left w:val="nil"/>
              <w:bottom w:val="nil"/>
              <w:right w:val="nil"/>
            </w:tcBorders>
          </w:tcPr>
          <w:p>
            <w:pPr>
              <w:pStyle w:val="Normal6a"/>
            </w:pPr>
            <w:r>
              <w:t>D.</w:t>
            </w:r>
            <w:r>
              <w:tab/>
            </w:r>
            <w:r>
              <w:t xml:space="preserve">ker </w:t>
            </w:r>
            <w:r>
              <w:rPr>
                <w:b/>
                <w:i/>
              </w:rPr>
              <w:t>je</w:t>
            </w:r>
            <w:r>
              <w:t xml:space="preserve"> Sklad za pravični prehod (SPP) EU ključno orodje za zagotavljanje, da ljudje, ki živijo na ozemljih, ki jih bo prizadel prehod na podnebno nevtralnost, ne bodo zapostavljeni</w:t>
            </w:r>
            <w:r>
              <w:rPr>
                <w:b/>
                <w:i/>
              </w:rPr>
              <w:t>, in bi to moral ostati</w:t>
            </w:r>
            <w:r>
              <w:t>; ker je bila stopnja absorpcije doslej manjša od 5 %;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ker lahko nekdanja šotna in rudarska območja brez ustreznih ukrepov postanejo manj ekonomsko aktivna;</w:t>
            </w:r>
          </w:p>
        </w:tc>
        <w:tc>
          <w:tcPr>
            <w:tcW w:w="4876" w:type="dxa"/>
            <w:tcBorders>
              <w:top w:val="nil"/>
              <w:left w:val="nil"/>
              <w:bottom w:val="nil"/>
              <w:right w:val="nil"/>
            </w:tcBorders>
          </w:tcPr>
          <w:p>
            <w:pPr>
              <w:pStyle w:val="Normal6a"/>
            </w:pPr>
            <w:r>
              <w:t>E.</w:t>
            </w:r>
            <w:r>
              <w:tab/>
            </w:r>
            <w:r>
              <w:t xml:space="preserve">ker lahko nekdanja šotna in rudarska območja brez ustreznih ukrepov postanejo manj ekonomsko aktivna </w:t>
            </w:r>
            <w:r>
              <w:rPr>
                <w:b/>
                <w:i/>
              </w:rPr>
              <w:t>in jim grozi nadaljnja gospodarska stagnacija;</w:t>
            </w:r>
            <w:r>
              <w:t xml:space="preserve"> </w:t>
            </w:r>
            <w:r>
              <w:rPr>
                <w:b/>
                <w:i/>
              </w:rPr>
              <w:t>ker se ta območja pogosto spoprijemajo s trajnim odseljevanjem prebivalstva, omejenim dostopom do naložb, neustrezno infrastrukturo, nezadostno povezljivostjo ter vse večjo vrzeljo v produktivnosti in zaposlitvenih možnostih v primerjavi z bolj dinamičnimi regijami;</w:t>
            </w:r>
            <w:r>
              <w:t xml:space="preserve"> </w:t>
            </w:r>
            <w:r>
              <w:rPr>
                <w:b/>
                <w:i/>
              </w:rPr>
              <w:t>ker tem regijam brez celovite podpore in strategij trajnostnega razvoja, prilagojenih njihovim edinstvenim geografskim in socialno-ekonomskim izzivom, grozi dolgoročen upad, kar bo še poglobilo teritorialne razlike in oslabilo splošno ekonomsko in socialno kohezijo po vsej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Rody Tolassy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ker lahko nekdanja šotna in rudarska območja brez ustreznih ukrepov postanejo manj ekonomsko aktivna;</w:t>
            </w:r>
          </w:p>
        </w:tc>
        <w:tc>
          <w:tcPr>
            <w:tcW w:w="4876" w:type="dxa"/>
            <w:tcBorders>
              <w:top w:val="nil"/>
              <w:left w:val="nil"/>
              <w:bottom w:val="nil"/>
              <w:right w:val="nil"/>
            </w:tcBorders>
          </w:tcPr>
          <w:p>
            <w:pPr>
              <w:pStyle w:val="Normal6a"/>
            </w:pPr>
            <w:r>
              <w:t>E.</w:t>
            </w:r>
            <w:r>
              <w:tab/>
            </w:r>
            <w:r>
              <w:t xml:space="preserve">ker lahko nekdanja šotna in rudarska območja brez ustreznih ukrepov postanejo manj ekonomsko aktivna </w:t>
            </w:r>
            <w:r>
              <w:rPr>
                <w:b/>
                <w:i/>
              </w:rPr>
              <w:t>in ker morajo biti najbolj oddaljene regije, ki se pri oskrbi z energijo spoprijemajo s posebnimi izzivi, upravičene do ustreznih ukrepov za zmanjšanje svoje odvisnosti od fosilnih goriv, zlasti nafte, v skladu s podnebnimi cilji EU</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ker </w:t>
            </w:r>
            <w:r>
              <w:rPr>
                <w:b/>
                <w:i/>
              </w:rPr>
              <w:t>lahko nekdanja šotna in rudarska območja</w:t>
            </w:r>
            <w:r>
              <w:t xml:space="preserve"> brez ustreznih ukrepov </w:t>
            </w:r>
            <w:r>
              <w:rPr>
                <w:b/>
                <w:i/>
              </w:rPr>
              <w:t>postanejo manj ekonomsko aktivna</w:t>
            </w:r>
            <w:r>
              <w:t>;</w:t>
            </w:r>
          </w:p>
        </w:tc>
        <w:tc>
          <w:tcPr>
            <w:tcW w:w="4876" w:type="dxa"/>
            <w:tcBorders>
              <w:top w:val="nil"/>
              <w:left w:val="nil"/>
              <w:bottom w:val="nil"/>
              <w:right w:val="nil"/>
            </w:tcBorders>
          </w:tcPr>
          <w:p>
            <w:pPr>
              <w:pStyle w:val="Normal6a"/>
            </w:pPr>
            <w:r>
              <w:t>E.</w:t>
            </w:r>
            <w:r>
              <w:tab/>
            </w:r>
            <w:r>
              <w:t>ker </w:t>
            </w:r>
            <w:r>
              <w:rPr>
                <w:b/>
                <w:i/>
              </w:rPr>
              <w:t>regijam, ki so bile v preteklosti pri proizvodnji energije, rudarstvu in rafinerijah odvisne od šote,</w:t>
            </w:r>
            <w:r>
              <w:t xml:space="preserve"> brez ustreznih ukrepov </w:t>
            </w:r>
            <w:r>
              <w:rPr>
                <w:b/>
                <w:i/>
              </w:rPr>
              <w:t>grozi gospodarski upad, kar bi zmanjšalo njihovo konkurenčnost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ker lahko nekdanja šotna in rudarska območja brez ustreznih ukrepov postanejo manj ekonomsko aktivna;</w:t>
            </w:r>
          </w:p>
        </w:tc>
        <w:tc>
          <w:tcPr>
            <w:tcW w:w="4876" w:type="dxa"/>
            <w:tcBorders>
              <w:top w:val="nil"/>
              <w:left w:val="nil"/>
              <w:bottom w:val="nil"/>
              <w:right w:val="nil"/>
            </w:tcBorders>
          </w:tcPr>
          <w:p>
            <w:pPr>
              <w:pStyle w:val="Normal6a"/>
            </w:pPr>
            <w:r>
              <w:t>E.</w:t>
            </w:r>
            <w:r>
              <w:tab/>
            </w:r>
            <w:r>
              <w:t xml:space="preserve">ker lahko nekdanja šotna in rudarska območja </w:t>
            </w:r>
            <w:r>
              <w:rPr>
                <w:b/>
                <w:i/>
              </w:rPr>
              <w:t>– pa tudi nekdanje metalurške regije in druge regije s težko industrijo –</w:t>
            </w:r>
            <w:r>
              <w:t xml:space="preserve"> brez ustreznih ukrepov postanejo manj ekonomsko aktivna;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ker lahko nekdanja šotna in rudarska območja brez ustreznih ukrepov postanejo manj ekonomsko aktivna;</w:t>
            </w:r>
          </w:p>
        </w:tc>
        <w:tc>
          <w:tcPr>
            <w:tcW w:w="4876" w:type="dxa"/>
            <w:tcBorders>
              <w:top w:val="nil"/>
              <w:left w:val="nil"/>
              <w:bottom w:val="nil"/>
              <w:right w:val="nil"/>
            </w:tcBorders>
          </w:tcPr>
          <w:p>
            <w:pPr>
              <w:pStyle w:val="Normal6a"/>
            </w:pPr>
            <w:r>
              <w:t>E.</w:t>
            </w:r>
            <w:r>
              <w:tab/>
            </w:r>
            <w:r>
              <w:t xml:space="preserve">ker lahko nekdanja šotna in rudarska območja brez ustreznih </w:t>
            </w:r>
            <w:r>
              <w:rPr>
                <w:b/>
                <w:i/>
              </w:rPr>
              <w:t>in finančnih</w:t>
            </w:r>
            <w:r>
              <w:t xml:space="preserve"> ukrepov postanejo manj ekonomsko aktivna;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André Rougé, Rody Tolassy, 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ker lahko nekdanja šotna in rudarska območja brez ustreznih ukrepov postanejo </w:t>
            </w:r>
            <w:r>
              <w:rPr>
                <w:b/>
                <w:i/>
              </w:rPr>
              <w:t>manj</w:t>
            </w:r>
            <w:r>
              <w:t xml:space="preserve"> ekonomsko </w:t>
            </w:r>
            <w:r>
              <w:rPr>
                <w:b/>
                <w:i/>
              </w:rPr>
              <w:t>aktivna</w:t>
            </w:r>
            <w:r>
              <w:t>;</w:t>
            </w:r>
          </w:p>
        </w:tc>
        <w:tc>
          <w:tcPr>
            <w:tcW w:w="4876" w:type="dxa"/>
            <w:tcBorders>
              <w:top w:val="nil"/>
              <w:left w:val="nil"/>
              <w:bottom w:val="nil"/>
              <w:right w:val="nil"/>
            </w:tcBorders>
          </w:tcPr>
          <w:p>
            <w:pPr>
              <w:pStyle w:val="Normal6a"/>
            </w:pPr>
            <w:r>
              <w:t>E.</w:t>
            </w:r>
            <w:r>
              <w:tab/>
            </w:r>
            <w:r>
              <w:t xml:space="preserve">ker lahko nekdanja šotna in rudarska območja brez ustreznih ukrepov postanejo </w:t>
            </w:r>
            <w:r>
              <w:rPr>
                <w:b/>
                <w:i/>
              </w:rPr>
              <w:t>povsem</w:t>
            </w:r>
            <w:r>
              <w:t xml:space="preserve"> ekonomsko </w:t>
            </w:r>
            <w:r>
              <w:rPr>
                <w:b/>
                <w:i/>
              </w:rPr>
              <w:t>neaktivna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Elena Nevado del Campo, Borja Giménez Larraz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ker ima SPP teritorialen značaj in je v skladu z načelom subsidiarnosti primerno, da se v fazi načrtovanja finančnih sredstev po letu 2027 na terenu uporabi pristop, ki upošteva večjo ozaveščenost lokalnih in regionalnih oblasti na področjih, ki jih zajema program, da se jih po potrebi spodbuja k oblikovanju strategij od spodaj navzgor, ki upoštevajo vlogo najbolj reprezentativnih subjektov na območjih, za katera se načrtujejo programi;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ker se zaradi demografskih sprememb, vključno z odseljevanjem s podeželja in staranjem prebivalstva, povečuje tveganje nekaterih regij EU za ekonomsko neaktivnost, kar bi bilo treba obravnavati s posebnimi mehanizmi v prihodnjem večletnem finančnem okviru;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ker se hitrost digitalnega prehoda in povezljivost po Evropi, zlasti na podeželju in oddaljenih območjih, še vedno razlikujeta;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ker je treba postopek prijave za SPP poenostaviti in povečati njegovo prožnost, da bi </w:t>
            </w:r>
            <w:r>
              <w:rPr>
                <w:b/>
                <w:i/>
              </w:rPr>
              <w:t>se čim bolj uporabljal</w:t>
            </w:r>
            <w:r>
              <w:t>;</w:t>
            </w:r>
          </w:p>
        </w:tc>
        <w:tc>
          <w:tcPr>
            <w:tcW w:w="4876" w:type="dxa"/>
            <w:tcBorders>
              <w:top w:val="nil"/>
              <w:left w:val="nil"/>
              <w:bottom w:val="nil"/>
              <w:right w:val="nil"/>
            </w:tcBorders>
          </w:tcPr>
          <w:p>
            <w:pPr>
              <w:pStyle w:val="Normal6a"/>
            </w:pPr>
            <w:r>
              <w:t>F.</w:t>
            </w:r>
            <w:r>
              <w:tab/>
            </w:r>
            <w:r>
              <w:t xml:space="preserve">ker je treba postopek prijave za SPP poenostaviti in povečati njegovo prožnost, da bi </w:t>
            </w:r>
            <w:r>
              <w:rPr>
                <w:b/>
                <w:i/>
              </w:rPr>
              <w:t>povečali njegovo dostopnost ter omogočili hitrejšo in učinkovitejšo uporabo sredstev;</w:t>
            </w:r>
            <w:r>
              <w:t xml:space="preserve"> </w:t>
            </w:r>
            <w:r>
              <w:rPr>
                <w:b/>
                <w:i/>
              </w:rPr>
              <w:t>ker je poenostavitev postopkov bistvena za čim večji učinek SPP, zlasti za manjše regije in lokalne organe z omejenimi upravnimi zmogljivostmi, ter za zagotovitev, da podpora pravočasno doseže skupnosti in delavce, ki jih bo zeleni prehod najbolj prizadel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ker je treba postopek prijave za SPP poenostaviti in povečati njegovo prožnost, da bi se čim bolj uporabljal;</w:t>
            </w:r>
          </w:p>
        </w:tc>
        <w:tc>
          <w:tcPr>
            <w:tcW w:w="4876" w:type="dxa"/>
            <w:tcBorders>
              <w:top w:val="nil"/>
              <w:left w:val="nil"/>
              <w:bottom w:val="nil"/>
              <w:right w:val="nil"/>
            </w:tcBorders>
          </w:tcPr>
          <w:p>
            <w:pPr>
              <w:pStyle w:val="Normal6a"/>
            </w:pPr>
            <w:r>
              <w:t>F.</w:t>
            </w:r>
            <w:r>
              <w:tab/>
            </w:r>
            <w:r>
              <w:t>ker je treba postopek prijave za SPP poenostaviti</w:t>
            </w:r>
            <w:r>
              <w:rPr>
                <w:b/>
                <w:i/>
              </w:rPr>
              <w:t>, racionalizirati</w:t>
            </w:r>
            <w:r>
              <w:t xml:space="preserve"> in povečati njegovo prožnost, da bi se čim bolj uporabljal;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ker je treba okoljsko celovitost SPP izboljšati z uporabo okrepljene okoljske pogojenosti, vključno s sistematičnim izvrševanjem načela, da se ne škoduje bistveno, ter izvajanjem celovitih in preglednih okoljskih smernic in zaščitnih ukrepov;</w:t>
            </w:r>
            <w:r>
              <w:t xml:space="preserve"> </w:t>
            </w:r>
            <w:r>
              <w:rPr>
                <w:b/>
                <w:i/>
              </w:rPr>
              <w:t>ker je dosledna uporaba načela „onesnaževalec plača“ bistvena, da se zagotovi, da stroške, povezane z obnovo in varstvom narave ter spremembo namena območij, prizadetih zaradi okolju škodljivih dejavnosti, v celoti krijejo odgovorna podjetja in subjekti, zlasti tisti, ki so imeli od teh dejavnosti finančne koristi;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ker nekatere države članice, kot je Španija, že več kot desetletje postopoma zapirajo svoje ogljično intenzivne panoge, kar je še pred začetkom uporabe SPP privedlo do izrazite depopulacije na številnih podeželskih območjih, ki je v ponekod presegla 50 %;</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ker je ozemeljski in lokalni pristop ključnega pomena za zagotovitev, da so finančni instrumenti učinkoviti glede na lokalne potrebe, zlasti za spodbujanje sprememb v industriji in povečanje konkurenčnosti v regijah, ki jim grozi, da bodo zapostavljene;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ker je promet ključnega pomena za doseganje podnebne nevtralnosti do leta 2050;</w:t>
            </w:r>
            <w:r>
              <w:t xml:space="preserve"> </w:t>
            </w:r>
            <w:r>
              <w:rPr>
                <w:b/>
                <w:i/>
              </w:rPr>
              <w:t>ker je potrebnih več naložb, da bi pospešili prehod na trajnostno in pametno mobilnost v skladu z zelenim dogovorom na vključujoč in socialno pravičen način;</w:t>
            </w:r>
            <w:r>
              <w:t xml:space="preserve"> </w:t>
            </w:r>
            <w:r>
              <w:rPr>
                <w:b/>
                <w:i/>
              </w:rPr>
              <w:t>ker bi morali vsi, zlasti državljani, ki živijo na podeželskih, oddaljenih in otoških območjih, kjer ni dostopa do kakovostnega javnega prevoza ali drugih rešitev za mobilnost oziroma je ta dostop zelo omejen, še naprej imeti dostop do cenovno ugodne individualne mobilnosti;</w:t>
            </w:r>
            <w:r>
              <w:t xml:space="preserve"> </w:t>
            </w:r>
            <w:r>
              <w:rPr>
                <w:b/>
                <w:i/>
              </w:rPr>
              <w:t>ker se nekatere regije, skupnosti in sektorji, zlasti nekdanja šotna in rudarska območja, najbolj oddaljene regije in otoki, pri tem prehodu spoprijemajo z edinstvenimi in velikimi izzivi na področju mobilnosti;</w:t>
            </w:r>
            <w:r>
              <w:t xml:space="preserve"> </w:t>
            </w:r>
            <w:r>
              <w:rPr>
                <w:b/>
                <w:i/>
              </w:rPr>
              <w:t>ker se ta območja pogosto srečujejo z dodatnimi težavami zaradi svoje geografske izoliranosti, omejenega dostopa do sodobne prometne infrastrukture in prevelikega zanašanja na tradicionalne, ogljično intenzivne načine prevoza, kar ovira njihovo zmožnost, da bi sprejela bolj trajnostne alternative;</w:t>
            </w:r>
            <w:r>
              <w:t xml:space="preserve"> </w:t>
            </w:r>
            <w:r>
              <w:rPr>
                <w:b/>
                <w:i/>
              </w:rPr>
              <w:t>ker bi morala imeti kohezijska politika ključno vlogo pri odpravljanju teh razlik ter podpiranju pravičnega in učinkovitega prehoda na področju mobilnosti v vseh regijah;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ker je odporna, varna in trajnostna infrastruktura bistvena za obravnavanje izzivov v zvezi s podnebnimi spremembami, zagotavljanje dolgoročne okoljske in socialne trajnostnosti ter spodbujanje vključujoče gospodarske rasti;</w:t>
            </w:r>
            <w:r>
              <w:t xml:space="preserve"> </w:t>
            </w:r>
            <w:r>
              <w:rPr>
                <w:b/>
                <w:i/>
              </w:rPr>
              <w:t>ker je treba infrastrukturo v vseh sektorjih okrepiti, da bo kos vse večjim vplivom dogodkov, povezanih s podnebjem, hkrati pa bo prispevala k ogljično nevtralnim ciljem;</w:t>
            </w:r>
            <w:r>
              <w:t xml:space="preserve"> </w:t>
            </w:r>
            <w:r>
              <w:rPr>
                <w:b/>
                <w:i/>
              </w:rPr>
              <w:t>ker lahko posodobitev in diverzifikacija infrastrukturnih sistemov izboljšata dostopnost, spodbudita inovacije in podpreta prehod na zeleno gospodarstvo;</w:t>
            </w:r>
            <w:r>
              <w:t xml:space="preserve"> </w:t>
            </w:r>
            <w:r>
              <w:rPr>
                <w:b/>
                <w:i/>
              </w:rPr>
              <w:t>ker so regije, zlasti tiste, ki so geografsko izolirane ali gospodarsko prikrajšane, nesorazmerno prizadete zaradi infrastrukturnih vrzeli in pomanjkanja dostopa do sodobnih storitev;</w:t>
            </w:r>
            <w:r>
              <w:t xml:space="preserve"> </w:t>
            </w:r>
            <w:r>
              <w:rPr>
                <w:b/>
                <w:i/>
              </w:rPr>
              <w:t>ker bodo ciljno usmerjene naložbe v odporno infrastrukturo ustvarile zaposlitvene priložnosti, povečale socialno pravičnost in spodbujale močnejše skupnosti, saj bodo zagotovile, da bodo imela vsa območja koristi od trajnostne, zanesljive in dostopne infrastrukture, in ker bi morala imeti kohezijska politika strateško vlogo pri premoščanju infrastrukturnih vrzeli, spodbujanju teritorialne kohezije in zagotavljanju, da pri zelenem prehodu nobena regija ne bo zapostavljena;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Fd.</w:t>
            </w:r>
            <w:r>
              <w:tab/>
            </w:r>
            <w:r>
              <w:rPr>
                <w:b/>
                <w:i/>
              </w:rPr>
              <w:t>ker je turizem ključni sektor gospodarstva EU, ki neposredno in posredno prispeva k več kot 10 % BDP EU, in ima ključno vlogo pri krepitvi konkurenčnosti in socialne blaginje ter ustvarjanju trajnostnih delovnih mest, zlasti v regijah, ki so močno odvisne od turizma;</w:t>
            </w:r>
            <w:r>
              <w:t xml:space="preserve"> </w:t>
            </w:r>
            <w:r>
              <w:rPr>
                <w:b/>
                <w:i/>
              </w:rPr>
              <w:t>ker lahko turizem znatno prispeva k teritorialni koheziji, zlasti v oddaljenih, podeželskih, obalnih, najbolj oddaljenih in otoških regijah, ter lahko podpre gospodarsko diverzifikacijo in pravičen prehod na območjih, ki se spoprijemajo s strukturnimi izzivi, upadanjem prebivalstva ali odvisnostjo od ogljično intenzivnih panog;</w:t>
            </w:r>
            <w:r>
              <w:t xml:space="preserve"> </w:t>
            </w:r>
            <w:r>
              <w:rPr>
                <w:b/>
                <w:i/>
              </w:rPr>
              <w:t>ker turistični sektor EU, ki ga sestavlja zlasti 2,3 milijona malih in srednjih podjetij, zaposluje približno 12,3 milijona ljudi in predstavlja pomembno gospodarsko dejavnost z močnimi multiplikacijskimi učinki v različnih sektorjih;</w:t>
            </w:r>
            <w:r>
              <w:t xml:space="preserve"> </w:t>
            </w:r>
            <w:r>
              <w:rPr>
                <w:b/>
                <w:i/>
              </w:rPr>
              <w:t>ker bi morala kohezijska politika v okviru pravičnega prehoda podpirati strategije trajnostnega turizma ter spodbujati odpornost, inovacije, zeleno in digitalno preobrazbo v turističnem sektorju, hkrati pa spodbujati vključujočo rast ter ohranjati kulturno in naravno dediščino;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Podnaslov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Osredotočenje na območja, na katerih se izgubljajo delovna mesta</w:t>
            </w:r>
          </w:p>
        </w:tc>
        <w:tc>
          <w:tcPr>
            <w:tcW w:w="4876" w:type="dxa"/>
            <w:tcBorders>
              <w:top w:val="nil"/>
              <w:left w:val="nil"/>
              <w:bottom w:val="nil"/>
              <w:right w:val="nil"/>
            </w:tcBorders>
          </w:tcPr>
          <w:p>
            <w:pPr>
              <w:pStyle w:val="Normal6a"/>
            </w:pPr>
            <w:r>
              <w:t>Osredotočenje na območja, na katerih se izgubljajo delovna mesta</w:t>
            </w:r>
            <w:r>
              <w:rPr>
                <w:b/>
                <w:i/>
              </w:rPr>
              <w:t>, revizije rokov in elektroenergetska omrežja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Jan Farský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Podnaslov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poudarja, kako pomembno je, da se SPP nadaljuje v večletnem finančnem okviru po letu 2027, da bi preprečili izgubo delovnih mest in regijam, ki so upravičene do SPP, pomagali pri prehodu na ogljično nevtralno gospodarstvo;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poziva Komisijo, naj </w:t>
            </w:r>
            <w:r>
              <w:rPr>
                <w:b/>
                <w:i/>
              </w:rPr>
              <w:t>omogoči vzpostavitev posebnih ekonomskih con SPP za območja, ki jih je prizadelo zaprtje obratov, pri čemer naj imajo na začetku prednost pri dostopu do sredstev kraji v polmeru 50 km od krajev, kjer se izgubljajo delovna mesta, in druga območja, na katerih bi vpliv izgube delovnih mest upravičil dostop do</w:t>
            </w:r>
            <w:r>
              <w:t xml:space="preserve"> SPP;</w:t>
            </w:r>
          </w:p>
        </w:tc>
        <w:tc>
          <w:tcPr>
            <w:tcW w:w="4876" w:type="dxa"/>
            <w:tcBorders>
              <w:top w:val="nil"/>
              <w:left w:val="nil"/>
              <w:bottom w:val="nil"/>
              <w:right w:val="nil"/>
            </w:tcBorders>
          </w:tcPr>
          <w:p>
            <w:pPr>
              <w:pStyle w:val="Normal6a"/>
            </w:pPr>
            <w:r>
              <w:t>1.</w:t>
            </w:r>
            <w:r>
              <w:tab/>
            </w:r>
            <w:r>
              <w:t xml:space="preserve">poziva Komisijo, naj </w:t>
            </w:r>
            <w:r>
              <w:rPr>
                <w:b/>
                <w:i/>
              </w:rPr>
              <w:t>v partnerstvu z državami članicami in regijami olajša vzpostavitev posebnih ekonomskih con</w:t>
            </w:r>
            <w:r>
              <w:t xml:space="preserve"> SPP;</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Nora Mebarek, Sérgio Gonçalves,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poziva Komisijo, naj </w:t>
            </w:r>
            <w:r>
              <w:rPr>
                <w:b/>
                <w:i/>
              </w:rPr>
              <w:t>omogoči</w:t>
            </w:r>
            <w:r>
              <w:t xml:space="preserve"> vzpostavitev posebnih ekonomskih con SPP za območja, ki jih je prizadelo zaprtje obratov, pri čemer naj </w:t>
            </w:r>
            <w:r>
              <w:rPr>
                <w:b/>
                <w:i/>
              </w:rPr>
              <w:t>imajo na začetku prednost pri dostopu do sredstev kraji v polmeru 50 km od krajev, kjer se izgubljajo delovna mesta, in druga območja, na katerih bi vpliv izgube delovnih mest upravičil dostop do SPP</w:t>
            </w:r>
            <w:r>
              <w:t>;</w:t>
            </w:r>
          </w:p>
        </w:tc>
        <w:tc>
          <w:tcPr>
            <w:tcW w:w="4876" w:type="dxa"/>
            <w:tcBorders>
              <w:top w:val="nil"/>
              <w:left w:val="nil"/>
              <w:bottom w:val="nil"/>
              <w:right w:val="nil"/>
            </w:tcBorders>
          </w:tcPr>
          <w:p>
            <w:pPr>
              <w:pStyle w:val="Normal6a"/>
            </w:pPr>
            <w:r>
              <w:t>1.</w:t>
            </w:r>
            <w:r>
              <w:tab/>
            </w:r>
            <w:r>
              <w:t xml:space="preserve">poziva Komisijo, naj </w:t>
            </w:r>
            <w:r>
              <w:rPr>
                <w:b/>
                <w:i/>
              </w:rPr>
              <w:t>olajša</w:t>
            </w:r>
            <w:r>
              <w:t xml:space="preserve"> vzpostavitev posebnih ekonomskih con SPP za območja, ki jih je prizadelo zaprtje obratov, pri čemer naj </w:t>
            </w:r>
            <w:r>
              <w:rPr>
                <w:b/>
                <w:i/>
              </w:rPr>
              <w:t>poleg geografskih meril upošteva tudi socialna merila, kot so lokalne stopnje brezposelnosti, socialno-ekonomska negotovost in povečano tveganje socialne izključenosti;</w:t>
            </w:r>
            <w:r>
              <w:t xml:space="preserve"> </w:t>
            </w:r>
            <w:r>
              <w:rPr>
                <w:b/>
                <w:i/>
              </w:rPr>
              <w:t>poudarja, da bi moral dostop do sredstev temeljiti na podrobni analizi dejanskih socialnih in gospodarskih učinkov, ne pa zgolj na logiki geografske bližine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poziva Komisijo, naj </w:t>
            </w:r>
            <w:r>
              <w:rPr>
                <w:b/>
                <w:i/>
              </w:rPr>
              <w:t>omogoči</w:t>
            </w:r>
            <w:r>
              <w:t xml:space="preserve"> vzpostavitev posebnih ekonomskih con SPP za območja, ki jih je prizadelo zaprtje obratov, pri čemer naj imajo na začetku prednost pri dostopu do sredstev kraji v polmeru 50 km od </w:t>
            </w:r>
            <w:r>
              <w:rPr>
                <w:b/>
                <w:i/>
              </w:rPr>
              <w:t>krajev, kjer se izgubljajo</w:t>
            </w:r>
            <w:r>
              <w:t xml:space="preserve"> delovna mesta, </w:t>
            </w:r>
            <w:r>
              <w:rPr>
                <w:b/>
                <w:i/>
              </w:rPr>
              <w:t>in</w:t>
            </w:r>
            <w:r>
              <w:t xml:space="preserve"> druga območja, </w:t>
            </w:r>
            <w:r>
              <w:rPr>
                <w:b/>
                <w:i/>
              </w:rPr>
              <w:t>na katerih bi</w:t>
            </w:r>
            <w:r>
              <w:t xml:space="preserve"> vpliv </w:t>
            </w:r>
            <w:r>
              <w:rPr>
                <w:b/>
                <w:i/>
              </w:rPr>
              <w:t>izgube delovnih mest upravičil</w:t>
            </w:r>
            <w:r>
              <w:t xml:space="preserve"> dostop do SPP;</w:t>
            </w:r>
          </w:p>
        </w:tc>
        <w:tc>
          <w:tcPr>
            <w:tcW w:w="4876" w:type="dxa"/>
            <w:tcBorders>
              <w:top w:val="nil"/>
              <w:left w:val="nil"/>
              <w:bottom w:val="nil"/>
              <w:right w:val="nil"/>
            </w:tcBorders>
          </w:tcPr>
          <w:p>
            <w:pPr>
              <w:pStyle w:val="Normal6a"/>
            </w:pPr>
            <w:r>
              <w:t>1.</w:t>
            </w:r>
            <w:r>
              <w:tab/>
            </w:r>
            <w:r>
              <w:t xml:space="preserve">poziva Komisijo, naj </w:t>
            </w:r>
            <w:r>
              <w:rPr>
                <w:b/>
                <w:i/>
              </w:rPr>
              <w:t>na predlog držav članic olajša</w:t>
            </w:r>
            <w:r>
              <w:t xml:space="preserve"> vzpostavitev posebnih ekonomskih con SPP za območja, ki jih je prizadelo zaprtje obratov, pri čemer naj imajo na začetku prednost pri dostopu do sredstev </w:t>
            </w:r>
            <w:r>
              <w:rPr>
                <w:b/>
                <w:i/>
              </w:rPr>
              <w:t>neposredno prizadeti</w:t>
            </w:r>
            <w:r>
              <w:t xml:space="preserve"> kraji v polmeru 50 km od </w:t>
            </w:r>
            <w:r>
              <w:rPr>
                <w:b/>
                <w:i/>
              </w:rPr>
              <w:t>območja, kjer so bila izgubljena</w:t>
            </w:r>
            <w:r>
              <w:t xml:space="preserve"> delovna mesta, </w:t>
            </w:r>
            <w:r>
              <w:rPr>
                <w:b/>
                <w:i/>
              </w:rPr>
              <w:t>pa tudi</w:t>
            </w:r>
            <w:r>
              <w:t xml:space="preserve"> druga območja, </w:t>
            </w:r>
            <w:r>
              <w:rPr>
                <w:b/>
                <w:i/>
              </w:rPr>
              <w:t>če neposredni ali posredni</w:t>
            </w:r>
            <w:r>
              <w:t xml:space="preserve"> vpliv </w:t>
            </w:r>
            <w:r>
              <w:rPr>
                <w:b/>
                <w:i/>
              </w:rPr>
              <w:t>teh izgub ustrezno upravičuje</w:t>
            </w:r>
            <w:r>
              <w:t xml:space="preserve"> dostop do SPP;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Ciaran Mullooly, Ľubica Karvašová,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poziva Komisijo, naj omogoči vzpostavitev posebnih ekonomskih con SPP za območja, ki jih je prizadelo zaprtje obratov, pri čemer naj imajo na začetku prednost pri dostopu do sredstev kraji v polmeru 50 km od krajev, kjer se izgubljajo delovna mesta, in druga območja, na katerih bi vpliv izgube delovnih mest upravičil dostop do SPP;</w:t>
            </w:r>
          </w:p>
        </w:tc>
        <w:tc>
          <w:tcPr>
            <w:tcW w:w="4876" w:type="dxa"/>
            <w:tcBorders>
              <w:top w:val="nil"/>
              <w:left w:val="nil"/>
              <w:bottom w:val="nil"/>
              <w:right w:val="nil"/>
            </w:tcBorders>
          </w:tcPr>
          <w:p>
            <w:pPr>
              <w:pStyle w:val="Normal6a"/>
            </w:pPr>
            <w:r>
              <w:t>1.</w:t>
            </w:r>
            <w:r>
              <w:tab/>
            </w:r>
            <w:r>
              <w:t>poziva Komisijo, naj omogoči vzpostavitev posebnih ekonomskih con SPP za območja, ki jih je prizadelo zaprtje obratov, pri čemer naj imajo na začetku prednost pri dostopu do sredstev kraji v polmeru 50 km od krajev, kjer se izgubljajo delovna mesta, in druga območja, na katerih bi vpliv izgube delovnih mest upravičil dostop do SPP</w:t>
            </w:r>
            <w:r>
              <w:rPr>
                <w:b/>
                <w:i/>
              </w:rPr>
              <w:t>, pri čemer naj se zagotovi, da bo gospodarsko okrevanje vodila skupnost in bo trajnostno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poziva Komisijo, naj omogoči vzpostavitev posebnih ekonomskih con SPP za območja, ki jih je prizadelo zaprtje obratov, pri čemer naj imajo na začetku prednost pri dostopu do sredstev kraji v polmeru 50 km od krajev, kjer se izgubljajo delovna mesta, in druga območja, na katerih bi vpliv izgube delovnih mest upravičil dostop do SPP;</w:t>
            </w:r>
          </w:p>
        </w:tc>
        <w:tc>
          <w:tcPr>
            <w:tcW w:w="4876" w:type="dxa"/>
            <w:tcBorders>
              <w:top w:val="nil"/>
              <w:left w:val="nil"/>
              <w:bottom w:val="nil"/>
              <w:right w:val="nil"/>
            </w:tcBorders>
          </w:tcPr>
          <w:p>
            <w:pPr>
              <w:pStyle w:val="Normal6a"/>
            </w:pPr>
            <w:r>
              <w:t>1.</w:t>
            </w:r>
            <w:r>
              <w:tab/>
            </w:r>
            <w:r>
              <w:t>poziva Komisijo, naj omogoči vzpostavitev posebnih ekonomskih con SPP za območja, ki jih je prizadelo zaprtje obratov, pri čemer naj imajo na začetku prednost pri dostopu do sredstev kraji v polmeru 50 km od krajev, kjer se izgubljajo delovna mesta, in druga območja, na katerih bi vpliv izgube delovnih mest upravičil dostop do SPP</w:t>
            </w:r>
            <w:r>
              <w:rPr>
                <w:b/>
                <w:i/>
              </w:rPr>
              <w:t>, ob upoštevanju prispevkov lokalnih organov</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poziva Komisijo, naj omogoči vzpostavitev posebnih ekonomskih con SPP za območja, ki jih je prizadelo zaprtje obratov, pri čemer naj imajo na začetku prednost pri dostopu do sredstev kraji v polmeru </w:t>
            </w:r>
            <w:r>
              <w:rPr>
                <w:b/>
                <w:i/>
              </w:rPr>
              <w:t>50</w:t>
            </w:r>
            <w:r>
              <w:t xml:space="preserve"> km od krajev, kjer se izgubljajo delovna mesta, in druga območja, na katerih bi vpliv izgube delovnih mest upravičil dostop do SPP;</w:t>
            </w:r>
          </w:p>
        </w:tc>
        <w:tc>
          <w:tcPr>
            <w:tcW w:w="4876" w:type="dxa"/>
            <w:tcBorders>
              <w:top w:val="nil"/>
              <w:left w:val="nil"/>
              <w:bottom w:val="nil"/>
              <w:right w:val="nil"/>
            </w:tcBorders>
          </w:tcPr>
          <w:p>
            <w:pPr>
              <w:pStyle w:val="Normal6a"/>
            </w:pPr>
            <w:r>
              <w:t>1.</w:t>
            </w:r>
            <w:r>
              <w:tab/>
            </w:r>
            <w:r>
              <w:t xml:space="preserve">poziva Komisijo, naj omogoči vzpostavitev posebnih ekonomskih con SPP za območja, ki jih je prizadelo zaprtje obratov, pri čemer naj imajo na začetku prednost pri dostopu do sredstev kraji v polmeru </w:t>
            </w:r>
            <w:r>
              <w:rPr>
                <w:b/>
                <w:i/>
              </w:rPr>
              <w:t>80</w:t>
            </w:r>
            <w:r>
              <w:t> km od krajev, kjer se izgubljajo delovna mesta, in druga območja, na katerih bi vpliv izgube delovnih mest upravičil dostop do SPP;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poudarja, da je treba natančneje razmejiti teritorialno področje uporabe skladov, na primer lokalne upravne enote, kot so opredeljene v Uredbi (ES) št. 1059/2003, ki imajo v skladu z merili iz smernic o regionalni državni pomoči nizko gostoto prebivalstva (2021/C 153/01), da bi zagotovili, da bodo naložbe dejansko dosegle občine, ki jih je zaprtje ogljično intenzivnih obratov neposredno prizadelo, ne pa da bodo skoncentrirane le na velika mestna središča na območju NUTS3;</w:t>
            </w:r>
            <w:r>
              <w:t xml:space="preserve"> </w:t>
            </w:r>
            <w:r>
              <w:rPr>
                <w:b/>
                <w:i/>
              </w:rPr>
              <w:t>predlaga uvedbo učinkovitih davčnih spodbud iz člena 107(3)(a) in (c) PDEU, s katerimi bi dosegli, da bodo podjetja delovala v teh občinah;</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Matthias Ecke, Nora Mebarek, Sérgio Gonçalves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poudarja, da je treba evropske strukturne in investicijske sklade preoblikovati v instrument za dejansko preobrazbo, ki zagotavlja socialno pravičen prehod;</w:t>
            </w:r>
            <w:r>
              <w:t xml:space="preserve"> </w:t>
            </w:r>
            <w:r>
              <w:rPr>
                <w:b/>
                <w:i/>
              </w:rPr>
              <w:t>poziva, naj se Sklad za pravični prehod ohrani v prihodnji strukturi financiranja ter naj se razširi na regije, ki jih je zaradi sektorskega značaja njihovega gospodarstva še posebej prizadel prehod na podnebno nevtralno gospodarstvo;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meni, da je treba sprejeti ukrepe za pospešitev stopnje črpanja sredstev Sklada za pravični prehod, vštevši poenostavitev upravnih postopkov ter vzpostavitev podpornih in svetovalnih mehanizmov za lokalne organe, da se zagotovi čim večje črpanje teh bistvenih sredstev;</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morebitno oblikovanje posebnih ekonomskih con SPP bi moralo temeljiti na nepristranskih merilih, pri čemer bi bilo treba upoštevati ekonomske, socialne in delavske učinke teh območij zaradi procesa prehoda;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poudarja, da bi morala biti sedanja in prihodnja kohezijska politika močno osredotočena na šibkejše regije, pri čemer bi morala biti ena njenih glavnih prednostnih nalog blaženje negativnih posledic zelenega prehoda;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poudarja, da je uporaba ravni NUTS 3 sicer korak v pravo smer glede na teritorialno usmeritev, vendar je v številnih primerih še vedno neustrezna za zagotavljanje, da bodo sredstva dosegla občine, ki jih energetski prehod najbolj neposredno zadeva;</w:t>
            </w:r>
            <w:r>
              <w:t xml:space="preserve"> </w:t>
            </w:r>
            <w:r>
              <w:rPr>
                <w:b/>
                <w:i/>
              </w:rPr>
              <w:t>poziva, naj se preuči izvedljivost mehanizmov izvajanja ali določanja prednostnih nalog na ravni lokalnih upravnih enot, zlasti na podeželskih ali redko poseljenih območjih, kjer so objekti, ki so onesnaževali, v resnici že zaprti;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poudarja, da je kohezijska politika pravi odgovor na ekonomske razlike, njena vloga pa je še pomembnejša glede na grozečo deindustrializacijo;</w:t>
            </w:r>
            <w:r>
              <w:t xml:space="preserve"> </w:t>
            </w:r>
            <w:r>
              <w:rPr>
                <w:b/>
                <w:i/>
              </w:rPr>
              <w:t>odločno poudarja, da zeleni prehod ne bi smel škodovati koheziji;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Nora Mebarek, Sérgio Gonçalves,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poziva k uvedbi posebnih predpisov na teh območjih, vključno z nižjimi davčnimi stopnjami za podjetja in naložbe, ter k hitrejšemu odločanju o načrtovanju;</w:t>
            </w:r>
            <w:r>
              <w:t xml:space="preserve"> </w:t>
            </w:r>
            <w:r>
              <w:rPr>
                <w:b/>
                <w:i/>
              </w:rPr>
              <w:t>ponovno poudarja, da je s temi ukrepi mogoče ustvariti delovna mesta in zagotoviti priložnosti za prebivalce teh regij;</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poziva k uvedbi posebnih predpisov na teh območjih, vključno z nižjimi davčnimi stopnjami za podjetja in naložbe, ter k hitrejšemu odločanju o načrtovanju; ponovno poudarja, da je s temi ukrepi mogoče ustvariti delovna mesta in zagotoviti priložnosti za prebivalce teh regij;</w:t>
            </w:r>
          </w:p>
        </w:tc>
        <w:tc>
          <w:tcPr>
            <w:tcW w:w="4876" w:type="dxa"/>
            <w:tcBorders>
              <w:top w:val="nil"/>
              <w:left w:val="nil"/>
              <w:bottom w:val="nil"/>
              <w:right w:val="nil"/>
            </w:tcBorders>
          </w:tcPr>
          <w:p>
            <w:pPr>
              <w:pStyle w:val="Normal6a"/>
            </w:pPr>
            <w:r>
              <w:t>2.</w:t>
            </w:r>
            <w:r>
              <w:tab/>
            </w:r>
            <w:r>
              <w:t>poziva k uvedbi posebnih predpisov</w:t>
            </w:r>
            <w:r>
              <w:rPr>
                <w:b/>
                <w:i/>
              </w:rPr>
              <w:t>, finančnih instrumentov in spodbud</w:t>
            </w:r>
            <w:r>
              <w:t xml:space="preserve"> na teh območjih, vključno z </w:t>
            </w:r>
            <w:r>
              <w:rPr>
                <w:b/>
                <w:i/>
              </w:rPr>
              <w:t>začasnimi in usmerjenimi</w:t>
            </w:r>
            <w:r>
              <w:t xml:space="preserve"> nižjimi davčnimi stopnjami za podjetja in naložbe </w:t>
            </w:r>
            <w:r>
              <w:rPr>
                <w:b/>
                <w:i/>
              </w:rPr>
              <w:t>na podlagi stroge socialne pogojenosti</w:t>
            </w:r>
            <w:r>
              <w:t>, ter k hitrejšemu odločanju o načrtovanju; ponovno poudarja, da je s temi ukrepi mogoče ustvariti delovna mesta</w:t>
            </w:r>
            <w:r>
              <w:rPr>
                <w:b/>
                <w:i/>
              </w:rPr>
              <w:t>, podpreti mala in srednja podjetja</w:t>
            </w:r>
            <w:r>
              <w:t xml:space="preserve"> in zagotoviti priložnosti za prebivalce teh regij</w:t>
            </w:r>
            <w:r>
              <w:rPr>
                <w:b/>
                <w:i/>
              </w:rPr>
              <w:t>, tudi mikropodjetjem ter tistim, ki vodijo tradicionalna, lokalna in družinska podjetja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poziva k uvedbi posebnih predpisov na teh območjih, vključno z nižjimi davčnimi stopnjami za podjetja in naložbe, ter k hitrejšemu odločanju o načrtovanju; ponovno poudarja, da je s temi ukrepi mogoče ustvariti delovna mesta in zagotoviti priložnosti za prebivalce teh regij;</w:t>
            </w:r>
          </w:p>
        </w:tc>
        <w:tc>
          <w:tcPr>
            <w:tcW w:w="4876" w:type="dxa"/>
            <w:tcBorders>
              <w:top w:val="nil"/>
              <w:left w:val="nil"/>
              <w:bottom w:val="nil"/>
              <w:right w:val="nil"/>
            </w:tcBorders>
          </w:tcPr>
          <w:p>
            <w:pPr>
              <w:pStyle w:val="Normal6a"/>
            </w:pPr>
            <w:r>
              <w:t>2.</w:t>
            </w:r>
            <w:r>
              <w:tab/>
            </w:r>
            <w:r>
              <w:t xml:space="preserve">poziva k uvedbi posebnih predpisov na teh območjih, vključno z nižjimi davčnimi stopnjami za podjetja in naložbe, </w:t>
            </w:r>
            <w:r>
              <w:rPr>
                <w:b/>
                <w:i/>
              </w:rPr>
              <w:t>če ne ogrožajo načela stabilnosti enotnega trga,</w:t>
            </w:r>
            <w:r>
              <w:t xml:space="preserve"> ter k hitrejšemu odločanju o načrtovanju; ponovno poudarja, da je s temi ukrepi mogoče ustvariti delovna mesta in zagotoviti priložnosti za prebivalce teh regij </w:t>
            </w:r>
            <w:r>
              <w:rPr>
                <w:b/>
                <w:i/>
              </w:rPr>
              <w:t>ter okrepiti regionalni razvoj in konkurenčnost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poziva k uvedbi posebnih predpisov na teh območjih, vključno z nižjimi davčnimi stopnjami za podjetja in naložbe, ter k hitrejšemu odločanju o načrtovanju; ponovno poudarja, da je s temi ukrepi mogoče ustvariti delovna mesta in zagotoviti priložnosti za prebivalce teh regij;</w:t>
            </w:r>
          </w:p>
        </w:tc>
        <w:tc>
          <w:tcPr>
            <w:tcW w:w="4876" w:type="dxa"/>
            <w:tcBorders>
              <w:top w:val="nil"/>
              <w:left w:val="nil"/>
              <w:bottom w:val="nil"/>
              <w:right w:val="nil"/>
            </w:tcBorders>
          </w:tcPr>
          <w:p>
            <w:pPr>
              <w:pStyle w:val="Normal6a"/>
            </w:pPr>
            <w:r>
              <w:t>2.</w:t>
            </w:r>
            <w:r>
              <w:tab/>
            </w:r>
            <w:r>
              <w:t xml:space="preserve">poziva k uvedbi posebnih predpisov na teh območjih, vključno z </w:t>
            </w:r>
            <w:r>
              <w:rPr>
                <w:b/>
                <w:i/>
              </w:rPr>
              <w:t>začasnimi in usmerjenimi</w:t>
            </w:r>
            <w:r>
              <w:t xml:space="preserve"> nižjimi davčnimi stopnjami za podjetja in naložbe </w:t>
            </w:r>
            <w:r>
              <w:rPr>
                <w:b/>
                <w:i/>
              </w:rPr>
              <w:t>na podlagi stroge socialne pogojenosti</w:t>
            </w:r>
            <w:r>
              <w:t xml:space="preserve">, ter k hitrejšemu odločanju o načrtovanju; ponovno poudarja, da je s temi ukrepi mogoče ustvariti </w:t>
            </w:r>
            <w:r>
              <w:rPr>
                <w:b/>
                <w:i/>
              </w:rPr>
              <w:t>nova zelena</w:t>
            </w:r>
            <w:r>
              <w:t xml:space="preserve"> delovna mesta in zagotoviti priložnosti za prebivalce teh regij;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poziva k uvedbi posebnih predpisov na teh območjih, </w:t>
            </w:r>
            <w:r>
              <w:rPr>
                <w:b/>
                <w:i/>
              </w:rPr>
              <w:t>vključno z nižjimi davčnimi stopnjami</w:t>
            </w:r>
            <w:r>
              <w:t xml:space="preserve"> za podjetja in naložbe, ter k hitrejšemu odločanju o načrtovanju; ponovno poudarja, da </w:t>
            </w:r>
            <w:r>
              <w:rPr>
                <w:b/>
                <w:i/>
              </w:rPr>
              <w:t>je</w:t>
            </w:r>
            <w:r>
              <w:t xml:space="preserve"> s temi ukrepi mogoče ustvariti delovna mesta in zagotoviti priložnosti za prebivalce teh regij;</w:t>
            </w:r>
          </w:p>
        </w:tc>
        <w:tc>
          <w:tcPr>
            <w:tcW w:w="4876" w:type="dxa"/>
            <w:tcBorders>
              <w:top w:val="nil"/>
              <w:left w:val="nil"/>
              <w:bottom w:val="nil"/>
              <w:right w:val="nil"/>
            </w:tcBorders>
          </w:tcPr>
          <w:p>
            <w:pPr>
              <w:pStyle w:val="Normal6a"/>
            </w:pPr>
            <w:r>
              <w:t>2.</w:t>
            </w:r>
            <w:r>
              <w:tab/>
            </w:r>
            <w:r>
              <w:t xml:space="preserve">poziva k uvedbi posebnih </w:t>
            </w:r>
            <w:r>
              <w:rPr>
                <w:b/>
                <w:i/>
              </w:rPr>
              <w:t>ukrepov in</w:t>
            </w:r>
            <w:r>
              <w:t xml:space="preserve"> predpisov na teh območjih, </w:t>
            </w:r>
            <w:r>
              <w:rPr>
                <w:b/>
                <w:i/>
              </w:rPr>
              <w:t>kot so spodbude</w:t>
            </w:r>
            <w:r>
              <w:t xml:space="preserve"> za podjetja in naložbe, ter k hitrejšemu odločanju o načrtovanju; ponovno poudarja, da </w:t>
            </w:r>
            <w:r>
              <w:rPr>
                <w:b/>
                <w:i/>
              </w:rPr>
              <w:t>bi bilo</w:t>
            </w:r>
            <w:r>
              <w:t xml:space="preserve"> s temi ukrepi mogoče ustvariti delovna mesta in zagotoviti priložnosti za </w:t>
            </w:r>
            <w:r>
              <w:rPr>
                <w:b/>
                <w:i/>
              </w:rPr>
              <w:t>gospodarske subjekte in</w:t>
            </w:r>
            <w:r>
              <w:t xml:space="preserve"> prebivalce teh regij;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poziva k vključitvi otoških regij med upravičena območja za uporabo znižane davčne stopnje v okviru otoških ekonomskih con SPP, s čimer bi obravnavali nesorazmerno življenjske stroške na teh območjih, ki jih še poslabšujejo učinki zelenega in energetskega prehoda;</w:t>
            </w:r>
            <w:r>
              <w:t xml:space="preserve"> </w:t>
            </w:r>
            <w:r>
              <w:rPr>
                <w:b/>
                <w:i/>
              </w:rPr>
              <w:t>poudarja, da so taki fiskalni ukrepi bistveni za povečanje ekonomske vzdržnosti otoških skupnosti, podporo lokalnim podjetjem in privabljanje trajnostnih naložb;</w:t>
            </w:r>
            <w:r>
              <w:t xml:space="preserve"> </w:t>
            </w:r>
            <w:r>
              <w:rPr>
                <w:b/>
                <w:i/>
              </w:rPr>
              <w:t>poudarja, da so lahko ciljno usmerjene davčne spodbude učinkovito orodje v boju proti stalni depopulaciji otrokov, za podporo pri ustvarjanju delovnih mest ter spodbujanje odpornega, samooskrbnega lokalnega gospodarstva, pri čemer pa se zagotavlja pravičen in vključujoč prehod na podnebno nevtralnost;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poziva Komisijo in države članice, naj pri izbirnih merilih za projekte, ki so upravičeni do financiranja SPP, uporabljajo resnično in učinkovito pozitivno diskriminacijo, da bi povečale število podjetniških pobud, ki se nahajajo v občinah, ki jih je prizadelo zaprtje ogljično intenzivnih sektorjev, in tako zagotovile, da bo ta spodbuda prinesla oprijemljive rezultate;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poziva, naj se posebno pozornost nameni potrebi po podpiranju elektroenergetskih povezav za projekte, ki potekajo na posebnih gospodarskih območjih, ter pomoči pri prestrukturiranju in ponovni industrializaciji teh območij;</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Nora Mebarek, Sérgio Gonçalves,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poudarja, da posebne ekonomske cone </w:t>
            </w:r>
            <w:r>
              <w:rPr>
                <w:b/>
                <w:i/>
              </w:rPr>
              <w:t>dokazano</w:t>
            </w:r>
            <w:r>
              <w:t xml:space="preserve"> spodbujajo naložbe in rast v regijah, na primer posebne ekonomske cone, ustanovljene na letališču Shannon v okrožju Clare na Irskem leta 1959 in v Katovicah v Šleziji na Poljskem leta 1996;</w:t>
            </w:r>
          </w:p>
        </w:tc>
        <w:tc>
          <w:tcPr>
            <w:tcW w:w="4876" w:type="dxa"/>
            <w:tcBorders>
              <w:top w:val="nil"/>
              <w:left w:val="nil"/>
              <w:bottom w:val="nil"/>
              <w:right w:val="nil"/>
            </w:tcBorders>
          </w:tcPr>
          <w:p>
            <w:pPr>
              <w:pStyle w:val="Normal6a"/>
            </w:pPr>
            <w:r>
              <w:t>3.</w:t>
            </w:r>
            <w:r>
              <w:tab/>
            </w:r>
            <w:r>
              <w:t xml:space="preserve">poudarja, da </w:t>
            </w:r>
            <w:r>
              <w:rPr>
                <w:b/>
                <w:i/>
              </w:rPr>
              <w:t>lahko</w:t>
            </w:r>
            <w:r>
              <w:t xml:space="preserve"> posebne ekonomske cone spodbujajo naložbe in rast v regijah, na primer posebne ekonomske cone, ustanovljene na letališču Shannon v okrožju Clare na Irskem leta 1959 in v Katovicah v Šleziji na Poljskem leta 1996; </w:t>
            </w:r>
            <w:r>
              <w:rPr>
                <w:b/>
                <w:i/>
              </w:rPr>
              <w:t>vendar vztraja, da morajo te mehanizme urejati strogi evropski predpisi, da bo lokalno prebivalstvo dejansko imelo gospodarske koristi, da se preprečijo vse oblike socialnega ali fiskalnega dampinga ter da zanje veljajo stroga merila socialne, ekonomske in okoljske trajnostnosti;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poziva k oceni, ali bi bilo treba roke za izvajanje podaljšati po koncu programskega obdobja, da bi lahko te regije dosegle zastavljene cilje prehoda;</w:t>
            </w:r>
            <w:r>
              <w:t xml:space="preserve"> </w:t>
            </w:r>
            <w:r>
              <w:rPr>
                <w:b/>
                <w:i/>
              </w:rPr>
              <w:t>poudarja, da prehod regij, ki so upravičene do podpore iz SPP še ni končan in bodo še naprej potrebovale posebno pomoč pri reševanju različnih izzivov, povezanih z energetskim prehodom v prihodnosti;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poudarja, da območja, kjer se zmanjšuje število prebivalstva, potrebujejo posebno pozornost pri pripravi in izvajanju projektov, da se upoštevajo sinergije med Skladom za pravični prehod in Evropskim skladom za regionalni razvoj, zlasti glede infrastrukture za večjo mobilnost delavcev;</w:t>
            </w:r>
            <w:r>
              <w:t xml:space="preserve"> </w:t>
            </w:r>
            <w:r>
              <w:rPr>
                <w:b/>
                <w:i/>
              </w:rPr>
              <w:t>poleg tega poziva k razširitvi upravičenih območij v okviru SPP ter k premisleku o sinergijah s Socialnim skladom za podnebje, da se vključijo družine, ki so se znašle v energetski revščini ali jim to grozi;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Nora Mebarek, Marcos Ros Sempere,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poziva Komisijo, naj se posebej osredotoči na občine pod upravno ravnjo NUTS 3, na katere bolj vplivajo socialni, teritorialni in ekonomski izzivi, povezani s prehodom;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poudarja, da je treba razširiti distribucijska omrežja električne energije kot nujen element za učinkovit energetski prehod na zadevnih območjih;</w:t>
            </w:r>
            <w:r>
              <w:t xml:space="preserve"> </w:t>
            </w:r>
            <w:r>
              <w:rPr>
                <w:b/>
                <w:i/>
              </w:rPr>
              <w:t>zlasti poudarja, da je za povečanje naložb v obnovljive vire energije treba povečati omrežne zmogljivosti za gostovanje in okrepiti sisteme za shranjevanje energije;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Nora Mebarek, Marcos Ros Sempere,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poziva, naj se ustrezno ocenijo izzivi, ki se porajajo na območjih, kjer je zmanjševanje števila prebivalstva realnost;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poziva Komisijo in države članice, naj sredstva, ki so na voljo v okviru mehanizma za okrevanje in odpornost, uporabijo za podporo prehodu na zadevnih območjih;</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Ciaran Mullooly, Ľubica Karvašová,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ponovno poudarja, da imajo številne regije SPP tradicijo usposabljanja in vajeništva, na katero so lahko ponosne in ki bi jo bilo treba nadaljevati;</w:t>
            </w:r>
          </w:p>
        </w:tc>
        <w:tc>
          <w:tcPr>
            <w:tcW w:w="4876" w:type="dxa"/>
            <w:tcBorders>
              <w:top w:val="nil"/>
              <w:left w:val="nil"/>
              <w:bottom w:val="nil"/>
              <w:right w:val="nil"/>
            </w:tcBorders>
          </w:tcPr>
          <w:p>
            <w:pPr>
              <w:pStyle w:val="Normal6a"/>
            </w:pPr>
            <w:r>
              <w:t>4.</w:t>
            </w:r>
            <w:r>
              <w:tab/>
            </w:r>
            <w:r>
              <w:t xml:space="preserve">ponovno poudarja, da imajo številne regije SPP tradicijo usposabljanja in vajeništva, na katero so lahko ponosne in ki bi jo bilo treba nadaljevati; </w:t>
            </w:r>
            <w:r>
              <w:rPr>
                <w:b/>
                <w:i/>
              </w:rPr>
              <w:t>poziva k vzpostavitvi posebnih tokov financiranja v okviru SPP za podporo ženskam, mladim in obrobnim skupnostim pri dostopu do usposabljanja in možnosti vajeništva;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ponovno poudarja, da imajo številne regije </w:t>
            </w:r>
            <w:r>
              <w:rPr>
                <w:b/>
                <w:i/>
              </w:rPr>
              <w:t>SPP</w:t>
            </w:r>
            <w:r>
              <w:t xml:space="preserve"> tradicijo usposabljanja in vajeništva, na katero so lahko ponosne in </w:t>
            </w:r>
            <w:r>
              <w:rPr>
                <w:b/>
                <w:i/>
              </w:rPr>
              <w:t>ki bi jo bilo treba nadaljevati</w:t>
            </w:r>
            <w:r>
              <w:t>;</w:t>
            </w:r>
          </w:p>
        </w:tc>
        <w:tc>
          <w:tcPr>
            <w:tcW w:w="4876" w:type="dxa"/>
            <w:tcBorders>
              <w:top w:val="nil"/>
              <w:left w:val="nil"/>
              <w:bottom w:val="nil"/>
              <w:right w:val="nil"/>
            </w:tcBorders>
          </w:tcPr>
          <w:p>
            <w:pPr>
              <w:pStyle w:val="Normal6a"/>
            </w:pPr>
            <w:r>
              <w:t>4.</w:t>
            </w:r>
            <w:r>
              <w:tab/>
            </w:r>
            <w:r>
              <w:t>ponovno poudarja, da imajo številne regije</w:t>
            </w:r>
            <w:r>
              <w:rPr>
                <w:b/>
                <w:i/>
              </w:rPr>
              <w:t>, ki jih pokriva SPP,</w:t>
            </w:r>
            <w:r>
              <w:t xml:space="preserve"> tradicijo </w:t>
            </w:r>
            <w:r>
              <w:rPr>
                <w:b/>
                <w:i/>
              </w:rPr>
              <w:t>z okoljem</w:t>
            </w:r>
            <w:r>
              <w:t xml:space="preserve"> usposabljanja in vajeništva, na katero so lahko ponosne in </w:t>
            </w:r>
            <w:r>
              <w:rPr>
                <w:b/>
                <w:i/>
              </w:rPr>
              <w:t>je bistvena za preusposabljanje delavcev v odgovor na nove zahteve trga dela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ponovno poudarja, da imajo številne regije SPP tradicijo usposabljanja in vajeništva, na katero so lahko ponosne in ki bi jo bilo treba nadaljevati;</w:t>
            </w:r>
          </w:p>
        </w:tc>
        <w:tc>
          <w:tcPr>
            <w:tcW w:w="4876" w:type="dxa"/>
            <w:tcBorders>
              <w:top w:val="nil"/>
              <w:left w:val="nil"/>
              <w:bottom w:val="nil"/>
              <w:right w:val="nil"/>
            </w:tcBorders>
          </w:tcPr>
          <w:p>
            <w:pPr>
              <w:pStyle w:val="Normal6a"/>
            </w:pPr>
            <w:r>
              <w:t>4.</w:t>
            </w:r>
            <w:r>
              <w:tab/>
            </w:r>
            <w:r>
              <w:t xml:space="preserve">ponovno poudarja, da imajo številne regije SPP </w:t>
            </w:r>
            <w:r>
              <w:rPr>
                <w:b/>
                <w:i/>
              </w:rPr>
              <w:t>pomembno</w:t>
            </w:r>
            <w:r>
              <w:t xml:space="preserve"> tradicijo usposabljanja in vajeništva, na katero so lahko ponosne in ki bi jo bilo treba nadaljevati;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Ciaran Mullooly, Ľubica Karvašová,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poudarja, da je pomembno poskrbeti, da Sklad za pravični prehod spodbuja vključevanje invalidov tako, da podpira oblikovanje novih oblik trajnostne zaposlitve, prilagojene njihovim potrebam;</w:t>
            </w:r>
            <w:r>
              <w:t xml:space="preserve"> </w:t>
            </w:r>
            <w:r>
              <w:rPr>
                <w:b/>
                <w:i/>
              </w:rPr>
              <w:t>poudarja, da morajo biti projekti, financirani iz Sklada za pravični prehod, zasnovani tako, da so vključujoči in dostopni ter spodbujajo enake možnosti za invalide;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meni, da je poklicno usposabljanje potreben odziv na gospodarsko preobrazbo regij;</w:t>
            </w:r>
            <w:r>
              <w:t xml:space="preserve"> </w:t>
            </w:r>
            <w:r>
              <w:rPr>
                <w:b/>
                <w:i/>
              </w:rPr>
              <w:t>je seznanjen z le omejenimi zmogljivostmi za poklicno usposabljanje, povpraševanje po njem pa kaže krizno situacijo, ki jo je povzročil zeleni prehod;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 zvezi s tem poudarja, da morajo biti naložbe v vse ravni izobraževanja in usposabljanja prednostna naloga na prizadetih območjih; poudarja, da je treba financirati šolnine;</w:t>
            </w:r>
          </w:p>
        </w:tc>
        <w:tc>
          <w:tcPr>
            <w:tcW w:w="4876" w:type="dxa"/>
            <w:tcBorders>
              <w:top w:val="nil"/>
              <w:left w:val="nil"/>
              <w:bottom w:val="nil"/>
              <w:right w:val="nil"/>
            </w:tcBorders>
          </w:tcPr>
          <w:p>
            <w:pPr>
              <w:pStyle w:val="Normal6a"/>
            </w:pPr>
            <w:r>
              <w:t>5.</w:t>
            </w:r>
            <w:r>
              <w:tab/>
            </w:r>
            <w:r>
              <w:t>v zvezi s tem poudarja, da morajo biti naložbe v vse ravni izobraževanja in usposabljanja prednostna naloga na prizadetih območjih</w:t>
            </w:r>
            <w:r>
              <w:rPr>
                <w:b/>
                <w:i/>
              </w:rPr>
              <w:t>, pa tudi vključevanje digitalnih veščin, bralne in osnovne matematične pismenosti ter znanja s področja naravoslovja, tehnologije, inženirstva in matematike v programe usposabljanja v skladu z nedavnimi sporočili Komisije o uniji spretnosti, akcijskem načrtu za osnovne spretnosti in strateškem okviru za izobraževanje na področju naravoslovja, tehnologije, inženirstva in matematike;</w:t>
            </w:r>
            <w:r>
              <w:t xml:space="preserve"> </w:t>
            </w:r>
            <w:r>
              <w:rPr>
                <w:b/>
                <w:i/>
              </w:rPr>
              <w:t>dosledno poudarja pomen usmerjenega financiranja, da se izboljšajo osnovne digitalne in tehnične veščine, s čimer se bosta povečali zaposljivost in konkurenčnost</w:t>
            </w:r>
            <w:r>
              <w:t>; poudarja, da je treba financirati šolnine;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 zvezi s tem poudarja, da morajo biti naložbe v vse ravni izobraževanja in usposabljanja prednostna naloga na prizadetih območjih; poudarja, da je treba financirati šolnine;</w:t>
            </w:r>
          </w:p>
        </w:tc>
        <w:tc>
          <w:tcPr>
            <w:tcW w:w="4876" w:type="dxa"/>
            <w:tcBorders>
              <w:top w:val="nil"/>
              <w:left w:val="nil"/>
              <w:bottom w:val="nil"/>
              <w:right w:val="nil"/>
            </w:tcBorders>
          </w:tcPr>
          <w:p>
            <w:pPr>
              <w:pStyle w:val="Normal6a"/>
            </w:pPr>
            <w:r>
              <w:t>5.</w:t>
            </w:r>
            <w:r>
              <w:tab/>
            </w:r>
            <w:r>
              <w:t xml:space="preserve">v zvezi s tem poudarja, da morajo biti naložbe v vse ravni izobraževanja in usposabljanja prednostna naloga na prizadetih območjih; poudarja, da je treba financirati šolnine; </w:t>
            </w:r>
            <w:r>
              <w:rPr>
                <w:b/>
                <w:i/>
              </w:rPr>
              <w:t>ugotavlja, da je treba z usposabljanjem in prekvalifikacijo delavcev, izpopolnjevanjem, preusposabljanjem in vseživljenjskim izobraževanjem zagotoviti, da na poti do zelenega in digitalnega prehoda EU ne bo pozabljen nihče, ne glede na delovni sektor, vrsto pogodbe, spol ali geografsko lokacijo;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 zvezi s tem poudarja, da morajo biti naložbe v vse ravni izobraževanja in usposabljanja prednostna naloga na prizadetih območjih; poudarja, da je treba financirati šolnine;</w:t>
            </w:r>
          </w:p>
        </w:tc>
        <w:tc>
          <w:tcPr>
            <w:tcW w:w="4876" w:type="dxa"/>
            <w:tcBorders>
              <w:top w:val="nil"/>
              <w:left w:val="nil"/>
              <w:bottom w:val="nil"/>
              <w:right w:val="nil"/>
            </w:tcBorders>
          </w:tcPr>
          <w:p>
            <w:pPr>
              <w:pStyle w:val="Normal6a"/>
            </w:pPr>
            <w:r>
              <w:t>5.</w:t>
            </w:r>
            <w:r>
              <w:tab/>
            </w:r>
            <w:r>
              <w:t xml:space="preserve">v zvezi s tem poudarja, da morajo biti naložbe v vse ravni izobraževanja in usposabljanja prednostna naloga na prizadetih območjih; poudarja, da je treba financirati šolnine </w:t>
            </w:r>
            <w:r>
              <w:rPr>
                <w:b/>
                <w:i/>
              </w:rPr>
              <w:t>otrokom in študentom, ki prihajajo s prizadetih območij, vključno s finančno podporo za višješolsko izobraževanje do univerzitetne ravni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 zvezi s tem poudarja, da morajo biti naložbe v vse ravni izobraževanja in usposabljanja prednostna naloga na prizadetih območjih; poudarja, da je treba financirati šolnine;</w:t>
            </w:r>
          </w:p>
        </w:tc>
        <w:tc>
          <w:tcPr>
            <w:tcW w:w="4876" w:type="dxa"/>
            <w:tcBorders>
              <w:top w:val="nil"/>
              <w:left w:val="nil"/>
              <w:bottom w:val="nil"/>
              <w:right w:val="nil"/>
            </w:tcBorders>
          </w:tcPr>
          <w:p>
            <w:pPr>
              <w:pStyle w:val="Normal6a"/>
            </w:pPr>
            <w:r>
              <w:t>5.</w:t>
            </w:r>
            <w:r>
              <w:tab/>
            </w:r>
            <w:r>
              <w:t>v zvezi s tem poudarja, da morajo biti naložbe v vse ravni izobraževanja in usposabljanja</w:t>
            </w:r>
            <w:r>
              <w:rPr>
                <w:b/>
                <w:i/>
              </w:rPr>
              <w:t>, izpopolnjevanja in preusposabljanja delavcev za alternativna delovna mesta, vključno s pomočjo pri iskanju zaposlitve,</w:t>
            </w:r>
            <w:r>
              <w:t xml:space="preserve"> prednostna naloga na prizadetih območjih; poudarja, da je treba financirati šolnine;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 zvezi s tem poudarja, da morajo biti naložbe v vse ravni izobraževanja in usposabljanja prednostna naloga na prizadetih območjih; poudarja, da je treba financirati šolnine;</w:t>
            </w:r>
          </w:p>
        </w:tc>
        <w:tc>
          <w:tcPr>
            <w:tcW w:w="4876" w:type="dxa"/>
            <w:tcBorders>
              <w:top w:val="nil"/>
              <w:left w:val="nil"/>
              <w:bottom w:val="nil"/>
              <w:right w:val="nil"/>
            </w:tcBorders>
          </w:tcPr>
          <w:p>
            <w:pPr>
              <w:pStyle w:val="Normal6a"/>
            </w:pPr>
            <w:r>
              <w:t>5.</w:t>
            </w:r>
            <w:r>
              <w:tab/>
            </w:r>
            <w:r>
              <w:t>v zvezi s tem poudarja, da morajo biti naložbe v vse ravni izobraževanja in usposabljanja prednostna naloga na prizadetih območjih</w:t>
            </w:r>
            <w:r>
              <w:rPr>
                <w:b/>
                <w:i/>
              </w:rPr>
              <w:t>, vključno z zelenimi in digitalnimi veščinami</w:t>
            </w:r>
            <w:r>
              <w:t>; poudarja, da je treba financirati šolnine;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 zvezi s tem poudarja, da morajo biti naložbe v vse ravni izobraževanja in usposabljanja prednostna naloga na prizadetih območjih; poudarja, da je treba financirati </w:t>
            </w:r>
            <w:r>
              <w:rPr>
                <w:b/>
                <w:i/>
              </w:rPr>
              <w:t>šolnine</w:t>
            </w:r>
            <w:r>
              <w:t>;</w:t>
            </w:r>
          </w:p>
        </w:tc>
        <w:tc>
          <w:tcPr>
            <w:tcW w:w="4876" w:type="dxa"/>
            <w:tcBorders>
              <w:top w:val="nil"/>
              <w:left w:val="nil"/>
              <w:bottom w:val="nil"/>
              <w:right w:val="nil"/>
            </w:tcBorders>
          </w:tcPr>
          <w:p>
            <w:pPr>
              <w:pStyle w:val="Normal6a"/>
            </w:pPr>
            <w:r>
              <w:t>5.</w:t>
            </w:r>
            <w:r>
              <w:tab/>
            </w:r>
            <w:r>
              <w:t xml:space="preserve">v zvezi s tem poudarja, da morajo biti naložbe v vse ravni izobraževanja in usposabljanja prednostna naloga na prizadetih območjih; poudarja, da je treba financirati </w:t>
            </w:r>
            <w:r>
              <w:rPr>
                <w:b/>
                <w:i/>
              </w:rPr>
              <w:t>ukrepe, povezane s šolnino</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 zvezi s tem poudarja, da morajo biti naložbe v vse ravni izobraževanja in usposabljanja prednostna naloga na prizadetih območjih; poudarja, da </w:t>
            </w:r>
            <w:r>
              <w:rPr>
                <w:b/>
                <w:i/>
              </w:rPr>
              <w:t>je treba financirati</w:t>
            </w:r>
            <w:r>
              <w:t xml:space="preserve"> šolnine;</w:t>
            </w:r>
          </w:p>
        </w:tc>
        <w:tc>
          <w:tcPr>
            <w:tcW w:w="4876" w:type="dxa"/>
            <w:tcBorders>
              <w:top w:val="nil"/>
              <w:left w:val="nil"/>
              <w:bottom w:val="nil"/>
              <w:right w:val="nil"/>
            </w:tcBorders>
          </w:tcPr>
          <w:p>
            <w:pPr>
              <w:pStyle w:val="Normal6a"/>
            </w:pPr>
            <w:r>
              <w:t>5.</w:t>
            </w:r>
            <w:r>
              <w:tab/>
            </w:r>
            <w:r>
              <w:t xml:space="preserve">v zvezi s tem poudarja, da morajo biti naložbe v vse ravni izobraževanja in usposabljanja prednostna naloga na prizadetih območjih; poudarja, da </w:t>
            </w:r>
            <w:r>
              <w:rPr>
                <w:b/>
                <w:i/>
              </w:rPr>
              <w:t>so potrebna ustrezna sredstva EU za</w:t>
            </w:r>
            <w:r>
              <w:t xml:space="preserve"> šolnine;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 zvezi s tem poudarja, da morajo biti naložbe v vse ravni izobraževanja in usposabljanja prednostna naloga na prizadetih območjih; poudarja</w:t>
            </w:r>
            <w:r>
              <w:rPr>
                <w:b/>
                <w:i/>
              </w:rPr>
              <w:t>, da je treba financirati šolnine</w:t>
            </w:r>
            <w:r>
              <w:t>;</w:t>
            </w:r>
          </w:p>
        </w:tc>
        <w:tc>
          <w:tcPr>
            <w:tcW w:w="4876" w:type="dxa"/>
            <w:tcBorders>
              <w:top w:val="nil"/>
              <w:left w:val="nil"/>
              <w:bottom w:val="nil"/>
              <w:right w:val="nil"/>
            </w:tcBorders>
          </w:tcPr>
          <w:p>
            <w:pPr>
              <w:pStyle w:val="Normal6a"/>
            </w:pPr>
            <w:r>
              <w:t>5.</w:t>
            </w:r>
            <w:r>
              <w:tab/>
            </w:r>
            <w:r>
              <w:t xml:space="preserve">v zvezi s tem poudarja, da morajo biti naložbe v vse ravni izobraževanja in usposabljanja prednostna naloga na prizadetih območjih; poudarja </w:t>
            </w:r>
            <w:r>
              <w:rPr>
                <w:b/>
                <w:i/>
              </w:rPr>
              <w:t>možnost financiranja šolnin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poudarja osrednjo vlogo, ki jo imajo naložbe v kakovostne javne storitve pri povečanju socialne odpornosti in spopadanju z gospodarsko in socialno krizo;</w:t>
            </w:r>
            <w:r>
              <w:t xml:space="preserve"> </w:t>
            </w:r>
            <w:r>
              <w:rPr>
                <w:b/>
                <w:i/>
              </w:rPr>
              <w:t>poleg tega meni, da bi bilo treba financiranje bolj usmeriti v naložbe v ljudi, saj se regionalna gospodarstva EU lahko spodbudijo z učinkovito kombinacijo naložb v inovacije, človeški kapital, dobro upravljanje in institucionalno zmogljivost;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poziva, naj se vsaj 50 % sredstev za izobraževanje v prizadetih regijah uporabi za vajeništvo, pri čemer je treba </w:t>
            </w:r>
            <w:r>
              <w:rPr>
                <w:b/>
                <w:i/>
              </w:rPr>
              <w:t>priznati</w:t>
            </w:r>
            <w:r>
              <w:t xml:space="preserve"> že izvedene naložbe v vajeništvo;</w:t>
            </w:r>
          </w:p>
        </w:tc>
        <w:tc>
          <w:tcPr>
            <w:tcW w:w="4876" w:type="dxa"/>
            <w:tcBorders>
              <w:top w:val="nil"/>
              <w:left w:val="nil"/>
              <w:bottom w:val="nil"/>
              <w:right w:val="nil"/>
            </w:tcBorders>
          </w:tcPr>
          <w:p>
            <w:pPr>
              <w:pStyle w:val="Normal6a"/>
            </w:pPr>
            <w:r>
              <w:t>6.</w:t>
            </w:r>
            <w:r>
              <w:tab/>
            </w:r>
            <w:r>
              <w:t xml:space="preserve">poziva, naj se vsaj 50 % sredstev za izobraževanje v prizadetih regijah uporabi za vajeništvo, pri čemer je treba </w:t>
            </w:r>
            <w:r>
              <w:rPr>
                <w:b/>
                <w:i/>
              </w:rPr>
              <w:t>upoštevati</w:t>
            </w:r>
            <w:r>
              <w:t xml:space="preserve"> že izvedene naložbe v vajeništvo </w:t>
            </w:r>
            <w:r>
              <w:rPr>
                <w:b/>
                <w:i/>
              </w:rPr>
              <w:t>in med drugim dati prednost usposabljanju za oskrbo starejših in spodbujanju lokalnega podjetništva s programi za podporo ustanavljanju mikropodjetij, zadrug in socialnega gospodarstva, prilagojenega območnim značilnostim</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Valentina Palmisano, 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poziva, naj se vsaj 50 % sredstev za izobraževanje v prizadetih regijah </w:t>
            </w:r>
            <w:r>
              <w:rPr>
                <w:b/>
                <w:i/>
              </w:rPr>
              <w:t>uporabi za vajeništvo</w:t>
            </w:r>
            <w:r>
              <w:t>, pri čemer je treba priznati že izvedene naložbe v vajeništvo;</w:t>
            </w:r>
          </w:p>
        </w:tc>
        <w:tc>
          <w:tcPr>
            <w:tcW w:w="4876" w:type="dxa"/>
            <w:tcBorders>
              <w:top w:val="nil"/>
              <w:left w:val="nil"/>
              <w:bottom w:val="nil"/>
              <w:right w:val="nil"/>
            </w:tcBorders>
          </w:tcPr>
          <w:p>
            <w:pPr>
              <w:pStyle w:val="Normal6a"/>
            </w:pPr>
            <w:r>
              <w:t>6.</w:t>
            </w:r>
            <w:r>
              <w:tab/>
            </w:r>
            <w:r>
              <w:t xml:space="preserve">poziva, naj se vsaj 50 % sredstev za izobraževanje v prizadetih regijah </w:t>
            </w:r>
            <w:r>
              <w:rPr>
                <w:b/>
                <w:i/>
              </w:rPr>
              <w:t>nameni za kakovostne programe vajeništva</w:t>
            </w:r>
            <w:r>
              <w:t xml:space="preserve">, pri čemer </w:t>
            </w:r>
            <w:r>
              <w:rPr>
                <w:b/>
                <w:i/>
              </w:rPr>
              <w:t>morajo ti programi nuditi ustrezno plačilo, dostojne delovne pogoje in kakovostno usposabljanje v skladu z načeli iz Direktive (EU) 2022/2041 o ustreznih minimalnih plačah, hkrati pa</w:t>
            </w:r>
            <w:r>
              <w:t xml:space="preserve"> je treba priznati že izvedene naložbe v vajeništvo;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poziva, naj se vsaj 50 % sredstev za izobraževanje v prizadetih regijah uporabi za vajeništvo, pri čemer je treba priznati že izvedene naložbe v vajeništvo;</w:t>
            </w:r>
          </w:p>
        </w:tc>
        <w:tc>
          <w:tcPr>
            <w:tcW w:w="4876" w:type="dxa"/>
            <w:tcBorders>
              <w:top w:val="nil"/>
              <w:left w:val="nil"/>
              <w:bottom w:val="nil"/>
              <w:right w:val="nil"/>
            </w:tcBorders>
          </w:tcPr>
          <w:p>
            <w:pPr>
              <w:pStyle w:val="Normal6a"/>
            </w:pPr>
            <w:r>
              <w:t>6.</w:t>
            </w:r>
            <w:r>
              <w:tab/>
            </w:r>
            <w:r>
              <w:t xml:space="preserve">poziva, naj se vsaj 50 % sredstev za izobraževanje v prizadetih regijah uporabi za vajeništvo, </w:t>
            </w:r>
            <w:r>
              <w:rPr>
                <w:b/>
                <w:i/>
              </w:rPr>
              <w:t>preusposabljanje in izpopolnjevanje,</w:t>
            </w:r>
            <w:r>
              <w:t xml:space="preserve"> pri čemer je treba priznati že izvedene naložbe v vajeništvo; </w:t>
            </w:r>
            <w:r>
              <w:rPr>
                <w:b/>
                <w:i/>
              </w:rPr>
              <w:t>ugotavlja, da bi moral program spodbujati vseživljenjsko učenje za vse delavce v regiji;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Ciaran Mullooly, Ľubica Karvašová,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poziva, naj se vsaj 50 % sredstev za izobraževanje v prizadetih regijah uporabi za vajeništvo, pri čemer je treba priznati že izvedene naložbe v vajeništvo;</w:t>
            </w:r>
          </w:p>
        </w:tc>
        <w:tc>
          <w:tcPr>
            <w:tcW w:w="4876" w:type="dxa"/>
            <w:tcBorders>
              <w:top w:val="nil"/>
              <w:left w:val="nil"/>
              <w:bottom w:val="nil"/>
              <w:right w:val="nil"/>
            </w:tcBorders>
          </w:tcPr>
          <w:p>
            <w:pPr>
              <w:pStyle w:val="Normal6a"/>
            </w:pPr>
            <w:r>
              <w:t>6.</w:t>
            </w:r>
            <w:r>
              <w:tab/>
            </w:r>
            <w:r>
              <w:t xml:space="preserve">poziva, naj se vsaj 50 % sredstev za izobraževanje v prizadetih regijah uporabi za vajeništvo </w:t>
            </w:r>
            <w:r>
              <w:rPr>
                <w:b/>
                <w:i/>
              </w:rPr>
              <w:t>ter poklicno usposabljanje, usklajeno s potrebami lokalne skupnosti</w:t>
            </w:r>
            <w:r>
              <w:t>, pri čemer je treba priznati že izvedene naložbe v vajeništvo;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poziva, naj se </w:t>
            </w:r>
            <w:r>
              <w:rPr>
                <w:b/>
                <w:i/>
              </w:rPr>
              <w:t>vsaj 50 %</w:t>
            </w:r>
            <w:r>
              <w:t xml:space="preserve"> sredstev za izobraževanje v prizadetih regijah uporabi za vajeništvo, pri čemer je treba priznati že izvedene naložbe v vajeništvo;</w:t>
            </w:r>
          </w:p>
        </w:tc>
        <w:tc>
          <w:tcPr>
            <w:tcW w:w="4876" w:type="dxa"/>
            <w:tcBorders>
              <w:top w:val="nil"/>
              <w:left w:val="nil"/>
              <w:bottom w:val="nil"/>
              <w:right w:val="nil"/>
            </w:tcBorders>
          </w:tcPr>
          <w:p>
            <w:pPr>
              <w:pStyle w:val="Normal6a"/>
            </w:pPr>
            <w:r>
              <w:t>6.</w:t>
            </w:r>
            <w:r>
              <w:tab/>
            </w:r>
            <w:r>
              <w:t xml:space="preserve">poziva, naj se </w:t>
            </w:r>
            <w:r>
              <w:rPr>
                <w:b/>
                <w:i/>
              </w:rPr>
              <w:t>znaten del</w:t>
            </w:r>
            <w:r>
              <w:t> sredstev za izobraževanje v prizadetih regijah uporabi za vajeništvo, pri čemer je treba priznati že izvedene naložbe v vajeništvo;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poziva</w:t>
            </w:r>
            <w:r>
              <w:rPr>
                <w:b/>
                <w:i/>
              </w:rPr>
              <w:t>, naj se vsaj 50 % sredstev za izobraževanje v prizadetih regijah uporabi za vajeništvo, pri čemer je treba priznati že izvedene naložbe v vajeništvo</w:t>
            </w:r>
            <w:r>
              <w:t>;</w:t>
            </w:r>
          </w:p>
        </w:tc>
        <w:tc>
          <w:tcPr>
            <w:tcW w:w="4876" w:type="dxa"/>
            <w:tcBorders>
              <w:top w:val="nil"/>
              <w:left w:val="nil"/>
              <w:bottom w:val="nil"/>
              <w:right w:val="nil"/>
            </w:tcBorders>
          </w:tcPr>
          <w:p>
            <w:pPr>
              <w:pStyle w:val="Normal6a"/>
            </w:pPr>
            <w:r>
              <w:t>6.</w:t>
            </w:r>
            <w:r>
              <w:tab/>
            </w:r>
            <w:r>
              <w:t xml:space="preserve">poziva </w:t>
            </w:r>
            <w:r>
              <w:rPr>
                <w:b/>
                <w:i/>
              </w:rPr>
              <w:t>države članice, naj v teritorialnih načrtih za pravični prehod vključijo usmerjen pristop k izobraževanju in vajeništvu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André Rougé, Rody Tolassy, 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poziva Komisijo, naj v Sklad za pravični prehod uvede poseben mehanizem, da bi zagotovila prilagoditev meril za upravičenost in stopenj sofinanciranja za najbolj oddaljene regije ter čezmorske države in ozemlja ter tako bolje obravnavala posebne izzive, povezane z njihovo otoško lego, oddaljenostjo in gospodarsko ogroženostjo;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poziva k večji regionalni osredotočenosti financiranja iz Evropskega socialnega sklada plus (ESS+) ter k večji sinergiji med ESS+ in SPP, zlasti v zvezi z izobraževanjem in usposabljanjem;</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poziva </w:t>
            </w:r>
            <w:r>
              <w:rPr>
                <w:b/>
                <w:i/>
              </w:rPr>
              <w:t>k večji regionalni osredotočenosti financiranja iz</w:t>
            </w:r>
            <w:r>
              <w:t xml:space="preserve"> Evropskega socialnega sklada plus (ESS+) ter k večji sinergiji med ESS+ in SPP, zlasti v zvezi z izobraževanjem in usposabljanjem;</w:t>
            </w:r>
          </w:p>
        </w:tc>
        <w:tc>
          <w:tcPr>
            <w:tcW w:w="4876" w:type="dxa"/>
            <w:tcBorders>
              <w:top w:val="nil"/>
              <w:left w:val="nil"/>
              <w:bottom w:val="nil"/>
              <w:right w:val="nil"/>
            </w:tcBorders>
          </w:tcPr>
          <w:p>
            <w:pPr>
              <w:pStyle w:val="Normal6a"/>
            </w:pPr>
            <w:r>
              <w:t>7.</w:t>
            </w:r>
            <w:r>
              <w:tab/>
            </w:r>
            <w:r>
              <w:t>poziva</w:t>
            </w:r>
            <w:r>
              <w:rPr>
                <w:b/>
                <w:i/>
              </w:rPr>
              <w:t>, naj bo vodilo pri upravljanju</w:t>
            </w:r>
            <w:r>
              <w:t xml:space="preserve"> Evropskega socialnega sklada plus (ESS+) </w:t>
            </w:r>
            <w:r>
              <w:rPr>
                <w:b/>
                <w:i/>
              </w:rPr>
              <w:t>pristop na več ravneh, ki vključuje nacionalne, regionalne in lokalne organe, ravno tako pa poziva k večji regionalni osredotočenosti financiranja</w:t>
            </w:r>
            <w:r>
              <w:t xml:space="preserve"> ter k večji sinergiji med ESS+ in SPP, zlasti v zvezi z izobraževanjem in usposabljanjem;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poziva k večji regionalni osredotočenosti financiranja iz Evropskega socialnega sklada plus (ESS+) ter k večji sinergiji med ESS+ in SPP, zlasti v zvezi z izobraževanjem in usposabljanjem;</w:t>
            </w:r>
          </w:p>
        </w:tc>
        <w:tc>
          <w:tcPr>
            <w:tcW w:w="4876" w:type="dxa"/>
            <w:tcBorders>
              <w:top w:val="nil"/>
              <w:left w:val="nil"/>
              <w:bottom w:val="nil"/>
              <w:right w:val="nil"/>
            </w:tcBorders>
          </w:tcPr>
          <w:p>
            <w:pPr>
              <w:pStyle w:val="Normal6a"/>
            </w:pPr>
            <w:r>
              <w:t>7.</w:t>
            </w:r>
            <w:r>
              <w:tab/>
            </w:r>
            <w:r>
              <w:t xml:space="preserve">poziva k večji regionalni osredotočenosti financiranja iz Evropskega socialnega sklada plus (ESS+) ter k večji </w:t>
            </w:r>
            <w:r>
              <w:rPr>
                <w:b/>
                <w:i/>
              </w:rPr>
              <w:t>in boljši</w:t>
            </w:r>
            <w:r>
              <w:t xml:space="preserve"> sinergiji med ESS+ in SPP, zlasti v zvezi z izobraževanjem in usposabljanjem </w:t>
            </w:r>
            <w:r>
              <w:rPr>
                <w:b/>
                <w:i/>
              </w:rPr>
              <w:t>ter v zvezi z mobilnostjo delavcev z območij, kjer se zmanjšuje število prebivalstva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priznava osrednjo vlogo avtomobilske industrije v Evropski uniji, vključno z zaposlovanjem v različnih regijah;</w:t>
            </w:r>
            <w:r>
              <w:t xml:space="preserve"> </w:t>
            </w:r>
            <w:r>
              <w:rPr>
                <w:b/>
                <w:i/>
              </w:rPr>
              <w:t>meni, da je avtomobilski sektor nujno vključiti na področje pravičnega prehoda glede na izzive, ki jih predstavljata svetovna konkurenca pri premiku k elektromobilnosti ter učinek neupravičenih trgovinskih ovir;</w:t>
            </w:r>
            <w:r>
              <w:t xml:space="preserve"> </w:t>
            </w:r>
            <w:r>
              <w:rPr>
                <w:b/>
                <w:i/>
              </w:rPr>
              <w:t>poudarja, da so potrebne usmerjene politike, kjer je glavna naloga preusposabljanje delavcev in pobude za diverzifikacijo ekonomskega modela regij s pomembno avtomobilsko industrijo;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priznava, da se potencialni upravičenci, kot so občine, zaradi likvidnostnih težav ne prijavljajo za projekte, financirane v okviru kohezijske politike, zato poziva k znatnemu in prilagojenemu povečanju predhodnega financiranja v takih primerih;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ugotavlja, da ima zeleni prehod močno razsežnost spola, saj so na zelenih delovnih mestih ženske večinoma premalo zastopane, izginjanje ogljično intenzivnih delovnih mest pa v večji meri zadeva moške;</w:t>
            </w:r>
            <w:r>
              <w:t xml:space="preserve"> </w:t>
            </w:r>
            <w:r>
              <w:rPr>
                <w:b/>
                <w:i/>
              </w:rPr>
              <w:t>zato poudarja, da je treba vidik spola upoštevati pri oblikovanju in izvajanju vseh politik prehoda, da se na lokalnih trgih dela razlike ne bi še poglabljale;</w:t>
            </w:r>
            <w:r>
              <w:t xml:space="preserve"> </w:t>
            </w:r>
            <w:r>
              <w:rPr>
                <w:b/>
                <w:i/>
              </w:rPr>
              <w:t>opozarja, da je pomemben socialno pravičen zeleni prehod skrbstvenega gospodarstva in skrbstvenega sektorja (kot je varstvo predšolskih otrok ali dolgotrajna oskrba), ki je delovno področje, kjer prevladujejo ženske in kjer je ustvarjanje delovnih mest nujno za prerazporeditev neplačanega skrbstvenega dela, to pa je osnovni pogoj za zagotovitev enakih delovnih možnosti ženskam in moškim v prehodu, tudi glede na nove zdravstvene grožnje, povezane s podnebnimi spremembami in onesnaževanjem;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meni, da je okvir upravljanja bistvenega pomena za izvajanje pravičnega prehoda in da bi morali biti vsi državljani in zadevni deležniki vključeni v proces preoblikovanja ter odločanja o skupni prihodnosti;</w:t>
            </w:r>
            <w:r>
              <w:t xml:space="preserve"> </w:t>
            </w:r>
            <w:r>
              <w:rPr>
                <w:b/>
                <w:i/>
              </w:rPr>
              <w:t>v tem pogledu je treba participativni pristop in stalen dialog uporabljati na vseh stopnjah, tudi pri pripravi dolgoročne razvojne strategije, vzpostavitvi sistema spremljanja in ocenjevanja ter pri medsektorskem pristopu;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poziva Komisijo, naj v sodelovanju z državami članicami zagotovi, da </w:t>
            </w:r>
            <w:r>
              <w:rPr>
                <w:b/>
                <w:i/>
              </w:rPr>
              <w:t>bodo delavci</w:t>
            </w:r>
            <w:r>
              <w:t xml:space="preserve">, ki so izgubili delo, </w:t>
            </w:r>
            <w:r>
              <w:rPr>
                <w:b/>
                <w:i/>
              </w:rPr>
              <w:t>imeli poseben status za vključitev</w:t>
            </w:r>
            <w:r>
              <w:t xml:space="preserve"> v programe podporne zaposlitve in usposabljanja v okviru ESS+ v svojem kraju;</w:t>
            </w:r>
          </w:p>
        </w:tc>
        <w:tc>
          <w:tcPr>
            <w:tcW w:w="4876" w:type="dxa"/>
            <w:tcBorders>
              <w:top w:val="nil"/>
              <w:left w:val="nil"/>
              <w:bottom w:val="nil"/>
              <w:right w:val="nil"/>
            </w:tcBorders>
          </w:tcPr>
          <w:p>
            <w:pPr>
              <w:pStyle w:val="Normal6a"/>
            </w:pPr>
            <w:r>
              <w:t>8.</w:t>
            </w:r>
            <w:r>
              <w:tab/>
            </w:r>
            <w:r>
              <w:t>poziva Komisijo, naj v sodelovanju z državami članicami</w:t>
            </w:r>
            <w:r>
              <w:rPr>
                <w:b/>
                <w:i/>
              </w:rPr>
              <w:t>, lokalnimi in regionalnimi organi, sindikati in lokalnimi podjetji</w:t>
            </w:r>
            <w:r>
              <w:t xml:space="preserve"> zagotovi, da </w:t>
            </w:r>
            <w:r>
              <w:rPr>
                <w:b/>
                <w:i/>
              </w:rPr>
              <w:t>se posebna pozornost nameni delavcem</w:t>
            </w:r>
            <w:r>
              <w:t xml:space="preserve">, ki so izgubili delo, </w:t>
            </w:r>
            <w:r>
              <w:rPr>
                <w:b/>
                <w:i/>
              </w:rPr>
              <w:t>da se vključijo</w:t>
            </w:r>
            <w:r>
              <w:t xml:space="preserve"> v programe podporne zaposlitve in usposabljanja v okviru ESS+ v svojem kraju;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poziva Komisijo, naj v sodelovanju z državami članicami zagotovi, da bodo delavci, ki so izgubili delo, imeli poseben status za vključitev v programe podporne zaposlitve in usposabljanja v okviru ESS+ v svojem kraju;</w:t>
            </w:r>
          </w:p>
        </w:tc>
        <w:tc>
          <w:tcPr>
            <w:tcW w:w="4876" w:type="dxa"/>
            <w:tcBorders>
              <w:top w:val="nil"/>
              <w:left w:val="nil"/>
              <w:bottom w:val="nil"/>
              <w:right w:val="nil"/>
            </w:tcBorders>
          </w:tcPr>
          <w:p>
            <w:pPr>
              <w:pStyle w:val="Normal6a"/>
            </w:pPr>
            <w:r>
              <w:t>8.</w:t>
            </w:r>
            <w:r>
              <w:tab/>
            </w:r>
            <w:r>
              <w:t xml:space="preserve">poziva Komisijo, naj v sodelovanju z državami članicami zagotovi, da bodo delavci, ki so izgubili delo, imeli poseben status za vključitev v programe podporne zaposlitve in usposabljanja v okviru ESS+ </w:t>
            </w:r>
            <w:r>
              <w:rPr>
                <w:b/>
                <w:i/>
              </w:rPr>
              <w:t>ali drugih programov EU za financiranje</w:t>
            </w:r>
            <w:r>
              <w:t xml:space="preserve"> v svojem kraju;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poziva Komisijo, naj v sodelovanju z državami članicami zagotovi, da bodo delavci, ki so izgubili delo, imeli </w:t>
            </w:r>
            <w:r>
              <w:rPr>
                <w:b/>
                <w:i/>
              </w:rPr>
              <w:t>poseben status za vključitev v programe podporne</w:t>
            </w:r>
            <w:r>
              <w:t xml:space="preserve"> zaposlitve in usposabljanja </w:t>
            </w:r>
            <w:r>
              <w:rPr>
                <w:b/>
                <w:i/>
              </w:rPr>
              <w:t>v okviru ESS+ v svojem kraju</w:t>
            </w:r>
            <w:r>
              <w:t>;</w:t>
            </w:r>
          </w:p>
        </w:tc>
        <w:tc>
          <w:tcPr>
            <w:tcW w:w="4876" w:type="dxa"/>
            <w:tcBorders>
              <w:top w:val="nil"/>
              <w:left w:val="nil"/>
              <w:bottom w:val="nil"/>
              <w:right w:val="nil"/>
            </w:tcBorders>
          </w:tcPr>
          <w:p>
            <w:pPr>
              <w:pStyle w:val="Normal6a"/>
            </w:pPr>
            <w:r>
              <w:t>8.</w:t>
            </w:r>
            <w:r>
              <w:tab/>
            </w:r>
            <w:r>
              <w:t xml:space="preserve">poziva Komisijo, naj v sodelovanju z državami članicami zagotovi, da bodo delavci, ki so izgubili delo, imeli </w:t>
            </w:r>
            <w:r>
              <w:rPr>
                <w:b/>
                <w:i/>
              </w:rPr>
              <w:t>v tem okviru prednosten dostop do sodelovanja v programih</w:t>
            </w:r>
            <w:r>
              <w:t xml:space="preserve"> zaposlitve in usposabljanja</w:t>
            </w:r>
            <w:r>
              <w:rPr>
                <w:b/>
                <w:i/>
              </w:rPr>
              <w:t>, ki jih v njihovih skupnostih podpira ESS+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poudarja, da je treba s pomočjo Sklada za pravični prehod vzpostaviti ambiciozne in usmerjene programe poklicnega usposabljanja in preusposabljanja tudi za iskalce zaposlitve in delavce, ki jih je neposredno prizadel gospodarski prehod zaradi razogljičenja, zlasti v prednostnih sektorjih, kot so energija iz obnovljivih virov, krožno gospodarstvo, trajnostna gradnja in mobilnost, da bi preprečili dolgotrajno strukturno brezposelnost in ublažili socialne pritiske;</w:t>
            </w:r>
            <w:r>
              <w:t xml:space="preserve"> </w:t>
            </w:r>
            <w:r>
              <w:rPr>
                <w:b/>
                <w:i/>
              </w:rPr>
              <w:t>vztraja, da je treba tem ukrepom v teritorialnih načrtih za pravični prehod nameniti posebna sredstva;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poudarja, da je treba za prizadeta območja v sodelovanju z lokalnimi podjetji razviti programe vajeništva, ki bodo učencem omogočili pridobivanje izkušenj v njihovih skupnostih in jim dali „pravico, da ostanejo“;</w:t>
            </w:r>
          </w:p>
        </w:tc>
        <w:tc>
          <w:tcPr>
            <w:tcW w:w="4876" w:type="dxa"/>
            <w:tcBorders>
              <w:top w:val="nil"/>
              <w:left w:val="nil"/>
              <w:bottom w:val="nil"/>
              <w:right w:val="nil"/>
            </w:tcBorders>
          </w:tcPr>
          <w:p>
            <w:pPr>
              <w:pStyle w:val="Normal6a"/>
            </w:pPr>
            <w:r>
              <w:t>9.</w:t>
            </w:r>
            <w:r>
              <w:tab/>
            </w:r>
            <w:r>
              <w:t xml:space="preserve">poudarja, da je treba za prizadeta območja v sodelovanju z lokalnimi podjetji razviti programe vajeništva, ki bodo učencem omogočili pridobivanje izkušenj v njihovih skupnostih in jim dali „pravico, da ostanejo“; </w:t>
            </w:r>
            <w:r>
              <w:rPr>
                <w:b/>
                <w:i/>
              </w:rPr>
              <w:t>poziva Komisijo, naj pripravi posebne smernice za izvajanje in uveljavljanje tega načela v vseh politikah EU;</w:t>
            </w:r>
            <w:r>
              <w:t xml:space="preserve"> </w:t>
            </w:r>
            <w:r>
              <w:rPr>
                <w:b/>
                <w:i/>
              </w:rPr>
              <w:t>poudarja, da ga je treba kot horizontalno načelo bolj vključiti v vse politike EU, da bi z njimi podpirali cilje socialne, ekonomske in teritorialne kohezije iz členov 3 in 174 PDEU;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poudarja, da je treba </w:t>
            </w:r>
            <w:r>
              <w:rPr>
                <w:b/>
                <w:i/>
              </w:rPr>
              <w:t>za prizadeta območja v sodelovanju z lokalnimi podjetji razviti programe vajeništva, ki bodo učencem omogočili pridobivanje izkušenj v njihovih skupnostih in jim dali</w:t>
            </w:r>
            <w:r>
              <w:t xml:space="preserve"> „pravico, da ostanejo“;</w:t>
            </w:r>
          </w:p>
        </w:tc>
        <w:tc>
          <w:tcPr>
            <w:tcW w:w="4876" w:type="dxa"/>
            <w:tcBorders>
              <w:top w:val="nil"/>
              <w:left w:val="nil"/>
              <w:bottom w:val="nil"/>
              <w:right w:val="nil"/>
            </w:tcBorders>
          </w:tcPr>
          <w:p>
            <w:pPr>
              <w:pStyle w:val="Normal6a"/>
            </w:pPr>
            <w:r>
              <w:t>9.</w:t>
            </w:r>
            <w:r>
              <w:tab/>
            </w:r>
            <w:r>
              <w:t xml:space="preserve">poudarja, da je treba </w:t>
            </w:r>
            <w:r>
              <w:rPr>
                <w:b/>
                <w:i/>
              </w:rPr>
              <w:t>razviti programe vajeništva in usposabljanja za območja, ki jih je prizadel proces prehoda, ter spodbujati sodelovanje med podjetji in lokalno skupnostjo;</w:t>
            </w:r>
            <w:r>
              <w:t xml:space="preserve"> </w:t>
            </w:r>
            <w:r>
              <w:rPr>
                <w:b/>
                <w:i/>
              </w:rPr>
              <w:t>poudarja, da kadar v tem pogledu zasebni sektor ni dovolj, naj dejavno vlogo prevzame tudi javni sektor, s čimer bi imeli praktikanti možnosti v svojih skupnosti in bi zaščitili njihovo</w:t>
            </w:r>
            <w:r>
              <w:t xml:space="preserve"> „pravico, da ostanejo“;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poudarja, da je treba za prizadeta območja v sodelovanju z lokalnimi podjetji razviti programe vajeništva, ki bodo učencem omogočili pridobivanje izkušenj v njihovih skupnostih in </w:t>
            </w:r>
            <w:r>
              <w:rPr>
                <w:b/>
                <w:i/>
              </w:rPr>
              <w:t>jim dali „pravico, da ostanejo“</w:t>
            </w:r>
            <w:r>
              <w:t>;</w:t>
            </w:r>
          </w:p>
        </w:tc>
        <w:tc>
          <w:tcPr>
            <w:tcW w:w="4876" w:type="dxa"/>
            <w:tcBorders>
              <w:top w:val="nil"/>
              <w:left w:val="nil"/>
              <w:bottom w:val="nil"/>
              <w:right w:val="nil"/>
            </w:tcBorders>
          </w:tcPr>
          <w:p>
            <w:pPr>
              <w:pStyle w:val="Normal6a"/>
            </w:pPr>
            <w:r>
              <w:t>9.</w:t>
            </w:r>
            <w:r>
              <w:tab/>
            </w:r>
            <w:r>
              <w:t xml:space="preserve">poudarja, da je treba za prizadeta območja v sodelovanju z lokalnimi podjetji razviti programe vajeništva </w:t>
            </w:r>
            <w:r>
              <w:rPr>
                <w:b/>
                <w:i/>
              </w:rPr>
              <w:t>in različne programe za prilagodljivo učenje na vseh ravneh</w:t>
            </w:r>
            <w:r>
              <w:t xml:space="preserve">, ki bodo učencem </w:t>
            </w:r>
            <w:r>
              <w:rPr>
                <w:b/>
                <w:i/>
              </w:rPr>
              <w:t>in brezposelnim</w:t>
            </w:r>
            <w:r>
              <w:t xml:space="preserve"> omogočili pridobivanje izkušenj v njihovih skupnostih in </w:t>
            </w:r>
            <w:r>
              <w:rPr>
                <w:b/>
                <w:i/>
              </w:rPr>
              <w:t>na novih poklicnih področjih, s čimer bi imeli možnost ostati in zgraditi uspešno življenje v domačem kraju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poudarja, da je treba za prizadeta območja v sodelovanju z lokalnimi podjetji razviti programe vajeništva, </w:t>
            </w:r>
            <w:r>
              <w:rPr>
                <w:b/>
                <w:i/>
              </w:rPr>
              <w:t>ki bodo</w:t>
            </w:r>
            <w:r>
              <w:t xml:space="preserve"> učencem omogočili </w:t>
            </w:r>
            <w:r>
              <w:rPr>
                <w:b/>
                <w:i/>
              </w:rPr>
              <w:t>pridobivanje izkušenj</w:t>
            </w:r>
            <w:r>
              <w:t xml:space="preserve"> v njihovih skupnostih in jim dali „pravico, da ostanejo“;</w:t>
            </w:r>
          </w:p>
        </w:tc>
        <w:tc>
          <w:tcPr>
            <w:tcW w:w="4876" w:type="dxa"/>
            <w:tcBorders>
              <w:top w:val="nil"/>
              <w:left w:val="nil"/>
              <w:bottom w:val="nil"/>
              <w:right w:val="nil"/>
            </w:tcBorders>
          </w:tcPr>
          <w:p>
            <w:pPr>
              <w:pStyle w:val="Normal6a"/>
            </w:pPr>
            <w:r>
              <w:t>9.</w:t>
            </w:r>
            <w:r>
              <w:tab/>
            </w:r>
            <w:r>
              <w:t>poudarja, da je treba za prizadeta območja v sodelovanju z lokalnimi podjetji</w:t>
            </w:r>
            <w:r>
              <w:rPr>
                <w:b/>
                <w:i/>
              </w:rPr>
              <w:t>, visokošolskimi ustanovami, univerzitetnimi središči za usposabljanje in vseživljenjsko učenje ter javno upravo</w:t>
            </w:r>
            <w:r>
              <w:t xml:space="preserve"> razviti programe vajeništva, </w:t>
            </w:r>
            <w:r>
              <w:rPr>
                <w:b/>
                <w:i/>
              </w:rPr>
              <w:t>da bi</w:t>
            </w:r>
            <w:r>
              <w:t xml:space="preserve"> učencem omogočili </w:t>
            </w:r>
            <w:r>
              <w:rPr>
                <w:b/>
                <w:i/>
              </w:rPr>
              <w:t>poklicno prihodnost</w:t>
            </w:r>
            <w:r>
              <w:t xml:space="preserve"> v njihovih skupnostih in jim dali „pravico, da ostanejo“;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Valentina Palmisano, 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poudarja, da je treba za prizadeta območja v sodelovanju z lokalnimi podjetji razviti programe vajeništva, </w:t>
            </w:r>
            <w:r>
              <w:rPr>
                <w:b/>
                <w:i/>
              </w:rPr>
              <w:t>ki bodo učencem omogočili pridobivanje izkušenj v njihovih</w:t>
            </w:r>
            <w:r>
              <w:t xml:space="preserve"> skupnostih in </w:t>
            </w:r>
            <w:r>
              <w:rPr>
                <w:b/>
                <w:i/>
              </w:rPr>
              <w:t>jim dali</w:t>
            </w:r>
            <w:r>
              <w:t xml:space="preserve"> „pravico, da ostanejo“;</w:t>
            </w:r>
          </w:p>
        </w:tc>
        <w:tc>
          <w:tcPr>
            <w:tcW w:w="4876" w:type="dxa"/>
            <w:tcBorders>
              <w:top w:val="nil"/>
              <w:left w:val="nil"/>
              <w:bottom w:val="nil"/>
              <w:right w:val="nil"/>
            </w:tcBorders>
          </w:tcPr>
          <w:p>
            <w:pPr>
              <w:pStyle w:val="Normal6a"/>
            </w:pPr>
            <w:r>
              <w:t>9.</w:t>
            </w:r>
            <w:r>
              <w:tab/>
            </w:r>
            <w:r>
              <w:t xml:space="preserve">poudarja, da je treba za prizadeta območja v sodelovanju z lokalnimi podjetji </w:t>
            </w:r>
            <w:r>
              <w:rPr>
                <w:b/>
                <w:i/>
              </w:rPr>
              <w:t>in javno upravo</w:t>
            </w:r>
            <w:r>
              <w:t xml:space="preserve"> razviti programe vajeništva, </w:t>
            </w:r>
            <w:r>
              <w:rPr>
                <w:b/>
                <w:i/>
              </w:rPr>
              <w:t>da bi gradili poklicno prihodnost v svojih</w:t>
            </w:r>
            <w:r>
              <w:t xml:space="preserve"> skupnostih in </w:t>
            </w:r>
            <w:r>
              <w:rPr>
                <w:b/>
                <w:i/>
              </w:rPr>
              <w:t>ponudili pomembne izkušnje ter</w:t>
            </w:r>
            <w:r>
              <w:t xml:space="preserve"> „pravico, da ostanejo“;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poudarja, da je treba za prizadeta območja v sodelovanju z lokalnimi podjetji razviti programe vajeništva, ki bodo učencem omogočili pridobivanje izkušenj v njihovih skupnostih in jim dali „pravico, da ostanejo“;</w:t>
            </w:r>
          </w:p>
        </w:tc>
        <w:tc>
          <w:tcPr>
            <w:tcW w:w="4876" w:type="dxa"/>
            <w:tcBorders>
              <w:top w:val="nil"/>
              <w:left w:val="nil"/>
              <w:bottom w:val="nil"/>
              <w:right w:val="nil"/>
            </w:tcBorders>
          </w:tcPr>
          <w:p>
            <w:pPr>
              <w:pStyle w:val="Normal6a"/>
            </w:pPr>
            <w:r>
              <w:t>9.</w:t>
            </w:r>
            <w:r>
              <w:tab/>
            </w:r>
            <w:r>
              <w:t>poudarja, da je treba za prizadeta območja v sodelovanju z lokalnimi podjetji razviti programe vajeništva, ki bodo učencem omogočili pridobivanje izkušenj v njihovih skupnostih in jim dali „pravico, da ostanejo“</w:t>
            </w:r>
            <w:r>
              <w:rPr>
                <w:b/>
                <w:i/>
              </w:rPr>
              <w:t>, kar je absolutna prednostna naloga z vidika kohezijske politike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poudarja, da je treba za prizadeta območja v sodelovanju z lokalnimi podjetji razviti programe vajeništva, ki bodo učencem omogočili pridobivanje izkušenj v njihovih skupnostih in jim dali „pravico, da ostanejo“;</w:t>
            </w:r>
          </w:p>
        </w:tc>
        <w:tc>
          <w:tcPr>
            <w:tcW w:w="4876" w:type="dxa"/>
            <w:tcBorders>
              <w:top w:val="nil"/>
              <w:left w:val="nil"/>
              <w:bottom w:val="nil"/>
              <w:right w:val="nil"/>
            </w:tcBorders>
          </w:tcPr>
          <w:p>
            <w:pPr>
              <w:pStyle w:val="Normal6a"/>
            </w:pPr>
            <w:r>
              <w:t>9.</w:t>
            </w:r>
            <w:r>
              <w:tab/>
            </w:r>
            <w:r>
              <w:t>poudarja, da je treba za prizadeta območja v sodelovanju z lokalnimi podjetji</w:t>
            </w:r>
            <w:r>
              <w:rPr>
                <w:b/>
                <w:i/>
              </w:rPr>
              <w:t>, sindikati ter regionalnimi in lokalnimi organi</w:t>
            </w:r>
            <w:r>
              <w:t xml:space="preserve"> razviti programe vajeništva, ki bodo učencem omogočili pridobivanje izkušenj v njihovih skupnostih in jim dali „pravico, da ostanejo“;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poudarja, da sta potrebna ustrezno načrtovanje in priprava dovolj zgodaj pred vsakim postopnim opuščanjem ali znatnimi spremembami v industriji, da bodo programi preusposabljanja in izpopolnjevanja učinkoviti;</w:t>
            </w:r>
            <w:r>
              <w:t xml:space="preserve"> </w:t>
            </w:r>
            <w:r>
              <w:rPr>
                <w:b/>
                <w:i/>
              </w:rPr>
              <w:t>priznava, da je treba za dosego tega cilja delavcem zagotoviti pravico do plačanega usposabljanja med delovnim časom in odpraviti glavne ovire, ki delavcem preprečujejo, da bi se udeležili usposabljanja, in sicer stroške, družinske obveznosti in omejitve pri načrtovanju;</w:t>
            </w:r>
            <w:r>
              <w:t xml:space="preserve"> </w:t>
            </w:r>
            <w:r>
              <w:rPr>
                <w:b/>
                <w:i/>
              </w:rPr>
              <w:t>zato poziva k okrepljenim zakonodajnim ukrepom EU, da bi olajšali proaktivno predvidevanje in načrtovanje potreb po znanjih in spretnostih ter zagotovili te pravice vsem prizadetim delavcem;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poudarja, da sta potrebna ustrezno načrtovanje in priprava dovolj zgodaj pred vsakim postopnim opuščanjem ali znatnimi spremembami v industriji, da bodo programi preusposabljanja in izpopolnjevanja učinkoviti;</w:t>
            </w:r>
            <w:r>
              <w:t xml:space="preserve"> </w:t>
            </w:r>
            <w:r>
              <w:rPr>
                <w:b/>
                <w:i/>
              </w:rPr>
              <w:t>priznava, da je treba za dosego tega cilja delavcem zagotoviti pravico do plačanega usposabljanja med delovnim časom in odpraviti glavne ovire, ki delavcem preprečujejo, da bi se udeležili usposabljanja, in sicer stroške, družinske obveznosti in omejitve pri načrtovanju;</w:t>
            </w:r>
            <w:r>
              <w:t xml:space="preserve"> </w:t>
            </w:r>
            <w:r>
              <w:rPr>
                <w:b/>
                <w:i/>
              </w:rPr>
              <w:t>zato poziva k okrepljenim zakonodajnim ukrepom EU, da bi olajšali proaktivno predvidevanje in načrtovanje potreb po znanjih in spretnostih ter zagotovili te pravice vsem prizadetim delavcem;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poziva Komisijo, naj predlaga direktivo o pravičnem prehodu v svetu dela in poskrbi za pravičen okvir pri teh prehodih, izkoristi instrumente kohezijske politike za financiranje brezplačnega usposabljanja med delovnim časom, priznavanje osvojenih znanj in veščin ter večjo podporo prizadetim delavcem;</w:t>
            </w:r>
            <w:r>
              <w:t xml:space="preserve"> </w:t>
            </w:r>
            <w:r>
              <w:rPr>
                <w:b/>
                <w:i/>
              </w:rPr>
              <w:t>ravno tako poziva k boljšemu usklajevanju med Skladom za pravični prehod, Evropskim socialnim skladom+ ter Evropskim skladom za regionalni razvoj, da bi čim bolj izkoristili njihov učinek na prerazporejanje in preusposabljanje delavcev, ki jih je prizadelo prestrukturiranje industrije;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predlaga vzpostavitev regionalnega mehanizma za spremljanje in oceno vpliva sheme vajeništev, ki bi vključeval vse deležnike – lokalne organe, delodajalce, izobraževalne ustanove in mlade,</w:t>
            </w:r>
            <w:r>
              <w:t xml:space="preserve"> </w:t>
            </w:r>
            <w:r>
              <w:rPr>
                <w:b/>
                <w:i/>
              </w:rPr>
              <w:t>kar bi omogočilo hitro prilagoditev strategij usposabljanja potrebam trga dela in neposrednim povratnim informacijam udeležencev, s čimer bi zagotovili dolgoročno trajnostnost in učinkovitost vajeništev;</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poudarja, da zeleni prehod v mnogih primerih uničuje gospodarsko tradicijo ter družbene in gospodarske vezi na mnogih območjih in je poleg gospodarske krize povzročil tudi socialno, ki se med drugim kaže tudi v težavah v duševnem zdravju zaposlenih;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poudarja, da bi bilo treba pri vsem načrtovanju, izvajanju in spremljanju kohezijske politike EU upoštevati načelo partnerstva in Evropski kodeks dobre prakse za partnerstvo ter vzpostaviti tesno sodelovanje med regionalnimi in lokalnimi organi, nevladnimi organizacijami in deležniki, vključno z okoljskimi nevladnimi organizacijami;</w:t>
            </w:r>
            <w:r>
              <w:t xml:space="preserve"> </w:t>
            </w:r>
            <w:r>
              <w:rPr>
                <w:b/>
                <w:i/>
              </w:rPr>
              <w:t>poudarja, da bi bilo treba v tem procesu upoštevati tudi vidik spola;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André Rougé, Rody Tolassy, 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meni, da se pri pravičnem prehodu niso upoštevali posebni položaji prizadetih delavcev s polnim delovnim časom, delavcev s krajšim delovnim časom in učencev; meni, da se je o zagotavljanju nadomestnih sezonskih zaposlitev razmišljalo zelo malo ali pa sploh ne;</w:t>
            </w:r>
          </w:p>
        </w:tc>
        <w:tc>
          <w:tcPr>
            <w:tcW w:w="4876" w:type="dxa"/>
            <w:tcBorders>
              <w:top w:val="nil"/>
              <w:left w:val="nil"/>
              <w:bottom w:val="nil"/>
              <w:right w:val="nil"/>
            </w:tcBorders>
          </w:tcPr>
          <w:p>
            <w:pPr>
              <w:pStyle w:val="Normal6a"/>
            </w:pPr>
            <w:r>
              <w:t>10.</w:t>
            </w:r>
            <w:r>
              <w:tab/>
            </w:r>
            <w:r>
              <w:t xml:space="preserve">meni, da se pri pravičnem prehodu niso upoštevali posebni položaji prizadetih delavcev s polnim delovnim časom, delavcev s krajšim delovnim časom in učencev; meni, da se je o zagotavljanju nadomestnih sezonskih zaposlitev razmišljalo zelo malo ali pa sploh ne </w:t>
            </w:r>
            <w:r>
              <w:rPr>
                <w:b/>
                <w:i/>
              </w:rPr>
              <w:t>in poudarja, da je treba bolj podpreti oddaljena območja, kot so najbolj oddaljene regije ter čezmorske države in ozemlja, kjer so možnosti za preusposabljanje zaradi posebnosti lokalnega trga dela bolj omejene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meni, da se pri pravičnem prehodu </w:t>
            </w:r>
            <w:r>
              <w:rPr>
                <w:b/>
                <w:i/>
              </w:rPr>
              <w:t>niso upoštevali posebni položaji prizadetih</w:t>
            </w:r>
            <w:r>
              <w:t xml:space="preserve"> delavcev </w:t>
            </w:r>
            <w:r>
              <w:rPr>
                <w:b/>
                <w:i/>
              </w:rPr>
              <w:t>s polnim delovnim časom, delavcev s krajšim delovnim časom in učencev;</w:t>
            </w:r>
            <w:r>
              <w:t xml:space="preserve"> </w:t>
            </w:r>
            <w:r>
              <w:rPr>
                <w:b/>
                <w:i/>
              </w:rPr>
              <w:t>meni, da se je o zagotavljanju nadomestnih sezonskih zaposlitev razmišljalo zelo malo ali pa sploh ne</w:t>
            </w:r>
            <w:r>
              <w:t>;</w:t>
            </w:r>
          </w:p>
        </w:tc>
        <w:tc>
          <w:tcPr>
            <w:tcW w:w="4876" w:type="dxa"/>
            <w:tcBorders>
              <w:top w:val="nil"/>
              <w:left w:val="nil"/>
              <w:bottom w:val="nil"/>
              <w:right w:val="nil"/>
            </w:tcBorders>
          </w:tcPr>
          <w:p>
            <w:pPr>
              <w:pStyle w:val="Normal6a"/>
            </w:pPr>
            <w:r>
              <w:t>10.</w:t>
            </w:r>
            <w:r>
              <w:tab/>
            </w:r>
            <w:r>
              <w:t xml:space="preserve">meni, da se pri pravičnem prehodu </w:t>
            </w:r>
            <w:r>
              <w:rPr>
                <w:b/>
                <w:i/>
              </w:rPr>
              <w:t>ne upoštevajo dovolj posebnosti različnih profilov</w:t>
            </w:r>
            <w:r>
              <w:t xml:space="preserve"> delavcev </w:t>
            </w:r>
            <w:r>
              <w:rPr>
                <w:b/>
                <w:i/>
              </w:rPr>
              <w:t>in prizadetih skupnosti;</w:t>
            </w:r>
            <w:r>
              <w:t xml:space="preserve"> </w:t>
            </w:r>
            <w:r>
              <w:rPr>
                <w:b/>
                <w:i/>
              </w:rPr>
              <w:t>ravno tako obžaluje, da niso pripravljene alternative sezonskemu delu, ki je lahko vir dodatnega zaslužka za delavce in priložnost za zaslužek za študente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meni, da se pri pravičnem prehodu </w:t>
            </w:r>
            <w:r>
              <w:rPr>
                <w:b/>
                <w:i/>
              </w:rPr>
              <w:t>niso upoštevali posebni položaji</w:t>
            </w:r>
            <w:r>
              <w:t xml:space="preserve"> prizadetih delavcev s polnim delovnim časom, delavcev s krajšim delovnim časom in učencev; meni, da se je o zagotavljanju nadomestnih sezonskih zaposlitev razmišljalo zelo malo ali pa sploh ne;</w:t>
            </w:r>
          </w:p>
        </w:tc>
        <w:tc>
          <w:tcPr>
            <w:tcW w:w="4876" w:type="dxa"/>
            <w:tcBorders>
              <w:top w:val="nil"/>
              <w:left w:val="nil"/>
              <w:bottom w:val="nil"/>
              <w:right w:val="nil"/>
            </w:tcBorders>
          </w:tcPr>
          <w:p>
            <w:pPr>
              <w:pStyle w:val="Normal6a"/>
            </w:pPr>
            <w:r>
              <w:t>10.</w:t>
            </w:r>
            <w:r>
              <w:tab/>
            </w:r>
            <w:r>
              <w:t xml:space="preserve">meni, da se pri pravičnem prehodu </w:t>
            </w:r>
            <w:r>
              <w:rPr>
                <w:b/>
                <w:i/>
              </w:rPr>
              <w:t>ni postavilo v ospredje posebnih položajev</w:t>
            </w:r>
            <w:r>
              <w:t xml:space="preserve"> prizadetih delavcev s polnim delovnim časom, delavcev s krajšim delovnim časom in učencev; meni, da se je o zagotavljanju nadomestnih sezonskih zaposlitev razmišljalo zelo malo ali pa sploh 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Nora Mebarek, Sérgio Gonçalves,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meni</w:t>
            </w:r>
            <w:r>
              <w:t xml:space="preserve">, da se pri pravičnem prehodu niso upoštevali posebni položaji prizadetih delavcev s polnim delovnim časom, delavcev s krajšim delovnim časom in učencev; </w:t>
            </w:r>
            <w:r>
              <w:rPr>
                <w:b/>
                <w:i/>
              </w:rPr>
              <w:t>meni</w:t>
            </w:r>
            <w:r>
              <w:t>, da se je o zagotavljanju nadomestnih sezonskih zaposlitev razmišljalo zelo malo ali pa sploh ne;</w:t>
            </w:r>
          </w:p>
        </w:tc>
        <w:tc>
          <w:tcPr>
            <w:tcW w:w="4876" w:type="dxa"/>
            <w:tcBorders>
              <w:top w:val="nil"/>
              <w:left w:val="nil"/>
              <w:bottom w:val="nil"/>
              <w:right w:val="nil"/>
            </w:tcBorders>
          </w:tcPr>
          <w:p>
            <w:pPr>
              <w:pStyle w:val="Normal6a"/>
            </w:pPr>
            <w:r>
              <w:t>10.</w:t>
            </w:r>
            <w:r>
              <w:tab/>
            </w:r>
            <w:r>
              <w:rPr>
                <w:b/>
                <w:i/>
              </w:rPr>
              <w:t>ugotavlja</w:t>
            </w:r>
            <w:r>
              <w:t xml:space="preserve">, da se pri pravičnem prehodu niso upoštevali posebni položaji prizadetih delavcev s polnim delovnim časom, delavcev s krajšim delovnim časom in učencev; </w:t>
            </w:r>
            <w:r>
              <w:rPr>
                <w:b/>
                <w:i/>
              </w:rPr>
              <w:t>ugotavlja</w:t>
            </w:r>
            <w:r>
              <w:t>, da se je o zagotavljanju nadomestnih sezonskih zaposlitev razmišljalo zelo malo ali pa sploh 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opozarja, da so nekateri sektorji, kjer je že prišlo do zapiranj oziroma so v postopku zapiranja, zagotavljali delovne pogoje, ki so bili nad gospodarskim povprečjem, vključno z višjimi plačami, dodatki za tveganje in zdravstvenim zavarovanjem za delavce in njihove družine;</w:t>
            </w:r>
            <w:r>
              <w:t xml:space="preserve"> </w:t>
            </w:r>
            <w:r>
              <w:rPr>
                <w:b/>
                <w:i/>
              </w:rPr>
              <w:t>zato poudarja, da je treba v okviru SPP začasno financirati razliko med nadomestili za brezposelnost in novo plačo, da bi omogočili lažji prehod in zagotovili izpolnitev vseh predhodno prevzetih pogodbenih obveznosti;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poudarja, da je treba </w:t>
            </w:r>
            <w:r>
              <w:rPr>
                <w:b/>
                <w:i/>
              </w:rPr>
              <w:t>financirati svete</w:t>
            </w:r>
            <w:r>
              <w:t xml:space="preserve"> za visoko šolstvo in usposabljanje </w:t>
            </w:r>
            <w:r>
              <w:rPr>
                <w:b/>
                <w:i/>
              </w:rPr>
              <w:t>za prekvalifikacijo delavcev in njihovih družin, zlasti starejših od 50 let, ki so izgubili zaposlitev;</w:t>
            </w:r>
            <w:r>
              <w:t xml:space="preserve"> </w:t>
            </w:r>
            <w:r>
              <w:rPr>
                <w:b/>
                <w:i/>
              </w:rPr>
              <w:t>predlaga, da bi moral SPP možnosti za prekvalifikacijo ponuditi tudi partnerjem in zakoncem prizadetih delavcev</w:t>
            </w:r>
            <w:r>
              <w:t>;</w:t>
            </w:r>
          </w:p>
        </w:tc>
        <w:tc>
          <w:tcPr>
            <w:tcW w:w="4876" w:type="dxa"/>
            <w:tcBorders>
              <w:top w:val="nil"/>
              <w:left w:val="nil"/>
              <w:bottom w:val="nil"/>
              <w:right w:val="nil"/>
            </w:tcBorders>
          </w:tcPr>
          <w:p>
            <w:pPr>
              <w:pStyle w:val="Normal6a"/>
            </w:pPr>
            <w:r>
              <w:t>11.</w:t>
            </w:r>
            <w:r>
              <w:tab/>
            </w:r>
            <w:r>
              <w:t xml:space="preserve">poudarja, da je treba </w:t>
            </w:r>
            <w:r>
              <w:rPr>
                <w:b/>
                <w:i/>
              </w:rPr>
              <w:t>dopolniti financiranje svetov</w:t>
            </w:r>
            <w:r>
              <w:t xml:space="preserve"> za visoko šolstvo in usposabljanje</w:t>
            </w:r>
            <w:r>
              <w:rPr>
                <w:b/>
                <w:i/>
              </w:rPr>
              <w:t>, da bi zagotovili preusposabljanje delavcev, ki razmišljajo o spremembi svojega poklicnega profila, in njihovih družin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poudarja, da je treba financirati svete za visoko šolstvo in usposabljanje za prekvalifikacijo delavcev in njihovih družin, zlasti starejših od 50 let, ki so izgubili zaposlitev; predlaga, da bi moral SPP možnosti za prekvalifikacijo ponuditi tudi partnerjem in zakoncem prizadetih delavcev;</w:t>
            </w:r>
          </w:p>
        </w:tc>
        <w:tc>
          <w:tcPr>
            <w:tcW w:w="4876" w:type="dxa"/>
            <w:tcBorders>
              <w:top w:val="nil"/>
              <w:left w:val="nil"/>
              <w:bottom w:val="nil"/>
              <w:right w:val="nil"/>
            </w:tcBorders>
          </w:tcPr>
          <w:p>
            <w:pPr>
              <w:pStyle w:val="Normal6a"/>
            </w:pPr>
            <w:r>
              <w:t>11.</w:t>
            </w:r>
            <w:r>
              <w:tab/>
            </w:r>
            <w:r>
              <w:t>poudarja, da je treba financirati svete za visoko šolstvo in usposabljanje za prekvalifikacijo delavcev in njihovih družin, zlasti starejših od 50 let, ki so izgubili zaposlitev</w:t>
            </w:r>
            <w:r>
              <w:rPr>
                <w:b/>
                <w:i/>
              </w:rPr>
              <w:t>, zlasti žensk</w:t>
            </w:r>
            <w:r>
              <w:t>; predlaga, da bi moral SPP možnosti za prekvalifikacijo ponuditi tudi partnerjem in zakoncem prizadetih delavcev;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poudarja, da je treba financirati svete za visoko šolstvo in usposabljanje za prekvalifikacijo delavcev in njihovih družin, zlasti starejših od 50 let, ki so izgubili zaposlitev; predlaga, da bi moral SPP možnosti za prekvalifikacijo ponuditi tudi partnerjem in zakoncem prizadetih delavcev;</w:t>
            </w:r>
          </w:p>
        </w:tc>
        <w:tc>
          <w:tcPr>
            <w:tcW w:w="4876" w:type="dxa"/>
            <w:tcBorders>
              <w:top w:val="nil"/>
              <w:left w:val="nil"/>
              <w:bottom w:val="nil"/>
              <w:right w:val="nil"/>
            </w:tcBorders>
          </w:tcPr>
          <w:p>
            <w:pPr>
              <w:pStyle w:val="Normal6a"/>
            </w:pPr>
            <w:r>
              <w:t>11.</w:t>
            </w:r>
            <w:r>
              <w:tab/>
            </w:r>
            <w:r>
              <w:t xml:space="preserve">poudarja, da je treba financirati svete za visoko šolstvo in usposabljanje za prekvalifikacijo delavcev in njihovih družin, zlasti starejših od 50 let, ki so izgubili zaposlitev; predlaga, da bi moral SPP možnosti za prekvalifikacijo </w:t>
            </w:r>
            <w:r>
              <w:rPr>
                <w:b/>
                <w:i/>
              </w:rPr>
              <w:t>in izobraževanje</w:t>
            </w:r>
            <w:r>
              <w:t xml:space="preserve"> ponuditi tudi partnerjem in zakoncem prizadetih delavcev;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poudarja, da je treba financirati svete za visoko šolstvo in usposabljanje za prekvalifikacijo delavcev in njihovih družin, zlasti starejših od 50 let, ki so izgubili zaposlitev; predlaga, da bi moral SPP možnosti za prekvalifikacijo ponuditi tudi </w:t>
            </w:r>
            <w:r>
              <w:rPr>
                <w:b/>
                <w:i/>
              </w:rPr>
              <w:t>partnerjem in zakoncem</w:t>
            </w:r>
            <w:r>
              <w:t xml:space="preserve"> prizadetih delavcev;</w:t>
            </w:r>
          </w:p>
        </w:tc>
        <w:tc>
          <w:tcPr>
            <w:tcW w:w="4876" w:type="dxa"/>
            <w:tcBorders>
              <w:top w:val="nil"/>
              <w:left w:val="nil"/>
              <w:bottom w:val="nil"/>
              <w:right w:val="nil"/>
            </w:tcBorders>
          </w:tcPr>
          <w:p>
            <w:pPr>
              <w:pStyle w:val="Normal6a"/>
            </w:pPr>
            <w:r>
              <w:t>11.</w:t>
            </w:r>
            <w:r>
              <w:tab/>
            </w:r>
            <w:r>
              <w:t xml:space="preserve">poudarja, da je treba financirati svete za visoko šolstvo in usposabljanje za prekvalifikacijo delavcev in njihovih družin, zlasti starejših od 50 let, ki so izgubili zaposlitev; predlaga, da bi moral SPP možnosti za prekvalifikacijo ponuditi tudi </w:t>
            </w:r>
            <w:r>
              <w:rPr>
                <w:b/>
                <w:i/>
              </w:rPr>
              <w:t>družinskim članom</w:t>
            </w:r>
            <w:r>
              <w:t xml:space="preserve"> prizadetih delavcev;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poudarja, da je treba financirati svete za visoko šolstvo in usposabljanje za prekvalifikacijo delavcev in njihovih družin, zlasti starejših od 50 let, ki so izgubili zaposlitev; </w:t>
            </w:r>
            <w:r>
              <w:rPr>
                <w:b/>
                <w:i/>
              </w:rPr>
              <w:t>predlaga</w:t>
            </w:r>
            <w:r>
              <w:t xml:space="preserve">, da bi moral SPP </w:t>
            </w:r>
            <w:r>
              <w:rPr>
                <w:b/>
                <w:i/>
              </w:rPr>
              <w:t>možnosti za prekvalifikacijo ponuditi tudi partnerjem in zakoncem prizadetih delavcev</w:t>
            </w:r>
            <w:r>
              <w:t>;</w:t>
            </w:r>
          </w:p>
        </w:tc>
        <w:tc>
          <w:tcPr>
            <w:tcW w:w="4876" w:type="dxa"/>
            <w:tcBorders>
              <w:top w:val="nil"/>
              <w:left w:val="nil"/>
              <w:bottom w:val="nil"/>
              <w:right w:val="nil"/>
            </w:tcBorders>
          </w:tcPr>
          <w:p>
            <w:pPr>
              <w:pStyle w:val="Normal6a"/>
            </w:pPr>
            <w:r>
              <w:t>11.</w:t>
            </w:r>
            <w:r>
              <w:tab/>
            </w:r>
            <w:r>
              <w:t xml:space="preserve">poudarja, da je treba financirati svete za visoko šolstvo in usposabljanje za prekvalifikacijo delavcev in njihovih družin, zlasti starejših od 50 let, ki so izgubili zaposlitev; </w:t>
            </w:r>
            <w:r>
              <w:rPr>
                <w:b/>
                <w:i/>
              </w:rPr>
              <w:t>meni</w:t>
            </w:r>
            <w:r>
              <w:t xml:space="preserve">, da bi moral SPP </w:t>
            </w:r>
            <w:r>
              <w:rPr>
                <w:b/>
                <w:i/>
              </w:rPr>
              <w:t>iskalcem zaposlitve še naprej ponujati možnosti za preusposabljanje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opozarja na brezposelnost, zlasti brezposelnost mladih, v številnih regijah, na podeželju in v državah članicah, zato poudarja potrebo po cenovno dostopnih stanovanjih, dostopnosti prevoza in izobraževanja ter vključevanju mladih generacij, zlasti iz gospodinjstev z nizkimi dohodki;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Nora Mebarek, Sérgio Gonçalves,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poudarja, da morajo države članice prednostno zagotoviti dostop do državnih zemljišč in stavb za nove zaposlitvene projekte v okviru SPP </w:t>
            </w:r>
            <w:r>
              <w:rPr>
                <w:b/>
                <w:i/>
              </w:rPr>
              <w:t>ter da</w:t>
            </w:r>
            <w:r>
              <w:t xml:space="preserve"> je treba ta postopek nadzorovati;</w:t>
            </w:r>
          </w:p>
        </w:tc>
        <w:tc>
          <w:tcPr>
            <w:tcW w:w="4876" w:type="dxa"/>
            <w:tcBorders>
              <w:top w:val="nil"/>
              <w:left w:val="nil"/>
              <w:bottom w:val="nil"/>
              <w:right w:val="nil"/>
            </w:tcBorders>
          </w:tcPr>
          <w:p>
            <w:pPr>
              <w:pStyle w:val="Normal6a"/>
            </w:pPr>
            <w:r>
              <w:t>12.</w:t>
            </w:r>
            <w:r>
              <w:tab/>
            </w:r>
            <w:r>
              <w:t>poudarja, da morajo države članice prednostno zagotoviti dostop do državnih zemljišč in stavb za nove zaposlitvene projekte v okviru SPP</w:t>
            </w:r>
            <w:r>
              <w:rPr>
                <w:b/>
                <w:i/>
              </w:rPr>
              <w:t>, zlasti v sektorjih obnovljivih virov energije, energetske prenove ali zelene ponovne industrializacije, in</w:t>
            </w:r>
            <w:r>
              <w:t xml:space="preserve"> je treba ta postopek nadzorovati;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Ciaran Mullooly,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poudarja, da morajo države članice prednostno zagotoviti dostop do državnih zemljišč </w:t>
            </w:r>
            <w:r>
              <w:rPr>
                <w:b/>
                <w:i/>
              </w:rPr>
              <w:t>in stavb</w:t>
            </w:r>
            <w:r>
              <w:t xml:space="preserve"> za nove zaposlitvene projekte v okviru SPP ter da je treba ta postopek nadzorovati;</w:t>
            </w:r>
          </w:p>
        </w:tc>
        <w:tc>
          <w:tcPr>
            <w:tcW w:w="4876" w:type="dxa"/>
            <w:tcBorders>
              <w:top w:val="nil"/>
              <w:left w:val="nil"/>
              <w:bottom w:val="nil"/>
              <w:right w:val="nil"/>
            </w:tcBorders>
          </w:tcPr>
          <w:p>
            <w:pPr>
              <w:pStyle w:val="Normal6a"/>
            </w:pPr>
            <w:r>
              <w:t>12.</w:t>
            </w:r>
            <w:r>
              <w:tab/>
            </w:r>
            <w:r>
              <w:t>poudarja, da morajo države članice prednostno zagotoviti dostop do državnih zemljišč</w:t>
            </w:r>
            <w:r>
              <w:rPr>
                <w:b/>
                <w:i/>
              </w:rPr>
              <w:t>, stavb in drugih sredstev</w:t>
            </w:r>
            <w:r>
              <w:t xml:space="preserve"> za nove zaposlitvene projekte v okviru SPP</w:t>
            </w:r>
            <w:r>
              <w:rPr>
                <w:b/>
                <w:i/>
              </w:rPr>
              <w:t>, tudi na področju obnovljivih virov energije,</w:t>
            </w:r>
            <w:r>
              <w:t xml:space="preserve"> ter da je treba ta postopek nadzorovati;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poudarja, da morajo države članice prednostno zagotoviti dostop do državnih zemljišč in stavb za nove zaposlitvene projekte v okviru SPP ter da je treba ta postopek nadzorovati;</w:t>
            </w:r>
          </w:p>
        </w:tc>
        <w:tc>
          <w:tcPr>
            <w:tcW w:w="4876" w:type="dxa"/>
            <w:tcBorders>
              <w:top w:val="nil"/>
              <w:left w:val="nil"/>
              <w:bottom w:val="nil"/>
              <w:right w:val="nil"/>
            </w:tcBorders>
          </w:tcPr>
          <w:p>
            <w:pPr>
              <w:pStyle w:val="Normal6a"/>
            </w:pPr>
            <w:r>
              <w:t>12.</w:t>
            </w:r>
            <w:r>
              <w:tab/>
            </w:r>
            <w:r>
              <w:t>poudarja, da morajo države članice prednostno zagotoviti dostop do državnih zemljišč in stavb za nove zaposlitvene projekte v okviru SPP</w:t>
            </w:r>
            <w:r>
              <w:rPr>
                <w:b/>
                <w:i/>
              </w:rPr>
              <w:t>, kjer je možno,</w:t>
            </w:r>
            <w:r>
              <w:t xml:space="preserve"> ter da je treba ta postopek nadzorovati;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poudarja, da morajo države članice prednostno zagotoviti dostop do državnih zemljišč in stavb za nove zaposlitvene projekte v okviru SPP ter da je treba ta postopek nadzorovati;</w:t>
            </w:r>
          </w:p>
        </w:tc>
        <w:tc>
          <w:tcPr>
            <w:tcW w:w="4876" w:type="dxa"/>
            <w:tcBorders>
              <w:top w:val="nil"/>
              <w:left w:val="nil"/>
              <w:bottom w:val="nil"/>
              <w:right w:val="nil"/>
            </w:tcBorders>
          </w:tcPr>
          <w:p>
            <w:pPr>
              <w:pStyle w:val="Normal6a"/>
            </w:pPr>
            <w:r>
              <w:t>12.</w:t>
            </w:r>
            <w:r>
              <w:tab/>
            </w:r>
            <w:r>
              <w:t xml:space="preserve">poudarja, da morajo države članice prednostno zagotoviti dostop do državnih zemljišč in stavb za nove zaposlitvene projekte v okviru SPP ter da je treba ta postopek nadzorovati </w:t>
            </w:r>
            <w:r>
              <w:rPr>
                <w:b/>
                <w:i/>
              </w:rPr>
              <w:t>in spremljati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poudarja, da </w:t>
            </w:r>
            <w:r>
              <w:rPr>
                <w:b/>
                <w:i/>
              </w:rPr>
              <w:t>morajo države članice prednostno zagotoviti dostop do državnih zemljišč in stavb za nove zaposlitvene projekte v okviru SPP ter da je treba ta postopek nadzorovati</w:t>
            </w:r>
            <w:r>
              <w:t>;</w:t>
            </w:r>
          </w:p>
        </w:tc>
        <w:tc>
          <w:tcPr>
            <w:tcW w:w="4876" w:type="dxa"/>
            <w:tcBorders>
              <w:top w:val="nil"/>
              <w:left w:val="nil"/>
              <w:bottom w:val="nil"/>
              <w:right w:val="nil"/>
            </w:tcBorders>
          </w:tcPr>
          <w:p>
            <w:pPr>
              <w:pStyle w:val="Normal6a"/>
            </w:pPr>
            <w:r>
              <w:t>12.</w:t>
            </w:r>
            <w:r>
              <w:tab/>
            </w:r>
            <w:r>
              <w:t xml:space="preserve">poudarja, da </w:t>
            </w:r>
            <w:r>
              <w:rPr>
                <w:b/>
                <w:i/>
              </w:rPr>
              <w:t>bi morali biti projekti SPP usklajeni ter povezani z lokalnimi in nacionalnimi strategijami in pobudami, da bi povečali njihov učinek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poudarja, da morajo države članice </w:t>
            </w:r>
            <w:r>
              <w:rPr>
                <w:b/>
                <w:i/>
              </w:rPr>
              <w:t>prednostno zagotoviti dostop</w:t>
            </w:r>
            <w:r>
              <w:t xml:space="preserve"> do državnih zemljišč in stavb za nove zaposlitvene projekte v okviru SPP ter da je treba ta postopek nadzorovati;</w:t>
            </w:r>
          </w:p>
        </w:tc>
        <w:tc>
          <w:tcPr>
            <w:tcW w:w="4876" w:type="dxa"/>
            <w:tcBorders>
              <w:top w:val="nil"/>
              <w:left w:val="nil"/>
              <w:bottom w:val="nil"/>
              <w:right w:val="nil"/>
            </w:tcBorders>
          </w:tcPr>
          <w:p>
            <w:pPr>
              <w:pStyle w:val="Normal6a"/>
            </w:pPr>
            <w:r>
              <w:t>12.</w:t>
            </w:r>
            <w:r>
              <w:tab/>
            </w:r>
            <w:r>
              <w:t xml:space="preserve">poudarja, da morajo države članice </w:t>
            </w:r>
            <w:r>
              <w:rPr>
                <w:b/>
                <w:i/>
              </w:rPr>
              <w:t>dati prednost dostopu</w:t>
            </w:r>
            <w:r>
              <w:t xml:space="preserve"> do državnih zemljišč in stavb za nove zaposlitvene projekte v okviru SPP ter da je treba ta postopek nadzorovati;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poudarja, da </w:t>
            </w:r>
            <w:r>
              <w:rPr>
                <w:b/>
                <w:i/>
              </w:rPr>
              <w:t>morajo</w:t>
            </w:r>
            <w:r>
              <w:t xml:space="preserve"> države članice </w:t>
            </w:r>
            <w:r>
              <w:rPr>
                <w:b/>
                <w:i/>
              </w:rPr>
              <w:t>prednostno zagotoviti dostop do državnih zemljišč in stavb za nove zaposlitvene</w:t>
            </w:r>
            <w:r>
              <w:t xml:space="preserve"> projekte v okviru SPP </w:t>
            </w:r>
            <w:r>
              <w:rPr>
                <w:b/>
                <w:i/>
              </w:rPr>
              <w:t>ter da je treba ta postopek nadzorovati</w:t>
            </w:r>
            <w:r>
              <w:t>;</w:t>
            </w:r>
          </w:p>
        </w:tc>
        <w:tc>
          <w:tcPr>
            <w:tcW w:w="4876" w:type="dxa"/>
            <w:tcBorders>
              <w:top w:val="nil"/>
              <w:left w:val="nil"/>
              <w:bottom w:val="nil"/>
              <w:right w:val="nil"/>
            </w:tcBorders>
          </w:tcPr>
          <w:p>
            <w:pPr>
              <w:pStyle w:val="Normal6a"/>
            </w:pPr>
            <w:r>
              <w:t>12.</w:t>
            </w:r>
            <w:r>
              <w:tab/>
            </w:r>
            <w:r>
              <w:t xml:space="preserve">poudarja, da </w:t>
            </w:r>
            <w:r>
              <w:rPr>
                <w:b/>
                <w:i/>
              </w:rPr>
              <w:t>bi morale</w:t>
            </w:r>
            <w:r>
              <w:t xml:space="preserve"> države članice</w:t>
            </w:r>
            <w:r>
              <w:rPr>
                <w:b/>
                <w:i/>
              </w:rPr>
              <w:t>, kadar je to mogoče, obnoviti, sanirati in spremeniti namembnost stavb za</w:t>
            </w:r>
            <w:r>
              <w:t xml:space="preserve"> projekte</w:t>
            </w:r>
            <w:r>
              <w:rPr>
                <w:b/>
                <w:i/>
              </w:rPr>
              <w:t>, financirane</w:t>
            </w:r>
            <w:r>
              <w:t xml:space="preserve"> v okviru SPP;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poudarja, da bi moralo biti javno financiranje iz SPP, ESS+, drugih programov EU in nacionalnih shem pogojeno z jasnimi zavezami podjetij, da bodo vlagala v izpopolnjevanje in preusposabljanje delavcev;</w:t>
            </w:r>
            <w:r>
              <w:t xml:space="preserve"> </w:t>
            </w:r>
            <w:r>
              <w:rPr>
                <w:b/>
                <w:i/>
              </w:rPr>
              <w:t>poudarja, da močna socialna pogojenost, ki je izrecno povezana z usposabljanjem delovne sile, zagotavlja, da prehodni ukrepi ne le varujejo zaposlitev, temveč tudi povečujejo dolgoročno zaposljivost delavcev;</w:t>
            </w:r>
            <w:r>
              <w:t xml:space="preserve"> </w:t>
            </w:r>
            <w:r>
              <w:rPr>
                <w:b/>
                <w:i/>
              </w:rPr>
              <w:t>zato poziva Komisijo in države članice, naj zahteve za naložbe v znanja in spretnosti sistematično vključujejo v vse ustrezne instrumente financiranja;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z zaskrbljenostjo ugotavlja, da se je v zadnjih letih močno zmanjšala ustrezna raven nacionalnega financiranja držav članic za njihove revnejše regije;</w:t>
            </w:r>
            <w:r>
              <w:t xml:space="preserve"> </w:t>
            </w:r>
            <w:r>
              <w:rPr>
                <w:b/>
                <w:i/>
              </w:rPr>
              <w:t>opozarja na pomen spoštovanja pravila EU o dodatnosti;</w:t>
            </w:r>
            <w:r>
              <w:t xml:space="preserve"> </w:t>
            </w:r>
            <w:r>
              <w:rPr>
                <w:b/>
                <w:i/>
              </w:rPr>
              <w:t>poziva Komisijo, naj zagotovi, da bodo nacionalni organi pri pripravi in izvajanju projektov strukturnih in investicijskih skladov ustrezno upoštevali notranjo kohezijo;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opozarja</w:t>
            </w:r>
            <w:r>
              <w:t>, da se nekatere regije EU zaradi demografskih sprememb in migracij spopadajo z nenehnim odlivom mladih in kvalificiranih delavcev, pri čemer so še zlasti prizadeta podeželska območja;</w:t>
            </w:r>
          </w:p>
        </w:tc>
        <w:tc>
          <w:tcPr>
            <w:tcW w:w="4876" w:type="dxa"/>
            <w:tcBorders>
              <w:top w:val="nil"/>
              <w:left w:val="nil"/>
              <w:bottom w:val="nil"/>
              <w:right w:val="nil"/>
            </w:tcBorders>
          </w:tcPr>
          <w:p>
            <w:pPr>
              <w:pStyle w:val="Normal6a"/>
            </w:pPr>
            <w:r>
              <w:t>13.</w:t>
            </w:r>
            <w:r>
              <w:tab/>
            </w:r>
            <w:r>
              <w:rPr>
                <w:b/>
                <w:i/>
              </w:rPr>
              <w:t>obžaluje</w:t>
            </w:r>
            <w:r>
              <w:t xml:space="preserve">, da se nekatere regije EU zaradi demografskih sprememb in migracij spopadajo z nenehnim odlivom mladih in kvalificiranih delavcev, pri čemer so še zlasti prizadeta podeželska območja; </w:t>
            </w:r>
            <w:r>
              <w:rPr>
                <w:b/>
                <w:i/>
              </w:rPr>
              <w:t>opozarja, da te migracije in depopulacija resno vplivajo na konkurenčnost, gospodarsko rast, prehransko varnost, produktivnost in trajnostnost;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opozarja, da se nekatere regije EU zaradi demografskih sprememb in migracij spopadajo z nenehnim odlivom mladih in kvalificiranih delavcev, pri čemer so še zlasti prizadeta podeželska območja;</w:t>
            </w:r>
          </w:p>
        </w:tc>
        <w:tc>
          <w:tcPr>
            <w:tcW w:w="4876" w:type="dxa"/>
            <w:tcBorders>
              <w:top w:val="nil"/>
              <w:left w:val="nil"/>
              <w:bottom w:val="nil"/>
              <w:right w:val="nil"/>
            </w:tcBorders>
          </w:tcPr>
          <w:p>
            <w:pPr>
              <w:pStyle w:val="Normal6a"/>
            </w:pPr>
            <w:r>
              <w:t>13.</w:t>
            </w:r>
            <w:r>
              <w:tab/>
            </w:r>
            <w:r>
              <w:t xml:space="preserve">opozarja, da se nekatere regije EU zaradi demografskih sprememb in migracij spopadajo z nenehnim odlivom mladih in kvalificiranih delavcev, pri čemer so še zlasti prizadeta podeželska območja; </w:t>
            </w:r>
            <w:r>
              <w:rPr>
                <w:b/>
                <w:i/>
              </w:rPr>
              <w:t>opozarja na pomen močnih povezav med podeželjem in mesti ter zlasti podpore ženskam na podeželju;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opozarja, da se nekatere regije EU zaradi demografskih sprememb in migracij spopadajo z nenehnim odlivom mladih in kvalificiranih delavcev, pri čemer so </w:t>
            </w:r>
            <w:r>
              <w:rPr>
                <w:b/>
                <w:i/>
              </w:rPr>
              <w:t>še</w:t>
            </w:r>
            <w:r>
              <w:t xml:space="preserve"> zlasti prizadeta podeželska območja;</w:t>
            </w:r>
          </w:p>
        </w:tc>
        <w:tc>
          <w:tcPr>
            <w:tcW w:w="4876" w:type="dxa"/>
            <w:tcBorders>
              <w:top w:val="nil"/>
              <w:left w:val="nil"/>
              <w:bottom w:val="nil"/>
              <w:right w:val="nil"/>
            </w:tcBorders>
          </w:tcPr>
          <w:p>
            <w:pPr>
              <w:pStyle w:val="Normal6a"/>
            </w:pPr>
            <w:r>
              <w:t>13.</w:t>
            </w:r>
            <w:r>
              <w:tab/>
            </w:r>
            <w:r>
              <w:t xml:space="preserve">opozarja, da se nekatere regije EU zaradi demografskih sprememb in migracij spopadajo z nenehnim odlivom mladih in kvalificiranih delavcev </w:t>
            </w:r>
            <w:r>
              <w:rPr>
                <w:b/>
                <w:i/>
              </w:rPr>
              <w:t>znotraj in zunaj Evropske unije</w:t>
            </w:r>
            <w:r>
              <w:t>, pri čemer so zlasti prizadeta podeželska območja</w:t>
            </w:r>
            <w:r>
              <w:rPr>
                <w:b/>
                <w:i/>
              </w:rPr>
              <w:t>, območja v notranjosti in najbolj oddaljene regije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opozarja, da se nekatere regije EU zaradi demografskih sprememb in migracij spopadajo z nenehnim odlivom mladih in kvalificiranih delavcev, pri čemer so še zlasti prizadeta podeželska območja;</w:t>
            </w:r>
          </w:p>
        </w:tc>
        <w:tc>
          <w:tcPr>
            <w:tcW w:w="4876" w:type="dxa"/>
            <w:tcBorders>
              <w:top w:val="nil"/>
              <w:left w:val="nil"/>
              <w:bottom w:val="nil"/>
              <w:right w:val="nil"/>
            </w:tcBorders>
          </w:tcPr>
          <w:p>
            <w:pPr>
              <w:pStyle w:val="Normal6a"/>
            </w:pPr>
            <w:r>
              <w:t>13.</w:t>
            </w:r>
            <w:r>
              <w:tab/>
            </w:r>
            <w:r>
              <w:t xml:space="preserve">opozarja, da se nekatere regije EU zaradi demografskih sprememb in migracij spopadajo z nenehnim odlivom mladih in kvalificiranih delavcev, pri čemer so še zlasti prizadeta podeželska območja; </w:t>
            </w:r>
            <w:r>
              <w:rPr>
                <w:b/>
                <w:i/>
              </w:rPr>
              <w:t>poudarja strateški pomen vprašanja „pravice, da ostanejo“;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opozarja, da se nekatere regije EU zaradi demografskih sprememb in migracij spopadajo z nenehnim odlivom mladih in kvalificiranih delavcev, pri čemer so še zlasti prizadeta podeželska območja;</w:t>
            </w:r>
          </w:p>
        </w:tc>
        <w:tc>
          <w:tcPr>
            <w:tcW w:w="4876" w:type="dxa"/>
            <w:tcBorders>
              <w:top w:val="nil"/>
              <w:left w:val="nil"/>
              <w:bottom w:val="nil"/>
              <w:right w:val="nil"/>
            </w:tcBorders>
          </w:tcPr>
          <w:p>
            <w:pPr>
              <w:pStyle w:val="Normal6a"/>
            </w:pPr>
            <w:r>
              <w:t>13.</w:t>
            </w:r>
            <w:r>
              <w:tab/>
            </w:r>
            <w:r>
              <w:t>opozarja, da se nekatere regije EU zaradi demografskih sprememb in migracij spopadajo z nenehnim odlivom mladih in kvalificiranih delavcev, pri čemer so še zlasti prizadeta podeželska območja</w:t>
            </w:r>
            <w:r>
              <w:rPr>
                <w:b/>
                <w:i/>
              </w:rPr>
              <w:t>, otoki in oddaljena območja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opozarja, da se nekatere regije EU zaradi demografskih sprememb in migracij spopadajo z nenehnim odlivom mladih in kvalificiranih delavcev, pri čemer so še zlasti prizadeta podeželska območja;</w:t>
            </w:r>
          </w:p>
        </w:tc>
        <w:tc>
          <w:tcPr>
            <w:tcW w:w="4876" w:type="dxa"/>
            <w:tcBorders>
              <w:top w:val="nil"/>
              <w:left w:val="nil"/>
              <w:bottom w:val="nil"/>
              <w:right w:val="nil"/>
            </w:tcBorders>
          </w:tcPr>
          <w:p>
            <w:pPr>
              <w:pStyle w:val="Normal6a"/>
            </w:pPr>
            <w:r>
              <w:t>13.</w:t>
            </w:r>
            <w:r>
              <w:tab/>
            </w:r>
            <w:r>
              <w:t xml:space="preserve">opozarja, da se nekatere </w:t>
            </w:r>
            <w:r>
              <w:rPr>
                <w:b/>
                <w:i/>
              </w:rPr>
              <w:t>premogovniške</w:t>
            </w:r>
            <w:r>
              <w:t xml:space="preserve"> regije EU zaradi demografskih sprememb in migracij spopadajo z nenehnim odlivom mladih in kvalificiranih delavcev, pri čemer so še zlasti prizadeta podeželska območja;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poudarja, da se regije, ki jih je prizadel ekološki prehod, soočajo s pomanjkanjem spretnosti in delovne sile, medtem ko v številnih delih Evrope obstaja stanovanjska kriza in prenaseljenost mestnih območij, zato predlaga oblikovanje cenovno dostopnega stanovanjskega programa v teh regijah;</w:t>
            </w:r>
            <w:r>
              <w:t xml:space="preserve"> </w:t>
            </w:r>
            <w:r>
              <w:rPr>
                <w:b/>
                <w:i/>
              </w:rPr>
              <w:t>ta program bi moral pritegniti mlade in tako prispevati h gospodarski in družbeni oživitvi teh območij;</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poudarja, da je treba demografske vidike nujno vključiti v prihodnje proračunske okvire EU;</w:t>
            </w:r>
            <w:r>
              <w:t xml:space="preserve"> </w:t>
            </w:r>
            <w:r>
              <w:rPr>
                <w:b/>
                <w:i/>
              </w:rPr>
              <w:t>poziva k vključitvi demografskih kazalnikov, regionalnih ciljev in odzivnih orodij politike za podporo območjem, ki so nesorazmerno hudo prizadeta zaradi staranja prebivalstva, izseljevanja mladih ali trajnega upada prebivalstva;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poudarja, da mora Komisija za obdobje 2025–2049 odobriti „socialne sporazume“ za zaposlene;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poudarja, da mora Komisija za obdobje 2025–2049 odobriti „socialne sporazume“ za zaposlene;</w:t>
            </w:r>
          </w:p>
        </w:tc>
        <w:tc>
          <w:tcPr>
            <w:tcW w:w="4876" w:type="dxa"/>
            <w:tcBorders>
              <w:top w:val="nil"/>
              <w:left w:val="nil"/>
              <w:bottom w:val="nil"/>
              <w:right w:val="nil"/>
            </w:tcBorders>
          </w:tcPr>
          <w:p>
            <w:pPr>
              <w:pStyle w:val="Normal6a"/>
            </w:pPr>
            <w:r>
              <w:t>14.</w:t>
            </w:r>
            <w:r>
              <w:tab/>
            </w:r>
            <w:r>
              <w:t>poudarja, da mora Komisija za obdobje 2025–2049 odobriti „socialne sporazume“ za zaposlene</w:t>
            </w:r>
            <w:r>
              <w:rPr>
                <w:b/>
                <w:i/>
              </w:rPr>
              <w:t>, in kot dodatno merilo za dodelitev sredstev SPP upoštevati depopulacijo območij, ki so pričakovala zaprtje ogljično intenzivnih sektorjev, kot v primeru Španije, kjer je v nekaterih občinah prišlo do do 50-odstotne demografske izgube</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poudarja, da mora Komisija za obdobje 2025–2049 odobriti „socialne sporazume“ za zaposlene;</w:t>
            </w:r>
          </w:p>
        </w:tc>
        <w:tc>
          <w:tcPr>
            <w:tcW w:w="4876" w:type="dxa"/>
            <w:tcBorders>
              <w:top w:val="nil"/>
              <w:left w:val="nil"/>
              <w:bottom w:val="nil"/>
              <w:right w:val="nil"/>
            </w:tcBorders>
          </w:tcPr>
          <w:p>
            <w:pPr>
              <w:pStyle w:val="Normal6a"/>
            </w:pPr>
            <w:r>
              <w:t>14.</w:t>
            </w:r>
            <w:r>
              <w:tab/>
            </w:r>
            <w:r>
              <w:t xml:space="preserve">poudarja, da mora Komisija za obdobje 2025–2049 odobriti „socialne sporazume“ za zaposlene; </w:t>
            </w:r>
            <w:r>
              <w:rPr>
                <w:b/>
                <w:i/>
              </w:rPr>
              <w:t>poudarja, da bi morali temeljiti na poglobljeni diagnozi in gospodarskih napovedih;</w:t>
            </w:r>
            <w:r>
              <w:t xml:space="preserve"> </w:t>
            </w:r>
            <w:r>
              <w:rPr>
                <w:b/>
                <w:i/>
              </w:rPr>
              <w:t>vztraja, da bi morali predlogi Komisije v zvezi s tem upoštevati različne razmere v regijah, njihove gospodarske tradicije in posebnosti;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Ciaran Mullooly,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poudarja, da mora Komisija za obdobje 2025–2049 odobriti „socialne sporazume“ za zaposlene;</w:t>
            </w:r>
          </w:p>
        </w:tc>
        <w:tc>
          <w:tcPr>
            <w:tcW w:w="4876" w:type="dxa"/>
            <w:tcBorders>
              <w:top w:val="nil"/>
              <w:left w:val="nil"/>
              <w:bottom w:val="nil"/>
              <w:right w:val="nil"/>
            </w:tcBorders>
          </w:tcPr>
          <w:p>
            <w:pPr>
              <w:pStyle w:val="Normal6a"/>
            </w:pPr>
            <w:r>
              <w:t>14.</w:t>
            </w:r>
            <w:r>
              <w:tab/>
            </w:r>
            <w:r>
              <w:t>poudarja, da mora Komisija za obdobje 2025–2049 odobriti „socialne sporazume“ za zaposlene</w:t>
            </w:r>
            <w:r>
              <w:rPr>
                <w:b/>
                <w:i/>
              </w:rPr>
              <w:t> in spodbuja ustanavljanje delavskih združenj v sektorjih, ki jih je prizadel prehod, kar bi nekdanjim zaposlenim omogočilo neposredne koristi od regionalne gospodarske prenove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poudarja, da </w:t>
            </w:r>
            <w:r>
              <w:rPr>
                <w:b/>
                <w:i/>
              </w:rPr>
              <w:t>mora Komisija za obdobje 2025–2049</w:t>
            </w:r>
            <w:r>
              <w:t xml:space="preserve"> odobriti „socialne </w:t>
            </w:r>
            <w:r>
              <w:rPr>
                <w:b/>
                <w:i/>
              </w:rPr>
              <w:t>sporazume</w:t>
            </w:r>
            <w:r>
              <w:t xml:space="preserve">“ </w:t>
            </w:r>
            <w:r>
              <w:rPr>
                <w:b/>
                <w:i/>
              </w:rPr>
              <w:t>za zaposlene</w:t>
            </w:r>
            <w:r>
              <w:t>;</w:t>
            </w:r>
          </w:p>
        </w:tc>
        <w:tc>
          <w:tcPr>
            <w:tcW w:w="4876" w:type="dxa"/>
            <w:tcBorders>
              <w:top w:val="nil"/>
              <w:left w:val="nil"/>
              <w:bottom w:val="nil"/>
              <w:right w:val="nil"/>
            </w:tcBorders>
          </w:tcPr>
          <w:p>
            <w:pPr>
              <w:pStyle w:val="Normal6a"/>
            </w:pPr>
            <w:r>
              <w:t>14.</w:t>
            </w:r>
            <w:r>
              <w:tab/>
            </w:r>
            <w:r>
              <w:t xml:space="preserve">poudarja, da </w:t>
            </w:r>
            <w:r>
              <w:rPr>
                <w:b/>
                <w:i/>
              </w:rPr>
              <w:t>je treba nemudoma</w:t>
            </w:r>
            <w:r>
              <w:t xml:space="preserve"> odobriti „socialne </w:t>
            </w:r>
            <w:r>
              <w:rPr>
                <w:b/>
                <w:i/>
              </w:rPr>
              <w:t>pogodbe</w:t>
            </w:r>
            <w:r>
              <w:t>“</w:t>
            </w:r>
            <w:r>
              <w:rPr>
                <w:b/>
                <w:i/>
              </w:rPr>
              <w:t>, sklenjene za gospodarske panoge, ki so v procesu pravičnega prehoda, in o njih uradno obvestiti Komisijo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poziva k vzpostavitvi vseevropskega instrumenta SURE 2.0 za zaščito delovnih mest in industrijskih zmogljivosti med hitrimi gospodarskimi, tehnološkimi in energetskimi prehodi;</w:t>
            </w:r>
            <w:r>
              <w:t xml:space="preserve"> </w:t>
            </w:r>
            <w:r>
              <w:rPr>
                <w:b/>
                <w:i/>
              </w:rPr>
              <w:t>poudarja, da bi tak instrument, ki bi temeljil na uspešnih izkušnjah prvotnega programa SURE med pandemijo covida-19, zagotovil ohranitev delovnih mest, izpopolnjevanje delovne sile in strukturirano industrijsko preobrazbo, zlasti v sektorjih, v katerih obstaja veliko tveganje izgube delovnih mest;</w:t>
            </w:r>
            <w:r>
              <w:t xml:space="preserve"> </w:t>
            </w:r>
            <w:r>
              <w:rPr>
                <w:b/>
                <w:i/>
              </w:rPr>
              <w:t>se zaveda, da je industrijske zmogljivosti in spretnosti, ko enkrat izginejo iz regije, zelo težko povrniti; poudarja, da bi morala biti finančna podpora v okviru programa SURE 2.0 pogojena z močno socialno zaščito, proaktivnim načrtovanjem prehoda, posvetovanjem z delavci in naložbami v spretnosti delovne sile, s čimer bi preprečili socialno drago in gospodarsko škodljivo izgubo delovnih mest ter zaščitili prikrajšane regije;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Podnaslov 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poudarja, da ima kohezijska politika osrednjo vlogo pri uresničevanju prednostnih nalog politike EU in spodbujanju gospodarstva EU s tem, da prispeva k pravičnemu, vključujočemu in trajnostnemu prehodu in razvoju, spodbuja gospodarsko in socialno konvergenco med državami in regijami ter inovacije in zaposlovanje;</w:t>
            </w:r>
            <w:r>
              <w:t xml:space="preserve"> </w:t>
            </w:r>
            <w:r>
              <w:rPr>
                <w:b/>
                <w:i/>
              </w:rPr>
              <w:t>obžaluje, da se je Komisija zaradi omejene prožnosti sedanjega večletnega finančnega okvira žal poslužila preusmerjanja kohezijske politike, ki pa ni orodje za odzivanje na krize, četudi je bilo večkrat uporabljeno za pokrivanje pomanjkljivosti v proračunski prožnosti ali mehanizmih odzivanja na krize v večletnem finančnem okviru na račun njegovih dolgoročnih ciljev politike;</w:t>
            </w:r>
            <w:r>
              <w:t xml:space="preserve"> </w:t>
            </w:r>
            <w:r>
              <w:rPr>
                <w:b/>
                <w:i/>
              </w:rPr>
              <w:t>poziva Komisijo in države članice, naj pospešijo izvajanje kohezijske politike;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André Rougé, Rody Tolassy, 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se strinja, da je izvajanje postopka SPP v pristojnosti držav članic, vendar poudarja, da ga je treba poenostaviti in da bi morala Komisija hitreje obveščati države članice;</w:t>
            </w:r>
          </w:p>
        </w:tc>
        <w:tc>
          <w:tcPr>
            <w:tcW w:w="4876" w:type="dxa"/>
            <w:tcBorders>
              <w:top w:val="nil"/>
              <w:left w:val="nil"/>
              <w:bottom w:val="nil"/>
              <w:right w:val="nil"/>
            </w:tcBorders>
          </w:tcPr>
          <w:p>
            <w:pPr>
              <w:pStyle w:val="Normal6a"/>
            </w:pPr>
            <w:r>
              <w:t>15.</w:t>
            </w:r>
            <w:r>
              <w:tab/>
            </w:r>
            <w:r>
              <w:t xml:space="preserve">se strinja, da je izvajanje postopka SPP v pristojnosti držav članic, vendar poudarja, da ga je treba poenostaviti in da bi morala Komisija hitreje obveščati države članice; </w:t>
            </w:r>
            <w:r>
              <w:rPr>
                <w:b/>
                <w:i/>
              </w:rPr>
              <w:t>poudarja, da je treba okrepiti njihovo avtonomijo pri upravljanju sredstev, zlasti tako, da se zmanjšajo upravne omejitve, ki jih nalaga Komisija, in omogoči, da se izbirna merila prilagodijo nacionalnim in regionalnim razmeram;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se strinja</w:t>
            </w:r>
            <w:r>
              <w:t xml:space="preserve">, da je izvajanje postopka SPP v pristojnosti držav članic, vendar </w:t>
            </w:r>
            <w:r>
              <w:rPr>
                <w:b/>
                <w:i/>
              </w:rPr>
              <w:t>poudarja, da ga je treba poenostaviti in</w:t>
            </w:r>
            <w:r>
              <w:t xml:space="preserve"> da bi morala Komisija </w:t>
            </w:r>
            <w:r>
              <w:rPr>
                <w:b/>
                <w:i/>
              </w:rPr>
              <w:t>hitreje obveščati države članice</w:t>
            </w:r>
            <w:r>
              <w:t>;</w:t>
            </w:r>
          </w:p>
        </w:tc>
        <w:tc>
          <w:tcPr>
            <w:tcW w:w="4876" w:type="dxa"/>
            <w:tcBorders>
              <w:top w:val="nil"/>
              <w:left w:val="nil"/>
              <w:bottom w:val="nil"/>
              <w:right w:val="nil"/>
            </w:tcBorders>
          </w:tcPr>
          <w:p>
            <w:pPr>
              <w:pStyle w:val="Normal6a"/>
            </w:pPr>
            <w:r>
              <w:t>15.</w:t>
            </w:r>
            <w:r>
              <w:tab/>
            </w:r>
            <w:r>
              <w:rPr>
                <w:b/>
                <w:i/>
              </w:rPr>
              <w:t>poudarja</w:t>
            </w:r>
            <w:r>
              <w:t xml:space="preserve">, da je izvajanje postopka SPP </w:t>
            </w:r>
            <w:r>
              <w:rPr>
                <w:b/>
                <w:i/>
              </w:rPr>
              <w:t>sicer</w:t>
            </w:r>
            <w:r>
              <w:t xml:space="preserve"> v pristojnosti držav članic, vendar </w:t>
            </w:r>
            <w:r>
              <w:rPr>
                <w:b/>
                <w:i/>
              </w:rPr>
              <w:t>je bistveno, da se poenostavi dostop do vlog in razširi področje uporabe sklada, da bi postal prožnejši, da bodo lahko druge enako prizadete regije izkoristile to podporo;</w:t>
            </w:r>
            <w:r>
              <w:t xml:space="preserve"> </w:t>
            </w:r>
            <w:r>
              <w:rPr>
                <w:b/>
                <w:i/>
              </w:rPr>
              <w:t>poudarja,</w:t>
            </w:r>
            <w:r>
              <w:t xml:space="preserve"> da bi morala Komisija </w:t>
            </w:r>
            <w:r>
              <w:rPr>
                <w:b/>
                <w:i/>
              </w:rPr>
              <w:t>v sodelovanju z državami članicami izdati smernice za razlago vprašanj glede izvajanja, ki povzročajo največ negotovosti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Ciaran Mullooly, Ľubica Karvašová,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se strinja, da je izvajanje postopka SPP v pristojnosti držav članic, </w:t>
            </w:r>
            <w:r>
              <w:rPr>
                <w:b/>
                <w:i/>
              </w:rPr>
              <w:t>vendar</w:t>
            </w:r>
            <w:r>
              <w:t xml:space="preserve"> poudarja, da </w:t>
            </w:r>
            <w:r>
              <w:rPr>
                <w:b/>
                <w:i/>
              </w:rPr>
              <w:t>ga</w:t>
            </w:r>
            <w:r>
              <w:t xml:space="preserve"> je treba poenostaviti in da </w:t>
            </w:r>
            <w:r>
              <w:rPr>
                <w:b/>
                <w:i/>
              </w:rPr>
              <w:t>bi morala</w:t>
            </w:r>
            <w:r>
              <w:t xml:space="preserve"> Komisija hitreje obveščati države članice;</w:t>
            </w:r>
          </w:p>
        </w:tc>
        <w:tc>
          <w:tcPr>
            <w:tcW w:w="4876" w:type="dxa"/>
            <w:tcBorders>
              <w:top w:val="nil"/>
              <w:left w:val="nil"/>
              <w:bottom w:val="nil"/>
              <w:right w:val="nil"/>
            </w:tcBorders>
          </w:tcPr>
          <w:p>
            <w:pPr>
              <w:pStyle w:val="Normal6a"/>
            </w:pPr>
            <w:r>
              <w:t>15.</w:t>
            </w:r>
            <w:r>
              <w:tab/>
            </w:r>
            <w:r>
              <w:t xml:space="preserve">se strinja, da je izvajanje postopka SPP v pristojnosti držav članic, </w:t>
            </w:r>
            <w:r>
              <w:rPr>
                <w:b/>
                <w:i/>
              </w:rPr>
              <w:t>vseeno pa poziva k večji vlogi lokalnih in regionalnih organov ter akterjev na terenu v postopku odločanja, da bodo strategije financiranja usklajene s posebnimi potrebami skupnosti, ki jih bo prizadel prehod;</w:t>
            </w:r>
            <w:r>
              <w:t xml:space="preserve"> poudarja, da je treba </w:t>
            </w:r>
            <w:r>
              <w:rPr>
                <w:b/>
                <w:i/>
              </w:rPr>
              <w:t>postopek</w:t>
            </w:r>
            <w:r>
              <w:t xml:space="preserve"> poenostaviti in da </w:t>
            </w:r>
            <w:r>
              <w:rPr>
                <w:b/>
                <w:i/>
              </w:rPr>
              <w:t>mora</w:t>
            </w:r>
            <w:r>
              <w:t xml:space="preserve"> Komisija hitreje obveščati države članice;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se strinja, da je izvajanje postopka SPP v pristojnosti držav članic, vendar poudarja, da ga je treba poenostaviti in da bi morala Komisija hitreje obveščati države članice;</w:t>
            </w:r>
          </w:p>
        </w:tc>
        <w:tc>
          <w:tcPr>
            <w:tcW w:w="4876" w:type="dxa"/>
            <w:tcBorders>
              <w:top w:val="nil"/>
              <w:left w:val="nil"/>
              <w:bottom w:val="nil"/>
              <w:right w:val="nil"/>
            </w:tcBorders>
          </w:tcPr>
          <w:p>
            <w:pPr>
              <w:pStyle w:val="Normal6a"/>
            </w:pPr>
            <w:r>
              <w:t>15.</w:t>
            </w:r>
            <w:r>
              <w:tab/>
            </w:r>
            <w:r>
              <w:t>se strinja, da je izvajanje postopka SPP v pristojnosti držav članic, vendar poudarja, da ga je treba poenostaviti in da bi morala Komisija hitreje obveščati države članice</w:t>
            </w:r>
            <w:r>
              <w:rPr>
                <w:b/>
                <w:i/>
              </w:rPr>
              <w:t>,</w:t>
            </w:r>
            <w:r>
              <w:t xml:space="preserve"> </w:t>
            </w:r>
            <w:r>
              <w:rPr>
                <w:b/>
                <w:i/>
              </w:rPr>
              <w:t>pa tudi zagotoviti boljše usklajevanje med nacionalnimi in evropskimi organi, da bi pospešili dodeljevanje sredstev in učinkovito izvajanje pobud SPP</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se strinja, da je izvajanje postopka SPP v pristojnosti držav članic, vendar poudarja, da ga je treba poenostaviti in da bi morala Komisija hitreje obveščati države članice;</w:t>
            </w:r>
          </w:p>
        </w:tc>
        <w:tc>
          <w:tcPr>
            <w:tcW w:w="4876" w:type="dxa"/>
            <w:tcBorders>
              <w:top w:val="nil"/>
              <w:left w:val="nil"/>
              <w:bottom w:val="nil"/>
              <w:right w:val="nil"/>
            </w:tcBorders>
          </w:tcPr>
          <w:p>
            <w:pPr>
              <w:pStyle w:val="Normal6a"/>
            </w:pPr>
            <w:r>
              <w:t>15.</w:t>
            </w:r>
            <w:r>
              <w:tab/>
            </w:r>
            <w:r>
              <w:t xml:space="preserve">se strinja, da je izvajanje postopka SPP v pristojnosti držav članic, vendar poudarja, da ga je treba poenostaviti in da bi morala Komisija hitreje obveščati države članice; </w:t>
            </w:r>
            <w:r>
              <w:rPr>
                <w:b/>
                <w:i/>
              </w:rPr>
              <w:t>poziva države članice, naj uporabljajo dosleden pristop med SPP in naložbami v okviru drugih strateških skladov, povezanih s pravičnim prehodom;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se strinja</w:t>
            </w:r>
            <w:r>
              <w:t xml:space="preserve">, da je izvajanje postopka SPP v pristojnosti držav članic, vendar poudarja, da ga je treba poenostaviti in </w:t>
            </w:r>
            <w:r>
              <w:rPr>
                <w:b/>
                <w:i/>
              </w:rPr>
              <w:t>da bi morala Komisija hitreje obveščati države članice</w:t>
            </w:r>
            <w:r>
              <w:t>;</w:t>
            </w:r>
          </w:p>
        </w:tc>
        <w:tc>
          <w:tcPr>
            <w:tcW w:w="4876" w:type="dxa"/>
            <w:tcBorders>
              <w:top w:val="nil"/>
              <w:left w:val="nil"/>
              <w:bottom w:val="nil"/>
              <w:right w:val="nil"/>
            </w:tcBorders>
          </w:tcPr>
          <w:p>
            <w:pPr>
              <w:pStyle w:val="Normal6a"/>
            </w:pPr>
            <w:r>
              <w:t>15.</w:t>
            </w:r>
            <w:r>
              <w:tab/>
            </w:r>
            <w:r>
              <w:rPr>
                <w:b/>
                <w:i/>
              </w:rPr>
              <w:t>ugotavlja</w:t>
            </w:r>
            <w:r>
              <w:t xml:space="preserve">, da je izvajanje postopka SPP v pristojnosti držav članic, vendar poudarja, da ga je treba poenostaviti in </w:t>
            </w:r>
            <w:r>
              <w:rPr>
                <w:b/>
                <w:i/>
              </w:rPr>
              <w:t>poziva Komisijo, naj odločneje sodeluje z državami članicami pri iskanju prilagojenih rešitev ob polnem spoštovanju načela subsidiarnosti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poziva Evropsko komisijo, naj racionalizira in uskladi finančne instrumente v večletnem finančnem okviru za obdobje po letu 2027 ter zagotovi skladen in usklajen pristop k podpiranju strategij za pravični prehod;</w:t>
            </w:r>
            <w:r>
              <w:t xml:space="preserve"> </w:t>
            </w:r>
            <w:r>
              <w:rPr>
                <w:b/>
                <w:i/>
              </w:rPr>
              <w:t>poudarja, da razdrobljeni tokovi financiranja ovirajo učinek in učinkovitost, zato poziva k enotnemu in strateškemu okviru, ki bo omogočal sinergije med vsemi ustreznimi skladi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poziva Komisijo, naj spodbuja sistematično ustanavljanje lokalnih posvetovalnih organov na območjih, ki so upravičena do podpore SPP, da bi zagotovili polno sodelovanje lokalnih organov, sindikatov, podjetij in civilne družbe pri upravljanju, izbiri in spremljanju financiranih projektov, s čimer bi zagotovili legitimnost in učinkovitost območnih načrtov za pravični prehod;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poudarja, da bi moral biti SPP dovolj prožen, da bi lahko podpiral številne različne pobude, odvisno od lokalnih in regionalnih potreb;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15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poziva države članice in regionalne organe, naj ustanovijo lokalne svete za znanja in spretnosti ali podobne organe z več deležniki, kot je priporočeno v sporočilu o uniji spretnosti, katerih naloga bo ugotavljanje lokalnih vrzeli v spretnostih, predvidevanje potreb po znanjih in spretnostih, povezanih z zelenim in digitalnim prehodom, ter svetovanje o ciljno usmerjenih naložbah v okviru SPP in 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Rody Tolassy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meni, da bi morala Komisija za vsako državo članico določiti jasne parametre, ki bi jim ta sledila na področjih, kot so naložbe v izobraževanje in usposabljanje ter omogočanje drugim vlagateljem, da ohranijo kulturo in tradicijo nekdanjih premogovniških in šotnih regij;</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meni, da bi morala Komisija za vsako državo članico določiti jasne parametre, ki bi jim ta sledila na področjih, kot so naložbe v izobraževanje in usposabljanje ter omogočanje drugim vlagateljem, da ohranijo kulturo in tradicijo nekdanjih premogovniških in šotnih regij;</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meni, da bi morala Komisija za vsako državo članico določiti jasne parametre, ki bi jim ta sledila na področjih, kot so naložbe v izobraževanje in usposabljanje ter omogočanje drugim vlagateljem, da ohranijo kulturo in tradicijo nekdanjih premogovniških in šotnih regij;</w:t>
            </w:r>
          </w:p>
        </w:tc>
        <w:tc>
          <w:tcPr>
            <w:tcW w:w="4876" w:type="dxa"/>
            <w:tcBorders>
              <w:top w:val="nil"/>
              <w:left w:val="nil"/>
              <w:bottom w:val="nil"/>
              <w:right w:val="nil"/>
            </w:tcBorders>
          </w:tcPr>
          <w:p>
            <w:pPr>
              <w:pStyle w:val="Normal6a"/>
            </w:pPr>
            <w:r>
              <w:t>16.</w:t>
            </w:r>
            <w:r>
              <w:tab/>
            </w:r>
            <w:r>
              <w:t>meni, da bi morala Komisija za vsako državo članico določiti jasne parametre, ki bi jim ta sledila na področjih, kot so naložbe v izobraževanje in usposabljanje</w:t>
            </w:r>
            <w:r>
              <w:rPr>
                <w:b/>
                <w:i/>
              </w:rPr>
              <w:t>, izpopolnjevanje in preusposabljanje delavcev za nadomestno zaposlitev</w:t>
            </w:r>
            <w:r>
              <w:t xml:space="preserve"> ter omogočanje drugim vlagateljem, da ohranijo kulturo in tradicijo nekdanjih premogovniških in šotnih regij; </w:t>
            </w:r>
            <w:r>
              <w:rPr>
                <w:b/>
                <w:i/>
              </w:rPr>
              <w:t>spodbuja izmenjavo znanja in najboljših praks med regijami v prehodu, omogočanje vzajemnega učenja, krepitev zmogljivosti in pospeševanje trajnostnega razvoja;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meni, da bi morala Komisija za vsako državo članico določiti jasne parametre, ki bi jim ta sledila na področjih, kot so naložbe v izobraževanje in usposabljanje ter omogočanje drugim vlagateljem, da ohranijo kulturo in tradicijo nekdanjih premogovniških in šotnih regij;</w:t>
            </w:r>
          </w:p>
        </w:tc>
        <w:tc>
          <w:tcPr>
            <w:tcW w:w="4876" w:type="dxa"/>
            <w:tcBorders>
              <w:top w:val="nil"/>
              <w:left w:val="nil"/>
              <w:bottom w:val="nil"/>
              <w:right w:val="nil"/>
            </w:tcBorders>
          </w:tcPr>
          <w:p>
            <w:pPr>
              <w:pStyle w:val="Normal6a"/>
            </w:pPr>
            <w:r>
              <w:t>16.</w:t>
            </w:r>
            <w:r>
              <w:tab/>
            </w:r>
            <w:r>
              <w:t>meni, da bi morala Komisija za vsako državo članico določiti jasne parametre, ki bi jim ta sledila na področjih, kot so naložbe v izobraževanje</w:t>
            </w:r>
            <w:r>
              <w:rPr>
                <w:b/>
                <w:i/>
              </w:rPr>
              <w:t>, izpopolnjevanje, preusposabljanje</w:t>
            </w:r>
            <w:r>
              <w:t xml:space="preserve"> in usposabljanje ter omogočanje drugim vlagateljem, da ohranijo kulturo in tradicijo nekdanjih premogovniških in šotnih regij; </w:t>
            </w:r>
            <w:r>
              <w:rPr>
                <w:b/>
                <w:i/>
              </w:rPr>
              <w:t>poleg tega poziva k sinergijam s pobudo novi evropski Bauhaus, da bi razmislili o projektih, s katerimi se stari industrijski objekti preoblikujejo v socialna in kulturna prizorišča, zlasti v zapostavljenih soseskah;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meni, da bi morala Komisija za vsako državo članico določiti jasne parametre, ki bi jim ta sledila na področjih, kot so naložbe v izobraževanje in usposabljanje ter omogočanje drugim vlagateljem, da ohranijo kulturo in tradicijo nekdanjih premogovniških in šotnih regij;</w:t>
            </w:r>
          </w:p>
        </w:tc>
        <w:tc>
          <w:tcPr>
            <w:tcW w:w="4876" w:type="dxa"/>
            <w:tcBorders>
              <w:top w:val="nil"/>
              <w:left w:val="nil"/>
              <w:bottom w:val="nil"/>
              <w:right w:val="nil"/>
            </w:tcBorders>
          </w:tcPr>
          <w:p>
            <w:pPr>
              <w:pStyle w:val="Normal6a"/>
            </w:pPr>
            <w:r>
              <w:t>16.</w:t>
            </w:r>
            <w:r>
              <w:tab/>
            </w:r>
            <w:r>
              <w:t>meni, da bi morala Komisija za vsako državo članico določiti jasne parametre, ki bi jim ta sledila na področjih, kot so naložbe v izobraževanje in usposabljanje ter omogočanje drugim vlagateljem, da ohranijo kulturo in tradicijo nekdanjih premogovniških in šotnih regij</w:t>
            </w:r>
            <w:r>
              <w:rPr>
                <w:b/>
                <w:i/>
              </w:rPr>
              <w:t> ter za čiščenje onesnaženih območij v okolici krajev pridobivanja premoga ali šote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priznava bistveno vlogo, ki jo ima Evropska investicijska banka pri podpiranju pravičnega prehoda;</w:t>
            </w:r>
            <w:r>
              <w:t xml:space="preserve"> </w:t>
            </w:r>
            <w:r>
              <w:rPr>
                <w:b/>
                <w:i/>
              </w:rPr>
              <w:t>poudarja, da je treba še naprej krepiti sodelovanje med javnimi in zasebnimi finančnimi institucijami, da bi spodbudili dodatne naložbe in zagotovili, da nobena regija ali skupnost ne bo zapostavljena pri prehodu na trajnostno gospodarstvo;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poudarja, da je treba s teritorialnim lokalnim pristopom podpreti vsa finančna orodja, ki podpirajo pravični prehod, zlasti tista, ki spodbujajo odpornost industrije in inovacije;</w:t>
            </w:r>
            <w:r>
              <w:t xml:space="preserve"> </w:t>
            </w:r>
            <w:r>
              <w:rPr>
                <w:b/>
                <w:i/>
              </w:rPr>
              <w:t>poudarja, da je tak pristop bistven za učinkovito reševanje različnih regionalnih izzivov in sprostitev lokalnega razvojnega potenciala;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Ciaran Mullooly, Ľubica Karvašová,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poudarja, da morajo načrti za območja pravičnega prehoda vključevati jasno zavezanost razvoju strateških pobud za obnovo in razvoj, poseben poudarek pa morajo nameniti razvoju podjetij in ustvarjanju delovnih mest na območjih, ki jih je zaprtje proizvodnje fosilnih goriv najbolj prizadelo;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poudarja, da se je treba osredotočiti na ukrepe, kot je sprememba namembnosti starih industrijskih obratov in rudnikov v nove inovativne, zelene in interaktivne centre za kulturo in druge večnamenske dejavnosti;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poziva, naj se na lokalni ravni zagotovi večja svoboda izbire na poti k razogljičenju, in sicer s spodbujanjem številnih rešitev v skladu s tehnološkim, političnim in gospodarskim vidikom;</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16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meni, da bi bilo treba dati prednost naložbam z učinkom in jih usmeriti v lokalno zeleno infrastrukturo in projekte na področju energije iz obnovljivih virov, ki se osredotočajo na izboljšanje energetske učinkovitosti, vključno z obnovo, razvojem in naknadnim opremljanjem energetsko učinkovitih stavb, lokalno infrastrukturo za recikliranje in ravnanje z odpadki, širitvijo regionalnih in lokalnih sončnih in vetrnih elektrarn ter hidroelektrarn, trajnostnim prometom, ki spodbuja lokalna gospodarstva in ponuja velik potencial za ustvarjanje lokalnih delovnih mest, ki jih ni mogoče preseliti v tujino, na področju gradbeništva, inženirstva, vzdrževanja in v sorodnih industrijah;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16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poziva k povečanju sinergij med javnim in zasebnim sektorjem, da bosta lahko skupaj obravnavala prehod in tako utrla pot produktivnemu preoblikovanju zadevnih območij;</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priznava, da primanjkuje sredstev za obsežne projekte od spodaj navzgor; priporoča, da SPP zapolni te vrzeli, ko se ugotovi potreba;</w:t>
            </w:r>
          </w:p>
        </w:tc>
        <w:tc>
          <w:tcPr>
            <w:tcW w:w="4876" w:type="dxa"/>
            <w:tcBorders>
              <w:top w:val="nil"/>
              <w:left w:val="nil"/>
              <w:bottom w:val="nil"/>
              <w:right w:val="nil"/>
            </w:tcBorders>
          </w:tcPr>
          <w:p>
            <w:pPr>
              <w:pStyle w:val="Normal6a"/>
            </w:pPr>
            <w:r>
              <w:t>17.</w:t>
            </w:r>
            <w:r>
              <w:tab/>
            </w:r>
            <w:r>
              <w:t xml:space="preserve">priznava, da primanjkuje sredstev za obsežne projekte od spodaj navzgor; priporoča, da SPP zapolni te vrzeli, ko se ugotovi potreba; </w:t>
            </w:r>
            <w:r>
              <w:rPr>
                <w:b/>
                <w:i/>
              </w:rPr>
              <w:t>poudarja, da je treba regijam že v najzgodnejših fazah zagotoviti namensko tehnično podporo, da bi okrepili njihove zmogljivosti za načrtovanje od spodaj navzgor, morebitnim upravičencem pa pomagali pri pripravi kakovostnih in učinkovitih projektov;</w:t>
            </w:r>
            <w:r>
              <w:t xml:space="preserve"> </w:t>
            </w:r>
            <w:r>
              <w:rPr>
                <w:b/>
                <w:i/>
              </w:rPr>
              <w:t>poziva k vzpostavitvi trdnega usklajevalnega mehanizma, ki bo omogočal dejavno vključevanje regionalnih in lokalnih organov v razvoj, izvajanje in nadzor območnih načrtov za pravični prehod;</w:t>
            </w:r>
            <w:r>
              <w:t xml:space="preserve"> </w:t>
            </w:r>
            <w:r>
              <w:rPr>
                <w:b/>
                <w:i/>
              </w:rPr>
              <w:t>poudarja, da je treba v celoti upoštevati teritorialne posebnosti in zagotoviti smiselno sodelovanje lokalnih deležnikov, vključno s civilno družbo, sindikati, visokošolskimi ustanovami in gospodarskimi zbornicami, v postopku odločanja;</w:t>
            </w:r>
            <w:r>
              <w:t xml:space="preserve"> </w:t>
            </w:r>
            <w:r>
              <w:rPr>
                <w:b/>
                <w:i/>
              </w:rPr>
              <w:t>poziva k razvoju jasne in operativne strategije za povečanje uspešnosti organov upravljanja pri črpanju sredstev, ki bo združevala praktično pomoč in podporo kapitalskim naložbam ter spodbujala uporabo praktičnih orodij, kot so mehanizmi tehnične pomoči in vzpostavitev regionalnih točk „vse na enem mestu“, s katerimi bi poenostavili dostop do financiranja in izboljšali učinkovitost izvajanja;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priznava, da primanjkuje sredstev za obsežne projekte od spodaj navzgor; priporoča, da SPP zapolni te vrzeli</w:t>
            </w:r>
            <w:r>
              <w:rPr>
                <w:b/>
                <w:i/>
              </w:rPr>
              <w:t>, ko se ugotovi potreba</w:t>
            </w:r>
            <w:r>
              <w:t>;</w:t>
            </w:r>
          </w:p>
        </w:tc>
        <w:tc>
          <w:tcPr>
            <w:tcW w:w="4876" w:type="dxa"/>
            <w:tcBorders>
              <w:top w:val="nil"/>
              <w:left w:val="nil"/>
              <w:bottom w:val="nil"/>
              <w:right w:val="nil"/>
            </w:tcBorders>
          </w:tcPr>
          <w:p>
            <w:pPr>
              <w:pStyle w:val="Normal6a"/>
            </w:pPr>
            <w:r>
              <w:t>17.</w:t>
            </w:r>
            <w:r>
              <w:tab/>
            </w:r>
            <w:r>
              <w:t xml:space="preserve">priznava, da primanjkuje sredstev za obsežne projekte od spodaj navzgor; priporoča, da SPP zapolni te vrzeli </w:t>
            </w:r>
            <w:r>
              <w:rPr>
                <w:b/>
                <w:i/>
              </w:rPr>
              <w:t>ter naj sredstva Evropskega sklada za regionalni razvoj in SPP dajejo posebno prednost naložbam v osnovno infrastrukturo, socialne storitve, logistična omrežja in povezljivost, da bi bili novi poslovni projekti izvedljivi v občinah v prehodu</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Ciaran Mullooly, Ľubica Karvašová,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priznava, da primanjkuje sredstev za obsežne projekte od spodaj navzgor; priporoča, da </w:t>
            </w:r>
            <w:r>
              <w:rPr>
                <w:b/>
                <w:i/>
              </w:rPr>
              <w:t>SPP zapolni</w:t>
            </w:r>
            <w:r>
              <w:t xml:space="preserve"> te vrzeli, ko se ugotovi potreba;</w:t>
            </w:r>
          </w:p>
        </w:tc>
        <w:tc>
          <w:tcPr>
            <w:tcW w:w="4876" w:type="dxa"/>
            <w:tcBorders>
              <w:top w:val="nil"/>
              <w:left w:val="nil"/>
              <w:bottom w:val="nil"/>
              <w:right w:val="nil"/>
            </w:tcBorders>
          </w:tcPr>
          <w:p>
            <w:pPr>
              <w:pStyle w:val="Normal6a"/>
            </w:pPr>
            <w:r>
              <w:t>17.</w:t>
            </w:r>
            <w:r>
              <w:tab/>
            </w:r>
            <w:r>
              <w:t xml:space="preserve">priznava, da primanjkuje sredstev za obsežne projekte od spodaj navzgor; priporoča, da </w:t>
            </w:r>
            <w:r>
              <w:rPr>
                <w:b/>
                <w:i/>
              </w:rPr>
              <w:t>se</w:t>
            </w:r>
            <w:r>
              <w:t xml:space="preserve"> te vrzeli</w:t>
            </w:r>
            <w:r>
              <w:rPr>
                <w:b/>
                <w:i/>
              </w:rPr>
              <w:t> zapolnijo z nadaljevanjem SPP</w:t>
            </w:r>
            <w:r>
              <w:t>, ko se ugotovi potreba;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priznava, da primanjkuje sredstev za obsežne projekte od spodaj navzgor; priporoča, da SPP zapolni te vrzeli, ko se ugotovi potreba;</w:t>
            </w:r>
          </w:p>
        </w:tc>
        <w:tc>
          <w:tcPr>
            <w:tcW w:w="4876" w:type="dxa"/>
            <w:tcBorders>
              <w:top w:val="nil"/>
              <w:left w:val="nil"/>
              <w:bottom w:val="nil"/>
              <w:right w:val="nil"/>
            </w:tcBorders>
          </w:tcPr>
          <w:p>
            <w:pPr>
              <w:pStyle w:val="Normal6a"/>
            </w:pPr>
            <w:r>
              <w:t>17.</w:t>
            </w:r>
            <w:r>
              <w:tab/>
            </w:r>
            <w:r>
              <w:t xml:space="preserve">priznava, da primanjkuje sredstev za obsežne projekte od spodaj navzgor; priporoča, da SPP </w:t>
            </w:r>
            <w:r>
              <w:rPr>
                <w:b/>
                <w:i/>
              </w:rPr>
              <w:t>ali drug prihodnji mehanizem</w:t>
            </w:r>
            <w:r>
              <w:t xml:space="preserve"> zapolni te vrzeli, ko se ugotovi potreba;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poudarja potencial, ki ga ima demokratično in participativno ekološko načrtovanje za ustvarjanje delovnih mest;</w:t>
            </w:r>
            <w:r>
              <w:t xml:space="preserve"> </w:t>
            </w:r>
            <w:r>
              <w:rPr>
                <w:b/>
                <w:i/>
              </w:rPr>
              <w:t>poudarja, da je treba za pospešitev zelenega in pravičnega prehoda okrepiti zmogljivosti na vseh ravneh, zlasti pa je treba okrepiti lokalno in regionalno upravo in zanjo nameniti dovolj sredstev, da bi zagotovili participativno ekološko načrtovanje, kakovostno okoljsko presojo vpliva projektov na okolje, zanesljivo analizo načela, „da se ne škoduje bistveno“, učinkovito izvajanje okoljske in podnebne zakonodaje, ter zagotovili uporabo sredstev EU in obenem zmanjšali tveganje razveljavitve obveznosti ob koncu obdobij financiranja;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poziva Komisijo in države članice, naj vzpostavijo mehanizme, ki bodo v skladu z načelom upravljanja na več ravneh iz Uredbe (EU) 2021/1060 zagotavljali učinkovito sodelovanje lokalnih organov pri načrtovanju, izbiri in izvajanju projektov, ki se financirajo iz SPP, pri čemer naj predvidijo več kot zgolj javno posvetovanje;</w:t>
            </w:r>
            <w:r>
              <w:t xml:space="preserve"> </w:t>
            </w:r>
            <w:r>
              <w:rPr>
                <w:b/>
                <w:i/>
              </w:rPr>
              <w:t>poudarja, da bi s takšnim sodelovanjem izboljšali prilagajanje projektov dejanskim potrebam območij;</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poudarja, da je treba uskladiti kohezijsko politiko, tudi SPP, z regionalnimi inovacijskimi strategijami in prednostnimi nalogami pametne specializacije, da bi povečali regionalno konkurenčnost in zagotovili, da naložbe v izobraževanje, raziskave, inovacije in digitalizacijo neposredno podpirajo gospodarsko diverzifikacijo in odpornost območij v prehodu;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poudarja, da je treba prilagoditi mehanizme financiranja EU, da bodo nudili boljšo pomoč regijam, ki se spoprijemajo z največjimi izzivi pri doseganju zelenega prehoda;</w:t>
            </w:r>
            <w:r>
              <w:t xml:space="preserve"> </w:t>
            </w:r>
            <w:r>
              <w:rPr>
                <w:b/>
                <w:i/>
              </w:rPr>
              <w:t>poudarja, da je treba v naslednjem večletnem finančnem okviru upoštevati asimetrične učinke razogljičenja, ki lahko povečajo obstoječe gospodarske in socialne razlike na podnacionalni ravni;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André Rougé, Rody Tolassy, 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priporoča, da smejo države članice del sredstev SPP prosto prerazporediti med druge prednostne naloge, povezane s pravičnim prehodom, v skladu s posebnimi gospodarskimi in socialnimi potrebami svojih regij, ne da bi za to potrebovale sistematično predhodno odobritev Komisije;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Ana Miranda Paz, 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17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poudarja, da bi moral imeti SPP odločilno vlogo pri spodbujanju razogljičenja in da je treba zagotoviti, da se projektom, ki promovirajo zavajajoče zelene trditve, prepove dostop do sredstev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17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poudarja, da je treba civilno družbo bolj vključiti v odločanje ter spodbujati pristope od spodaj navzgor, da bi najbolje zadostili lokalnim in regionalnim potrebam;</w:t>
            </w:r>
            <w:r>
              <w:t xml:space="preserve"> </w:t>
            </w:r>
            <w:r>
              <w:rPr>
                <w:b/>
                <w:i/>
              </w:rPr>
              <w:t>zato poziva Komisijo, naj v okviru prihodnje poenostavitve kohezijske politike okrepi pristop od spodaj navzgor in zagotovi ustrezno posvetovanje in sodelovanje z lokalnimi in regionalnimi organi, nevladnimi organizacijami ter malimi in srednjimi podjetji;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priznava, da interesne skupine društev in združenj, ki zaprosijo za sredstva iz SPP, nimajo ujemajočega financiranja;</w:t>
            </w:r>
            <w:r>
              <w:t xml:space="preserve"> </w:t>
            </w:r>
            <w:r>
              <w:rPr>
                <w:b/>
                <w:i/>
              </w:rPr>
              <w:t>predlaga, da se skupinam, ki so ocenjene kot manj tvegane, odobri do 90 % predhodnega financiranja, da bi se te skupine izognile visokim obrestnim meram za ujemajoče in premostitveno financiranje;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priznava, da interesne skupine društev in združenj, ki zaprosijo za sredstva iz SPP, nimajo ujemajočega financiranja; </w:t>
            </w:r>
            <w:r>
              <w:rPr>
                <w:b/>
                <w:i/>
              </w:rPr>
              <w:t>predlaga, da se skupinam, ki so ocenjene kot manj tvegane, odobri do 90 % predhodnega financiranja, da bi se te skupine izognile visokim obrestnim meram za ujemajoče in premostitveno financiranje;</w:t>
            </w:r>
          </w:p>
        </w:tc>
        <w:tc>
          <w:tcPr>
            <w:tcW w:w="4876" w:type="dxa"/>
            <w:tcBorders>
              <w:top w:val="nil"/>
              <w:left w:val="nil"/>
              <w:bottom w:val="nil"/>
              <w:right w:val="nil"/>
            </w:tcBorders>
          </w:tcPr>
          <w:p>
            <w:pPr>
              <w:pStyle w:val="Normal6a"/>
            </w:pPr>
            <w:r>
              <w:t>18.</w:t>
            </w:r>
            <w:r>
              <w:tab/>
            </w:r>
            <w:r>
              <w:t>priznava, da interesne skupine društev in združenj, ki zaprosijo za sredstva iz SPP, nimajo ujemajočega financiranja;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Ciaran Mullooly, Ľubica Karvašová,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priznava, da interesne skupine društev in združenj, ki zaprosijo za sredstva iz SPP, nimajo ujemajočega financiranja</w:t>
            </w:r>
            <w:r>
              <w:rPr>
                <w:b/>
                <w:i/>
              </w:rPr>
              <w:t>;</w:t>
            </w:r>
            <w:r>
              <w:t xml:space="preserve"> </w:t>
            </w:r>
            <w:r>
              <w:rPr>
                <w:b/>
                <w:i/>
              </w:rPr>
              <w:t>predlaga</w:t>
            </w:r>
            <w:r>
              <w:t>, da se skupinam, ki so ocenjene kot manj tvegane, odobri do 90 % predhodnega financiranja, da bi se te skupine izognile visokim obrestnim meram za ujemajoče in premostitveno financiranje;</w:t>
            </w:r>
          </w:p>
        </w:tc>
        <w:tc>
          <w:tcPr>
            <w:tcW w:w="4876" w:type="dxa"/>
            <w:tcBorders>
              <w:top w:val="nil"/>
              <w:left w:val="nil"/>
              <w:bottom w:val="nil"/>
              <w:right w:val="nil"/>
            </w:tcBorders>
          </w:tcPr>
          <w:p>
            <w:pPr>
              <w:pStyle w:val="Normal6a"/>
            </w:pPr>
            <w:r>
              <w:t>18.</w:t>
            </w:r>
            <w:r>
              <w:tab/>
            </w:r>
            <w:r>
              <w:t>priznava, da interesne skupine društev in združenj, ki zaprosijo za sredstva iz SPP, nimajo ujemajočega financiranja</w:t>
            </w:r>
            <w:r>
              <w:rPr>
                <w:b/>
                <w:i/>
              </w:rPr>
              <w:t> in poziva k poenostavljenemu mehanizmu financiranja, tudi s tem</w:t>
            </w:r>
            <w:r>
              <w:t>, da se skupinam, ki so ocenjene kot manj tvegane, odobri do 90 % predhodnega financiranja, da bi se te skupine izognile visokim obrestnim meram za ujemajoče in premostitveno financiranje</w:t>
            </w:r>
            <w:r>
              <w:rPr>
                <w:b/>
                <w:i/>
              </w:rPr>
              <w:t>, s čimer bi se lokalne prostovoljne organizacije in organizacije skupnosti opolnomočilo za učinkovito izvajanje projektov, povezanih s prehodom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Nora Mebarek, Sérgio Gonçalves,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priznava, da interesne skupine društev in združenj, ki zaprosijo za sredstva iz SPP, nimajo ujemajočega financiranja; </w:t>
            </w:r>
            <w:r>
              <w:rPr>
                <w:b/>
                <w:i/>
              </w:rPr>
              <w:t>predlaga, da se</w:t>
            </w:r>
            <w:r>
              <w:t xml:space="preserve"> skupinam, ki so ocenjene kot manj tvegane, </w:t>
            </w:r>
            <w:r>
              <w:rPr>
                <w:b/>
                <w:i/>
              </w:rPr>
              <w:t>odobri do 90 % predhodnega financiranja</w:t>
            </w:r>
            <w:r>
              <w:t>, da bi se te skupine izognile visokim obrestnim meram za ujemajoče in premostitveno financiranje;</w:t>
            </w:r>
          </w:p>
        </w:tc>
        <w:tc>
          <w:tcPr>
            <w:tcW w:w="4876" w:type="dxa"/>
            <w:tcBorders>
              <w:top w:val="nil"/>
              <w:left w:val="nil"/>
              <w:bottom w:val="nil"/>
              <w:right w:val="nil"/>
            </w:tcBorders>
          </w:tcPr>
          <w:p>
            <w:pPr>
              <w:pStyle w:val="Normal6a"/>
            </w:pPr>
            <w:r>
              <w:t>18.</w:t>
            </w:r>
            <w:r>
              <w:tab/>
            </w:r>
            <w:r>
              <w:t xml:space="preserve">priznava, da interesne skupine društev in združenj, ki zaprosijo za sredstva iz SPP, nimajo ujemajočega financiranja; </w:t>
            </w:r>
            <w:r>
              <w:rPr>
                <w:b/>
                <w:i/>
              </w:rPr>
              <w:t>poudarja, da je treba</w:t>
            </w:r>
            <w:r>
              <w:t xml:space="preserve"> skupinam, ki so ocenjene kot manj tvegane, </w:t>
            </w:r>
            <w:r>
              <w:rPr>
                <w:b/>
                <w:i/>
              </w:rPr>
              <w:t>odobriti zadostno predhodno financiranje</w:t>
            </w:r>
            <w:r>
              <w:t>, da bi se te skupine izognile visokim obrestnim meram za ujemajoče in premostitveno financiranje;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priznava, da interesne skupine društev in združenj, ki zaprosijo za sredstva iz SPP, nimajo ujemajočega financiranja; predlaga, da se skupinam, ki so ocenjene kot manj tvegane, odobri do 90 % predhodnega financiranja, da bi se te skupine izognile visokim obrestnim meram za ujemajoče in premostitveno financiranje;</w:t>
            </w:r>
          </w:p>
        </w:tc>
        <w:tc>
          <w:tcPr>
            <w:tcW w:w="4876" w:type="dxa"/>
            <w:tcBorders>
              <w:top w:val="nil"/>
              <w:left w:val="nil"/>
              <w:bottom w:val="nil"/>
              <w:right w:val="nil"/>
            </w:tcBorders>
          </w:tcPr>
          <w:p>
            <w:pPr>
              <w:pStyle w:val="Normal6a"/>
            </w:pPr>
            <w:r>
              <w:t>18.</w:t>
            </w:r>
            <w:r>
              <w:tab/>
            </w:r>
            <w:r>
              <w:t xml:space="preserve">priznava, da interesne skupine društev in združenj, ki zaprosijo za sredstva iz SPP, nimajo ujemajočega financiranja; predlaga, da se skupinam, ki so ocenjene kot manj tvegane, odobri do 90 % predhodnega financiranja, da bi se te skupine izognile visokim obrestnim meram </w:t>
            </w:r>
            <w:r>
              <w:rPr>
                <w:b/>
                <w:i/>
              </w:rPr>
              <w:t>in pristojbinam</w:t>
            </w:r>
            <w:r>
              <w:t xml:space="preserve"> za ujemajoče in premostitveno financiranje;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poudarja, da pravila o državni pomoči negativno vplivajo na prostovoljne in neprofitne skupine, ter poziva, da se prostovoljnim skupinam, ki veljajo za manj tvegane, zagotovi več prožnosti pri doseganju ciljev na področju zaposlovanja;</w:t>
            </w:r>
          </w:p>
        </w:tc>
        <w:tc>
          <w:tcPr>
            <w:tcW w:w="4876" w:type="dxa"/>
            <w:tcBorders>
              <w:top w:val="nil"/>
              <w:left w:val="nil"/>
              <w:bottom w:val="nil"/>
              <w:right w:val="nil"/>
            </w:tcBorders>
          </w:tcPr>
          <w:p>
            <w:pPr>
              <w:pStyle w:val="Normal6a"/>
            </w:pPr>
            <w:r>
              <w:t>19.</w:t>
            </w:r>
            <w:r>
              <w:tab/>
            </w:r>
            <w:r>
              <w:t xml:space="preserve">poudarja, da pravila o državni pomoči negativno vplivajo na prostovoljne in neprofitne skupine, ter poziva, da se prostovoljnim skupinam, ki veljajo za manj tvegane, zagotovi več prožnosti pri doseganju ciljev na področju zaposlovanja; </w:t>
            </w:r>
            <w:r>
              <w:rPr>
                <w:b/>
                <w:i/>
              </w:rPr>
              <w:t>poudarja, da imajo subjekti socialnega gospodarstva bistveno vlogo pri zagotavljanju konkretnih odzivov na socialne potrebe državljanov EU, ki temeljijo na skupnosti, in pri podpiranju vključujočih, na ljudi osredotočenih rešitev za pravičen prehod;</w:t>
            </w:r>
            <w:r>
              <w:t xml:space="preserve"> </w:t>
            </w:r>
            <w:r>
              <w:rPr>
                <w:b/>
                <w:i/>
              </w:rPr>
              <w:t>poziva Komisijo, naj pregleda in prilagodi obstoječa pravila o državni pomoči, tudi tako, da dvigne najvišje prage državne pomoči za dejavnosti, namenjene ponovnemu vključevanju na trg dela;</w:t>
            </w:r>
            <w:r>
              <w:t xml:space="preserve"> </w:t>
            </w:r>
            <w:r>
              <w:rPr>
                <w:b/>
                <w:i/>
              </w:rPr>
              <w:t>poudarja, da so take prilagoditve potrebne, da bi akterjem socialnega gospodarstva omogočili smiseln prispevek k doseganju ciljev EU na področju zaposlovanja in kohezije, zlasti v ranljivih regijah in regijah v prehodu;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poudarja, da pravila o državni pomoči </w:t>
            </w:r>
            <w:r>
              <w:rPr>
                <w:b/>
                <w:i/>
              </w:rPr>
              <w:t>negativno vplivajo na</w:t>
            </w:r>
            <w:r>
              <w:t xml:space="preserve"> prostovoljne in neprofitne skupine</w:t>
            </w:r>
            <w:r>
              <w:rPr>
                <w:b/>
                <w:i/>
              </w:rPr>
              <w:t>, ter poziva, da se prostovoljnim skupinam, ki veljajo za manj tvegane, zagotovi več prožnosti pri doseganju ciljev na področju zaposlovanja</w:t>
            </w:r>
            <w:r>
              <w:t>;</w:t>
            </w:r>
          </w:p>
        </w:tc>
        <w:tc>
          <w:tcPr>
            <w:tcW w:w="4876" w:type="dxa"/>
            <w:tcBorders>
              <w:top w:val="nil"/>
              <w:left w:val="nil"/>
              <w:bottom w:val="nil"/>
              <w:right w:val="nil"/>
            </w:tcBorders>
          </w:tcPr>
          <w:p>
            <w:pPr>
              <w:pStyle w:val="Normal6a"/>
            </w:pPr>
            <w:r>
              <w:t>19.</w:t>
            </w:r>
            <w:r>
              <w:tab/>
            </w:r>
            <w:r>
              <w:t xml:space="preserve">poudarja, da </w:t>
            </w:r>
            <w:r>
              <w:rPr>
                <w:b/>
                <w:i/>
              </w:rPr>
              <w:t>se lahko v utemeljenih okoliščinah</w:t>
            </w:r>
            <w:r>
              <w:t xml:space="preserve"> pravila o državni pomoči </w:t>
            </w:r>
            <w:r>
              <w:rPr>
                <w:b/>
                <w:i/>
              </w:rPr>
              <w:t>omilijo za</w:t>
            </w:r>
            <w:r>
              <w:t xml:space="preserve"> prostovoljne in neprofitne skupine;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poudarja, da pravila o državni pomoči negativno vplivajo na prostovoljne in neprofitne skupine, ter poziva, da se prostovoljnim skupinam, ki veljajo za manj tvegane, zagotovi več prožnosti pri doseganju ciljev na področju zaposlovanja;</w:t>
            </w:r>
          </w:p>
        </w:tc>
        <w:tc>
          <w:tcPr>
            <w:tcW w:w="4876" w:type="dxa"/>
            <w:tcBorders>
              <w:top w:val="nil"/>
              <w:left w:val="nil"/>
              <w:bottom w:val="nil"/>
              <w:right w:val="nil"/>
            </w:tcBorders>
          </w:tcPr>
          <w:p>
            <w:pPr>
              <w:pStyle w:val="Normal6a"/>
            </w:pPr>
            <w:r>
              <w:t>19.</w:t>
            </w:r>
            <w:r>
              <w:tab/>
            </w:r>
            <w:r>
              <w:t xml:space="preserve">poudarja, da pravila o državni pomoči </w:t>
            </w:r>
            <w:r>
              <w:rPr>
                <w:b/>
                <w:i/>
              </w:rPr>
              <w:t>pomenijo oviro in</w:t>
            </w:r>
            <w:r>
              <w:t xml:space="preserve"> negativno vplivajo na prostovoljne in neprofitne skupine, ter poziva, da se prostovoljnim skupinam, ki veljajo za manj tvegane, zagotovi več prožnosti pri doseganju ciljev na področju zaposlovanja;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André Rougé, Rody Tolassy, 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poziva Komisijo, naj </w:t>
            </w:r>
            <w:r>
              <w:rPr>
                <w:b/>
                <w:i/>
              </w:rPr>
              <w:t>sodeluje z državami članicami, da bi izboljšale doslednost in jasnost pri razlagi zakonodaje EU</w:t>
            </w:r>
            <w:r>
              <w:t xml:space="preserve"> o državni pomoči</w:t>
            </w:r>
            <w:r>
              <w:rPr>
                <w:b/>
                <w:i/>
              </w:rPr>
              <w:t>, če se ta uporablja za družbene in neprofitne skupine</w:t>
            </w:r>
            <w:r>
              <w:t>;</w:t>
            </w:r>
          </w:p>
        </w:tc>
        <w:tc>
          <w:tcPr>
            <w:tcW w:w="4876" w:type="dxa"/>
            <w:tcBorders>
              <w:top w:val="nil"/>
              <w:left w:val="nil"/>
              <w:bottom w:val="nil"/>
              <w:right w:val="nil"/>
            </w:tcBorders>
          </w:tcPr>
          <w:p>
            <w:pPr>
              <w:pStyle w:val="Normal6a"/>
            </w:pPr>
            <w:r>
              <w:t>20.</w:t>
            </w:r>
            <w:r>
              <w:tab/>
            </w:r>
            <w:r>
              <w:t xml:space="preserve">poziva Komisijo, naj </w:t>
            </w:r>
            <w:r>
              <w:rPr>
                <w:b/>
                <w:i/>
              </w:rPr>
              <w:t>zagotovi, da bodo imele države članice več manevrskega prostora pri uporabi pravil</w:t>
            </w:r>
            <w:r>
              <w:t xml:space="preserve"> o državni pomoči </w:t>
            </w:r>
            <w:r>
              <w:rPr>
                <w:b/>
                <w:i/>
              </w:rPr>
              <w:t>za projekte SPP, da ne bi prestroga ureditev ovirala nacionalnih pobud za pravičen prehod</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Nora Mebarek, Marcos Ros Sempere,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poziva Komisijo, naj sodeluje z državami članicami, da bi dosegli večjo vključenost regionalnih in lokalnih organov v opredeljevanje in izvajanje projektov, povezanih s Skladom za pravični prehod;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poziva Komisijo, naj omogoči vzpostavitev sistema zelenih skupnosti, ki bo omogočal lokalno udeležbo v projektih zelene energije v skupnosti in bo nekdanjim delavcem in njihovim družinam omogočal, da vanje vlagajo in pri njih sodelujejo;</w:t>
            </w:r>
            <w:r>
              <w:t xml:space="preserve"> </w:t>
            </w:r>
            <w:r>
              <w:rPr>
                <w:b/>
                <w:i/>
              </w:rPr>
              <w:t>opozarja na uspeh podobnih pobud;</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poziva Komisijo, naj omogoči vzpostavitev sistema zelenih skupnosti, ki bo omogočal lokalno udeležbo v projektih zelene energije v skupnosti in bo nekdanjim delavcem in njihovim družinam omogočal, da vanje vlagajo in pri njih sodelujejo;</w:t>
            </w:r>
            <w:r>
              <w:t xml:space="preserve"> </w:t>
            </w:r>
            <w:r>
              <w:rPr>
                <w:b/>
                <w:i/>
              </w:rPr>
              <w:t>opozarja na uspeh podobnih pobud;</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poziva Komisijo, naj omogoči vzpostavitev sistema zelenih skupnosti, ki bo omogočal lokalno udeležbo v projektih zelene energije v skupnosti in bo nekdanjim delavcem in njihovim družinam omogočal, da vanje vlagajo in pri njih sodelujejo;</w:t>
            </w:r>
            <w:r>
              <w:t xml:space="preserve"> </w:t>
            </w:r>
            <w:r>
              <w:rPr>
                <w:b/>
                <w:i/>
              </w:rPr>
              <w:t>opozarja na uspeh podobnih pobud;</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Ciaran Mullooly,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poziva Komisijo, naj omogoči vzpostavitev sistema zelenih skupnosti, ki bo omogočal lokalno udeležbo v projektih zelene energije v skupnosti in bo nekdanjim delavcem in njihovim družinam omogočal, da vanje vlagajo in pri njih sodelujejo; opozarja na uspeh podobnih pobud;</w:t>
            </w:r>
          </w:p>
        </w:tc>
        <w:tc>
          <w:tcPr>
            <w:tcW w:w="4876" w:type="dxa"/>
            <w:tcBorders>
              <w:top w:val="nil"/>
              <w:left w:val="nil"/>
              <w:bottom w:val="nil"/>
              <w:right w:val="nil"/>
            </w:tcBorders>
          </w:tcPr>
          <w:p>
            <w:pPr>
              <w:pStyle w:val="Normal6a"/>
            </w:pPr>
            <w:r>
              <w:t>21.</w:t>
            </w:r>
            <w:r>
              <w:tab/>
            </w:r>
            <w:r>
              <w:t xml:space="preserve">poziva Komisijo, naj omogoči vzpostavitev sistema zelenih skupnosti, ki bo omogočal lokalno udeležbo v projektih zelene energije v skupnosti in bo nekdanjim delavcem in njihovim družinam omogočal, da vanje vlagajo in pri njih sodelujejo; opozarja na uspeh podobnih pobud; </w:t>
            </w:r>
            <w:r>
              <w:rPr>
                <w:b/>
                <w:i/>
              </w:rPr>
              <w:t>poudarja, da je treba razviti izboljšan model koristi skupnosti, specifičen za regijo pravičnega prehoda, da bi zagotovili dodatne prihodke in delitev dobička iz državnih in zasebnih razvojnih dejavnosti na področju energije iz obnovljivih virov za daljše obdobje, z večjo prožnostjo pri uporabi sredstev, ki bi vključevala tudi razvoj podjetij in ustvarjanje delovnih mest;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Nora Mebarek, Sérgio Gonçalves,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poziva </w:t>
            </w:r>
            <w:r>
              <w:rPr>
                <w:b/>
                <w:i/>
              </w:rPr>
              <w:t>Komisijo, naj omogoči vzpostavitev sistema zelenih skupnosti, ki bo omogočal lokalno udeležbo v projektih zelene energije v skupnosti in bo nekdanjim delavcem in njihovim družinam omogočal, da vanje vlagajo in pri njih sodelujejo;</w:t>
            </w:r>
            <w:r>
              <w:t xml:space="preserve"> </w:t>
            </w:r>
            <w:r>
              <w:rPr>
                <w:b/>
                <w:i/>
              </w:rPr>
              <w:t>opozarja na uspeh podobnih pobud</w:t>
            </w:r>
            <w:r>
              <w:t>;</w:t>
            </w:r>
          </w:p>
        </w:tc>
        <w:tc>
          <w:tcPr>
            <w:tcW w:w="4876" w:type="dxa"/>
            <w:tcBorders>
              <w:top w:val="nil"/>
              <w:left w:val="nil"/>
              <w:bottom w:val="nil"/>
              <w:right w:val="nil"/>
            </w:tcBorders>
          </w:tcPr>
          <w:p>
            <w:pPr>
              <w:pStyle w:val="Normal6a"/>
            </w:pPr>
            <w:r>
              <w:t>21.</w:t>
            </w:r>
            <w:r>
              <w:tab/>
            </w:r>
            <w:r>
              <w:t xml:space="preserve">poziva </w:t>
            </w:r>
            <w:r>
              <w:rPr>
                <w:b/>
                <w:i/>
              </w:rPr>
              <w:t>države članice in organe upravljanja, naj del sredstev SPP namenijo za podporo socialnim inovacijam ter socialnemu in solidarnostnemu gospodarstvu, zlasti s financiranjem energetskih zadrug državljanov, projektov za participativno lokalno proizvodnjo energije iz obnovljivih virov in pobud za spodbujanje lokalnega krožnega gospodarstva, s čimer bi okrepili povezavo med ekološkim prehodom in socialno vključenostjo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André Rougé, Rody Tolassy, 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poziva Komisijo, naj omogoči vzpostavitev sistema zelenih skupnosti, ki bo omogočal lokalno udeležbo v projektih </w:t>
            </w:r>
            <w:r>
              <w:rPr>
                <w:b/>
                <w:i/>
              </w:rPr>
              <w:t>zelene</w:t>
            </w:r>
            <w:r>
              <w:t xml:space="preserve"> energije v skupnosti in bo nekdanjim delavcem in njihovim družinam omogočal, da vanje vlagajo in pri njih sodelujejo; opozarja na uspeh podobnih pobud;</w:t>
            </w:r>
          </w:p>
        </w:tc>
        <w:tc>
          <w:tcPr>
            <w:tcW w:w="4876" w:type="dxa"/>
            <w:tcBorders>
              <w:top w:val="nil"/>
              <w:left w:val="nil"/>
              <w:bottom w:val="nil"/>
              <w:right w:val="nil"/>
            </w:tcBorders>
          </w:tcPr>
          <w:p>
            <w:pPr>
              <w:pStyle w:val="Normal6a"/>
            </w:pPr>
            <w:r>
              <w:t>21.</w:t>
            </w:r>
            <w:r>
              <w:tab/>
            </w:r>
            <w:r>
              <w:t xml:space="preserve">poziva Komisijo, naj omogoči vzpostavitev sistema zelenih skupnosti, ki bo omogočal lokalno udeležbo v projektih </w:t>
            </w:r>
            <w:r>
              <w:rPr>
                <w:b/>
                <w:i/>
              </w:rPr>
              <w:t>razogljičene</w:t>
            </w:r>
            <w:r>
              <w:t xml:space="preserve"> energije v skupnosti in bo nekdanjim delavcem in njihovim družinam omogočal, da vanje vlagajo in pri njih sodelujejo; opozarja na uspeh podobnih pobud;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Valentina Palmisano, 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poziva Komisijo, naj pripravi načrt za energetski prehod, namenjen najranljivejšim družinam, da bi preprečili tveganje visokih stroškov trajnostnih energetskih modelov v procesu prehoda;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Ciaran Mullooly, Ľubica Karvašová,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poziva Komisijo, naj spodbuja države članice k popolnemu izvajanju določb Direktive (EU) 2019/994 v zvezi z energetskimi skupnostmi državljanov;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poziva Komisijo, naj omogoči vzpostavitev programa socialnega usposabljanja za starejše brezposelne delavce, </w:t>
            </w:r>
            <w:r>
              <w:rPr>
                <w:b/>
                <w:i/>
              </w:rPr>
              <w:t>ki</w:t>
            </w:r>
            <w:r>
              <w:t xml:space="preserve"> se ne morejo prekvalificirati in dobiti nove zaposlitve; poudarja, da bi lahko s tem nekateri delavci premostili vrzel med zaposlitvijo in upokojitvijo;</w:t>
            </w:r>
          </w:p>
        </w:tc>
        <w:tc>
          <w:tcPr>
            <w:tcW w:w="4876" w:type="dxa"/>
            <w:tcBorders>
              <w:top w:val="nil"/>
              <w:left w:val="nil"/>
              <w:bottom w:val="nil"/>
              <w:right w:val="nil"/>
            </w:tcBorders>
          </w:tcPr>
          <w:p>
            <w:pPr>
              <w:pStyle w:val="Normal6a"/>
            </w:pPr>
            <w:r>
              <w:t>22.</w:t>
            </w:r>
            <w:r>
              <w:tab/>
            </w:r>
            <w:r>
              <w:t xml:space="preserve">poziva Komisijo, naj omogoči vzpostavitev programa socialnega usposabljanja za starejše brezposelne delavce, </w:t>
            </w:r>
            <w:r>
              <w:rPr>
                <w:b/>
                <w:i/>
              </w:rPr>
              <w:t>zlasti ženske in dolgotrajno brezposelne, ki imajo težave in</w:t>
            </w:r>
            <w:r>
              <w:t xml:space="preserve"> se ne morejo prekvalificirati in dobiti nove zaposlitve; poudarja, da bi lahko s tem nekateri delavci premostili vrzel med zaposlitvijo in upokojitvijo; </w:t>
            </w:r>
            <w:r>
              <w:rPr>
                <w:b/>
                <w:i/>
              </w:rPr>
              <w:t>meni, da mora vsaka pobuda zajemati podroben načrt za preusposabljanje in izpopolnjevanje delavcev, pri čemer je treba zagotoviti alternativne možnosti zaposlitve za osebe, ki so trenutno zaposlene, in dati prednost načrtom za pomlajevanje osebja z delno upokojitvijo,</w:t>
            </w:r>
            <w:r>
              <w:t xml:space="preserve"> </w:t>
            </w:r>
            <w:r>
              <w:rPr>
                <w:b/>
                <w:i/>
              </w:rPr>
              <w:t>pa tudi spodbujati socialni dialog in kolektivna pogajanja v sektorju;</w:t>
            </w:r>
            <w:r>
              <w:t xml:space="preserve"> </w:t>
            </w:r>
            <w:r>
              <w:rPr>
                <w:b/>
                <w:i/>
              </w:rPr>
              <w:t>poudarja, da je treba okrepiti vlogo žensk in spodbujati vključevanje invalidov;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poziva Komisijo, naj omogoči vzpostavitev programa socialnega usposabljanja za starejše brezposelne delavce, ki se ne morejo prekvalificirati in dobiti nove zaposlitve; poudarja, da bi lahko s tem nekateri delavci premostili vrzel med zaposlitvijo in upokojitvijo;</w:t>
            </w:r>
          </w:p>
        </w:tc>
        <w:tc>
          <w:tcPr>
            <w:tcW w:w="4876" w:type="dxa"/>
            <w:tcBorders>
              <w:top w:val="nil"/>
              <w:left w:val="nil"/>
              <w:bottom w:val="nil"/>
              <w:right w:val="nil"/>
            </w:tcBorders>
          </w:tcPr>
          <w:p>
            <w:pPr>
              <w:pStyle w:val="Normal6a"/>
            </w:pPr>
            <w:r>
              <w:t>22.</w:t>
            </w:r>
            <w:r>
              <w:tab/>
            </w:r>
            <w:r>
              <w:t>poziva Komisijo, naj omogoči vzpostavitev programa socialnega usposabljanja za starejše brezposelne delavce, ki se ne morejo prekvalificirati in dobiti nove zaposlitve</w:t>
            </w:r>
            <w:r>
              <w:rPr>
                <w:b/>
                <w:i/>
              </w:rPr>
              <w:t>, pri tem pa jim nudi podporo, da bi jim zagotovila dostojen standard življenja</w:t>
            </w:r>
            <w:r>
              <w:t>; poudarja, da bi lahko s tem nekateri delavci premostili vrzel med zaposlitvijo in upokojitvijo;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poziva Komisijo, naj razmisli o tem, da bi prek prihodnjega SPP vzpostavila okrepljen začasni mehanizem socialne zaščite za delavce, ki jih neposredno prizadeneta industrijski in energetski prehod, vključno z ukrepi, kot so prehodni dohodek, ciljno usmerjena podaljšanja nadomestil za brezposelnost ter namenske psihološke in socialne podporne storitve, da bi preprečili povečano tveganje prekarnosti na območjih, ki so družbeno in gospodarsko najbolj izpostavljena prehodu na ogljično nevtralnost;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opozarja, da je pomemben socialno pravičen zeleni prehod skrbstvenega gospodarstva in skrbstvenega sektorja (kot je varstvo predšolskih otrok ali dolgotrajna oskrba), ki je delovno področje, kjer prevladujejo ženske in kjer je ustvarjanje delovnih mest nujno za prerazporeditev neplačanega skrbstvenega dela, to pa je osnovni pogoj za zagotovitev enakih delovnih možnosti ženskam in moškim v prehodu, tudi glede na nove zdravstvene grožnje, povezane s podnebnimi spremembami in onesnaževanjem;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poziva Komisijo, naj pri dodeljevanju sredstev SPP državam članicam upošteva merilo kumulativne depopulacije zaradi prezgodnjega zaprtja industrijskih obratov, kot so termoelektrarne na premog in drugi industrijski obrati, ki izpuščajo CO</w:t>
            </w:r>
            <w:r>
              <w:rPr>
                <w:b/>
                <w:i/>
                <w:vertAlign w:val="subscript"/>
              </w:rPr>
              <w:t>2</w:t>
            </w:r>
            <w:r>
              <w:rPr>
                <w:b/>
                <w:i/>
              </w:rPr>
              <w:t>, zlasti v tistih državah, ki so že zgodaj dosegle cilje zmanjšanja emisij;</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poziva, naj SPP zmanjša upravno breme za skupnosti tako, da v mestih in vaseh zaposli „praktične“ vodje, ki bi pomagali pri pripravi vlog in predlogov za financiranje;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poziva, naj SPP zmanjša upravno breme za skupnosti tako, da v mestih in vaseh zaposli „praktične“ vodje, ki bi pomagali pri pripravi vlog in predlogov za financiranje;</w:t>
            </w:r>
          </w:p>
        </w:tc>
        <w:tc>
          <w:tcPr>
            <w:tcW w:w="4876" w:type="dxa"/>
            <w:tcBorders>
              <w:top w:val="nil"/>
              <w:left w:val="nil"/>
              <w:bottom w:val="nil"/>
              <w:right w:val="nil"/>
            </w:tcBorders>
          </w:tcPr>
          <w:p>
            <w:pPr>
              <w:pStyle w:val="Normal6a"/>
            </w:pPr>
            <w:r>
              <w:t>23.</w:t>
            </w:r>
            <w:r>
              <w:tab/>
            </w:r>
            <w:r>
              <w:t xml:space="preserve">poziva, naj SPP zmanjša upravno breme za skupnosti tako, da v mestih in vaseh zaposli „praktične“ vodje, ki bi pomagali pri pripravi vlog in predlogov za financiranje; </w:t>
            </w:r>
            <w:r>
              <w:rPr>
                <w:b/>
                <w:i/>
              </w:rPr>
              <w:t>poudarja, da imajo lokalni in regionalni organi ključno vlogo pri zagotavljanju učinkovite zasnove, izvajanja in spremljanja programov EU glede na njihovo bližino državljanom in poglobljeno razumevanje ozemeljskih potreb;</w:t>
            </w:r>
            <w:r>
              <w:t xml:space="preserve"> </w:t>
            </w:r>
            <w:r>
              <w:rPr>
                <w:b/>
                <w:i/>
              </w:rPr>
              <w:t>poziva, naj se zmogljivosti na lokalni in regionalni ravni ter institucionalna podpora iz SPP okrepijo na dopolnjujoč način, tudi z ustreznim, dostopnim in pravočasnim financiranjem ustreznih ukrepov in institucij;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Ciaran Mullooly, Ľubica Karvašová,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poziva, naj SPP zmanjša upravno breme za skupnosti tako, da v mestih in vaseh zaposli „praktične“ vodje, ki bi pomagali pri pripravi vlog in predlogov za financiranje;</w:t>
            </w:r>
          </w:p>
        </w:tc>
        <w:tc>
          <w:tcPr>
            <w:tcW w:w="4876" w:type="dxa"/>
            <w:tcBorders>
              <w:top w:val="nil"/>
              <w:left w:val="nil"/>
              <w:bottom w:val="nil"/>
              <w:right w:val="nil"/>
            </w:tcBorders>
          </w:tcPr>
          <w:p>
            <w:pPr>
              <w:pStyle w:val="Normal6a"/>
            </w:pPr>
            <w:r>
              <w:t>23.</w:t>
            </w:r>
            <w:r>
              <w:tab/>
            </w:r>
            <w:r>
              <w:t>poziva, naj SPP zmanjša upravno breme za skupnosti tako, da v mestih in vaseh zaposli „praktične“ vodje, ki bi pomagali pri pripravi vlog in predlogov za financiranje</w:t>
            </w:r>
            <w:r>
              <w:rPr>
                <w:b/>
                <w:i/>
              </w:rPr>
              <w:t>, s čimer bi zagotovili, da bodo imele tudi te regije enakopraven dostop do sredstev EU, kar bo pripomoglo k odpravljanju regionalnih razlik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poziva, naj SPP zmanjša upravno breme za skupnosti tako, da </w:t>
            </w:r>
            <w:r>
              <w:rPr>
                <w:b/>
                <w:i/>
              </w:rPr>
              <w:t>v mestih in vaseh zaposli „praktične“ vodje</w:t>
            </w:r>
            <w:r>
              <w:t>, ki bi pomagali pri pripravi vlog in predlogov za financiranje;</w:t>
            </w:r>
          </w:p>
        </w:tc>
        <w:tc>
          <w:tcPr>
            <w:tcW w:w="4876" w:type="dxa"/>
            <w:tcBorders>
              <w:top w:val="nil"/>
              <w:left w:val="nil"/>
              <w:bottom w:val="nil"/>
              <w:right w:val="nil"/>
            </w:tcBorders>
          </w:tcPr>
          <w:p>
            <w:pPr>
              <w:pStyle w:val="Normal6a"/>
            </w:pPr>
            <w:r>
              <w:t>23.</w:t>
            </w:r>
            <w:r>
              <w:tab/>
            </w:r>
            <w:r>
              <w:t xml:space="preserve">poziva, naj SPP zmanjša upravno breme za skupnosti tako, da </w:t>
            </w:r>
            <w:r>
              <w:rPr>
                <w:b/>
                <w:i/>
              </w:rPr>
              <w:t>zagotovi upravičenost „praktičnih“ svetovalcev pri projektih</w:t>
            </w:r>
            <w:r>
              <w:t xml:space="preserve">, ki bi pomagali pri pripravi vlog in predlogov za financiranje </w:t>
            </w:r>
            <w:r>
              <w:rPr>
                <w:b/>
                <w:i/>
              </w:rPr>
              <w:t>ter pri upravljanju projektov, ko bodo izbrani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poziva, naj SPP zmanjša upravno breme za skupnosti tako, da v mestih in vaseh zaposli „praktične“ vodje, ki bi pomagali pri pripravi vlog in predlogov za financiranje;</w:t>
            </w:r>
          </w:p>
        </w:tc>
        <w:tc>
          <w:tcPr>
            <w:tcW w:w="4876" w:type="dxa"/>
            <w:tcBorders>
              <w:top w:val="nil"/>
              <w:left w:val="nil"/>
              <w:bottom w:val="nil"/>
              <w:right w:val="nil"/>
            </w:tcBorders>
          </w:tcPr>
          <w:p>
            <w:pPr>
              <w:pStyle w:val="Normal6a"/>
            </w:pPr>
            <w:r>
              <w:t>23.</w:t>
            </w:r>
            <w:r>
              <w:tab/>
            </w:r>
            <w:r>
              <w:t>poziva, naj SPP zmanjša upravno breme za skupnosti tako, da v mestih in vaseh zaposli „praktične“ vodje, ki bi pomagali pri pripravi vlog in predlogov za financiranje</w:t>
            </w:r>
            <w:r>
              <w:rPr>
                <w:b/>
                <w:i/>
              </w:rPr>
              <w:t>, tako da razvije točko „vse na enem mestu“ in ustrezne digitalne platforme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poziva</w:t>
            </w:r>
            <w:r>
              <w:rPr>
                <w:b/>
                <w:i/>
              </w:rPr>
              <w:t>, naj SPP zmanjša upravno breme</w:t>
            </w:r>
            <w:r>
              <w:t xml:space="preserve"> za skupnosti </w:t>
            </w:r>
            <w:r>
              <w:rPr>
                <w:b/>
                <w:i/>
              </w:rPr>
              <w:t>tako, da v mestih in vaseh zaposli „praktične“ vodje, ki bi pomagali pri pripravi vlog in predlogov za financiranje</w:t>
            </w:r>
            <w:r>
              <w:t>;</w:t>
            </w:r>
          </w:p>
        </w:tc>
        <w:tc>
          <w:tcPr>
            <w:tcW w:w="4876" w:type="dxa"/>
            <w:tcBorders>
              <w:top w:val="nil"/>
              <w:left w:val="nil"/>
              <w:bottom w:val="nil"/>
              <w:right w:val="nil"/>
            </w:tcBorders>
          </w:tcPr>
          <w:p>
            <w:pPr>
              <w:pStyle w:val="Normal6a"/>
            </w:pPr>
            <w:r>
              <w:t>23.</w:t>
            </w:r>
            <w:r>
              <w:tab/>
            </w:r>
            <w:r>
              <w:t xml:space="preserve">poziva </w:t>
            </w:r>
            <w:r>
              <w:rPr>
                <w:b/>
                <w:i/>
              </w:rPr>
              <w:t>k zmanjšanju upravnega bremena SPP</w:t>
            </w:r>
            <w:r>
              <w:t xml:space="preserve"> za skupnosti </w:t>
            </w:r>
            <w:r>
              <w:rPr>
                <w:b/>
                <w:i/>
              </w:rPr>
              <w:t>z vzpostavitvijo posebnih ekip za obravnavanje vlog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poziva, naj SPP zmanjša upravno breme za skupnosti tako, da v mestih in vaseh zaposli „praktične“ vodje, ki bi </w:t>
            </w:r>
            <w:r>
              <w:rPr>
                <w:b/>
                <w:i/>
              </w:rPr>
              <w:t>pomagali</w:t>
            </w:r>
            <w:r>
              <w:t xml:space="preserve"> pri pripravi vlog in predlogov za financiranje;</w:t>
            </w:r>
          </w:p>
        </w:tc>
        <w:tc>
          <w:tcPr>
            <w:tcW w:w="4876" w:type="dxa"/>
            <w:tcBorders>
              <w:top w:val="nil"/>
              <w:left w:val="nil"/>
              <w:bottom w:val="nil"/>
              <w:right w:val="nil"/>
            </w:tcBorders>
          </w:tcPr>
          <w:p>
            <w:pPr>
              <w:pStyle w:val="Normal6a"/>
            </w:pPr>
            <w:r>
              <w:t>23.</w:t>
            </w:r>
            <w:r>
              <w:tab/>
            </w:r>
            <w:r>
              <w:t xml:space="preserve">poziva, naj SPP zmanjša upravno breme za skupnosti tako, da v mestih in vaseh zaposli „praktične“ vodje, ki bi </w:t>
            </w:r>
            <w:r>
              <w:rPr>
                <w:b/>
                <w:i/>
              </w:rPr>
              <w:t>nudili podporo in pomoč</w:t>
            </w:r>
            <w:r>
              <w:t xml:space="preserve"> pri pripravi vlog in predlogov za financiranje;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poziva</w:t>
            </w:r>
            <w:r>
              <w:rPr>
                <w:b/>
                <w:i/>
              </w:rPr>
              <w:t>, naj SPP zmanjša upravno breme za skupnosti tako, da v mestih in vaseh zaposli „praktične“ vodje, ki bi pomagali pri pripravi vlog in predlogov za financiranje</w:t>
            </w:r>
            <w:r>
              <w:t>;</w:t>
            </w:r>
          </w:p>
        </w:tc>
        <w:tc>
          <w:tcPr>
            <w:tcW w:w="4876" w:type="dxa"/>
            <w:tcBorders>
              <w:top w:val="nil"/>
              <w:left w:val="nil"/>
              <w:bottom w:val="nil"/>
              <w:right w:val="nil"/>
            </w:tcBorders>
          </w:tcPr>
          <w:p>
            <w:pPr>
              <w:pStyle w:val="Normal6a"/>
            </w:pPr>
            <w:r>
              <w:t>23.</w:t>
            </w:r>
            <w:r>
              <w:tab/>
            </w:r>
            <w:r>
              <w:t xml:space="preserve">poziva </w:t>
            </w:r>
            <w:r>
              <w:rPr>
                <w:b/>
                <w:i/>
              </w:rPr>
              <w:t>Komisijo, naj med vmesnim pregledom programov, ki jih podpirajo skladi ESI, predlaga zakonodajne predloge, da bi vsem deležnikom olajšala uporabo SPP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zahteva, da se lokalni in regionalni organi ter državljani in nevladne organizacije bolj vključijo v postopek odločanja in financiranja, da bi zagotovili ustrezno obravnavanje potreb;</w:t>
            </w:r>
            <w:r>
              <w:t xml:space="preserve"> </w:t>
            </w:r>
            <w:r>
              <w:rPr>
                <w:b/>
                <w:i/>
              </w:rPr>
              <w:t>ugotavlja, da bi lahko potencial, ki je prisoten na lokalni ravni, bolje izkoristili, naložbe v regionalni razvoj pa bi lahko bile učinkovitejše, če bi okrepili in spodbujali sodelovanje državljanov in lokalni razvoj, ki ga vodi skupnost, ter podobna orodja, ki delujejo od spodaj navzgor;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André Rougé, Rody Tolassy, 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poziva, naj se skupnostim najbolj oddaljenih regij ter čezmorskih držav in ozemelj nameni več tehnične podpore za upravljanje in izvrševanje sredstev, vključno z vzpostavitvijo točk „vse na enem mestu“, namenjenih podpori lokalnim projektom, ki so povezani s pravičnim prehodom;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poziva, naj SPP spoštuje dediščino prizadetih skupnosti in pripravi usposabljanje za vodnike, ki bodo predstavljali dediščino;</w:t>
            </w:r>
            <w:r>
              <w:t xml:space="preserve"> </w:t>
            </w:r>
            <w:r>
              <w:rPr>
                <w:b/>
                <w:i/>
              </w:rPr>
              <w:t>podpira ustanavljanje centrov za obiskovalce, v katerih bo predstavljena lokalna zgodovina;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poziva, naj SPP </w:t>
            </w:r>
            <w:r>
              <w:rPr>
                <w:b/>
                <w:i/>
              </w:rPr>
              <w:t>spoštuje dediščino</w:t>
            </w:r>
            <w:r>
              <w:t xml:space="preserve"> prizadetih skupnosti </w:t>
            </w:r>
            <w:r>
              <w:rPr>
                <w:b/>
                <w:i/>
              </w:rPr>
              <w:t>in pripravi usposabljanje</w:t>
            </w:r>
            <w:r>
              <w:t xml:space="preserve"> za vodnike, ki bodo predstavljali dediščino; podpira ustanavljanje centrov za obiskovalce</w:t>
            </w:r>
            <w:r>
              <w:rPr>
                <w:b/>
                <w:i/>
              </w:rPr>
              <w:t>, v katerih bo predstavljena lokalna zgodovina</w:t>
            </w:r>
            <w:r>
              <w:t>;</w:t>
            </w:r>
          </w:p>
        </w:tc>
        <w:tc>
          <w:tcPr>
            <w:tcW w:w="4876" w:type="dxa"/>
            <w:tcBorders>
              <w:top w:val="nil"/>
              <w:left w:val="nil"/>
              <w:bottom w:val="nil"/>
              <w:right w:val="nil"/>
            </w:tcBorders>
          </w:tcPr>
          <w:p>
            <w:pPr>
              <w:pStyle w:val="Normal6a"/>
            </w:pPr>
            <w:r>
              <w:t>24.</w:t>
            </w:r>
            <w:r>
              <w:tab/>
            </w:r>
            <w:r>
              <w:t xml:space="preserve">poziva, naj SPP </w:t>
            </w:r>
            <w:r>
              <w:rPr>
                <w:b/>
                <w:i/>
              </w:rPr>
              <w:t>podpira ohranjanje in praznovanje kulturne in industrijske dediščine</w:t>
            </w:r>
            <w:r>
              <w:t xml:space="preserve"> prizadetih skupnosti </w:t>
            </w:r>
            <w:r>
              <w:rPr>
                <w:b/>
                <w:i/>
              </w:rPr>
              <w:t>ter jo priznava kot bistveni element regionalne identitete, socialne kohezije in razvoja trajnostnega turizma;</w:t>
            </w:r>
            <w:r>
              <w:t xml:space="preserve"> </w:t>
            </w:r>
            <w:r>
              <w:rPr>
                <w:b/>
                <w:i/>
              </w:rPr>
              <w:t>spodbuja vzpostavitev namenskih programov usposabljanja</w:t>
            </w:r>
            <w:r>
              <w:t xml:space="preserve"> za vodnike, ki bodo predstavljali dediščino</w:t>
            </w:r>
            <w:r>
              <w:rPr>
                <w:b/>
                <w:i/>
              </w:rPr>
              <w:t>, da bi spodbudili lokalno zaposlovanje in kulturno kontinuiteto</w:t>
            </w:r>
            <w:r>
              <w:t xml:space="preserve">; podpira ustanavljanje centrov za obiskovalce </w:t>
            </w:r>
            <w:r>
              <w:rPr>
                <w:b/>
                <w:i/>
              </w:rPr>
              <w:t>in informativnih prostorov, ki prikazujejo lokalno zgodovino, tradicije in preobrazbo teh regij, s čimer bi okrepili lokalno identiteto ter privabili kulturni in izobraževalni turizem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Ciaran Mullooly,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poziva, naj SPP spoštuje dediščino prizadetih skupnosti </w:t>
            </w:r>
            <w:r>
              <w:rPr>
                <w:b/>
                <w:i/>
              </w:rPr>
              <w:t>in pripravi</w:t>
            </w:r>
            <w:r>
              <w:t xml:space="preserve"> usposabljanje za vodnike, ki bodo predstavljali dediščino</w:t>
            </w:r>
            <w:r>
              <w:rPr>
                <w:b/>
                <w:i/>
              </w:rPr>
              <w:t>;</w:t>
            </w:r>
            <w:r>
              <w:t xml:space="preserve"> </w:t>
            </w:r>
            <w:r>
              <w:rPr>
                <w:b/>
                <w:i/>
              </w:rPr>
              <w:t>podpira ustanavljanje</w:t>
            </w:r>
            <w:r>
              <w:t xml:space="preserve"> centrov za obiskovalce, v katerih bo predstavljena lokalna zgodovina;</w:t>
            </w:r>
          </w:p>
        </w:tc>
        <w:tc>
          <w:tcPr>
            <w:tcW w:w="4876" w:type="dxa"/>
            <w:tcBorders>
              <w:top w:val="nil"/>
              <w:left w:val="nil"/>
              <w:bottom w:val="nil"/>
              <w:right w:val="nil"/>
            </w:tcBorders>
          </w:tcPr>
          <w:p>
            <w:pPr>
              <w:pStyle w:val="Normal6a"/>
            </w:pPr>
            <w:r>
              <w:t>24.</w:t>
            </w:r>
            <w:r>
              <w:tab/>
            </w:r>
            <w:r>
              <w:t>poziva, naj SPP spoštuje dediščino prizadetih skupnosti </w:t>
            </w:r>
            <w:r>
              <w:rPr>
                <w:b/>
                <w:i/>
              </w:rPr>
              <w:t>s podpiranjem razvoja trajnostnega turizma, vštevši</w:t>
            </w:r>
            <w:r>
              <w:t xml:space="preserve"> usposabljanje za vodnike, ki bodo predstavljali dediščino</w:t>
            </w:r>
            <w:r>
              <w:rPr>
                <w:b/>
                <w:i/>
              </w:rPr>
              <w:t>, in s podpiranjem ustanavljanja</w:t>
            </w:r>
            <w:r>
              <w:t xml:space="preserve"> centrov za obiskovalce, v katerih bo predstavljena lokalna zgodovina</w:t>
            </w:r>
            <w:r>
              <w:rPr>
                <w:b/>
                <w:i/>
              </w:rPr>
              <w:t>, s čimer bi ustvarili lokalna delovna mesta in ohranili kulturno identiteto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Rody Tolassy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poziva, naj SPP spoštuje dediščino prizadetih skupnosti in pripravi usposabljanje za vodnike, ki bodo predstavljali dediščino; podpira ustanavljanje centrov za obiskovalce, v katerih bo predstavljena lokalna zgodovina;</w:t>
            </w:r>
          </w:p>
        </w:tc>
        <w:tc>
          <w:tcPr>
            <w:tcW w:w="4876" w:type="dxa"/>
            <w:tcBorders>
              <w:top w:val="nil"/>
              <w:left w:val="nil"/>
              <w:bottom w:val="nil"/>
              <w:right w:val="nil"/>
            </w:tcBorders>
          </w:tcPr>
          <w:p>
            <w:pPr>
              <w:pStyle w:val="Normal6a"/>
            </w:pPr>
            <w:r>
              <w:t>24.</w:t>
            </w:r>
            <w:r>
              <w:tab/>
            </w:r>
            <w:r>
              <w:t>poziva, naj SPP spoštuje dediščino prizadetih skupnosti</w:t>
            </w:r>
            <w:r>
              <w:rPr>
                <w:b/>
                <w:i/>
              </w:rPr>
              <w:t>, tudi z obnovo industrijskih obratov (nekdanjih tovarn sladkorja v najbolj oddaljenih regijah),</w:t>
            </w:r>
            <w:r>
              <w:t xml:space="preserve"> in pripravi usposabljanje za vodnike, ki bodo predstavljali dediščino; podpira ustanavljanje </w:t>
            </w:r>
            <w:r>
              <w:rPr>
                <w:b/>
                <w:i/>
              </w:rPr>
              <w:t>sodobnih in digitalnih</w:t>
            </w:r>
            <w:r>
              <w:t xml:space="preserve"> centrov za obiskovalce, v katerih bo predstavljena lokalna zgodovina;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poziva, naj SPP spoštuje dediščino prizadetih skupnosti in pripravi usposabljanje za vodnike, ki bodo predstavljali dediščino; podpira ustanavljanje centrov za obiskovalce, v katerih bo predstavljena lokalna zgodovina;</w:t>
            </w:r>
          </w:p>
        </w:tc>
        <w:tc>
          <w:tcPr>
            <w:tcW w:w="4876" w:type="dxa"/>
            <w:tcBorders>
              <w:top w:val="nil"/>
              <w:left w:val="nil"/>
              <w:bottom w:val="nil"/>
              <w:right w:val="nil"/>
            </w:tcBorders>
          </w:tcPr>
          <w:p>
            <w:pPr>
              <w:pStyle w:val="Normal6a"/>
            </w:pPr>
            <w:r>
              <w:t>24.</w:t>
            </w:r>
            <w:r>
              <w:tab/>
            </w:r>
            <w:r>
              <w:t xml:space="preserve">poziva, naj SPP spoštuje dediščino prizadetih skupnosti in pripravi usposabljanje za vodnike, ki bodo predstavljali dediščino; podpira ustanavljanje centrov za obiskovalce, v katerih bo predstavljena lokalna zgodovina </w:t>
            </w:r>
            <w:r>
              <w:rPr>
                <w:b/>
                <w:i/>
              </w:rPr>
              <w:t>in tradicija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poziva, naj SPP </w:t>
            </w:r>
            <w:r>
              <w:rPr>
                <w:b/>
                <w:i/>
              </w:rPr>
              <w:t>spoštuje</w:t>
            </w:r>
            <w:r>
              <w:t xml:space="preserve"> dediščino prizadetih skupnosti in pripravi usposabljanje za vodnike, ki bodo predstavljali dediščino; podpira ustanavljanje centrov za obiskovalce, v katerih bo predstavljena lokalna zgodovina;</w:t>
            </w:r>
          </w:p>
        </w:tc>
        <w:tc>
          <w:tcPr>
            <w:tcW w:w="4876" w:type="dxa"/>
            <w:tcBorders>
              <w:top w:val="nil"/>
              <w:left w:val="nil"/>
              <w:bottom w:val="nil"/>
              <w:right w:val="nil"/>
            </w:tcBorders>
          </w:tcPr>
          <w:p>
            <w:pPr>
              <w:pStyle w:val="Normal6a"/>
            </w:pPr>
            <w:r>
              <w:t>24.</w:t>
            </w:r>
            <w:r>
              <w:tab/>
            </w:r>
            <w:r>
              <w:t xml:space="preserve">poziva, naj SPP </w:t>
            </w:r>
            <w:r>
              <w:rPr>
                <w:b/>
                <w:i/>
              </w:rPr>
              <w:t>izpostavi</w:t>
            </w:r>
            <w:r>
              <w:t xml:space="preserve"> dediščino prizadetih skupnosti in pripravi usposabljanje za vodnike, ki bodo predstavljali dediščino; podpira ustanavljanje centrov za obiskovalce, v katerih bo predstavljena lokalna zgodovina;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meni, da premiki v geopolitičnem okolju skupaj z drugimi dejavniki povzročajo velike spremembe v delovanju gospodarstva EU;</w:t>
            </w:r>
            <w:r>
              <w:t xml:space="preserve"> </w:t>
            </w:r>
            <w:r>
              <w:rPr>
                <w:b/>
                <w:i/>
              </w:rPr>
              <w:t>zato poziva Komisijo, naj ponovno preuči časovne okvire za zaprtje ključnih energetskih akterjev v EU;</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Ciaran Mullooly,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meni, da premiki v geopolitičnem okolju skupaj z drugimi dejavniki povzročajo velike spremembe v delovanju gospodarstva EU; zato poziva Komisijo, naj ponovno preuči časovne okvire za zaprtje ključnih energetskih akterjev v EU;</w:t>
            </w:r>
          </w:p>
        </w:tc>
        <w:tc>
          <w:tcPr>
            <w:tcW w:w="4876" w:type="dxa"/>
            <w:tcBorders>
              <w:top w:val="nil"/>
              <w:left w:val="nil"/>
              <w:bottom w:val="nil"/>
              <w:right w:val="nil"/>
            </w:tcBorders>
          </w:tcPr>
          <w:p>
            <w:pPr>
              <w:pStyle w:val="Normal6a"/>
            </w:pPr>
            <w:r>
              <w:t>25.</w:t>
            </w:r>
            <w:r>
              <w:tab/>
            </w:r>
            <w:r>
              <w:t xml:space="preserve">meni, da premiki v geopolitičnem okolju skupaj z drugimi dejavniki povzročajo velike spremembe v delovanju gospodarstva EU; zato poziva Komisijo, naj ponovno preuči časovne okvire za zaprtje ključnih energetskih akterjev v EU </w:t>
            </w:r>
            <w:r>
              <w:rPr>
                <w:b/>
                <w:i/>
              </w:rPr>
              <w:t>in zaprtje poveže z dokazljivim alternativnim zaposlovanjem, zagotavljajoč „pravičnost pred prehodom“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meni, da premiki v geopolitičnem okolju skupaj z drugimi dejavniki povzročajo velike spremembe v delovanju gospodarstva EU; zato poziva Komisijo, naj ponovno </w:t>
            </w:r>
            <w:r>
              <w:rPr>
                <w:b/>
                <w:i/>
              </w:rPr>
              <w:t>preuči</w:t>
            </w:r>
            <w:r>
              <w:t xml:space="preserve"> časovne okvire za zaprtje ključnih energetskih akterjev v EU;</w:t>
            </w:r>
          </w:p>
        </w:tc>
        <w:tc>
          <w:tcPr>
            <w:tcW w:w="4876" w:type="dxa"/>
            <w:tcBorders>
              <w:top w:val="nil"/>
              <w:left w:val="nil"/>
              <w:bottom w:val="nil"/>
              <w:right w:val="nil"/>
            </w:tcBorders>
          </w:tcPr>
          <w:p>
            <w:pPr>
              <w:pStyle w:val="Normal6a"/>
            </w:pPr>
            <w:r>
              <w:t>25.</w:t>
            </w:r>
            <w:r>
              <w:tab/>
            </w:r>
            <w:r>
              <w:t xml:space="preserve">meni, da premiki v geopolitičnem okolju skupaj z drugimi dejavniki povzročajo velike spremembe v delovanju gospodarstva EU; zato poziva Komisijo </w:t>
            </w:r>
            <w:r>
              <w:rPr>
                <w:b/>
                <w:i/>
              </w:rPr>
              <w:t>in države članice</w:t>
            </w:r>
            <w:r>
              <w:t xml:space="preserve">, naj ponovno </w:t>
            </w:r>
            <w:r>
              <w:rPr>
                <w:b/>
                <w:i/>
              </w:rPr>
              <w:t>preučijo</w:t>
            </w:r>
            <w:r>
              <w:t xml:space="preserve"> časovne okvire za zaprtje ključnih energetskih akterjev v EU </w:t>
            </w:r>
            <w:r>
              <w:rPr>
                <w:b/>
                <w:i/>
              </w:rPr>
              <w:t>in zlasti ustavijo operativno zaprtje jedrskih elektrarn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meni, da premiki v geopolitičnem okolju skupaj z drugimi dejavniki povzročajo velike spremembe v delovanju gospodarstva EU; zato poziva Komisijo, naj ponovno preuči časovne okvire za zaprtje ključnih energetskih akterjev v EU;</w:t>
            </w:r>
          </w:p>
        </w:tc>
        <w:tc>
          <w:tcPr>
            <w:tcW w:w="4876" w:type="dxa"/>
            <w:tcBorders>
              <w:top w:val="nil"/>
              <w:left w:val="nil"/>
              <w:bottom w:val="nil"/>
              <w:right w:val="nil"/>
            </w:tcBorders>
          </w:tcPr>
          <w:p>
            <w:pPr>
              <w:pStyle w:val="Normal6a"/>
            </w:pPr>
            <w:r>
              <w:t>25.</w:t>
            </w:r>
            <w:r>
              <w:tab/>
            </w:r>
            <w:r>
              <w:t xml:space="preserve">meni, da premiki v geopolitičnem okolju skupaj z drugimi dejavniki povzročajo velike spremembe v delovanju gospodarstva EU; zato poziva Komisijo, naj ponovno preuči časovne okvire za zaprtje ključnih energetskih akterjev v EU </w:t>
            </w:r>
            <w:r>
              <w:rPr>
                <w:b/>
                <w:i/>
              </w:rPr>
              <w:t>in na splošno pregleda načrtovane dejavnosti v okviru zelenega prehoda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meni, da premiki v geopolitičnem okolju skupaj z drugimi dejavniki povzročajo velike spremembe v delovanju gospodarstva EU; zato poziva Komisijo, naj ponovno </w:t>
            </w:r>
            <w:r>
              <w:rPr>
                <w:b/>
                <w:i/>
              </w:rPr>
              <w:t>preuči časovne okvire</w:t>
            </w:r>
            <w:r>
              <w:t xml:space="preserve"> za zaprtje ključnih energetskih akterjev v EU;</w:t>
            </w:r>
          </w:p>
        </w:tc>
        <w:tc>
          <w:tcPr>
            <w:tcW w:w="4876" w:type="dxa"/>
            <w:tcBorders>
              <w:top w:val="nil"/>
              <w:left w:val="nil"/>
              <w:bottom w:val="nil"/>
              <w:right w:val="nil"/>
            </w:tcBorders>
          </w:tcPr>
          <w:p>
            <w:pPr>
              <w:pStyle w:val="Normal6a"/>
            </w:pPr>
            <w:r>
              <w:t>25.</w:t>
            </w:r>
            <w:r>
              <w:tab/>
            </w:r>
            <w:r>
              <w:t xml:space="preserve">meni, da premiki v geopolitičnem okolju skupaj z drugimi dejavniki povzročajo velike spremembe v delovanju gospodarstva EU; zato poziva Komisijo, naj ponovno </w:t>
            </w:r>
            <w:r>
              <w:rPr>
                <w:b/>
                <w:i/>
              </w:rPr>
              <w:t>razmisli o časovnih okvirih</w:t>
            </w:r>
            <w:r>
              <w:t xml:space="preserve"> za zaprtje ključnih energetskih akterjev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meni, da premiki v geopolitičnem okolju skupaj z drugimi dejavniki povzročajo velike spremembe v delovanju gospodarstva EU; zato poziva Komisijo, naj </w:t>
            </w:r>
            <w:r>
              <w:rPr>
                <w:b/>
                <w:i/>
              </w:rPr>
              <w:t>ponovno preuči časovne okvire za zaprtje ključnih energetskih akterjev v EU</w:t>
            </w:r>
            <w:r>
              <w:t>;</w:t>
            </w:r>
          </w:p>
        </w:tc>
        <w:tc>
          <w:tcPr>
            <w:tcW w:w="4876" w:type="dxa"/>
            <w:tcBorders>
              <w:top w:val="nil"/>
              <w:left w:val="nil"/>
              <w:bottom w:val="nil"/>
              <w:right w:val="nil"/>
            </w:tcBorders>
          </w:tcPr>
          <w:p>
            <w:pPr>
              <w:pStyle w:val="Normal6a"/>
            </w:pPr>
            <w:r>
              <w:t>25.</w:t>
            </w:r>
            <w:r>
              <w:tab/>
            </w:r>
            <w:r>
              <w:t xml:space="preserve">meni, da premiki v geopolitičnem okolju skupaj z drugimi dejavniki povzročajo velike spremembe v delovanju gospodarstva EU; zato poziva Komisijo, naj </w:t>
            </w:r>
            <w:r>
              <w:rPr>
                <w:b/>
                <w:i/>
              </w:rPr>
              <w:t>okrepi naložbe v zeleno, trajnostno in obnovljivo energijo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opozarja, da Komisija jedrsko energijo uvršča med tehnologije z ničelno stopnjo neto emisij in da bi se zato lahko ta oblika energije štela za del zelene energije;</w:t>
            </w:r>
            <w:r>
              <w:t xml:space="preserve"> </w:t>
            </w:r>
            <w:r>
              <w:rPr>
                <w:b/>
                <w:i/>
              </w:rPr>
              <w:t>meni, da podpiranje operativnega odpiranja in vzdrževanja jedrskih elektrarn prispeva k ciljem podnebne nevtralnosti in strateške avtonomije ter zmanjšuje odvisnost od fosilnih goriv in zunanjih virov;</w:t>
            </w:r>
            <w:r>
              <w:t xml:space="preserve"> </w:t>
            </w:r>
            <w:r>
              <w:rPr>
                <w:b/>
                <w:i/>
              </w:rPr>
              <w:t>meni, da bi naložbe v jedrsko energijo pomagale zaustaviti izgubo delovnih mest, zmanjšati energetsko revščino in spodbuditi gospodarsko rast na območjih, ki jih je prizadel ta prehod;</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25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poziva k reviziji člena 9 Uredbe (EU) 2021/1056, da bi olajšali uporabo sredstev, na voljo v okviru sklada, za razvoj in delovanje jedrskih elektrarn v regijah v prehodu;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26.</w:t>
            </w:r>
            <w:r>
              <w:tab/>
            </w:r>
            <w:r>
              <w:rPr>
                <w:b/>
                <w:i/>
              </w:rPr>
              <w:t>poziva Komisijo, naj države članice spodbuja k izvajanju določb Direktive (EU) 2019/994 v zvezi z energetskimi skupnostmi državljanov;</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Valentina Palmisano, 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poziva Komisijo, naj države članice spodbuja k izvajanju določb Direktive (EU) 2019/994 v zvezi z energetskimi skupnostmi državljanov;</w:t>
            </w:r>
          </w:p>
        </w:tc>
        <w:tc>
          <w:tcPr>
            <w:tcW w:w="4876" w:type="dxa"/>
            <w:tcBorders>
              <w:top w:val="nil"/>
              <w:left w:val="nil"/>
              <w:bottom w:val="nil"/>
              <w:right w:val="nil"/>
            </w:tcBorders>
          </w:tcPr>
          <w:p>
            <w:pPr>
              <w:pStyle w:val="Normal6a"/>
            </w:pPr>
            <w:r>
              <w:t>26.</w:t>
            </w:r>
            <w:r>
              <w:tab/>
            </w:r>
            <w:r>
              <w:t>poziva Komisijo, naj države članice spodbuja k izvajanju določb Direktive (EU) 2019/994 v zvezi z energetskimi skupnostmi državljanov</w:t>
            </w:r>
            <w:r>
              <w:rPr>
                <w:b/>
                <w:i/>
              </w:rPr>
              <w:t>, pri čemer naj omogoči konkretne ukrepe za zaščito ranljivih gospodinjstev pred energetsko revščino v regijah SPP, in sicer s spodbujanjem nizkocenovnih energetskih modelov za skupnosti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poziva Komisijo, naj predstavi predlog direktive za pravični prehod v svetu dela, ki bo zagotovila pravočasno in učinkovito obveščanje delavcev in sindikatov ter posvetovanje z njimi o načrtih in strategijah podjetij, ki vplivajo na delovna mesta v okviru pravičnega prehoda, da bi ohranili delovna mesta in delovne pogoje, preprečili odpuščanja in okrepili demokracijo na delovnem mestu, kar zadeva ukrepe v zvezi s podnebnimi spremembami, digitalno preobrazbo in prestrukturiranjem ter predvidevanje in obvladovanje sprememb;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poziva k enotni in dosledni uporabi načel pravičnega prehoda v vseh skladih EU v večletnem finančnem okviru za obdobje po letu 2027;</w:t>
            </w:r>
            <w:r>
              <w:t xml:space="preserve"> </w:t>
            </w:r>
            <w:r>
              <w:rPr>
                <w:b/>
                <w:i/>
              </w:rPr>
              <w:t>poudarja, kako pomembno je vključiti jasne socialne in okoljske pogoje, da bi zagotovili, da bodo vsi ukrepi, ki jih financira EU, pomembno prispevali k pravičnemu, vključujočemu in trajnostnemu prehodu, hkrati pa okrepili teritorialno kohezijo in zaščitili ranljive regije in skupnosti, da ne bodo zapostavljene;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26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26b.</w:t>
            </w:r>
            <w:r>
              <w:tab/>
            </w:r>
            <w:r>
              <w:rPr>
                <w:b/>
                <w:i/>
              </w:rPr>
              <w:t>poudarja pomen držav članic pri spodbujanju sektorskega socialnega dialoga in kolektivnih pogajanj, zlasti v novih zelenih panogah, pa tudi pri zagotavljanju vključevanja malih in srednjih podjetij, tudi socialnih podjetij;</w:t>
            </w:r>
            <w:r>
              <w:t xml:space="preserve"> </w:t>
            </w:r>
            <w:r>
              <w:rPr>
                <w:b/>
                <w:i/>
              </w:rPr>
              <w:t>poudarja, da je direktiva o minimalnih plačah odlična priložnost za okrepitev vloge kolektivnih pogajanj o določanju plač in prisotnosti socialnih partnerjev v sektorjih v vzponu;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26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26c.</w:t>
            </w:r>
            <w:r>
              <w:tab/>
            </w:r>
            <w:r>
              <w:rPr>
                <w:b/>
                <w:i/>
              </w:rPr>
              <w:t>ponovno poziva, da bi morali projekti in prejemniki sredstev EU, tudi državne pomoči, zagotoviti skladnost s cilji javne politike, zlasti socialnih in okoljskih zahtev, in da morajo spoštovati vse pravne obveznosti;</w:t>
            </w:r>
            <w:r>
              <w:t xml:space="preserve"> </w:t>
            </w:r>
            <w:r>
              <w:rPr>
                <w:b/>
                <w:i/>
              </w:rPr>
              <w:t>poziva države članice, naj zagotovijo, da bo javna finančna podpora podjetjem pogojena s tem, da se sredstva uporabijo v korist zaposlenih in da podjetja ne izplačujejo bonusov upravi, ne izplačujejo dividend ali ponujajo shem odkupa delnic, dokler prejemajo omenjena sredstva;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26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26d.</w:t>
            </w:r>
            <w:r>
              <w:tab/>
            </w:r>
            <w:r>
              <w:rPr>
                <w:b/>
                <w:i/>
              </w:rPr>
              <w:t>poudarja, da bi morali javni organi dajati zgled in določiti stroga socialna merila pri javnih naročilih;</w:t>
            </w:r>
            <w:r>
              <w:t xml:space="preserve"> </w:t>
            </w:r>
            <w:r>
              <w:rPr>
                <w:b/>
                <w:i/>
              </w:rPr>
              <w:t>poziva Komisijo k premisleku o reviziji direktive o javnih naročilih, da bi dodatno okrepili socialno klavzulo in zagotovili, da bodo upravičena podjetja in podizvajalci podpirali kolektivna pogajanja in spoštovali pravice delavcev, kakovostna delovna mesta, kakovostna vajeništva, dostojno in enako plačilo ter usposabljanje;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27.</w:t>
            </w:r>
            <w:r>
              <w:tab/>
            </w:r>
            <w:r>
              <w:rPr>
                <w:b/>
                <w:i/>
              </w:rPr>
              <w:t>poziva Komisijo, naj za programsko obdobje po letu 2027 predlaga nov sklad SPP II, ki bo deloval po načelih deljenega upravljanja in partnerstva;</w:t>
            </w:r>
            <w:r>
              <w:t xml:space="preserve"> </w:t>
            </w:r>
            <w:r>
              <w:rPr>
                <w:b/>
                <w:i/>
              </w:rPr>
              <w:t>poudarja, da bi ta sklad moral imeti večja finančna sredstva kot sedanji SPP;</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poziva Komisijo, naj za programsko obdobje po letu 2027 predlaga nov sklad SPP II, ki bo deloval </w:t>
            </w:r>
            <w:r>
              <w:rPr>
                <w:b/>
                <w:i/>
              </w:rPr>
              <w:t>po načelih</w:t>
            </w:r>
            <w:r>
              <w:t xml:space="preserve"> deljenega upravljanja in partnerstva; poudarja, da bi ta sklad moral imeti večja finančna sredstva kot sedanji SPP;</w:t>
            </w:r>
          </w:p>
        </w:tc>
        <w:tc>
          <w:tcPr>
            <w:tcW w:w="4876" w:type="dxa"/>
            <w:tcBorders>
              <w:top w:val="nil"/>
              <w:left w:val="nil"/>
              <w:bottom w:val="nil"/>
              <w:right w:val="nil"/>
            </w:tcBorders>
          </w:tcPr>
          <w:p>
            <w:pPr>
              <w:pStyle w:val="Normal6a"/>
            </w:pPr>
            <w:r>
              <w:t>27.</w:t>
            </w:r>
            <w:r>
              <w:tab/>
            </w:r>
            <w:r>
              <w:t xml:space="preserve">poziva Komisijo, naj za programsko obdobje po letu 2027 predlaga nov sklad SPP II, ki bo </w:t>
            </w:r>
            <w:r>
              <w:rPr>
                <w:b/>
                <w:i/>
              </w:rPr>
              <w:t>regijam in ljudem omogočil obravnavanje socialnih, zaposlitvenih, demografskih, gospodarskih in okoljskih učinkov prehoda na energetske cilje Unije za leto 2030 in podnebno nevtralno gospodarstvo Unije do leta 2050 ter zagotovil, da bo</w:t>
            </w:r>
            <w:r>
              <w:t xml:space="preserve"> deloval </w:t>
            </w:r>
            <w:r>
              <w:rPr>
                <w:b/>
                <w:i/>
              </w:rPr>
              <w:t>v okviru</w:t>
            </w:r>
            <w:r>
              <w:t xml:space="preserve"> deljenega upravljanja in </w:t>
            </w:r>
            <w:r>
              <w:rPr>
                <w:b/>
                <w:i/>
              </w:rPr>
              <w:t>bo odvisen od zadovoljivega upoštevanja načel</w:t>
            </w:r>
            <w:r>
              <w:t xml:space="preserve"> partnerstva; poudarja, da bi ta sklad moral imeti </w:t>
            </w:r>
            <w:r>
              <w:rPr>
                <w:b/>
                <w:i/>
              </w:rPr>
              <w:t>precej</w:t>
            </w:r>
            <w:r>
              <w:t xml:space="preserve"> večja finančna sredstva kot sedanji SPP;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poziva Komisijo, naj za programsko obdobje po letu 2027 predlaga nov sklad SPP II, ki bo deloval po načelih deljenega upravljanja in partnerstva; poudarja, da bi ta sklad moral imeti večja finančna sredstva kot sedanji SPP;</w:t>
            </w:r>
          </w:p>
        </w:tc>
        <w:tc>
          <w:tcPr>
            <w:tcW w:w="4876" w:type="dxa"/>
            <w:tcBorders>
              <w:top w:val="nil"/>
              <w:left w:val="nil"/>
              <w:bottom w:val="nil"/>
              <w:right w:val="nil"/>
            </w:tcBorders>
          </w:tcPr>
          <w:p>
            <w:pPr>
              <w:pStyle w:val="Normal6a"/>
            </w:pPr>
            <w:r>
              <w:t>27.</w:t>
            </w:r>
            <w:r>
              <w:tab/>
            </w:r>
            <w:r>
              <w:t xml:space="preserve">poziva Komisijo, naj za programsko obdobje po letu 2027 predlaga nov sklad SPP II, ki bo deloval po načelih deljenega upravljanja in partnerstva; poudarja, da bi ta sklad moral imeti večja finančna sredstva kot sedanji SPP; </w:t>
            </w:r>
            <w:r>
              <w:rPr>
                <w:b/>
                <w:i/>
              </w:rPr>
              <w:t>predlaga, da bi bilo treba za prihodnost razmisliti tudi o drugih dodatnih mehanizmih in hitro delujočih programih, da bi podprli in dopolnili SPP;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Nora Mebarek, Sérgio Gonçalves, Rosa Serrano Sierra, Adrian-Dragoş Benea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poziva Komisijo, naj za programsko obdobje po letu 2027 predlaga nov sklad SPP II, ki bo deloval po načelih deljenega upravljanja in partnerstva; poudarja, da bi ta sklad </w:t>
            </w:r>
            <w:r>
              <w:rPr>
                <w:b/>
                <w:i/>
              </w:rPr>
              <w:t>moral imeti</w:t>
            </w:r>
            <w:r>
              <w:t xml:space="preserve"> večja finančna sredstva kot sedanji SPP;</w:t>
            </w:r>
          </w:p>
        </w:tc>
        <w:tc>
          <w:tcPr>
            <w:tcW w:w="4876" w:type="dxa"/>
            <w:tcBorders>
              <w:top w:val="nil"/>
              <w:left w:val="nil"/>
              <w:bottom w:val="nil"/>
              <w:right w:val="nil"/>
            </w:tcBorders>
          </w:tcPr>
          <w:p>
            <w:pPr>
              <w:pStyle w:val="Normal6a"/>
            </w:pPr>
            <w:r>
              <w:t>27.</w:t>
            </w:r>
            <w:r>
              <w:tab/>
            </w:r>
            <w:r>
              <w:t xml:space="preserve">poziva Komisijo, naj za programsko obdobje po letu 2027 predlaga nov sklad SPP II, ki bo deloval po načelih deljenega upravljanja in partnerstva; poudarja, da bi </w:t>
            </w:r>
            <w:r>
              <w:rPr>
                <w:b/>
                <w:i/>
              </w:rPr>
              <w:t>moral imeti</w:t>
            </w:r>
            <w:r>
              <w:t xml:space="preserve"> ta sklad večja finančna sredstva kot sedanji SPP</w:t>
            </w:r>
            <w:r>
              <w:rPr>
                <w:b/>
                <w:i/>
              </w:rPr>
              <w:t>, da bi mu zagotovili zmogljivost za posredovanje, ki bo sorazmerna z obsegom družbenih in gospodarskih izzivov, povezanih s podnebnim prehodom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Ciaran Mullooly,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poziva Komisijo, naj za programsko obdobje po letu 2027 predlaga nov sklad SPP II, ki bo deloval po načelih deljenega upravljanja in partnerstva; poudarja, da bi ta sklad moral imeti večja finančna sredstva kot sedanji SPP;</w:t>
            </w:r>
          </w:p>
        </w:tc>
        <w:tc>
          <w:tcPr>
            <w:tcW w:w="4876" w:type="dxa"/>
            <w:tcBorders>
              <w:top w:val="nil"/>
              <w:left w:val="nil"/>
              <w:bottom w:val="nil"/>
              <w:right w:val="nil"/>
            </w:tcBorders>
          </w:tcPr>
          <w:p>
            <w:pPr>
              <w:pStyle w:val="Normal6a"/>
            </w:pPr>
            <w:r>
              <w:t>27.</w:t>
            </w:r>
            <w:r>
              <w:tab/>
            </w:r>
            <w:r>
              <w:t xml:space="preserve">poziva Komisijo, naj za programsko obdobje po letu 2027 predlaga nov sklad SPP II, ki bo deloval po načelih deljenega upravljanja in partnerstva </w:t>
            </w:r>
            <w:r>
              <w:rPr>
                <w:b/>
                <w:i/>
              </w:rPr>
              <w:t>ter zagotavljal neposredno podporo gospodinjstvom in skupnostim pri prehodu, da bi bil ta prehod resnično pravičen</w:t>
            </w:r>
            <w:r>
              <w:t>; poudarja, da bi ta sklad moral imeti večja finančna sredstva kot sedanji SPP;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poziva Komisijo, naj za programsko obdobje po letu 2027 predlaga nov sklad SPP </w:t>
            </w:r>
            <w:r>
              <w:rPr>
                <w:b/>
                <w:i/>
              </w:rPr>
              <w:t>II</w:t>
            </w:r>
            <w:r>
              <w:t xml:space="preserve">, ki bo deloval po načelih deljenega upravljanja in partnerstva; poudarja, da bi ta sklad </w:t>
            </w:r>
            <w:r>
              <w:rPr>
                <w:b/>
                <w:i/>
              </w:rPr>
              <w:t>moral imeti večja finančna sredstva kot sedanji SPP;</w:t>
            </w:r>
          </w:p>
        </w:tc>
        <w:tc>
          <w:tcPr>
            <w:tcW w:w="4876" w:type="dxa"/>
            <w:tcBorders>
              <w:top w:val="nil"/>
              <w:left w:val="nil"/>
              <w:bottom w:val="nil"/>
              <w:right w:val="nil"/>
            </w:tcBorders>
          </w:tcPr>
          <w:p>
            <w:pPr>
              <w:pStyle w:val="Normal6a"/>
            </w:pPr>
            <w:r>
              <w:t>27.</w:t>
            </w:r>
            <w:r>
              <w:tab/>
            </w:r>
            <w:r>
              <w:t xml:space="preserve">poziva Komisijo, naj za programsko obdobje po letu 2027 predlaga nov sklad SPP </w:t>
            </w:r>
            <w:r>
              <w:rPr>
                <w:b/>
                <w:i/>
              </w:rPr>
              <w:t>„II“</w:t>
            </w:r>
            <w:r>
              <w:t xml:space="preserve">, ki bo deloval po načelih deljenega upravljanja in partnerstva; poudarja, da bi </w:t>
            </w:r>
            <w:r>
              <w:rPr>
                <w:b/>
                <w:i/>
              </w:rPr>
              <w:t>moral imeti</w:t>
            </w:r>
            <w:r>
              <w:t xml:space="preserve"> ta sklad </w:t>
            </w:r>
            <w:r>
              <w:rPr>
                <w:b/>
                <w:i/>
              </w:rPr>
              <w:t>lastno predvidljivo dodelitev proračunskih sredstev, da bi bil neodvisen od izrednih instrumentov za odzivanje na krize, kot je instrument Next Generation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Elena Nevado del Campo,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poziva Komisijo, naj za programsko obdobje po letu 2027 </w:t>
            </w:r>
            <w:r>
              <w:rPr>
                <w:b/>
                <w:i/>
              </w:rPr>
              <w:t>predlaga nov sklad SPP II,</w:t>
            </w:r>
            <w:r>
              <w:t xml:space="preserve"> ki bo deloval po načelih deljenega upravljanja in partnerstva; poudarja, da bi ta sklad moral imeti večja finančna sredstva kot sedanji SPP;</w:t>
            </w:r>
          </w:p>
        </w:tc>
        <w:tc>
          <w:tcPr>
            <w:tcW w:w="4876" w:type="dxa"/>
            <w:tcBorders>
              <w:top w:val="nil"/>
              <w:left w:val="nil"/>
              <w:bottom w:val="nil"/>
              <w:right w:val="nil"/>
            </w:tcBorders>
          </w:tcPr>
          <w:p>
            <w:pPr>
              <w:pStyle w:val="Normal6a"/>
            </w:pPr>
            <w:r>
              <w:t>27.</w:t>
            </w:r>
            <w:r>
              <w:tab/>
            </w:r>
            <w:r>
              <w:t xml:space="preserve">poziva Komisijo, naj za programsko obdobje po letu 2027 </w:t>
            </w:r>
            <w:r>
              <w:rPr>
                <w:b/>
                <w:i/>
              </w:rPr>
              <w:t>ohrani pravičen prehod kot postopek v okviru kohezijske politike,  </w:t>
            </w:r>
            <w:r>
              <w:t>ki bo deloval po načelih deljenega upravljanja in partnerstva; poudarja, da bi ta sklad moral imeti večja finančna sredstva kot sedanji SPP;</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poziva Komisijo, naj za programsko obdobje po letu 2027 predlaga nov sklad SPP II, ki bo deloval po načelih deljenega upravljanja in partnerstva; poudarja, da bi ta sklad moral imeti večja finančna sredstva kot sedanji SPP;</w:t>
            </w:r>
          </w:p>
        </w:tc>
        <w:tc>
          <w:tcPr>
            <w:tcW w:w="4876" w:type="dxa"/>
            <w:tcBorders>
              <w:top w:val="nil"/>
              <w:left w:val="nil"/>
              <w:bottom w:val="nil"/>
              <w:right w:val="nil"/>
            </w:tcBorders>
          </w:tcPr>
          <w:p>
            <w:pPr>
              <w:pStyle w:val="Normal6a"/>
            </w:pPr>
            <w:r>
              <w:t>27.</w:t>
            </w:r>
            <w:r>
              <w:tab/>
            </w:r>
            <w:r>
              <w:t>poziva Komisijo, naj za programsko obdobje po letu 2027 predlaga nov sklad SPP II, ki bo deloval po načelih deljenega upravljanja in </w:t>
            </w:r>
            <w:r>
              <w:rPr>
                <w:b/>
                <w:i/>
              </w:rPr>
              <w:t>bo pogojen z zadovoljivo zavezanostjo načelom </w:t>
            </w:r>
            <w:r>
              <w:t>partnerstva; poudarja, da bi ta sklad moral imeti večja finančna sredstva kot sedanji SPP;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poudarja, da je pomembno ohraniti strateški cilj prednostne obravnave podpore regijam, ki jih je prehod na podnebno nevtralno gospodarstvo najbolj prizadel, zlasti na podlagi gospodarskih in socialnih učinkov, ki izhajajo iz postopnega opuščanja ogljično intenzivnih panog;</w:t>
            </w:r>
            <w:r>
              <w:t xml:space="preserve"> </w:t>
            </w:r>
            <w:r>
              <w:rPr>
                <w:b/>
                <w:i/>
              </w:rPr>
              <w:t>ponovno poudarja, da se mora SPP še naprej osredotočati na območja v prehodu s premoga, lignita, šote in naftnega skrilavca, ki se še naprej soočajo z nesorazmernimi strukturnimi izzivi ter družbenimi in gospodarskimi ranljivostmi;</w:t>
            </w:r>
            <w:r>
              <w:t xml:space="preserve"> </w:t>
            </w:r>
            <w:r>
              <w:rPr>
                <w:b/>
                <w:i/>
              </w:rPr>
              <w:t>poziva k pravičnejši porazdelitvi sredstev, ki bo odražala dejansko stanje na terenu, in sicer s prilagoditvijo meril za dodelitev ravni NUTS 3, zlasti z uporabo BDP na prebivalca, namesto da bi se zanašali zgolj na širše podatke NUTS 2, kot se trenutno uporablja v splošni kohezijski politiki;</w:t>
            </w:r>
            <w:r>
              <w:t xml:space="preserve"> </w:t>
            </w:r>
            <w:r>
              <w:rPr>
                <w:b/>
                <w:i/>
              </w:rPr>
              <w:t>poudarja, da imajo številne podregije, odvisne od premoga, znatno nižji BDP na prebivalca v primerjavi s širšimi regijami NUTS 2, zato si zaslužijo večjo finančno podporo in nižje zahteve glede državnega sofinanciranja v okviru SPP;</w:t>
            </w:r>
            <w:r>
              <w:t xml:space="preserve"> </w:t>
            </w:r>
            <w:r>
              <w:rPr>
                <w:b/>
                <w:i/>
              </w:rPr>
              <w:t>poudarja, da je tak izpopolnjen pristop, ki upošteva značilnosti posameznih območij, bistven za pošten in ciljno usmerjen pravični prehod;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Dan-Ştefan Motreanu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ponovno poudarja, da mora kohezijska politika ostati popolnoma zvesta svojim temeljnim načelom, kot so določena v členih 174 do 176 Pogodbe o delovanju Evropske unije, s stalnim poudarkom na spodbujanju uravnoteženega in vključujočega teritorialnega razvoja;</w:t>
            </w:r>
            <w:r>
              <w:t xml:space="preserve"> </w:t>
            </w:r>
            <w:r>
              <w:rPr>
                <w:b/>
                <w:i/>
              </w:rPr>
              <w:t>vztraja, da je treba v prihodnjih kohezijskih prizadevanjih posebno pozornost nameniti podeželskim območjem, regijam, v katerih poteka deindustrializacija, in regijam s strukturnimi pomanjkljivostmi, zajemši otoke, obmejna območja in gorska ozemlja;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André Rougé, Rody Tolassy, 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poziva, naj se prihodnji SPP II oblikuje v tesnem posvetovanju z državami članicami, da bi zagotovili bolj decentralizirano upravljanje sredstev in boljše prilagajanje lokalnim posebnostim, hkrati pa ohranili načela deljenega upravljanja;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poudarja, da bi se moral SPP „II“ osredotočiti na usklajevanje trajnostnega razvoja s konkurenčnostjo, s čimer bi zagotovili, da lahko regije v prehodu gospodarsko uspevajo, ne da bi pri tem ogrozile svoje okoljske in socialne cilje.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27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poudarja, da je lahko trajnostni turizem močno orodje v boju proti gospodarskemu nazadovanju in brezposelnosti v prizadetih regijah;</w:t>
            </w:r>
            <w:r>
              <w:t xml:space="preserve"> </w:t>
            </w:r>
            <w:r>
              <w:rPr>
                <w:b/>
                <w:i/>
              </w:rPr>
              <w:t>poudarja, da bi morala kohezijska politika podpirati strategije trajnostnega turizma kot del pravičnega prehoda ter spodbujati odpornost, inovacije in zeleno preobrazbo, hkrati pa spodbujati vključujočo rast, ustvarjati nova delovna mesta ter ohranjati lokalno kulturno in naravno dediščino;</w:t>
            </w:r>
            <w:r>
              <w:t xml:space="preserve"> </w:t>
            </w:r>
            <w:r>
              <w:rPr>
                <w:b/>
                <w:i/>
              </w:rPr>
              <w:t>poudarja, da so nujne nadaljnje naložbe v zanesljive podatke, inteligentna orodja in tehnike, ki lahko izboljšajo potrošniško izkušnjo in spodbudijo prehod k bolj digitalnemu in trajnostnemu turističnemu ekosistemu, med drugim z izboljšanjem upravljanja destinacij v korist lokalnim družbam in gospodarstvom ter turistom, prerazporeditvijo turističnih tokov v manj razvite regije in na vse sezone ter z boljšo pripravo, upravljanjem in odzivanjem na krize, kot so pandemije, skrajne vremenske razmere in druge naravne nesreče;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27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poudarja, da bi se lahko področje uporabe SPP „II“ razširilo v skladu s predlogi držav članic, s čimer bi zagotovili, da bi imelo od njega koristi več območij, prizadetih zaradi procesov prehoda, hkrati pa bi v skladu z zahtevami držav članic pravila o dodeljevanju sredstev postala prožnejša;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27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27c.</w:t>
            </w:r>
            <w:r>
              <w:tab/>
            </w:r>
            <w:r>
              <w:rPr>
                <w:b/>
                <w:i/>
              </w:rPr>
              <w:t>poudarja, da je promet eden glavnih gospodarskih sektorjev, ki pomembno prispevajo k emisijam toplogrednih plinov;</w:t>
            </w:r>
            <w:r>
              <w:t xml:space="preserve"> </w:t>
            </w:r>
            <w:r>
              <w:rPr>
                <w:b/>
                <w:i/>
              </w:rPr>
              <w:t>poudarja, da je prometna politika EU bistvenega pomena za gospodarski, družbeni in okoljski razvoj Evrope ter za njeno trajnostnost;</w:t>
            </w:r>
            <w:r>
              <w:t xml:space="preserve"> </w:t>
            </w:r>
            <w:r>
              <w:rPr>
                <w:b/>
                <w:i/>
              </w:rPr>
              <w:t>zato odločno poziva, naj se prometna politika EU ustrezno in zadostno financira za razvoj trajnostnih načinov prevoza in zagotovitev delovnih mest v prometnih sektorjih, ki jih je prizadel ekološki prehod, vključno z oddaljenimi geografskimi območji, kot so otoki in otoške regije;</w:t>
            </w:r>
            <w:r>
              <w:t xml:space="preserve"> </w:t>
            </w:r>
            <w:r>
              <w:rPr>
                <w:b/>
                <w:i/>
              </w:rPr>
              <w:t>poudarja, da bi morala imeti kohezijska politika ključno vlogo v tem procesu, in sicer s podpiranjem pravičnega dostopa do rešitev trajnostne mobilnosti v vseh regijah, zmanjševanjem teritorialnih razlik in zagotavljanjem, da nobena regija ne bo zapostavljena pri prehodu na okolju prijaznejši prometni sistem;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27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27c.</w:t>
            </w:r>
            <w:r>
              <w:tab/>
            </w:r>
            <w:r>
              <w:rPr>
                <w:b/>
                <w:i/>
              </w:rPr>
              <w:t>poudarja, da bi moral SPP „II“ sprejeti proaktiven pristop in poskušati predvideti tudi preobrazbene procese, ki jih je mogoče razumno pričakovati v bližnji prihodnosti;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27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27d.</w:t>
            </w:r>
            <w:r>
              <w:tab/>
            </w:r>
            <w:r>
              <w:rPr>
                <w:b/>
                <w:i/>
              </w:rPr>
              <w:t>poziva Komisijo, naj se posebej osredotoči na otoke in najbolj oddaljene regije, da bi podprla reševanje njihovih resnih družbenih in gospodarskih izzivov, ki izhajajo iz procesa prehoda na energetske in podnebne cilje EU za leto 2030 ter na podnebno nevtralno gospodarstvo v EU do leta 2050, ter sodeluje z državami članicami, da bi te v okviru svojih območnih načrtov za pravični prehod namenile posebne zneske iz svojih nacionalnih dodelitev;</w:t>
            </w:r>
            <w:r>
              <w:t xml:space="preserve"> </w:t>
            </w:r>
            <w:r>
              <w:rPr>
                <w:b/>
                <w:i/>
              </w:rPr>
              <w:t>poziva h konkretnim ukrepom za izravnanje negativnih posledic prehoda na čistejše gospodarstvo in družbo za gospodarsko, družbeno in teritorialno kohezijo otokov, ki se lahko pojavijo zaradi njihove odvisnosti od letalskega in pomorskega sektorja, poziva pa tudi, naj se otoki prednostno obravnavajo pri razvoju infrastrukture, namenjene razogljičenju zračnega in pomorskega prometa;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27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27e.</w:t>
            </w:r>
            <w:r>
              <w:tab/>
            </w:r>
            <w:r>
              <w:rPr>
                <w:b/>
                <w:i/>
              </w:rPr>
              <w:t>meni, da si je treba prizadevati za večjo skladnost in usklajenost med kohezijsko politiko in drugimi politikami EU, da se bodo podnebni vidiki bolje vključevali v politike, da se bodo oblikovale učinkovitejše politike na podlagi virov, zagotovilo namensko financiranje EU ter da se bo posledično izboljšalo izvajanje podnebne politike na terenu;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772.012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130</w:t>
    </w:r>
    <w:r>
      <w:fldChar w:fldCharType="end"/>
    </w:r>
    <w:r>
      <w:t>/</w:t>
    </w:r>
    <w:r>
      <w:fldChar w:fldCharType="begin"/>
    </w:r>
    <w:r>
      <w:instrText xml:space="preserve"> NUMPAGES </w:instrText>
    </w:r>
    <w:r>
      <w:fldChar w:fldCharType="separate"/>
    </w:r>
    <w:r>
      <w:t>130</w:t>
    </w:r>
    <w:r>
      <w:fldChar w:fldCharType="end"/>
    </w:r>
    <w:r>
      <w:tab/>
    </w:r>
    <w:r>
      <w:rPr>
        <w:rStyle w:val="HideTWBExt"/>
      </w:rPr>
      <w:t>&lt;PathFdR&gt;</w:t>
    </w:r>
    <w:r>
      <w:t>AM\1318327SL.docx</w:t>
    </w:r>
    <w:r>
      <w:rPr>
        <w:rStyle w:val="HideTWBExt"/>
      </w:rPr>
      <w:t>&lt;/PathFdR&gt;</w:t>
    </w:r>
  </w:p>
  <w:p>
    <w:pPr>
      <w:pStyle w:val="EPFooter2"/>
    </w:pPr>
    <w:r>
      <w:t>SL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AM\1318327SL.docx</w:t>
    </w:r>
    <w:r>
      <w:rPr>
        <w:rStyle w:val="HideTWBExt"/>
      </w:rPr>
      <w:t>&lt;/PathFdR&gt;</w:t>
    </w:r>
    <w:r>
      <w:tab/>
    </w:r>
    <w:r>
      <w:fldChar w:fldCharType="begin"/>
    </w:r>
    <w:r>
      <w:instrText xml:space="preserve"> PAGE </w:instrText>
    </w:r>
    <w:r>
      <w:fldChar w:fldCharType="separate"/>
    </w:r>
    <w:r>
      <w:t>129</w:t>
    </w:r>
    <w:r>
      <w:fldChar w:fldCharType="end"/>
    </w:r>
    <w:r>
      <w:t>/</w:t>
    </w:r>
    <w:r>
      <w:fldChar w:fldCharType="begin"/>
    </w:r>
    <w:r>
      <w:instrText xml:space="preserve"> NUMPAGES </w:instrText>
    </w:r>
    <w:r>
      <w:fldChar w:fldCharType="separate"/>
    </w:r>
    <w:r>
      <w:t>130</w:t>
    </w:r>
    <w:r>
      <w:fldChar w:fldCharType="end"/>
    </w:r>
    <w:r>
      <w:tab/>
    </w:r>
    <w:r>
      <w:t>PE</w:t>
    </w:r>
    <w:r>
      <w:rPr>
        <w:rStyle w:val="HideTWBExt"/>
      </w:rPr>
      <w:t>&lt;NoPE&gt;</w:t>
    </w:r>
    <w:r>
      <w:t>772.012</w:t>
    </w:r>
    <w:r>
      <w:rPr>
        <w:rStyle w:val="HideTWBExt"/>
      </w:rPr>
      <w:t>&lt;/NoPE&gt;</w:t>
    </w:r>
    <w:r>
      <w:rPr>
        <w:rStyle w:val="HideTWBExt"/>
      </w:rPr>
      <w:t>&lt;Version&gt;</w:t>
    </w:r>
    <w:r>
      <w:t>v01-00</w:t>
    </w:r>
    <w:r>
      <w:rPr>
        <w:rStyle w:val="HideTWBExt"/>
      </w:rPr>
      <w:t>&lt;/Version&gt;</w:t>
    </w:r>
  </w:p>
  <w:p>
    <w:pPr>
      <w:pStyle w:val="EPFooter2"/>
    </w:pPr>
    <w:r>
      <w:tab/>
    </w:r>
    <w:r>
      <w:tab/>
    </w:r>
    <w:r>
      <w:t>SL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AM\1318327SL.docx</w:t>
    </w:r>
    <w:r>
      <w:rPr>
        <w:rStyle w:val="HideTWBExt"/>
      </w:rPr>
      <w:t>&lt;/PathFdR&gt;</w:t>
    </w:r>
    <w:r>
      <w:tab/>
    </w:r>
    <w:r>
      <w:tab/>
    </w:r>
    <w:r>
      <w:t>PE</w:t>
    </w:r>
    <w:r>
      <w:rPr>
        <w:rStyle w:val="HideTWBExt"/>
      </w:rPr>
      <w:t>&lt;NoPE&gt;</w:t>
    </w:r>
    <w:r>
      <w:t>772.012</w:t>
    </w:r>
    <w:r>
      <w:rPr>
        <w:rStyle w:val="HideTWBExt"/>
      </w:rPr>
      <w:t>&lt;/NoPE&gt;</w:t>
    </w:r>
    <w:r>
      <w:rPr>
        <w:rStyle w:val="HideTWBExt"/>
      </w:rPr>
      <w:t>&lt;Version&gt;</w:t>
    </w:r>
    <w:r>
      <w:t>v01-00</w:t>
    </w:r>
    <w:r>
      <w:rPr>
        <w:rStyle w:val="HideTWBExt"/>
      </w:rPr>
      <w:t>&lt;/Version&gt;</w:t>
    </w:r>
  </w:p>
  <w:p>
    <w:pPr>
      <w:pStyle w:val="EPFooter2"/>
    </w:pPr>
    <w:r>
      <w:t>SL</w:t>
    </w:r>
    <w:r>
      <w:tab/>
    </w:r>
    <w:r>
      <w:rPr>
        <w:rStyle w:val="EPFooter2Motto"/>
      </w:rPr>
      <w:t>Združena v raznolikosti</w:t>
    </w:r>
    <w:r>
      <w:tab/>
    </w:r>
    <w:r>
      <w:t>SL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130</Pages>
  <Words>23635</Words>
  <Characters>141864</Characters>
  <Application>Microsoft Office Word</Application>
  <DocSecurity>0</DocSecurity>
  <Lines>1</Lines>
  <Paragraphs>2490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1318327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163985</vt:lpwstr>
  </property>
  <property fmtid="{D5CDD505-2E9C-101B-9397-08002B2CF9AE}" pid="7" name="dmxml.render.traceId">
    <vt:lpwstr>67fcca2a97950bc722f7f4df15c5138a</vt:lpwstr>
  </property>
  <property fmtid="{D5CDD505-2E9C-101B-9397-08002B2CF9AE}" pid="8" name="FooterPath">
    <vt:lpwstr>AM\1318327SL.docx</vt:lpwstr>
  </property>
  <property fmtid="{D5CDD505-2E9C-101B-9397-08002B2CF9AE}" pid="9" name="PE Number">
    <vt:lpwstr>772.012</vt:lpwstr>
  </property>
  <property fmtid="{D5CDD505-2E9C-101B-9397-08002B2CF9AE}" pid="10" name="UID">
    <vt:lpwstr>eu.europa.europarl-DIN1-2025-0000065662_01.00-sl-01.00_text-xml</vt:lpwstr>
  </property>
</Properties>
</file>