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{SEDE}</w:t>
      </w:r>
      <w:r>
        <w:t>Committee on Security and Defence</w:t>
      </w:r>
      <w:r>
        <w:rPr>
          <w:rStyle w:val="HideTWBExt"/>
        </w:rPr>
        <w:t>&lt;/Commission&gt;</w:t>
      </w:r>
    </w:p>
    <w:p>
      <w:pPr>
        <w:pStyle w:val="LineBottom"/>
      </w:pPr>
      <w:r>
        <w:t xml:space="preserve"> </w:t>
      </w:r>
    </w:p>
    <w:p>
      <w:pPr>
        <w:pStyle w:val="CoverReference"/>
      </w:pPr>
      <w:r>
        <w:rPr>
          <w:rStyle w:val="HideTWBExt"/>
        </w:rPr>
        <w:t>&lt;RefProc&gt;</w:t>
      </w:r>
      <w:r>
        <w:t>2025/0571R</w:t>
      </w:r>
      <w:r>
        <w:rPr>
          <w:rStyle w:val="HideTWBExt"/>
        </w:rPr>
        <w:t>&lt;/RefProc&gt;</w:t>
      </w:r>
      <w:r>
        <w:rPr>
          <w:rStyle w:val="HideTWBExt"/>
        </w:rPr>
        <w:t>&lt;RefTypeProc&gt;</w:t>
      </w:r>
      <w:r>
        <w:t>(APP)</w:t>
      </w:r>
      <w:r>
        <w:rPr>
          <w:rStyle w:val="HideTWBExt"/>
        </w:rPr>
        <w:t>&lt;/RefTypeProc&gt;</w:t>
      </w:r>
    </w:p>
    <w:p>
      <w:pPr>
        <w:pStyle w:val="CoverDate"/>
      </w:pPr>
      <w:r>
        <w:rPr>
          <w:rStyle w:val="HideTWBExt"/>
        </w:rPr>
        <w:t>&lt;Date&gt;</w:t>
      </w:r>
      <w:r>
        <w:rPr>
          <w:rStyle w:val="HideTWBInt"/>
        </w:rPr>
        <w:t>{02/02/2026}</w:t>
      </w:r>
      <w:r>
        <w:t>2.2.2026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148</w:t>
      </w:r>
      <w:r>
        <w:rPr>
          <w:rStyle w:val="HideTWBExt"/>
        </w:rPr>
        <w:t>&lt;/RangeAM&gt;</w:t>
      </w:r>
    </w:p>
    <w:p>
      <w:pPr>
        <w:pStyle w:val="CoverBold"/>
      </w:pPr>
      <w:r>
        <w:rPr>
          <w:rStyle w:val="HideTWBExt"/>
        </w:rPr>
        <w:t>&lt;TitreType&gt;</w:t>
      </w:r>
      <w:r>
        <w:t>Draft opinion</w:t>
      </w:r>
      <w:r>
        <w:rPr>
          <w:rStyle w:val="HideTWBExt"/>
        </w:rPr>
        <w:t>&lt;/TitreType&gt;</w:t>
      </w:r>
    </w:p>
    <w:p>
      <w:pPr>
        <w:pStyle w:val="CoverBold"/>
      </w:pPr>
      <w:r>
        <w:rPr>
          <w:rStyle w:val="HideTWBExt"/>
        </w:rPr>
        <w:t>&lt;Rapporteur&gt;</w:t>
      </w:r>
      <w:r>
        <w:t>Marie-Agnes Strack-Zimmermann</w:t>
      </w:r>
      <w:r>
        <w:rPr>
          <w:rStyle w:val="HideTWBExt"/>
        </w:rPr>
        <w:t>&lt;/Rapporteur&gt;</w:t>
      </w:r>
    </w:p>
    <w:p>
      <w:pPr>
        <w:pStyle w:val="CoverNormal24a"/>
      </w:pPr>
      <w:r>
        <w:rPr>
          <w:rStyle w:val="HideTWBExt"/>
        </w:rPr>
        <w:t>&lt;DocRefPE&gt;</w:t>
      </w:r>
      <w:r>
        <w:t>(PE779.351v01-00)</w:t>
      </w:r>
      <w:r>
        <w:rPr>
          <w:rStyle w:val="HideTWBExt"/>
        </w:rPr>
        <w:t>&lt;/DocRefPE&gt;</w:t>
      </w:r>
    </w:p>
    <w:p>
      <w:pPr>
        <w:pStyle w:val="CoverNormal"/>
      </w:pPr>
      <w:r>
        <w:rPr>
          <w:rStyle w:val="HideTWBExt"/>
        </w:rPr>
        <w:t>&lt;Titre&gt;</w:t>
      </w:r>
      <w:r>
        <w:t>Interim report on the proposal for the multiannual financial framework for 2028-2034</w:t>
      </w:r>
      <w:r>
        <w:rPr>
          <w:rStyle w:val="HideTWBExt"/>
        </w:rPr>
        <w:t>&lt;/Titre&gt;</w:t>
      </w:r>
    </w:p>
    <w:p>
      <w:pPr>
        <w:pStyle w:val="CoverNormal24a"/>
      </w:pPr>
      <w:r>
        <w:rPr>
          <w:rStyle w:val="HideTWBExt"/>
        </w:rPr>
        <w:t>&lt;DocRef&gt;</w:t>
      </w:r>
      <w:r>
        <w:t>(2025/0571R(APP))</w:t>
      </w:r>
      <w:r>
        <w:rPr>
          <w:rStyle w:val="HideTWBExt"/>
        </w:rPr>
        <w:t>&lt;/DocRef&gt;</w:t>
      </w:r>
    </w:p>
    <w:p>
      <w:r>
        <w:br w:type="page"/>
      </w:r>
      <w:r>
        <w:t>AM_Com_NonLegOpinion</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Lucia Yar, Nathalie Loiseau, Urmas Paet, Hilde Vautmans,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its resolution of 17 December 2025 on the European Defence Readiness 2030: assessment of needs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Texts adopted, P10_TA(2025)0336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whereas, pursuant to Article 311 TFEU, the Union </w:t>
            </w:r>
            <w:r>
              <w:rPr>
                <w:b/>
                <w:i/>
              </w:rPr>
              <w:t>must</w:t>
            </w:r>
            <w:r>
              <w:t xml:space="preserve"> provide itself with the necessary means to attain its objectives </w:t>
            </w:r>
            <w:r>
              <w:rPr>
                <w:b/>
                <w:i/>
              </w:rPr>
              <w:t>and carry through its policies</w:t>
            </w:r>
            <w:r>
              <w:t>;</w:t>
            </w:r>
          </w:p>
        </w:tc>
        <w:tc>
          <w:tcPr>
            <w:tcW w:w="4876" w:type="dxa"/>
            <w:tcBorders>
              <w:top w:val="nil"/>
              <w:left w:val="nil"/>
              <w:bottom w:val="nil"/>
              <w:right w:val="nil"/>
            </w:tcBorders>
          </w:tcPr>
          <w:p>
            <w:pPr>
              <w:pStyle w:val="Normal6a"/>
            </w:pPr>
            <w:r>
              <w:t>A.</w:t>
            </w:r>
            <w:r>
              <w:tab/>
            </w:r>
            <w:r>
              <w:t xml:space="preserve">whereas, pursuant to Article 311 TFEU, the Union </w:t>
            </w:r>
            <w:r>
              <w:rPr>
                <w:b/>
                <w:i/>
              </w:rPr>
              <w:t>shall</w:t>
            </w:r>
            <w:r>
              <w:t xml:space="preserve"> provide itself with the necessary means to attain its objectives</w:t>
            </w:r>
            <w:r>
              <w:rPr>
                <w:b/>
                <w:i/>
              </w:rPr>
              <w:t>, within the limits of the Treaties and respecting the principle of budgetary sovereignty of the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w:t>
            </w:r>
          </w:p>
        </w:tc>
        <w:tc>
          <w:tcPr>
            <w:tcW w:w="4876" w:type="dxa"/>
            <w:tcBorders>
              <w:top w:val="nil"/>
              <w:left w:val="nil"/>
              <w:bottom w:val="nil"/>
              <w:right w:val="nil"/>
            </w:tcBorders>
          </w:tcPr>
          <w:p>
            <w:pPr>
              <w:pStyle w:val="Normal6a"/>
            </w:pPr>
            <w:r>
              <w:t>B.</w:t>
            </w:r>
            <w:r>
              <w:tab/>
            </w:r>
            <w:r>
              <w:t xml:space="preserve">whereas the current MFF quickly proved its inadequacy in responding to a series of crises and new political challenges that were not anticipated at the time of its adoption; whereas, for the purpose of securing the necessary funding, the MFF was pushed to its limits including an unprecedented recourse to the flexibility provisions and special instruments, after exhausting the available margins; </w:t>
            </w:r>
            <w:r>
              <w:rPr>
                <w:b/>
                <w:i/>
              </w:rPr>
              <w:t>whereas such measures must remain exceptional and cannot replace sound budgetary planning;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Lucia Yar, Engin Eroglu, Nathalie Loiseau, Urmas Paet, Hilde Vautmans,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whereas there is an urgent need to increase European defence-related investments, in particular to enhance Europe’s resilience and security by supporting the development and deployment of dual-use technologies and capabilities that strengthen the protection of critical infrastructure against hybrid threats, cyberattacks and other risks to societal and economic stability, through the Union budget, while also complementing and stimulating the increasing defence spending by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Lucia Yar, Engin Eroglu, Nathalie Loiseau, Urmas Paet, Hilde Vautmans,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whereas EU citizens rightly expect more from the EU and its budget, including the capacity to respond quickly and effectively to evolving threats and to provide the necessary support to bolster defence capabilities, especially in times of crisis; whereas the next MFF should support a comprehensive security approach and appropriately fund measures that strengthen defence readiness and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whereas the MFF mid-term revision agreed in 2024 </w:t>
            </w:r>
            <w:r>
              <w:rPr>
                <w:b/>
                <w:i/>
              </w:rPr>
              <w:t>proved to be imperative due to the lack of resources that continue to undermine the current MFF to this day</w:t>
            </w:r>
            <w:r>
              <w:t>;</w:t>
            </w:r>
          </w:p>
        </w:tc>
        <w:tc>
          <w:tcPr>
            <w:tcW w:w="4876" w:type="dxa"/>
            <w:tcBorders>
              <w:top w:val="nil"/>
              <w:left w:val="nil"/>
              <w:bottom w:val="nil"/>
              <w:right w:val="nil"/>
            </w:tcBorders>
          </w:tcPr>
          <w:p>
            <w:pPr>
              <w:pStyle w:val="Normal6a"/>
            </w:pPr>
            <w:r>
              <w:t>C.</w:t>
            </w:r>
            <w:r>
              <w:tab/>
            </w:r>
            <w:r>
              <w:t xml:space="preserve">whereas the MFF mid-term revision agreed in 2024 </w:t>
            </w:r>
            <w:r>
              <w:rPr>
                <w:b/>
                <w:i/>
              </w:rPr>
              <w:t>responded to exceptional circumstances; whereas recourse to midterm revisions should remain limited and cannot replace sound prioritisation, efficiency gains and budgetary discipline within the Union’s long-term financial framework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the Eastern Border Regions of the Union bear a permanent and disproportionate security, economic and social burden resulting from Russia’s aggression against Ukraine, hybrid threats and military pressure, which must be explicitly reflected across all relevant headings of the MFF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whereas Russia is conducting sustained hybrid attacks against European infrastructure, including energy networks, transport corridors, communication systems, undersea cables and airspace, requiring a permanent and coordinated Union-level response;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whereas unmanned aerial systems, including low-cost and mass-produced drones, have become a primary tool of modern warfare and hybrid aggression, posing a direct threat to civilian populations, critical infrastructure and military assets across the Union, in particular in eastern border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Calls for the 2028-2034 MFF to be set at 1.27 % of EU gross</w:t>
            </w:r>
            <w:r>
              <w:t xml:space="preserve"> national </w:t>
            </w:r>
            <w:r>
              <w:rPr>
                <w:b/>
                <w:i/>
              </w:rPr>
              <w:t>income (GNI), excluding</w:t>
            </w:r>
            <w:r>
              <w:t xml:space="preserve"> NextGenerationEU </w:t>
            </w:r>
            <w:r>
              <w:rPr>
                <w:b/>
                <w:i/>
              </w:rPr>
              <w:t>(NGEU) repayments, to ensure the Union’s capacity to achieve its political priorities and strategic objectives, as well as respond to emerging needs; considers that NGEU</w:t>
            </w:r>
            <w:r>
              <w:t xml:space="preserve"> debt servicing</w:t>
            </w:r>
            <w:r>
              <w:rPr>
                <w:b/>
                <w:i/>
              </w:rPr>
              <w:t>,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w:t>
            </w:r>
            <w:r>
              <w:t xml:space="preserve"> the Union’s </w:t>
            </w:r>
            <w:r>
              <w:rPr>
                <w:b/>
                <w:i/>
              </w:rPr>
              <w:t>immediate neighbourhood, a highly challenging economic and social backdrop, a competitiveness gap and the worsening climate and biodiversity crises</w:t>
            </w:r>
            <w:r>
              <w:t>;</w:t>
            </w:r>
          </w:p>
        </w:tc>
        <w:tc>
          <w:tcPr>
            <w:tcW w:w="4876" w:type="dxa"/>
            <w:tcBorders>
              <w:top w:val="nil"/>
              <w:left w:val="nil"/>
              <w:bottom w:val="nil"/>
              <w:right w:val="nil"/>
            </w:tcBorders>
          </w:tcPr>
          <w:p>
            <w:pPr>
              <w:pStyle w:val="Normal6a"/>
            </w:pPr>
            <w:r>
              <w:t>1.</w:t>
            </w:r>
            <w:r>
              <w:tab/>
            </w:r>
            <w:r>
              <w:rPr>
                <w:b/>
                <w:i/>
              </w:rPr>
              <w:t>Recalls that the size of the Multiannual Financial Framework must be consistent with the Treaties, in particular the principles of budgetary discipline, subsidiarity and</w:t>
            </w:r>
            <w:r>
              <w:t xml:space="preserve"> national </w:t>
            </w:r>
            <w:r>
              <w:rPr>
                <w:b/>
                <w:i/>
              </w:rPr>
              <w:t>fiscal sovereignty; underlines that responding to new geopolitical, security and economic challenges requires clear prioritisation, efficiency gains and improved spending effectiveness; stresses that any future MFF must avoid permanent budgetary expansion and that</w:t>
            </w:r>
            <w:r>
              <w:t xml:space="preserve"> NextGenerationEU </w:t>
            </w:r>
            <w:r>
              <w:rPr>
                <w:b/>
                <w:i/>
              </w:rPr>
              <w:t>remains a temporary and exceptional instrument whose</w:t>
            </w:r>
            <w:r>
              <w:t xml:space="preserve"> debt servicing </w:t>
            </w:r>
            <w:r>
              <w:rPr>
                <w:b/>
                <w:i/>
              </w:rPr>
              <w:t>cannot serve as a basis for increasing</w:t>
            </w:r>
            <w:r>
              <w:t xml:space="preserve"> the Union’s </w:t>
            </w:r>
            <w:r>
              <w:rPr>
                <w:b/>
                <w:i/>
              </w:rPr>
              <w:t>long-term expenditure ceilings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the Union’s immediate neighbourhood, </w:t>
            </w:r>
            <w:r>
              <w:rPr>
                <w:b/>
                <w:i/>
              </w:rPr>
              <w:t>hybrid and cyber-attacks, threats to critical infrastructure and democratic institutions, as well as climate and environment related security risks,</w:t>
            </w:r>
            <w:r>
              <w:t xml:space="preserve"> a highly challenging economic and social backdrop, a competitiveness gap and the worsening climate and biodiversity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w:t>
            </w:r>
            <w:r>
              <w:rPr>
                <w:b/>
                <w:i/>
              </w:rPr>
              <w:t>the Union’s immediate neighbourhood</w:t>
            </w:r>
            <w:r>
              <w:t>, a highly challenging economic and social backdrop, a competitiveness gap and the worsening climate and biodiversity crises;</w:t>
            </w:r>
          </w:p>
        </w:tc>
        <w:tc>
          <w:tcPr>
            <w:tcW w:w="4876" w:type="dxa"/>
            <w:tcBorders>
              <w:top w:val="nil"/>
              <w:left w:val="nil"/>
              <w:bottom w:val="nil"/>
              <w:right w:val="nil"/>
            </w:tcBorders>
          </w:tcPr>
          <w:p>
            <w:pPr>
              <w:pStyle w:val="Normal6a"/>
            </w:pPr>
            <w:r>
              <w:t>1.</w:t>
            </w:r>
            <w:r>
              <w:tab/>
            </w:r>
            <w:r>
              <w:t xml:space="preserve">Calls for the 2028-2034 MFF to be set at 1.27 % of EU gross national income (GNI), excluding NextGenerationEU (NGEU) repayments, to ensure the Union’s capacity to achieve its political priorities and strategic objectives, as well as respond to emerging needs; considers that NGEU debt servicing, representing an additional 0.11 % of GNI, should be treated separately from funding for EU programmes within the future MFF architecture so as to ensure that available resources for these programmes remain unaffected, bringing the total to 1.38 % of EU GNI; stresses that this level is the absolute minimum to enable the Union to address major challenges, including the return of large-scale warfare in </w:t>
            </w:r>
            <w:r>
              <w:rPr>
                <w:b/>
                <w:i/>
              </w:rPr>
              <w:t>an EU candidate country, threatening the territorial integrity of the Union itself</w:t>
            </w:r>
            <w:r>
              <w:t>, a highly challenging economic and social backdrop, a competitiveness gap and the worsening climate and biodiversity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Alice Teodorescu Måwe, Riho Terras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Suggests establishing in the MFF an urgency mechanism, called “When Attacked by Russia (WAR) mechanism”, to lead Europe’s industry into a wartime economy after the mutual defence clause in Article 42.7 of TEU has been triggered, in order to allow the Commission to redirect the MFF funding to support defence industry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Underscores that the next MFF </w:t>
            </w:r>
            <w:r>
              <w:rPr>
                <w:b/>
                <w:i/>
              </w:rPr>
              <w:t>must</w:t>
            </w:r>
            <w:r>
              <w:t xml:space="preserve"> focus on </w:t>
            </w:r>
            <w:r>
              <w:rPr>
                <w:b/>
                <w:i/>
              </w:rPr>
              <w:t>financing European public goods with discernible</w:t>
            </w:r>
            <w:r>
              <w:t xml:space="preserve"> added value compared to national </w:t>
            </w:r>
            <w:r>
              <w:rPr>
                <w:b/>
                <w:i/>
              </w:rPr>
              <w:t>spending</w:t>
            </w:r>
            <w:r>
              <w:t>;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c>
          <w:tcPr>
            <w:tcW w:w="4876" w:type="dxa"/>
            <w:tcBorders>
              <w:top w:val="nil"/>
              <w:left w:val="nil"/>
              <w:bottom w:val="nil"/>
              <w:right w:val="nil"/>
            </w:tcBorders>
          </w:tcPr>
          <w:p>
            <w:pPr>
              <w:pStyle w:val="Normal6a"/>
            </w:pPr>
            <w:r>
              <w:t>2.</w:t>
            </w:r>
            <w:r>
              <w:tab/>
            </w:r>
            <w:r>
              <w:t xml:space="preserve">Underscores that the next MFF </w:t>
            </w:r>
            <w:r>
              <w:rPr>
                <w:b/>
                <w:i/>
              </w:rPr>
              <w:t>should</w:t>
            </w:r>
            <w:r>
              <w:t xml:space="preserve"> focus on </w:t>
            </w:r>
            <w:r>
              <w:rPr>
                <w:b/>
                <w:i/>
              </w:rPr>
              <w:t>areas where Union action provides clear</w:t>
            </w:r>
            <w:r>
              <w:t xml:space="preserve"> added value compared to national </w:t>
            </w:r>
            <w:r>
              <w:rPr>
                <w:b/>
                <w:i/>
              </w:rPr>
              <w:t>action, in full respect of the principle of subsidiarity</w:t>
            </w:r>
            <w:r>
              <w:t>; rejects any move towards an ‘à la carte’ Europe where differentiated participation undermines the unity and coherence of EU policies and programmes; warns that such an approach would fragment the single market, create unfair competitive advantages, and erode the principle of solidarity that underpins European integration;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Recognises the economic, social and security challenges at the Eastern border regions of the EU caused by their neighborhood with aggressors posing a persistent direct military threat and brought by direct and indirect consequences of Russia’s war of aggression against Ukraine and emphasises the importance of the relevant MFF programmes, in particular in Heading I and Heading II, to offer a comprehensive financial support to the Eastern border regions of the EU with the aim to enhance their defense, preparedness, resilience and security capabilities as well as address challenges in their economic, social and territorial convergence and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Petras Auštrevičius, Engin Eroglu, Urmas Paet,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Recognises the economic, social and security challenges at the Eastern border regions of the EU caused by their neighborhood with aggressors posing a persistent direct military threat and brought by direct and indirect consequences of Russia’s war of aggression against Ukraine and emphasizes the importance of the relevant MFF programmes, in particular in Heading I and Heading II, to offer a comprehensive financial support to the Eastern border regions of the EU with the aim to enhance their defense, preparedness, resilience and security capabilities as well as address challenges in their economic, social and territorial convergence and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 threatens to undermine EU policies enshrined in the Treaties and the Union’s objectives of strengthening its economic, social and territorial cohesion, safeguarding social rights and ensuring food security and a fair standard of living for farmers and fishers;</w:t>
            </w:r>
          </w:p>
        </w:tc>
        <w:tc>
          <w:tcPr>
            <w:tcW w:w="4876" w:type="dxa"/>
            <w:tcBorders>
              <w:top w:val="nil"/>
              <w:left w:val="nil"/>
              <w:bottom w:val="nil"/>
              <w:right w:val="nil"/>
            </w:tcBorders>
          </w:tcPr>
          <w:p>
            <w:pPr>
              <w:pStyle w:val="Normal6a"/>
            </w:pPr>
            <w:r>
              <w:t>3.</w:t>
            </w:r>
            <w:r>
              <w:tab/>
            </w:r>
            <w:r>
              <w:t>Opposes the merging of different policies in one plan per Member State, which generates significant uncertainty regarding funding predictability for final beneficiaries; warns that the significant reduction in funding in Heading 1</w:t>
            </w:r>
            <w:r>
              <w:rPr>
                <w:b/>
                <w:i/>
              </w:rPr>
              <w:t>, including the defence-relevant components in the National and Regional Partnership Plans (NRPPs),</w:t>
            </w:r>
            <w:r>
              <w:t xml:space="preserve"> threatens to undermine EU policies enshrined in the Treaties and the Union’s objectives of strengthening its economic, social and territorial cohesion, safeguarding social rights and ensuring food security and a fair standard of living for farmers and fishers </w:t>
            </w:r>
            <w:r>
              <w:rPr>
                <w:b/>
                <w:i/>
              </w:rPr>
              <w:t>as well as the security and defence of its citizens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 defence,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r>
              <w:rPr>
                <w:b/>
                <w:i/>
              </w:rPr>
              <w:t> stresses that security and defence related expenditure must be limited to actions with clear European added value, fully comply with Union values and international law, and remain subject to robust transparency, anti-fraud safeguards and full parliamentary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w:t>
            </w:r>
            <w:r>
              <w:rPr>
                <w:b/>
                <w:i/>
              </w:rPr>
              <w:t>, defence</w:t>
            </w:r>
            <w:r>
              <w:t>,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c>
          <w:tcPr>
            <w:tcW w:w="4876" w:type="dxa"/>
            <w:tcBorders>
              <w:top w:val="nil"/>
              <w:left w:val="nil"/>
              <w:bottom w:val="nil"/>
              <w:right w:val="nil"/>
            </w:tcBorders>
          </w:tcPr>
          <w:p>
            <w:pPr>
              <w:pStyle w:val="Normal6a"/>
            </w:pPr>
            <w:r>
              <w:t>4.</w:t>
            </w:r>
            <w:r>
              <w:tab/>
            </w:r>
            <w:r>
              <w:t>Welcomes the substantial increase proposed responding to Parliament’s long-standing calls for greater investment in research, strategic autonomy, the clean transition, technological sovereignty and economic resilience; stresses, however, that the consolidation of programmes in the Competitiveness Fund reduces transparency and limits Parliament’s ability to ensure appropriate funding for specific policy objectives; insists that, even where programme mergers occur, budget lines must remain sufficiently detailed to enable meaningful parliamentary oversight and maintain the visibility of funding for individual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Lucia Yar, Engin Eroglu, Nathalie Loiseau, Urmas Paet, Hilde Vautmans,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Stresses that the Union must have the means to underpin a genuine European security and defence efforts, including through a clear roadmap to finance common European defence and security expenditures through the EU budget, while ensuring efficiency of EU spending;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Stresses that European defence, preparedness and resilience constitute European public goods and must be financed at Union level accordingly.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Insists that dual-use infrastructure, technologies and capacities supporting both civilian resilience and military mobility must be mainstreamed and prioritised across all relevant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c.</w:t>
            </w:r>
            <w:r>
              <w:tab/>
            </w:r>
            <w:r>
              <w:rPr>
                <w:b/>
                <w:i/>
              </w:rPr>
              <w:t>Calls for the establishment of a continuous financial support to the Eastern Shield and Baltic Defence Line initiatives as highly contributing to security of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w:t>
            </w:r>
            <w:r>
              <w:rPr>
                <w:b/>
                <w:i/>
              </w:rPr>
              <w:t>as a global actor</w:t>
            </w:r>
            <w:r>
              <w:t xml:space="preserve">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w:t>
            </w:r>
            <w:r>
              <w:rPr>
                <w:b/>
                <w:i/>
              </w:rPr>
              <w:t>contribution to eradicating poverty and promoting sustainable development, prosperity, peace and stability</w:t>
            </w:r>
            <w:r>
              <w:t xml:space="preserve"> role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 opposes the weakened parliamentary oversight and involvement, as well as the reduced funding visibility for specific priorities inherent in the design of Global Europe as proposed by the Commission; </w:t>
            </w:r>
            <w:r>
              <w:rPr>
                <w:b/>
                <w:i/>
              </w:rPr>
              <w:t>stresses that the merger of the EU’s external instruments into the NDICI has been accompanied by reduced scrutiny and oversight powers of the European Parliament, as well as the subordination of EU external funding and development aid to the EU’s security, geopolitical, and economic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w:t>
            </w:r>
            <w:r>
              <w:rPr>
                <w:b/>
                <w:i/>
              </w:rPr>
              <w:t>the United States’ retreat from its role as a global guarantor of peace and security,</w:t>
            </w:r>
            <w:r>
              <w:t xml:space="preserve"> enlargement and development needs, humanitarian crises, </w:t>
            </w:r>
            <w:r>
              <w:rPr>
                <w:b/>
                <w:i/>
              </w:rPr>
              <w:t>and</w:t>
            </w:r>
            <w:r>
              <w:t xml:space="preserve">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enlargement and development needs, humanitarian crises, the need to support Ukraine and other partners </w:t>
            </w:r>
            <w:r>
              <w:rPr>
                <w:b/>
                <w:i/>
              </w:rPr>
              <w:t>the United States’ retreat from multilateralism and the transatlantic partnership, particularly since they have set 2027 as the deadline for Europe to assume most responsibility for its own conventional defence, and threats from Russia including potential military aggression, especially in the Baltic region and the Eastern borders, hybrid operations, sabotage, and disinformation aimed at destabilizing the EU and NATO</w:t>
            </w:r>
            <w:r>
              <w:t>; opposes the weakened parliamentary oversight and involvement, as well as the reduced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Welcomes</w:t>
            </w:r>
            <w:r>
              <w:t xml:space="preserve"> the reinforcement of the Neighbourhood, Development and International Cooperation Instrument (NDICI) – Global Europe </w:t>
            </w:r>
            <w:r>
              <w:rPr>
                <w:b/>
                <w:i/>
              </w:rPr>
              <w:t>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enlargement and development needs, humanitarian crises, and the need to support Ukraine and other partners</w:t>
            </w:r>
            <w:r>
              <w:t>;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rPr>
                <w:b/>
                <w:i/>
              </w:rPr>
              <w:t>Takes note of</w:t>
            </w:r>
            <w:r>
              <w:t xml:space="preserve"> the reinforcement of the Neighbourhood, Development and International Cooperation Instrument (NDICI) – Global Europe</w:t>
            </w:r>
            <w:r>
              <w:rPr>
                <w:b/>
                <w:i/>
              </w:rPr>
              <w:t>; stresses the importance of clear priorities, accountability and effective delivery of external action spending; recalls that such expenditure must remain consistent with the overall ceilings of the MFF and with the principles of budgetary discipline</w:t>
            </w:r>
            <w:r>
              <w:t>; opposes the weakened parliamentary oversight and involvement, as well as the reduced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Nathalie Loiseau,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retreat from its role as a global guarantor of peace and security, </w:t>
            </w:r>
            <w:r>
              <w:rPr>
                <w:b/>
                <w:i/>
              </w:rPr>
              <w:t>enlargement and</w:t>
            </w:r>
            <w:r>
              <w:t xml:space="preserve"> development </w:t>
            </w:r>
            <w:r>
              <w:rPr>
                <w:b/>
                <w:i/>
              </w:rPr>
              <w:t>needs,</w:t>
            </w:r>
            <w:r>
              <w:t xml:space="preserve"> humanitarian </w:t>
            </w:r>
            <w:r>
              <w:rPr>
                <w:b/>
                <w:i/>
              </w:rPr>
              <w:t>crises,</w:t>
            </w:r>
            <w:r>
              <w:t xml:space="preserve"> and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t xml:space="preserve">Welcomes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level of funding remains insufficient given the scale of global challenges including the United States’ </w:t>
            </w:r>
            <w:r>
              <w:rPr>
                <w:b/>
                <w:i/>
              </w:rPr>
              <w:t>shift towards isolationism, disdain for the EU, a transactional approach to its geopolitical allies, and a softer and lenient tone with its traditional rivals and and consequently a</w:t>
            </w:r>
            <w:r>
              <w:t xml:space="preserve"> retreat from its role as a global guarantor of peace and security, development</w:t>
            </w:r>
            <w:r>
              <w:rPr>
                <w:b/>
                <w:i/>
              </w:rPr>
              <w:t>, and</w:t>
            </w:r>
            <w:r>
              <w:t xml:space="preserve"> humanitarian </w:t>
            </w:r>
            <w:r>
              <w:rPr>
                <w:b/>
                <w:i/>
              </w:rPr>
              <w:t>support</w:t>
            </w:r>
            <w:r>
              <w:t xml:space="preserve"> and the need to support Ukraine and other partners; opposes the weakened parliamentary oversight and involvement, as well as the reduced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Alexandr Vondra, Veronika Vrecionová, 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Welcomes</w:t>
            </w:r>
            <w:r>
              <w:t xml:space="preserve">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w:t>
            </w:r>
            <w:r>
              <w:rPr>
                <w:b/>
                <w:i/>
              </w:rPr>
              <w:t>level of funding remains insufficient given the scale of global challenges including the United</w:t>
            </w:r>
            <w:r>
              <w:t xml:space="preserve"> States</w:t>
            </w:r>
            <w:r>
              <w:rPr>
                <w:b/>
                <w:i/>
              </w:rPr>
              <w:t>’ retreat from its role as a global guarantor of peace and security, enlargement and development</w:t>
            </w:r>
            <w:r>
              <w:t xml:space="preserve"> needs</w:t>
            </w:r>
            <w:r>
              <w:rPr>
                <w:b/>
                <w:i/>
              </w:rPr>
              <w:t>, humanitarian crises, and</w:t>
            </w:r>
            <w:r>
              <w:t xml:space="preserve"> the need to support Ukraine and other partners; opposes the weakened parliamentary oversight and involvement, as well as the reduced funding visibility for specific priorities inherent in the design of Global Europe as proposed by the Commission;</w:t>
            </w:r>
          </w:p>
        </w:tc>
        <w:tc>
          <w:tcPr>
            <w:tcW w:w="4876" w:type="dxa"/>
            <w:tcBorders>
              <w:top w:val="nil"/>
              <w:left w:val="nil"/>
              <w:bottom w:val="nil"/>
              <w:right w:val="nil"/>
            </w:tcBorders>
          </w:tcPr>
          <w:p>
            <w:pPr>
              <w:pStyle w:val="Normal6a"/>
            </w:pPr>
            <w:r>
              <w:t>5.</w:t>
            </w:r>
            <w:r>
              <w:tab/>
            </w:r>
            <w:r>
              <w:rPr>
                <w:b/>
                <w:i/>
              </w:rPr>
              <w:t>Notes</w:t>
            </w:r>
            <w:r>
              <w:t xml:space="preserve"> the reinforcement of the Neighbourhood, Development and International Cooperation Instrument (NDICI) – Global Europe as it demonstrates the Union’s commitment to strengthening its role as a global actor in an increasingly complex geopolitical environment; expresses concern, however, that this </w:t>
            </w:r>
            <w:r>
              <w:rPr>
                <w:b/>
                <w:i/>
              </w:rPr>
              <w:t>could threaten Member</w:t>
            </w:r>
            <w:r>
              <w:t xml:space="preserve"> States </w:t>
            </w:r>
            <w:r>
              <w:rPr>
                <w:b/>
                <w:i/>
              </w:rPr>
              <w:t>national sovereignty in foreign policy; emphasises that any increase in human resources and financial</w:t>
            </w:r>
            <w:r>
              <w:t xml:space="preserve"> needs </w:t>
            </w:r>
            <w:r>
              <w:rPr>
                <w:b/>
                <w:i/>
              </w:rPr>
              <w:t>must be justified and efficient improvement; recognises</w:t>
            </w:r>
            <w:r>
              <w:t xml:space="preserve"> the need to support Ukraine and other partners</w:t>
            </w:r>
            <w:r>
              <w:rPr>
                <w:b/>
                <w:i/>
              </w:rPr>
              <w:t>; stresses that businesses should be encouraged for investment in those countries</w:t>
            </w:r>
            <w:r>
              <w:t>; opposes the weakened parliamentary oversight and involvement, as well as the reduced funding visibility for specific priorities inherent in the design of Global Europe as proposed by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Nathalie Loiseau, Petras Auštrevičius,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Considers that the current geopolitical context, primary the Russian aggression towards Ukraine makes it critical to consider Defense as a structural priority for the next MFF; believes that the Draghi report has made it very clear that unprecedented and massive financing and investment needs are required to rearm the EU and make it strategically autonomous; calls, therefore, for these needs to be addressed in the future MFF, and, in order to prevent them from being diluted in national envelopes (NRPP) among other priorities, for the future budget nomenclature to accurately reflect the details and amount of defense-related investments or actions; insists that financial support from the European budget be used to finance European projects by sovereign European companies, and considers that European preference criteria such as EDIP should be applied to funding from the European Competitiveness Fund or to dedicated funds in the PRRNs;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Stresses that European security and defence must be recognised in the next MFF as an explicit structural priority, and that the budget nomenclature must allow for clear identification, traceability and parliamentary scrutiny of defence-related investment across all relevant instruments, including the ECF, HE, CEF and defence-relevant components of the NRPPs, and CFSP/CSDP; stresses that this requires sufficiently granular budget lines and robust reporting;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Sven Mikser,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Stresses that European-level security and defence must be recognised in the next MFF as an explicit structural priority, and that the budget nomenclature must allow for clear identification and parliamentary scrutiny of defence-related investment across all relevant instruments, including industrial policy, military mobility, defence-relevant NRPP components and CFSP/CSDP;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Underlines the need to substantially reinforce EU-level civilian preparedness, including civil protection, medical resilience, critical infrastructure protection and counter-hybrid capabilities.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Recalls its position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commitment to securing the necessary transparency mechanisms to fulfil its role as the guardian of citizens’ interests, which is vital to safeguard public trust in the EU;</w:t>
            </w:r>
          </w:p>
        </w:tc>
        <w:tc>
          <w:tcPr>
            <w:tcW w:w="4876" w:type="dxa"/>
            <w:tcBorders>
              <w:top w:val="nil"/>
              <w:left w:val="nil"/>
              <w:bottom w:val="nil"/>
              <w:right w:val="nil"/>
            </w:tcBorders>
          </w:tcPr>
          <w:p>
            <w:pPr>
              <w:pStyle w:val="Normal6a"/>
            </w:pPr>
            <w:r>
              <w:t>6.</w:t>
            </w:r>
            <w:r>
              <w:tab/>
            </w:r>
            <w:r>
              <w:t xml:space="preserve">Recalls its position that ‘simplification cannot mean more leeway for the Commission without the necessary checks and balances and must therefore be achieved with full respect for the institutional balance provided for in the Treaties’; opposes, therefore, the proposed approach that sacrifices transparency and controls under the guise of efficiency, compromising programme quality and democratic accountability, and undermining Parliament’s role as the budgetary and discharge authority; underlines Parliament’s </w:t>
            </w:r>
            <w:r>
              <w:rPr>
                <w:b/>
                <w:i/>
              </w:rPr>
              <w:t>role of political scrutiny and</w:t>
            </w:r>
            <w:r>
              <w:t xml:space="preserve"> commitment to securing the necessary transparency mechanisms to fulfil its role as the guardian of citizens’ interests, which is vital to safeguard public trust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Nathalie Loiseau, Petras Auštrevičius,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w:t>
            </w:r>
          </w:p>
        </w:tc>
        <w:tc>
          <w:tcPr>
            <w:tcW w:w="4876" w:type="dxa"/>
            <w:tcBorders>
              <w:top w:val="nil"/>
              <w:left w:val="nil"/>
              <w:bottom w:val="nil"/>
              <w:right w:val="nil"/>
            </w:tcBorders>
          </w:tcPr>
          <w:p>
            <w:pPr>
              <w:pStyle w:val="Normal6a"/>
            </w:pPr>
            <w:r>
              <w:t>7.</w:t>
            </w:r>
            <w:r>
              <w:tab/>
            </w:r>
            <w:r>
              <w:t xml:space="preserve">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 </w:t>
            </w:r>
            <w:r>
              <w:rPr>
                <w:b/>
                <w:i/>
              </w:rPr>
              <w:t>insists that a new additional nomenclature for defense is necessary, and be sufficiently detailed to allow for rapid and effective monitoring, be it for the industrial policy, military mobility, defence-relevant NRPP components and CFSP/CSDP; considers that this detail will also facilitate scrutiny by the European Parliament;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w:t>
            </w:r>
          </w:p>
        </w:tc>
        <w:tc>
          <w:tcPr>
            <w:tcW w:w="4876" w:type="dxa"/>
            <w:tcBorders>
              <w:top w:val="nil"/>
              <w:left w:val="nil"/>
              <w:bottom w:val="nil"/>
              <w:right w:val="nil"/>
            </w:tcBorders>
          </w:tcPr>
          <w:p>
            <w:pPr>
              <w:pStyle w:val="Normal6a"/>
            </w:pPr>
            <w:r>
              <w:t>7.</w:t>
            </w:r>
            <w:r>
              <w:tab/>
            </w:r>
            <w:r>
              <w:t>Recognises the need for enhanced flexibility in allocating resources within certain programmes, but stresses that this must not compromise long-term policy objectives, funding predictability or Parliament’s prerogatives; underscores that the allocation of funds to specific policy objectives is to be decided jointly by Parliament and the Council; deplores the fact that the indicative nomenclature proposed in the programme legislation is woefully insufficient; reiterates its call for the post-2027 MFF to include two special instruments – one dedicated to ensuring solidarity in the event of natural disasters and one for general-purpose crisis response</w:t>
            </w:r>
            <w:r>
              <w:rPr>
                <w:b/>
                <w:i/>
              </w:rPr>
              <w:t>, including crises related to security and defence industrial supply disruptions, large-scale cyber incidents, and major civil protection emergencies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Recognises the need for </w:t>
            </w:r>
            <w:r>
              <w:rPr>
                <w:b/>
                <w:i/>
              </w:rPr>
              <w:t>enhanced</w:t>
            </w:r>
            <w:r>
              <w:t xml:space="preserve"> flexibility in allocating resources within certain programmes</w:t>
            </w:r>
            <w:r>
              <w:rPr>
                <w:b/>
                <w:i/>
              </w:rPr>
              <w:t>, but stresses that this</w:t>
            </w:r>
            <w:r>
              <w:t xml:space="preserve"> must not compromise long-term policy objectives</w:t>
            </w:r>
            <w:r>
              <w:rPr>
                <w:b/>
                <w:i/>
              </w:rPr>
              <w:t>, funding predictability</w:t>
            </w:r>
            <w:r>
              <w:t xml:space="preserve"> or Parliament’s prerogatives; </w:t>
            </w:r>
            <w:r>
              <w:rPr>
                <w:b/>
                <w:i/>
              </w:rPr>
              <w:t>underscores</w:t>
            </w:r>
            <w:r>
              <w:t xml:space="preserve"> that the allocation of funds </w:t>
            </w:r>
            <w:r>
              <w:rPr>
                <w:b/>
                <w:i/>
              </w:rPr>
              <w:t>to specific policy objectives</w:t>
            </w:r>
            <w:r>
              <w:t xml:space="preserve"> is to be decided jointly by Parliament and the Council; </w:t>
            </w:r>
            <w:r>
              <w:rPr>
                <w:b/>
                <w:i/>
              </w:rPr>
              <w:t>deplores the fact that the indicative nomenclature proposed in the programme legislation is woefully insufficient; reiterates its call for the post-2027 MFF to include two</w:t>
            </w:r>
            <w:r>
              <w:t xml:space="preserve"> special instruments </w:t>
            </w:r>
            <w:r>
              <w:rPr>
                <w:b/>
                <w:i/>
              </w:rPr>
              <w:t>– one dedicated to ensuring solidarity in the event of natural disasters and one for general-purpose crisis response</w:t>
            </w:r>
            <w:r>
              <w:t>;</w:t>
            </w:r>
          </w:p>
        </w:tc>
        <w:tc>
          <w:tcPr>
            <w:tcW w:w="4876" w:type="dxa"/>
            <w:tcBorders>
              <w:top w:val="nil"/>
              <w:left w:val="nil"/>
              <w:bottom w:val="nil"/>
              <w:right w:val="nil"/>
            </w:tcBorders>
          </w:tcPr>
          <w:p>
            <w:pPr>
              <w:pStyle w:val="Normal6a"/>
            </w:pPr>
            <w:r>
              <w:t>7.</w:t>
            </w:r>
            <w:r>
              <w:tab/>
            </w:r>
            <w:r>
              <w:t xml:space="preserve">Recognises the need for </w:t>
            </w:r>
            <w:r>
              <w:rPr>
                <w:b/>
                <w:i/>
              </w:rPr>
              <w:t>limited</w:t>
            </w:r>
            <w:r>
              <w:t xml:space="preserve"> flexibility in allocating resources within certain programmes </w:t>
            </w:r>
            <w:r>
              <w:rPr>
                <w:b/>
                <w:i/>
              </w:rPr>
              <w:t>in response to exceptional and unforeseen circumstances, while stressing that such flexibility</w:t>
            </w:r>
            <w:r>
              <w:t xml:space="preserve"> must not compromise </w:t>
            </w:r>
            <w:r>
              <w:rPr>
                <w:b/>
                <w:i/>
              </w:rPr>
              <w:t>funding predictability,</w:t>
            </w:r>
            <w:r>
              <w:t xml:space="preserve"> long-term policy objectives or Parliament’s prerogatives; </w:t>
            </w:r>
            <w:r>
              <w:rPr>
                <w:b/>
                <w:i/>
              </w:rPr>
              <w:t>recalls</w:t>
            </w:r>
            <w:r>
              <w:t xml:space="preserve"> that the allocation of funds is to be decided jointly by Parliament and the Council; </w:t>
            </w:r>
            <w:r>
              <w:rPr>
                <w:b/>
                <w:i/>
              </w:rPr>
              <w:t>underlines that any</w:t>
            </w:r>
            <w:r>
              <w:t xml:space="preserve"> special instruments </w:t>
            </w:r>
            <w:r>
              <w:rPr>
                <w:b/>
                <w:i/>
              </w:rPr>
              <w:t>must be strictly temporary, clearly circumscribed and compatible with budgetary discipline and the integrity of the MFF ceilings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Nathalie Loiseau, Petras Auštrevičius,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Underlines that compliance with Union values and fundamental rights is an essential prerequisite to access EU funds and believes that the protection of the Union’s financial interests depends on respect for the rule of law at national level; calls for any duplication or overlaps between existing and future legislation to be avoided, in particular for the proposal on the NRPPs where such overlaps are observed, and to ensure a unified, coherent and comprehensive framework across all EU funding programmes, under the umbrella of the Rule of Law Conditionality Regulation</w:t>
            </w:r>
            <w:r>
              <w:rPr>
                <w:vertAlign w:val="superscript"/>
              </w:rPr>
              <w:t>2</w:t>
            </w:r>
            <w:r>
              <w:t xml:space="preserve"> ;</w:t>
            </w:r>
          </w:p>
        </w:tc>
        <w:tc>
          <w:tcPr>
            <w:tcW w:w="4876" w:type="dxa"/>
            <w:tcBorders>
              <w:top w:val="nil"/>
              <w:left w:val="nil"/>
              <w:bottom w:val="nil"/>
              <w:right w:val="nil"/>
            </w:tcBorders>
          </w:tcPr>
          <w:p>
            <w:pPr>
              <w:pStyle w:val="Normal6a"/>
            </w:pPr>
            <w:r>
              <w:t>8.</w:t>
            </w:r>
            <w:r>
              <w:tab/>
            </w:r>
            <w:r>
              <w:t>Underlines that compliance with Union values and fundamental rights is an essential prerequisite to access EU funds and believes that the protection of the Union’s financial interests depends on respect for the rule of law at national level; calls for any duplication or overlaps between existing and future legislation to be avoided, in particular for the proposal on the NRPPs where such overlaps are observed, and to ensure a unified, coherent and comprehensive framework across all EU funding programmes, under the umbrella of the Rule of Law Conditionality Regulation</w:t>
            </w:r>
            <w:r>
              <w:rPr>
                <w:vertAlign w:val="superscript"/>
              </w:rPr>
              <w:t>2</w:t>
            </w:r>
            <w:r>
              <w:t xml:space="preserve"> ; </w:t>
            </w:r>
            <w:r>
              <w:rPr>
                <w:b/>
                <w:i/>
              </w:rPr>
              <w:t>recalls that European funds, by addressing the EU structural vulnerabilities and , contribute to the Union’s security, defence and preparedness, including by strengthening territorial cohesion, protecting critical infrastructure, reducing regional disparities in crisis response capacities, that underpin the Union’s strategic autonomy;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Regulation (EU, Euratom) 2020/2092 of the European Parliament and of the Council of 16 December 2020 on a general regime of conditionality for the protection of the Union budget (OJ L 433I, 22.12.2020, p. 1, ELI: http://data.europa.eu/eli/reg/2020/2092/oj).</w:t>
            </w:r>
          </w:p>
        </w:tc>
        <w:tc>
          <w:tcPr>
            <w:tcW w:w="4876" w:type="dxa"/>
            <w:tcBorders>
              <w:top w:val="nil"/>
              <w:left w:val="nil"/>
              <w:bottom w:val="nil"/>
              <w:right w:val="nil"/>
            </w:tcBorders>
          </w:tcPr>
          <w:p>
            <w:pPr>
              <w:pStyle w:val="Normal6a"/>
            </w:pPr>
            <w:r>
              <w:rPr>
                <w:vertAlign w:val="superscript"/>
              </w:rPr>
              <w:t>2</w:t>
            </w:r>
            <w:r>
              <w:t xml:space="preserve"> </w:t>
            </w:r>
            <w:r>
              <w:t>Regulation (EU, Euratom) 2020/2092 of the European Parliament and of the Council of 16 December 2020 on a general regime of conditionality for the protection of the Union budget (OJ L 433I, 22.12.2020, p. 1, ELI: http://data.europa.eu/eli/reg/2020/2092/oj).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Reiterates </w:t>
            </w:r>
            <w:r>
              <w:rPr>
                <w:b/>
                <w:i/>
              </w:rPr>
              <w:t>the need for</w:t>
            </w:r>
            <w:r>
              <w:t xml:space="preserve"> sustainable and </w:t>
            </w:r>
            <w:r>
              <w:rPr>
                <w:b/>
                <w:i/>
              </w:rPr>
              <w:t>resilient</w:t>
            </w:r>
            <w:r>
              <w:t xml:space="preserve"> revenue </w:t>
            </w:r>
            <w:r>
              <w:rPr>
                <w:b/>
                <w:i/>
              </w:rPr>
              <w:t>for</w:t>
            </w:r>
            <w:r>
              <w:t xml:space="preserve"> the Union budget </w:t>
            </w:r>
            <w:r>
              <w:rPr>
                <w:b/>
                <w:i/>
              </w:rPr>
              <w:t>that should match the expenditure side; welcomes the Commission’s efforts to identify new own resources, as well as to put forward certain calibrations to traditional own resources; supports the broader basket approach proposed by the Commission and calls on the Council to swiftly reach an agreement on new</w:t>
            </w:r>
            <w:r>
              <w:t xml:space="preserve"> own resources </w:t>
            </w:r>
            <w:r>
              <w:rPr>
                <w:b/>
                <w:i/>
              </w:rPr>
              <w:t>in order to provide long-term</w:t>
            </w:r>
            <w:r>
              <w:t xml:space="preserve"> budgetary </w:t>
            </w:r>
            <w:r>
              <w:rPr>
                <w:b/>
                <w:i/>
              </w:rPr>
              <w:t>certainty</w:t>
            </w:r>
            <w:r>
              <w:t xml:space="preserve">; considers </w:t>
            </w:r>
            <w:r>
              <w:rPr>
                <w:b/>
                <w:i/>
              </w:rPr>
              <w:t>that the revenue potential of a</w:t>
            </w:r>
            <w:r>
              <w:t xml:space="preserve"> digital services tax </w:t>
            </w:r>
            <w:r>
              <w:rPr>
                <w:b/>
                <w:i/>
              </w:rPr>
              <w:t>should be explored as a possible solution, should other proposed own resources not gain support among Member States; notes the Commission’s proposal for a novel type of crisis mechanism based on extraordinary borrowing that offers the Union the ability to respond swiftly to unexpected developments</w:t>
            </w:r>
            <w:r>
              <w:t>;</w:t>
            </w:r>
          </w:p>
        </w:tc>
        <w:tc>
          <w:tcPr>
            <w:tcW w:w="4876" w:type="dxa"/>
            <w:tcBorders>
              <w:top w:val="nil"/>
              <w:left w:val="nil"/>
              <w:bottom w:val="nil"/>
              <w:right w:val="nil"/>
            </w:tcBorders>
          </w:tcPr>
          <w:p>
            <w:pPr>
              <w:pStyle w:val="Normal6a"/>
            </w:pPr>
            <w:r>
              <w:t>9.</w:t>
            </w:r>
            <w:r>
              <w:tab/>
            </w:r>
            <w:r>
              <w:t xml:space="preserve">Reiterates </w:t>
            </w:r>
            <w:r>
              <w:rPr>
                <w:b/>
                <w:i/>
              </w:rPr>
              <w:t>that Union expenditure must be matched by</w:t>
            </w:r>
            <w:r>
              <w:t xml:space="preserve"> sustainable and </w:t>
            </w:r>
            <w:r>
              <w:rPr>
                <w:b/>
                <w:i/>
              </w:rPr>
              <w:t>predictable</w:t>
            </w:r>
            <w:r>
              <w:t xml:space="preserve"> revenue </w:t>
            </w:r>
            <w:r>
              <w:rPr>
                <w:b/>
                <w:i/>
              </w:rPr>
              <w:t>in accordance with the Treaties; recalls that</w:t>
            </w:r>
            <w:r>
              <w:t xml:space="preserve"> the Union budget </w:t>
            </w:r>
            <w:r>
              <w:rPr>
                <w:b/>
                <w:i/>
              </w:rPr>
              <w:t>must remain balanced pursuant to Article 310 TFEU; expresses opposition, as a general principle, to the introduction of new Union</w:t>
            </w:r>
            <w:r>
              <w:t xml:space="preserve"> own resources </w:t>
            </w:r>
            <w:r>
              <w:rPr>
                <w:b/>
                <w:i/>
              </w:rPr>
              <w:t>and Union-level taxes, and stresses that any new revenue sources must not be used to justify permanent</w:t>
            </w:r>
            <w:r>
              <w:t xml:space="preserve"> budgetary </w:t>
            </w:r>
            <w:r>
              <w:rPr>
                <w:b/>
                <w:i/>
              </w:rPr>
              <w:t>expansion or borrowing at Union level; underlines that any exceptional financing arrangements must remain strictly temporary and must not create precedents for future Union financing</w:t>
            </w:r>
            <w:r>
              <w:t>; considers</w:t>
            </w:r>
            <w:r>
              <w:rPr>
                <w:b/>
                <w:i/>
              </w:rPr>
              <w:t>, however, that a narrowly defined</w:t>
            </w:r>
            <w:r>
              <w:t xml:space="preserve"> digital services tax </w:t>
            </w:r>
            <w:r>
              <w:rPr>
                <w:b/>
                <w:i/>
              </w:rPr>
              <w:t>may constitute a justified exception, with a view to ensuring fair taxation of digital business models and a level playing field within the internal market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Recalls </w:t>
            </w:r>
            <w:r>
              <w:rPr>
                <w:b/>
                <w:i/>
              </w:rPr>
              <w:t>its position that, ‘in a fast changing world where people rightly expect more from the Union and where the Union is confronted with a growing number of crises, the next</w:t>
            </w:r>
            <w:r>
              <w:t xml:space="preserve"> MFF must be </w:t>
            </w:r>
            <w:r>
              <w:rPr>
                <w:b/>
                <w:i/>
              </w:rPr>
              <w:t>endowed with increased resources</w:t>
            </w:r>
            <w:r>
              <w:t xml:space="preserve"> compared to the </w:t>
            </w:r>
            <w:r>
              <w:rPr>
                <w:b/>
                <w:i/>
              </w:rPr>
              <w:t>2021-2027 period, moving away from the historically restrictive, self-imposed level of 1 % of GNI’; regrets that the Commission, instead of presenting a genuinely ambitious proposal, hides behind a headline figure of EUR 2 trillion in</w:t>
            </w:r>
            <w:r>
              <w:t xml:space="preserve"> current </w:t>
            </w:r>
            <w:r>
              <w:rPr>
                <w:b/>
                <w:i/>
              </w:rPr>
              <w:t>prices, which in reality amounts to only EUR 1.763 trillion in 2025 constant prices, equal to 1.26 % of EU GNI, with 0.11 % being allocated to NGEU repayments; deplores that this results in a token increase for EU programmes of less than 0.01 percentage points of GNI, effectively freezing the budget in real terms; highlights that the phasing-out of</w:t>
            </w:r>
            <w:r>
              <w:t xml:space="preserve"> the Recovery and Resilience Facility </w:t>
            </w:r>
            <w:r>
              <w:rPr>
                <w:b/>
                <w:i/>
              </w:rPr>
              <w:t>(RRF) will further substantially reduce the Union’s overall</w:t>
            </w:r>
            <w:r>
              <w:t xml:space="preserve"> spending </w:t>
            </w:r>
            <w:r>
              <w:rPr>
                <w:b/>
                <w:i/>
              </w:rPr>
              <w:t>power; considers that this proposed level will not enable</w:t>
            </w:r>
            <w:r>
              <w:t xml:space="preserve"> the Union </w:t>
            </w:r>
            <w:r>
              <w:rPr>
                <w:b/>
                <w:i/>
              </w:rPr>
              <w:t>to deliver on its commitments or respond to the significant geopolitical challenges ahead</w:t>
            </w:r>
            <w:r>
              <w:t>;</w:t>
            </w:r>
          </w:p>
        </w:tc>
        <w:tc>
          <w:tcPr>
            <w:tcW w:w="4876" w:type="dxa"/>
            <w:tcBorders>
              <w:top w:val="nil"/>
              <w:left w:val="nil"/>
              <w:bottom w:val="nil"/>
              <w:right w:val="nil"/>
            </w:tcBorders>
          </w:tcPr>
          <w:p>
            <w:pPr>
              <w:pStyle w:val="Normal6a"/>
            </w:pPr>
            <w:r>
              <w:t>13.</w:t>
            </w:r>
            <w:r>
              <w:tab/>
            </w:r>
            <w:r>
              <w:t xml:space="preserve">Recalls </w:t>
            </w:r>
            <w:r>
              <w:rPr>
                <w:b/>
                <w:i/>
              </w:rPr>
              <w:t>that the size of the</w:t>
            </w:r>
            <w:r>
              <w:t xml:space="preserve"> MFF must be </w:t>
            </w:r>
            <w:r>
              <w:rPr>
                <w:b/>
                <w:i/>
              </w:rPr>
              <w:t>determined in accordance with the Treaties and the principles of budgetary discipline, subsidiarity and sound financial management; stresses that, before considering any increase</w:t>
            </w:r>
            <w:r>
              <w:t xml:space="preserve"> compared to the current </w:t>
            </w:r>
            <w:r>
              <w:rPr>
                <w:b/>
                <w:i/>
              </w:rPr>
              <w:t>Multiannual Financial Framework, clear prioritisation, efficiency gains and effective use of existing resources must be ensured; underlines that, in a changing geopolitical and economic environment, the Union’s capacity to act depends primarily on the focus, quality and effectiveness of expenditure, and not solely on its overall volume; recalls that</w:t>
            </w:r>
            <w:r>
              <w:t xml:space="preserve"> the Recovery and Resilience Facility </w:t>
            </w:r>
            <w:r>
              <w:rPr>
                <w:b/>
                <w:i/>
              </w:rPr>
              <w:t>was conceived as a temporary and exceptional instrument and that its phasing-out must not be used to justify the creation of permanent Union-level</w:t>
            </w:r>
            <w:r>
              <w:t xml:space="preserve"> spending </w:t>
            </w:r>
            <w:r>
              <w:rPr>
                <w:b/>
                <w:i/>
              </w:rPr>
              <w:t>instruments or a structural expansion of</w:t>
            </w:r>
            <w:r>
              <w:t xml:space="preserve"> the Union </w:t>
            </w:r>
            <w:r>
              <w:rPr>
                <w:b/>
                <w:i/>
              </w:rPr>
              <w:t>budget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Calls for the 2028-2034 MFF to be set at 1.27 % of EU GNI, excluding NGEU repayments; considers that NGEU debt servicing should be treated separately from appropriations for EU programmes within the future MFF architecture bringing the total amount to 1.38 % of GNI;</w:t>
            </w:r>
            <w:r>
              <w:t xml:space="preserve"> stresses that </w:t>
            </w:r>
            <w:r>
              <w:rPr>
                <w:b/>
                <w:i/>
              </w:rPr>
              <w:t>this</w:t>
            </w:r>
            <w:r>
              <w:t xml:space="preserve"> level </w:t>
            </w:r>
            <w:r>
              <w:rPr>
                <w:b/>
                <w:i/>
              </w:rPr>
              <w:t>is the absolute minimum to enable</w:t>
            </w:r>
            <w:r>
              <w:t xml:space="preserve"> the Union </w:t>
            </w:r>
            <w:r>
              <w:rPr>
                <w:b/>
                <w:i/>
              </w:rPr>
              <w:t>to deliver on its commitments, respond to geopolitical challenges and achieve its strategic objectives</w:t>
            </w:r>
            <w:r>
              <w:t>;</w:t>
            </w:r>
          </w:p>
        </w:tc>
        <w:tc>
          <w:tcPr>
            <w:tcW w:w="4876" w:type="dxa"/>
            <w:tcBorders>
              <w:top w:val="nil"/>
              <w:left w:val="nil"/>
              <w:bottom w:val="nil"/>
              <w:right w:val="nil"/>
            </w:tcBorders>
          </w:tcPr>
          <w:p>
            <w:pPr>
              <w:pStyle w:val="Normal6a"/>
            </w:pPr>
            <w:r>
              <w:t>14.</w:t>
            </w:r>
            <w:r>
              <w:tab/>
            </w:r>
            <w:r>
              <w:t>Stresses that</w:t>
            </w:r>
            <w:r>
              <w:rPr>
                <w:b/>
                <w:i/>
              </w:rPr>
              <w:t>, in the absence of demonstrated prioritisation and efficiency gains, the overall</w:t>
            </w:r>
            <w:r>
              <w:t xml:space="preserve"> level </w:t>
            </w:r>
            <w:r>
              <w:rPr>
                <w:b/>
                <w:i/>
              </w:rPr>
              <w:t>of the next MFF should not exceed the level of the current Multiannual Financial Framework; recalls that the repayment of NextGenerationEU constitutes a binding obligation for</w:t>
            </w:r>
            <w:r>
              <w:t xml:space="preserve"> the Union </w:t>
            </w:r>
            <w:r>
              <w:rPr>
                <w:b/>
                <w:i/>
              </w:rPr>
              <w:t>and must be ensured in a manner consistent with budgetary discipline, requiring clear prioritisation within the Union budget and without leading to an increase in the permanent expenditure ceilings of the Union budget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Calls</w:t>
            </w:r>
            <w:r>
              <w:rPr>
                <w:b/>
                <w:i/>
              </w:rPr>
              <w:t>, in this context, for the level of funding to be secured for EU</w:t>
            </w:r>
            <w:r>
              <w:t xml:space="preserve"> programmes and policies</w:t>
            </w:r>
            <w:r>
              <w:rPr>
                <w:b/>
                <w:i/>
              </w:rPr>
              <w:t>, as</w:t>
            </w:r>
            <w:r>
              <w:t xml:space="preserve"> set out in </w:t>
            </w:r>
            <w:r>
              <w:rPr>
                <w:b/>
                <w:i/>
              </w:rPr>
              <w:t>Annexes I and II to the present resolution</w:t>
            </w:r>
            <w:r>
              <w:t xml:space="preserve">; </w:t>
            </w:r>
            <w:r>
              <w:rPr>
                <w:b/>
                <w:i/>
              </w:rPr>
              <w:t>calls for the relevant commitment and payment ceilings to be adjusted accordingly;</w:t>
            </w:r>
          </w:p>
        </w:tc>
        <w:tc>
          <w:tcPr>
            <w:tcW w:w="4876" w:type="dxa"/>
            <w:tcBorders>
              <w:top w:val="nil"/>
              <w:left w:val="nil"/>
              <w:bottom w:val="nil"/>
              <w:right w:val="nil"/>
            </w:tcBorders>
          </w:tcPr>
          <w:p>
            <w:pPr>
              <w:pStyle w:val="Normal6a"/>
            </w:pPr>
            <w:r>
              <w:t>15.</w:t>
            </w:r>
            <w:r>
              <w:tab/>
            </w:r>
            <w:r>
              <w:t xml:space="preserve">Calls </w:t>
            </w:r>
            <w:r>
              <w:rPr>
                <w:b/>
                <w:i/>
              </w:rPr>
              <w:t>for Union</w:t>
            </w:r>
            <w:r>
              <w:t xml:space="preserve"> programmes and policies </w:t>
            </w:r>
            <w:r>
              <w:rPr>
                <w:b/>
                <w:i/>
              </w:rPr>
              <w:t>to be financed in a manner consistent with the ceilings of the MFF and the principles of sound financial management; stresses that funding allocations must be based on clear priorities, effectiveness and European added value, and must remain compatible with overall budgetary discipline and the limits</w:t>
            </w:r>
            <w:r>
              <w:t xml:space="preserve"> set out in </w:t>
            </w:r>
            <w:r>
              <w:rPr>
                <w:b/>
                <w:i/>
              </w:rPr>
              <w:t>the Treaties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Notes that Heading 1 on ‘Europe’s social model and quality of life’ is allocated EUR 797.2 billion in 2025 prices, representing 45 % of the total 2028</w:t>
            </w:r>
            <w:r>
              <w:rPr>
                <w:b/>
                <w:i/>
              </w:rPr>
              <w:t>-</w:t>
            </w:r>
            <w:r>
              <w:t xml:space="preserve">2034 MFF; </w:t>
            </w:r>
            <w:r>
              <w:rPr>
                <w:b/>
                <w:i/>
              </w:rPr>
              <w:t>expresses deep concern</w:t>
            </w:r>
            <w:r>
              <w:t xml:space="preserve"> that this </w:t>
            </w:r>
            <w:r>
              <w:rPr>
                <w:b/>
                <w:i/>
              </w:rPr>
              <w:t>is</w:t>
            </w:r>
            <w:r>
              <w:t xml:space="preserve"> a decrease compared to the EUR 810.1 billion allocated in the 2021</w:t>
            </w:r>
            <w:r>
              <w:rPr>
                <w:b/>
                <w:i/>
              </w:rPr>
              <w:t>-</w:t>
            </w:r>
            <w:r>
              <w:t>2027 MFF</w:t>
            </w:r>
            <w:r>
              <w:rPr>
                <w:b/>
                <w:i/>
              </w:rPr>
              <w:t>, which amounted to 65 % of the total; considers this substantial cut unacceptable given the critical importance of maintaining the Union’s long-standing policies</w:t>
            </w:r>
            <w:r>
              <w:t>;</w:t>
            </w:r>
          </w:p>
        </w:tc>
        <w:tc>
          <w:tcPr>
            <w:tcW w:w="4876" w:type="dxa"/>
            <w:tcBorders>
              <w:top w:val="nil"/>
              <w:left w:val="nil"/>
              <w:bottom w:val="nil"/>
              <w:right w:val="nil"/>
            </w:tcBorders>
          </w:tcPr>
          <w:p>
            <w:pPr>
              <w:pStyle w:val="Normal6a"/>
            </w:pPr>
            <w:r>
              <w:t>16.</w:t>
            </w:r>
            <w:r>
              <w:tab/>
            </w:r>
            <w:r>
              <w:t>Notes that Heading 1 on ‘Europe’s social model and quality of life’ is allocated EUR 797.2 billion in 2025 prices, representing 45 % of the total 2028</w:t>
            </w:r>
            <w:r>
              <w:rPr>
                <w:b/>
                <w:i/>
              </w:rPr>
              <w:t>–</w:t>
            </w:r>
            <w:r>
              <w:t xml:space="preserve">2034 MFF; </w:t>
            </w:r>
            <w:r>
              <w:rPr>
                <w:b/>
                <w:i/>
              </w:rPr>
              <w:t>observes</w:t>
            </w:r>
            <w:r>
              <w:t xml:space="preserve"> that this </w:t>
            </w:r>
            <w:r>
              <w:rPr>
                <w:b/>
                <w:i/>
              </w:rPr>
              <w:t>represents</w:t>
            </w:r>
            <w:r>
              <w:t xml:space="preserve"> a decrease compared to the EUR 810.1 billion allocated in the 2021</w:t>
            </w:r>
            <w:r>
              <w:rPr>
                <w:b/>
                <w:i/>
              </w:rPr>
              <w:t>–</w:t>
            </w:r>
            <w:r>
              <w:t>2027 MFF</w:t>
            </w:r>
            <w:r>
              <w:rPr>
                <w:b/>
                <w:i/>
              </w:rPr>
              <w:t>; recalls that allocations across headings must be assessed in the context of overall budgetary constraints and competing priorities; stresses that, in a context of limited financial resources, the continued delivery of Union objectives under this heading depends primarily on clear prioritisation, effectiveness and European added value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t>
            </w:r>
            <w:r>
              <w:rPr>
                <w:b/>
                <w:i/>
              </w:rPr>
              <w:t>warns, in addition, that the significant reduction in funding for Heading 1 also threatens to undermine EU policies enshrined in the Treaties and the Union’s</w:t>
            </w:r>
            <w:r>
              <w:t xml:space="preserve"> objectives </w:t>
            </w:r>
            <w:r>
              <w:rPr>
                <w:b/>
                <w:i/>
              </w:rPr>
              <w:t>of strengthening its economic, social and territorial cohesion, safeguarding social rights, and ensuring</w:t>
            </w:r>
            <w:r>
              <w:t xml:space="preserve"> food security </w:t>
            </w:r>
            <w:r>
              <w:rPr>
                <w:b/>
                <w:i/>
              </w:rPr>
              <w:t>and</w:t>
            </w:r>
            <w:r>
              <w:t xml:space="preserve"> a fair standard of living for farmers and fishers;</w:t>
            </w:r>
          </w:p>
        </w:tc>
        <w:tc>
          <w:tcPr>
            <w:tcW w:w="4876" w:type="dxa"/>
            <w:tcBorders>
              <w:top w:val="nil"/>
              <w:left w:val="nil"/>
              <w:bottom w:val="nil"/>
              <w:right w:val="nil"/>
            </w:tcBorders>
          </w:tcPr>
          <w:p>
            <w:pPr>
              <w:pStyle w:val="Normal6a"/>
            </w:pPr>
            <w:r>
              <w:t>17.</w:t>
            </w:r>
            <w:r>
              <w:tab/>
            </w:r>
            <w:r>
              <w:t xml:space="preserve">Regrets that the proposed NRPP Regulation (COM(2025)0558), which merges different policies into one plan per Member State, generates significant uncertainty regarding funding predictability for final beneficiaries; </w:t>
            </w:r>
            <w:r>
              <w:rPr>
                <w:b/>
                <w:i/>
              </w:rPr>
              <w:t>stresses that any changes to the governance and delivery of Union programmes must ensure legal certainty, accountability and effective implementation, including with regard to cohesion</w:t>
            </w:r>
            <w:r>
              <w:t xml:space="preserve"> objectives </w:t>
            </w:r>
            <w:r>
              <w:rPr>
                <w:b/>
                <w:i/>
              </w:rPr>
              <w:t>and</w:t>
            </w:r>
            <w:r>
              <w:t xml:space="preserve"> food security</w:t>
            </w:r>
            <w:r>
              <w:rPr>
                <w:b/>
                <w:i/>
              </w:rPr>
              <w:t>, as well as</w:t>
            </w:r>
            <w:r>
              <w:t xml:space="preserve"> a fair standard of living for farmers and fishers</w:t>
            </w:r>
            <w:r>
              <w:rPr>
                <w:b/>
                <w:i/>
              </w:rPr>
              <w:t>, in line with the objectives laid down in the Treaties and within the limits of available financial resources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Is concerned that the proposal risks placing defence and other Union priorities, in particular social priorities, in direct competition for European funds, and warns that this may fuel the misleading and harmful “guns versus butter” debate, which undermines social cohesion and weakens Europe’s overall preparedness and defence readiness; recalls that European funds address structural vulnerabilities and contribute to the Union’s security, defence and preparedness in multiple and complementary ways, including by strengthening territorial cohesion, enhancing the resilience of critical infrastructure, reducing regional disparities in crisis response capacities, and supporting the digital and green transitions that underpin the Union’s strategic autonomy;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Lucia Yar, Engin Eroglu, Nathalie Loiseau, Urmas Paet,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Underlines that strengthening Europe’s security requires targeted investment in resilience of frontline and eastern border regions; calls for dedicated support to enhance security, connectivity and economic vitality in regions most exposed to the effects of Russia’s war of aggression, including through transport, energy and digital infrastructure and strengthened cross-border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Petras Auštrevičius, Engin Eroglu, Urmas Paet, Marie-Agnes Strack-Zimmermann,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r>
              <w:rPr>
                <w:b/>
                <w:i/>
              </w:rPr>
              <w:t>, and contributing to support defence capabilities and ensure security across all regions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 xml:space="preserve">Stresses that it is imperative to maintain the European dimension of the EU budget as a fundamental instrument for achieving common objectives, expressing Union solidarity and providing European public goods; underlines that the EU budget must remain the financial backbone supporting the deepening of Union integration, ensuring fair competition and equal opportunities across all Member States; </w:t>
            </w:r>
            <w:r>
              <w:rPr>
                <w:b/>
                <w:i/>
              </w:rPr>
              <w:t>contributing to support defence capabilities and ensure security across all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Lucia Yar, Engin Eroglu, Nathalie Loiseau, Urmas Paet,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Stresses that it is imperative to maintain the European dimension of the EU budget as a fundamental instrument for achieving common objectives, expressing Union solidarity </w:t>
            </w:r>
            <w:r>
              <w:rPr>
                <w:b/>
                <w:i/>
              </w:rPr>
              <w:t>and</w:t>
            </w:r>
            <w:r>
              <w:t xml:space="preserve"> providing European public goods; underlines that the EU budget must remain the financial backbone supporting the deepening of Union integration, ensuring fair competition and equal opportunities across all Member States;</w:t>
            </w:r>
          </w:p>
        </w:tc>
        <w:tc>
          <w:tcPr>
            <w:tcW w:w="4876" w:type="dxa"/>
            <w:tcBorders>
              <w:top w:val="nil"/>
              <w:left w:val="nil"/>
              <w:bottom w:val="nil"/>
              <w:right w:val="nil"/>
            </w:tcBorders>
          </w:tcPr>
          <w:p>
            <w:pPr>
              <w:pStyle w:val="Normal6a"/>
            </w:pPr>
            <w:r>
              <w:t>18.</w:t>
            </w:r>
            <w:r>
              <w:tab/>
            </w:r>
            <w:r>
              <w:t>Stresses that it is imperative to maintain the European dimension of the EU budget as a fundamental instrument for achieving common objectives, expressing Union solidarity</w:t>
            </w:r>
            <w:r>
              <w:rPr>
                <w:b/>
                <w:i/>
              </w:rPr>
              <w:t>,</w:t>
            </w:r>
            <w:r>
              <w:t xml:space="preserve"> providing European public goods</w:t>
            </w:r>
            <w:r>
              <w:rPr>
                <w:b/>
                <w:i/>
              </w:rPr>
              <w:t>, insisting on European preference, especially in defence investments</w:t>
            </w:r>
            <w:r>
              <w:t>; underlines that the EU budget must remain the financial backbone supporting the deepening of Union integration, ensuring fair competition and equal opportunities across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Stresses </w:t>
            </w:r>
            <w:r>
              <w:rPr>
                <w:b/>
                <w:i/>
              </w:rPr>
              <w:t>that it is imperative to maintain</w:t>
            </w:r>
            <w:r>
              <w:t xml:space="preserve"> the European dimension </w:t>
            </w:r>
            <w:r>
              <w:rPr>
                <w:b/>
                <w:i/>
              </w:rPr>
              <w:t>of the EU</w:t>
            </w:r>
            <w:r>
              <w:t xml:space="preserve"> budget </w:t>
            </w:r>
            <w:r>
              <w:rPr>
                <w:b/>
                <w:i/>
              </w:rPr>
              <w:t>as a fundamental instrument for achieving</w:t>
            </w:r>
            <w:r>
              <w:t xml:space="preserve"> common objectives, </w:t>
            </w:r>
            <w:r>
              <w:rPr>
                <w:b/>
                <w:i/>
              </w:rPr>
              <w:t>expressing Union solidarity and providing European public goods; underlines that the EU budget must remain the financial backbone supporting the deepening of Union integration, ensuring</w:t>
            </w:r>
            <w:r>
              <w:t xml:space="preserve"> fair competition and equal opportunities across </w:t>
            </w:r>
            <w:r>
              <w:rPr>
                <w:b/>
                <w:i/>
              </w:rPr>
              <w:t>all</w:t>
            </w:r>
            <w:r>
              <w:t xml:space="preserve"> Member States;</w:t>
            </w:r>
          </w:p>
        </w:tc>
        <w:tc>
          <w:tcPr>
            <w:tcW w:w="4876" w:type="dxa"/>
            <w:tcBorders>
              <w:top w:val="nil"/>
              <w:left w:val="nil"/>
              <w:bottom w:val="nil"/>
              <w:right w:val="nil"/>
            </w:tcBorders>
          </w:tcPr>
          <w:p>
            <w:pPr>
              <w:pStyle w:val="Normal6a"/>
            </w:pPr>
            <w:r>
              <w:t>18.</w:t>
            </w:r>
            <w:r>
              <w:tab/>
            </w:r>
            <w:r>
              <w:t xml:space="preserve">Stresses the </w:t>
            </w:r>
            <w:r>
              <w:rPr>
                <w:b/>
                <w:i/>
              </w:rPr>
              <w:t>importance of maintaining a clear</w:t>
            </w:r>
            <w:r>
              <w:t xml:space="preserve"> European dimension </w:t>
            </w:r>
            <w:r>
              <w:rPr>
                <w:b/>
                <w:i/>
              </w:rPr>
              <w:t>in the Union</w:t>
            </w:r>
            <w:r>
              <w:t xml:space="preserve"> budget </w:t>
            </w:r>
            <w:r>
              <w:rPr>
                <w:b/>
                <w:i/>
              </w:rPr>
              <w:t>by focusing on areas where Union action delivers demonstrable added value compared to national action; underlines that Union expenditure should support</w:t>
            </w:r>
            <w:r>
              <w:t xml:space="preserve"> common objectives, fair competition and equal opportunities across Member States</w:t>
            </w:r>
            <w:r>
              <w:rPr>
                <w:b/>
                <w:i/>
              </w:rPr>
              <w:t>, in full respect of the principles of subsidiarity and proportionality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Recognises Eastern Border Regions as strategic assets for the Union’s security, deterrence, preparedness and protection of external borders and calls for long-term investment in their resilience, logistics, population stability and emergency preparedness.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w:t>
            </w:r>
            <w:r>
              <w:tab/>
            </w:r>
            <w:r>
              <w:rPr>
                <w:b/>
                <w:i/>
              </w:rPr>
              <w:t>Stresses that support for farms in border regions in the areas of storage infrastructure, logistics and crisis-response capacities should be recognised as an investment in the Union’s resilience and security and should qualify as a dual-use action.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Rejects any move towards an ‘à la carte’ Europe where differentiated participation undermines the unity and coherence of EU policies and programmes; warns that such an approach would fragment the single market</w:t>
            </w:r>
            <w:r>
              <w:rPr>
                <w:b/>
                <w:i/>
              </w:rPr>
              <w:t>,</w:t>
            </w:r>
            <w:r>
              <w:t xml:space="preserve"> create </w:t>
            </w:r>
            <w:r>
              <w:rPr>
                <w:b/>
                <w:i/>
              </w:rPr>
              <w:t>unfair competitive advantages, and erode the principle of solidarity that underpins European integration</w:t>
            </w:r>
            <w:r>
              <w:t>;</w:t>
            </w:r>
          </w:p>
        </w:tc>
        <w:tc>
          <w:tcPr>
            <w:tcW w:w="4876" w:type="dxa"/>
            <w:tcBorders>
              <w:top w:val="nil"/>
              <w:left w:val="nil"/>
              <w:bottom w:val="nil"/>
              <w:right w:val="nil"/>
            </w:tcBorders>
          </w:tcPr>
          <w:p>
            <w:pPr>
              <w:pStyle w:val="Normal6a"/>
            </w:pPr>
            <w:r>
              <w:t>19.</w:t>
            </w:r>
            <w:r>
              <w:tab/>
            </w:r>
            <w:r>
              <w:t xml:space="preserve">Rejects any move towards an ‘à la carte’ Europe where differentiated participation undermines the unity and coherence of EU policies and programmes; warns that such an approach would fragment the single market </w:t>
            </w:r>
            <w:r>
              <w:rPr>
                <w:b/>
                <w:i/>
              </w:rPr>
              <w:t>and</w:t>
            </w:r>
            <w:r>
              <w:t xml:space="preserve"> create </w:t>
            </w:r>
            <w:r>
              <w:rPr>
                <w:b/>
                <w:i/>
              </w:rPr>
              <w:t>distortions of competition and unequal conditions for economic actors across the Union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Stresses that within the ‘National and Regional Partnership Plans and Interreg Plan - Operational Expenditure’ the chapter ‘Europe’s defence capabilities and security’ should comprise the following five sub-chapters and corresponding budgetary lines: ‘Migration, asylum, border management, visa and internal security’, ‘Reinforcing the Union’s defence industrial base and military mobility, in particular by developing dual-use TEN-T infrastructure’, ‘Strengthening preparedness to crises and disasters’, ‘Strengthening the Union’s security’; and ‘Other’; believes that this would ensure transparency as well as predictable funding levels for each budgetary 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Expresses concern with the lack of European coordination and clear eligibility criteria for the investments in supporting the Union’s defence capabilities and security across all regions; rejects the use of EU budget funds in ways that deepen existing dependencies and vulnerabilities linked to our reliance on the industrial base of third countries for critical defence capabilities; demands that any investments in defence capabilities from the NRPPs follow the same eligibility criteria as those included in the defence-specific investment instruments, such as the EDIP and EDF in the present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Stresses that Union budget resources must not reinforce strategic dependencies, particularly in relation to third-country industrial bases for critical defence capabilities; calls for defence-relevant investments, including under the NRPPs, to be subject to the same eligibility and control principles as dedicated Union defence instruments, including requirements related to European added value, interoperability, security of supply and industrial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w:t>
            </w:r>
            <w:r>
              <w:tab/>
            </w:r>
            <w:r>
              <w:rPr>
                <w:b/>
                <w:i/>
              </w:rPr>
              <w:t>States that any expenditures in defence from the National and Regional Partnership Plans must must be limited to actions with clear European added value and therefore follow the same eligibility criteria as those included in the defence-specific investment instruments, such as the EDIP and EDF in the present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Petras Auštrevičius, Engin Eroglu, Urmas Paet, Marie-Agnes Strack-Zimmermann,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w:t>
            </w:r>
            <w:r>
              <w:rPr>
                <w:b/>
                <w:i/>
              </w:rPr>
              <w:t>readiness, military mobility, including counter-mobility</w:t>
            </w:r>
            <w:r>
              <w:t>, technological sovereignty</w:t>
            </w:r>
            <w:r>
              <w:rPr>
                <w:b/>
                <w:i/>
              </w:rPr>
              <w:t>, energy independence, protection and resilience of critical infrastructure</w:t>
            </w:r>
            <w:r>
              <w:t xml:space="preserve"> and economic resilience; acknowledges that this substantial increase responds to Parliament’s long-standing calls for greater investment in these areas</w:t>
            </w:r>
            <w:r>
              <w:rPr>
                <w:b/>
                <w:i/>
              </w:rPr>
              <w:t>; highlights a need to ring-fence defence expenditures; recalls that the immediate threats on the EU’s Eastern flank and the provision of concrete support to Member States need to be addressed as matters of priority; highlights the importance of continuing the Connecting Europe Facility (CEF) as the main source of robust military mobility funding and welcomes the proposal for an increased budget</w:t>
            </w:r>
            <w:r>
              <w:t>;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w:t>
            </w:r>
            <w:r>
              <w:rPr>
                <w:b/>
                <w:i/>
              </w:rPr>
              <w:t>, including in areas such as the protection and resilience of critical energy infrastructure, which require specifically dedicated budgetary provisions</w:t>
            </w:r>
            <w:r>
              <w:t>;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rPr>
                <w:b/>
                <w:i/>
              </w:rPr>
              <w:t>20. </w:t>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w:t>
            </w:r>
            <w:r>
              <w:rPr>
                <w:b/>
                <w:i/>
              </w:rPr>
              <w:t>readiness, counter-mobility, military mobility</w:t>
            </w:r>
            <w:r>
              <w:t>, technological sovereignty</w:t>
            </w:r>
            <w:r>
              <w:rPr>
                <w:b/>
                <w:i/>
              </w:rPr>
              <w:t>, energy independence, protection and resilience of critical infrastructure</w:t>
            </w:r>
            <w:r>
              <w:t xml:space="preserve"> and economic resilience; acknowledges that this substantial increase responds to Parliament’s long-standing calls for greater investment in these areas</w:t>
            </w:r>
            <w:r>
              <w:rPr>
                <w:b/>
                <w:i/>
              </w:rPr>
              <w:t>; highlights a need to ring- fence defence expenditures; recalls that the immediate threats on the EU’s Eastern flank and the provision of concrete support to Member States need to be addressed as matters of priority; highlights the importance of continuing the Connecting Europe Facility (CEF) as the main source of robust military mobility funding and welcomes the proposal for an increased budget</w:t>
            </w:r>
            <w:r>
              <w:t>;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w:t>
            </w:r>
            <w:r>
              <w:rPr>
                <w:b/>
                <w:i/>
              </w:rPr>
              <w:t>, including in areas such as the protection and resilience of critical energy infrastructure, which require specifically dedicated budgetary provisions</w:t>
            </w:r>
            <w:r>
              <w:t>;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w:t>
            </w:r>
            <w:r>
              <w:rPr>
                <w:b/>
                <w:i/>
              </w:rPr>
              <w:t>insists that the significant increase in defence funding should be accompanied by the clear and effective streamlining of the governance of the European beneficiary organisations, particularly in the field of space, while fully respecting the relevant responsibilities of the bodies concerned and existing legal frameworks, in order to avoid duplication, ensure the consistency of actions taken and prevent any encroachment on national prerogatives;</w:t>
            </w:r>
            <w:r>
              <w:t xml:space="preserve">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w:t>
            </w:r>
            <w:r>
              <w:rPr>
                <w:b/>
                <w:i/>
              </w:rPr>
              <w:t>, resilience against hybrid threats, cyber-attacks and climate related security risks</w:t>
            </w:r>
            <w:r>
              <w:t xml:space="preserv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 </w:t>
            </w:r>
            <w:r>
              <w:rPr>
                <w:b/>
                <w:i/>
              </w:rPr>
              <w:t>stresses that military mobility investments must prioritise dual-use projects that also strengthen civilian resilience and climate objectives, in particular rail and inland waterways, cross-border electrification and climate-resilient transport corridors, while avoiding lock-in of high-emission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w:t>
            </w:r>
            <w:r>
              <w:rPr>
                <w:b/>
                <w:i/>
              </w:rPr>
              <w:t>which is critical for long-term planning in strategic areas such as defence that requires sustained and predictable funding; insists therefore that defence-related objectives and actions be identifiable in the budget nomenclature through dedicated chapters and sufficiently granular budget lines, enabling meaningful parliamentary oversight</w:t>
            </w:r>
            <w:r>
              <w:t>;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w:t>
            </w:r>
            <w:r>
              <w:rPr>
                <w:b/>
                <w:i/>
              </w:rPr>
              <w:t>the importance of Union funding contributing to the protection and resilience of critical infrastructure, including energy, transport, digital and communication networks, through a coordinated civil and defence approach, in order to reduce vulnerabilities and strengthen the Union’s strategic autonomy. stresses</w:t>
            </w:r>
            <w:r>
              <w:t>,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w:t>
            </w:r>
            <w:r>
              <w:rPr>
                <w:b/>
                <w:i/>
              </w:rPr>
              <w:t>; stresses that Union-funded security and defence initiatives should also support training, interoperability and common standards, including for civil protection and emergency services, in order to ensure effective cross-border cooperation and long-term sustainability of investments</w:t>
            </w:r>
            <w:r>
              <w:t>;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Sven Mikser,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 </w:t>
            </w:r>
            <w:r>
              <w:rPr>
                <w:b/>
                <w:i/>
              </w:rPr>
              <w:t>recalls the Niinistö report stresses that security is a necessity for our economic success and competitiveness and underlines that adequate funding is required to build credible defence preparedness and readiness for the EU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Lucia Yar, Engin Eroglu, Nathalie Loiseau, Urmas Paet,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w:t>
            </w:r>
            <w:r>
              <w:rPr>
                <w:b/>
                <w:i/>
              </w:rPr>
              <w:t>research</w:t>
            </w:r>
            <w:r>
              <w:t>, strategic autonomy, the clean transition, defence</w:t>
            </w:r>
            <w:r>
              <w:rPr>
                <w:b/>
                <w:i/>
              </w:rPr>
              <w:t>,</w:t>
            </w:r>
            <w:r>
              <w:t xml:space="preserve"> technological sovereignty </w:t>
            </w:r>
            <w:r>
              <w:rPr>
                <w:b/>
                <w:i/>
              </w:rPr>
              <w:t>and</w:t>
            </w:r>
            <w:r>
              <w:t xml:space="preserve">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strategic autonomy, the clean transition, </w:t>
            </w:r>
            <w:r>
              <w:rPr>
                <w:b/>
                <w:i/>
              </w:rPr>
              <w:t>electric grid, research and innovation, civil protection, security,</w:t>
            </w:r>
            <w:r>
              <w:t xml:space="preserve"> defence </w:t>
            </w:r>
            <w:r>
              <w:rPr>
                <w:b/>
                <w:i/>
              </w:rPr>
              <w:t>and space</w:t>
            </w:r>
            <w:r>
              <w:t xml:space="preserve"> technological sovereignty</w:t>
            </w:r>
            <w:r>
              <w:rPr>
                <w:b/>
                <w:i/>
              </w:rPr>
              <w:t>, fight against hybrid threat and foreign interference and support</w:t>
            </w:r>
            <w:r>
              <w:t xml:space="preserve">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w:t>
            </w:r>
            <w:r>
              <w:rPr>
                <w:b/>
                <w:i/>
              </w:rPr>
              <w:t>strongly</w:t>
            </w:r>
            <w:r>
              <w:t xml:space="preserve"> insists that despite programme mergers, budget lines must remain sufficiently detailed to enable meaningful parliamentary oversight and maintain visibility of funding for individual priorities; recalls its position that competitiveness must foster economic growth, </w:t>
            </w:r>
            <w:r>
              <w:rPr>
                <w:b/>
                <w:i/>
              </w:rPr>
              <w:t>European strategic autonomy, independence and defence readiness,</w:t>
            </w:r>
            <w:r>
              <w:t xml:space="preserve">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w:t>
            </w:r>
            <w:r>
              <w:rPr>
                <w:b/>
                <w:i/>
              </w:rPr>
              <w:t>;</w:t>
            </w:r>
            <w:r>
              <w:t xml:space="preserve"> </w:t>
            </w:r>
            <w:r>
              <w:rPr>
                <w:b/>
                <w:i/>
              </w:rPr>
              <w:t>calls for increased funding to ensure the strict protection of the Union's external borders</w:t>
            </w:r>
            <w:r>
              <w:t>;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as underlined in both the Draghi and Letta reports;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w:t>
            </w:r>
            <w:r>
              <w:rPr>
                <w:b/>
                <w:i/>
              </w:rPr>
              <w:t>its position</w:t>
            </w:r>
            <w:r>
              <w:t xml:space="preserve"> that competitiveness </w:t>
            </w:r>
            <w:r>
              <w:rPr>
                <w:b/>
                <w:i/>
              </w:rPr>
              <w:t>must foster</w:t>
            </w:r>
            <w:r>
              <w:t xml:space="preserve"> economic growth</w:t>
            </w:r>
            <w:r>
              <w:rPr>
                <w:b/>
                <w:i/>
              </w:rPr>
              <w:t>, as well as promote quality, stable and well-paid jobs as underlined in both the Draghi and Letta reports</w:t>
            </w:r>
            <w:r>
              <w:t>;</w:t>
            </w:r>
          </w:p>
        </w:tc>
        <w:tc>
          <w:tcPr>
            <w:tcW w:w="4876" w:type="dxa"/>
            <w:tcBorders>
              <w:top w:val="nil"/>
              <w:left w:val="nil"/>
              <w:bottom w:val="nil"/>
              <w:right w:val="nil"/>
            </w:tcBorders>
          </w:tcPr>
          <w:p>
            <w:pPr>
              <w:pStyle w:val="Normal6a"/>
            </w:pPr>
            <w:r>
              <w:t>20.</w:t>
            </w:r>
            <w:r>
              <w:tab/>
            </w:r>
            <w:r>
              <w:t xml:space="preserve">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defence,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that competitiveness </w:t>
            </w:r>
            <w:r>
              <w:rPr>
                <w:b/>
                <w:i/>
              </w:rPr>
              <w:t>should support sustainable</w:t>
            </w:r>
            <w:r>
              <w:t xml:space="preserve"> economic growth </w:t>
            </w:r>
            <w:r>
              <w:rPr>
                <w:b/>
                <w:i/>
              </w:rPr>
              <w:t>and productivity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w:t>
            </w:r>
            <w:r>
              <w:rPr>
                <w:b/>
                <w:i/>
              </w:rPr>
              <w:t>, defence</w:t>
            </w:r>
            <w:r>
              <w:t xml:space="preserve">,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 </w:t>
            </w:r>
            <w:r>
              <w:rPr>
                <w:b/>
                <w:i/>
              </w:rPr>
              <w:t>as underlined in both the Draghi and Letta reports</w:t>
            </w:r>
            <w:r>
              <w:t>;</w:t>
            </w:r>
          </w:p>
        </w:tc>
        <w:tc>
          <w:tcPr>
            <w:tcW w:w="4876" w:type="dxa"/>
            <w:tcBorders>
              <w:top w:val="nil"/>
              <w:left w:val="nil"/>
              <w:bottom w:val="nil"/>
              <w:right w:val="nil"/>
            </w:tcBorders>
          </w:tcPr>
          <w:p>
            <w:pPr>
              <w:pStyle w:val="Normal6a"/>
            </w:pPr>
            <w:r>
              <w:t>20.</w:t>
            </w:r>
            <w:r>
              <w:tab/>
            </w:r>
            <w:r>
              <w:t>Welcomes the significant reinforcement of Heading 2 on ‘Competitiveness, prosperity and security’, which is allocated EUR 522.2 billion in 2025 prices in the 2028-2034 MFF, representing 30 % of the total MFF compared to EUR 224.8 billion or 17 % in the current period; notes that this more than doubling of resources reflects the Union’s commitment to research, strategic autonomy, the clean transition, technological sovereignty and economic resilience; acknowledges that this substantial increase responds to Parliament’s long-standing calls for greater investment in these areas; stresses, however, that the consolidation of programmes must not reduce transparency or limit Parliament’s ability to ensure appropriate funding for specific policy objectives; insists that despite programme mergers, budget lines must remain sufficiently detailed to enable meaningful parliamentary oversight and maintain visibility of funding for individual priorities; recalls its position that competitiveness must foster economic growth, as well as promote quality, stable and well-paid jobs;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Sven Mikser,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Stresses that the European Defence Technological and Industrial Base (EDTIB) requires stronger and sustained support under the next MFF, underpinned by long-term planning and predictable investment frameworks; underlines that such a dedicated envelope is necessary to support joint procurement, industrial production ramp-up, innovation and interoperability, to close critical capability gaps, strengthen the EDTIB, and reduce strategic dependencies, thereby contributing to the Union’s security, resilience and long-term competitiveness; notes that insufficient and fragmented investment in defence research and development widens the technological gap with global competitors, undermines interoperability and increases strategic dependencies; recalls that a ‘buy European’ approach — including the EDTIB, EEA/EFTA countries and Security and Defence Partners —, provided that such an approach is based on quality, interoperability, and security of supply, provides predictable order volumes, drives private investment in defence R&amp;D, supports industrial production ramp-up and enables the EDTIB to deliver innovative defence capabilities at scale and in a timely manner;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Believes that with the rapidly changing security environment, there is an urgent need to strengthen EU defence readiness and close critical capability gaps through the significant scale-up of defence industry production and EU capability development, including by leveraging Space capabilities for the Union's security and defence readiness needs; regrets that the proposed structure does not sufficiently ensure visibility and predictability for defence-related expenditure; calls for clearly identifiable and adequately funded defence-related budget lines dedicated to defence industrial investment; considers that at least two thirds of the indicative envelope of that window should be clearly dedicated to defence industry actions (including industrial scale-up, resilient security of supply, research and innovation, and increased cooperation in capability development, procurement and maintenance, critical for the increased availability of EU-made defence products), in line with the need for sustained and predictable investment;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Calls for the creation of a dedicated budget line for the European defence industry, with the objective of enabling, developing and prioritising multiannual programmes, in order to provide long-term financial predictability, enhance predictability for industrial planning and support sustained investment across the European defence technological and industrial base (EDTIB), underlines the importance of predictability for SME:s and startups; underlines that such multiannual programming is indispensable for scaling up production capacity, strengthening supply chains, fostering skills development and incentivising cross-border cooperation and joint procurement among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Lucia Yar, Engin Eroglu, Nathalie Loiseau, Urmas Paet, Hilde Vautmans,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Welcomes the consolidation of the defence envelope proposed in the Heading 2; regrets, however, that the Commission did not provide a sufficiently detailed breakdown of this envelope in its proposal; recalls that a detailed budgetary breakdown is necessary to enable the budgetary authority to take meaningful and informed decisions; stresses that commensurate EU-level investment in defence in the next MFF, underpinned by transparent governance, can reduce duplication, deliver economies of scale, and enhance interoperability;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Stresses the importance of sustained, adequate and predictable investment in strategic and dual-use transport infrastructure, as a key driver of territorial cohesion, balanced regional development and the effective functioning of the Single Market; underlines that such investment enhances civilian connectivity, reduces bottlenecks and missing links, and strengthens European supply chains, thereby contributing to the Union’s competitiveness and prosperity;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Donazzan, Alberico Gambino, Reinis Pozņaks, Alexandr Vondra,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Stresses the need to enhance Europe's industrial and technological defence base, ensuring that it reflects the diversity of companies in the sector within the Union and the specific characteristics of the industrial fabric of the Member States;</w:t>
            </w:r>
            <w:r>
              <w:t xml:space="preserve"> </w:t>
            </w:r>
            <w:r>
              <w:rPr>
                <w:b/>
                <w:i/>
              </w:rPr>
              <w:t>reiterates that EU defence policies and funding must respect national prerogatives and support equal access to opportunities for large companies, SMEs and new entrants;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Calls for a dedicated, flexible budget for UAS that spans the full capability life cycle, including R&amp;D, prototyping, training, fielding and maintenance, with flexible requirements and appropriations to accelerate acquisition and fielding while further establishing dedicated funding lines for the rapid procurement, training, sustainment and spare-parts provisioning of combat UAS units;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Stresses that within the proposed European Competitiveness Fund, the chapter and corresponding budgetary line ‘Resilience, Defence Industry and Speace’ must be split into the following five chapters: ‘Resilience’, ‘Defence Industry’, ‘Space’, ‘Skills’, and ‘SMEs’; believes that such a split would ensure transparency as well as predictable funding levels for each budgetary 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Stresses that military mobility must remain a flagship priority under Heading 2, with sufficient funding for cross-border transport, logistics and infrastructure on the eastern flank.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Sven Mikser,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Believes that the European Competitiveness Fund should include a clearly identifiable, dedicated and adequately funded budget for defence-related investment; stresses thus that, within the proposed European Competitiveness Fund, the chapter and the corresponding budgetary line “Resilience, Defence Industry and Space” should be split into (i) resilience and (ii) defence industry and space; underlines that such a separation would ensure transparency, predictability and legal certainty - by preventing transfers between structurally different policy objectives-, would help to guarantee adequate and stable funding levels for each priority, and would strength Parliament’s ability to exercise effective budgetary scrutiny, oversight and democratic accountability over Union expenditure;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Insists that Union budget support for defence-related actions should finance European projects that meet EU capability priorities in the Defence Roadmap which will strengthen the European Defence Technological and Industrial Base (EDTIB) and the Union’s security of supply; recalls that financing mechanisms, including the Ukraine Support Instrument and Loan, measures supporting the Union’s Security of Supply regime and the EU Military Sales Mechanism, should remain a cornerstone of efforts to strengthen the EDTIB, as established in Regulation (EU) 2025/2643 establishing the European Defence Industry Programme and a framework of measures to ensure the timely availability and supply of defence products (EDIP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Underlines that investment in dual-use transport infrastructure constitutes a European public good and a key contribution to territorial cohesion, connectivity and resilience; stresses that such infrastructure plays a crucial role in enhancing military mobility, enabling rapid crisis response, and reinforcing the security of the Union; underlines the urgent need of strengthening connectivity between Ukraine, EU Member States, and the Black Sea region, while simultaneously delivering tangible benefits for civilian mobility and regional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Encourages financing for upgrading or adopting new missile and drone launch detection systems that can transmit information across the EU to serve as a ‘shield’ for Europe’s multilayered aerial defence capabilities and an EU-wide early warning and data-sharing network that integrates detection telemetry and launch indications with EU and national air-defence command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Emphasises that stable multiannual funding is a prerequisite for attracting private investments, as well as enabling defence companies, especially SMEs and startups, to undertake long-term research, development and production investments with reduced financial risk; underlines that this is crucial for the modernisation of European defence industry;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Elena Donazzan, Alberico Gambino, Reinis Pozņaks, Alexandr Vondra,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Takes the view that Europe's security shield must be built through a realistic, pragmatic and integrated approach;</w:t>
            </w:r>
            <w:r>
              <w:t xml:space="preserve"> </w:t>
            </w:r>
            <w:r>
              <w:rPr>
                <w:b/>
                <w:i/>
              </w:rPr>
              <w:t>stresses that this approach requires coherence between the EU's internal and external dimensions and the needs of its eastern and southern flanks as well as between civilian and military instruments, avoiding fragmented and uncoordinated interventions;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Calls for strengthened support for the European defence industrial base, including SMEs, to reduce strategic dependencies and accelerate production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Lucia Yar, Engin Eroglu, Nathalie Loiseau, Urmas Paet, Hilde Vautmans,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Underlines the growing security challenges facing the EU, including those identified in the Niinistö 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Calls for the creation, under Heading 2, Resilience Defence Industry and Space, of a dedicated subchapter on countering hybrid threats, supported by a specific and ring-fenced budget in the next MFF; underlines that Member States have increasingly adapted their security strategies to address hybrid threats, including cyberattacks, disinformation, foreign interference and attacks on critical infrastructure, which are cross-border in nature and cannot be effectively addressed through fragmented national approaches; stresses that a dedicated budget line would ensure sustained investment in prevention and resilience, and strengthen the Union’s security, strategic autonomy and protection of democratic institutions;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Welcomes the fivefold increase in the budget for defence in the 2028-2034 MFF, specifically within the European Competitiveness Fund, compared to the 2021-2027 MFF; underscores the importance of a competitive and resilient European Defence Technological and Industrial Base (EDTIB); encourages the prioritisation of funds for the continued development of the European Defence Industrial Base (EDIB), which shall also include European allies, and in particular Ukraine; calls for the ECF to facilitate industrial war capability, also in peacetime; recalls the need for budget lines to be sufficiently detailed to ensure efficient and precise use of the funds for the defence industry;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Lucia Yar, Nathalie Loiseau, Urmas Paet, Hilde Vautmans,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Underlines the value of the defence programmes and instruments launched under the current MFF, which create a solid basis for future Union action; reiterates Parliament’s previous calls on the Commission to explore all options to support Member States’ defence investments and to maximise the synergies in existing mechanisms to support the Union’s defence readiness; recalls Parliament’s call to advance towards a genuine European Defence Union and to ensure that the next MFF supports a comprehensive security approach through adequate and coordinated investment, without undermining long-term economic, social and territorial cohesion;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Calls for European preference criteria and safeguards, such as those developed in Union defence instruments, covering, where relevant, eligibility, ownership and control requirements, security of supply and protection of sensitive information, to be applied consistently to defence-related funding under the European Competitiveness Fund and to any defence-relevant investments supported through NRPPs; stresses that such criteria must be reflected in the budget nomenclature and in the sectoral basic acts to ensure legal certainty and democratic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Stresses that the reinforced resources under Heading 2 should ensure that EU budget funds are only spent on defence when it is in the European collective interest, unlocks EU added value, and strengthens our autonomy and sovereignty, notably through joint procurement, increases in interoperability and the development of common European capabilities; underlines that any additional EU investment in security and defence must be accompanied by strong social safeguards and must contribute to quality jobs, skills and industrial resilience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Calls for co-financing of counter-drone defences to protect critical energy and transport infrastructure in Member States that aims to implement baseline, layered C-UAS protection for critical infrastructure such as energy systems, transport nodes, telecommunications networks, undersea cables and space ground segments based on interoperable interfaces and common technical specifications, with harmonised incident reporting and clear civil-military coordination, underpinned by legally authorised and safely deconflicted EW training and testing;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Elena Donazzan, Alberico Gambino, Reinis Pozņaks, Alexandr Vondra,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Highlights that the objective of European initiatives in the defence sector is to achieve genuine operational readiness; </w:t>
            </w:r>
            <w:r>
              <w:t xml:space="preserve"> </w:t>
            </w:r>
            <w:r>
              <w:rPr>
                <w:b/>
                <w:i/>
              </w:rPr>
              <w:t>stresses the need to reduce European fragmentation by means of interoperability, common standards and industrial cooperation;</w:t>
            </w:r>
            <w:r>
              <w:t xml:space="preserve"> </w:t>
            </w:r>
            <w:r>
              <w:rPr>
                <w:b/>
                <w:i/>
              </w:rPr>
              <w:t>reiterates that these initiatives must complement NATO and strengthen its deterrence and collective defence capabilities, avoiding any duplication;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c.</w:t>
            </w:r>
            <w:r>
              <w:tab/>
            </w:r>
            <w:r>
              <w:rPr>
                <w:b/>
                <w:i/>
              </w:rPr>
              <w:t>Calls for the development of a genuine European anti-drone shield, integrating detection, tracking, electronic warfare and interception capabilities, deployed as a common European public good.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Sven Mikser,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Warns that the Union’s rapidly growing security and defence needs are mobilising very substantial amounts of public financing at speed, which increases the risk of insufficient political and budgetary oversight and weaker accountability standards; cautions against any risk of capture of EU defence-related funding through the privatisation of, or transfer of strategic defence assets to, private actors closely linked to governments with authoritarian tendencies; stresses that such risks are particularly acute where persistent rule of law concerns exist, and that corruption, conflicts of interest or captured procurement not only endanger the Union budget but also undermine the Union’s real defence capacity, erode its credibility and may ultimately compromise its strategic autonomy;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Underlines that, within the ring-fenced budget dedicated to countering hybrid threats, an important attentio must be given to faith-based diplomacy, understood as structured engagement with religious leaders, faith-based organisations and interfaith networks to promote dialogue, build trust, and enhance community resilience, supported by complementary measures to strengthen societal resilience and counter disinformation, in order to prevent the instrumentalisation of religious and cultural identities and to counter Russian propaganda and malign influence;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Elena Donazzan, Alberico Gambino, Reinis Pozņaks, Alexandr Vondra,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Calls for the avoidance of excessive centralisation of defence-industry policies at EU level and for the promotion of an open and competitive European industrial ecosystem in which SMEs and start-ups can play a central role;</w:t>
            </w:r>
            <w:r>
              <w:t xml:space="preserve"> </w:t>
            </w:r>
            <w:r>
              <w:rPr>
                <w:b/>
                <w:i/>
              </w:rPr>
              <w:t>stresses the importance of dual-use technologies as a lever for linking defence, industry and growth;</w:t>
            </w:r>
            <w:r>
              <w:t xml:space="preserve"> </w:t>
            </w:r>
            <w:r>
              <w:rPr>
                <w:b/>
                <w:i/>
              </w:rPr>
              <w:t>underscores that military mobility and the resilience of critical infrastructure are essential pillars for the credibility of a European deterrence and the Union's geopolitical projection;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Calls for sufficient funding for SME and startups in order to foster innovation in European defence, and in particular to increase support for modern defence technologies; underscores the centrale role of technology in modern defence systems and therefore the need to invest in research and development, cyber defence and cybersecurity as well as dual-use technologies; calls sufficient funding to be earmarked for the urgently needed mass production of high-consumption items such as drones, ammunition, and missiles;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Stresses that military mobility is a critical enabler for the CSDP and for Europe’s defence readiness, strengthening the Union’s security and resilience and interoperability with NATO and partners, including Ukraine; underlines that the next MFF must provide a substantially reinforced and flexible funding envelope for military mobility, supporting both physical and digital dual-use infrastructure, and enabling capabilities, while ensuring complementarity and synergies with other defence initiatives;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Calls for the stockpiling of drone components and critical raw materials across the Member States, rather than complete systems, and for the creation of forward-deployed repair-and-regeneration hubs, co-located with NATO depots, to ensure sustained operational readiness and the rapid rotation of upgraded components; urges the Commission to integrate these efforts into an overarching raw materials strategy that secures supply chains by reducing dependencies on third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d.</w:t>
            </w:r>
            <w:r>
              <w:tab/>
            </w:r>
            <w:r>
              <w:rPr>
                <w:b/>
                <w:i/>
              </w:rPr>
              <w:t>Stresses that drone and counter-drone capabilities constitute essential dual-use technologies supporting both civilian protection and military defence.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Recognizes that EU Member States and regions bordering aggressor countries face manifold economic, social and resilience challenges, which are much more pronounced than in the rest of the EU. Underlines that Russia’s war of aggression against Ukraine has negatively affected their economic growth and attractiveness, foreign trade and investment dynamics. The national spending in these countries that otherwise would be used to foster socio-economic convergence had to be redirected to national-level security and resilience measures, such as civil protection and preparedness, defence and preservation of critical infrastructure. These national level critical investments strengthen security and resilience of the whole EU. Therefore, the new MFF should provide targeted support for socio-economic convergence of these countries that was overshadowed by other EU common pressing and immediate priorities and investment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Welcomes the proposed increase in the Connecting Europe Facility (CEF) budget; underlines the strategic importance of enhanced connectivity with the Caucasus and Central Asia, including through the the Trans-Caspian and Black Sea corridors, as a means of strengthening the Union’s geopolitical engagement, economic partnerships and supply chain security; stresses that such investments contribute to resilience against external shocks, reduce strategic dependencies, support sustainable and interoperable infrastructure, and reinforce the EU’s role as a reliable partner in its wider neighbourhood;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Welcomes the EU programmes aimed at increasing defence cooperation, in particular EDIP and SAFE, encourages the continuation and scaling-up of these programmes through dedicated budget posts in the next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e.</w:t>
            </w:r>
            <w:r>
              <w:tab/>
            </w:r>
            <w:r>
              <w:rPr>
                <w:b/>
                <w:i/>
              </w:rPr>
              <w:t>Stresses that lessons learned from battlefield experience regarding drone warfare and counter-drone defence must be systematically integrated into EU defence spending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Terheş, 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Underlines the importance of strengthening civil preparedness as a core component of the Union’s resilience in the face of security crises, hybrid threats and natural or man-made disasters; stresses the need to enhance coordination between civilian and military actors, improve risk awareness and preparedness at all levels of governance, and invest in robust, adaptable and interoperable systems for emergency response, civil protection and critical infrastructure protection; emphasises that a well-prepared civilian population and resilient civil institutions are essential to ensure continuity of services, rapid crisis response and societal trust; calls for the establishment of civil defense bunkers in all Member States and the development of a digital application providing real-time information on the location and accessibility of these shelters to citizens;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Calls for dedicated budget lines for staging regular joint training exercises and simulations with an emphasis on emergency preparedness and civil emergency response that involves all relevant agencies. Notes that formulating joint investigation teams (JITs) with Europol that transfer best practices to national authorities should be prioritized. Emphasizes the importance of integrating trainings on battlefield evidence collection and retention that can also aid war crimes prosecutions in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Welcomes the Commission proposal for a Military Mobility Package aimed at enhancing military mobility within the Union; notes that the proposed increase in the budget for military mobility falls far short of the estimated need of EUR 100 billion to fulfil the Commission’s objectives and to establish efficient military mobility; stresses that effective military mobility, including a ‘military Schengen’, is crucial for the defence of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Calls for the establishment of a European Infrastructure Shield to protect border, energy, transport, digital, water and undersea infrastructure against sabotage, cyber, drone and hybrid attacks, with particular focus on border and frontline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g.</w:t>
            </w:r>
            <w:r>
              <w:tab/>
            </w:r>
            <w:r>
              <w:rPr>
                <w:b/>
                <w:i/>
              </w:rPr>
              <w:t>Stresses that, in particular in the light of the current US administrations step back from its role regarding global peace and security, there is a need to progress towards a European Defence Union, strengtening the European pillar of Nato, with the next MFF supporting a comprehensive security approach through an increase in investment; Notes that European defence capabilities suffer from decades of under-investment and that, according to the Commission, the defence spending gap currently stands at EUR 500 billion for the next decade; underlines that the Union budget alone cannot fill the gap, but has an important role to play, in conjunction with national budgets and with a focus on clear EU added value; stresses that the massive defence spending will come at the expense of reduction in other investments;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g.</w:t>
            </w:r>
            <w:r>
              <w:tab/>
            </w:r>
            <w:r>
              <w:rPr>
                <w:b/>
                <w:i/>
              </w:rPr>
              <w:t>Calls for the MFF to include the establishment of a ‘component stockpile access’ mechanism that would enable SMEs certified by the EDA and Member States to draw critical components for defence materials from EU strategic stockpiles at negotiated prices and to repay in kind once production scales up; insists that these stockpiles should also be accessible to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g.</w:t>
            </w:r>
            <w:r>
              <w:tab/>
            </w:r>
            <w:r>
              <w:rPr>
                <w:b/>
                <w:i/>
              </w:rPr>
              <w:t>Calls for a Union-level early warning system to detect and assess hybrid escalation patterns, including coordinated cyber, economic, informational and infrastructure-related actions.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h.</w:t>
            </w:r>
            <w:r>
              <w:tab/>
            </w:r>
            <w:r>
              <w:rPr>
                <w:b/>
                <w:i/>
              </w:rPr>
              <w:t>Calls for the financing of shelter infrastructure and protective spaces throughout Member States, and supports the creation of permanent no-fly and counter-UAS zones around critical EU infrastructure, coordinated by national authorities and Frontex, and supported by shared C2 platforms. Recommends equipping these zones with layered detection and mitigation systems. Stresses the urgent need to deploy a strengthened anti-drone protection plan around critical energy infrastructure and the joint development and procurement of multilayered defence systems and robust homeland preparedness emphasising civil alert systems, protected shelters and public education campaigns;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Marta Wcisło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h.</w:t>
            </w:r>
            <w:r>
              <w:tab/>
            </w:r>
            <w:r>
              <w:rPr>
                <w:b/>
                <w:i/>
              </w:rPr>
              <w:t>Stresses that energy resilience, including decentralised generation, storage and grid protection, must be treated as a core element of the Union’s resilience architecture.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i.</w:t>
            </w:r>
            <w:r>
              <w:tab/>
            </w:r>
            <w:r>
              <w:rPr>
                <w:b/>
                <w:i/>
              </w:rPr>
              <w:t>Calls for financing the expansion of certified testing grounds for training on and integration of UAS capabilities, where industry and armed forces can rapidly co-develop, test and iterate drone solutions in operational conditions. Stresses the need for adequate financing for capacity and infrastructure building of these sites to achieve their optimal innovation potential; encourages the inclusion of SMEs and start-ups to accelerate R&amp;D to strengthen Europe’s technological edge;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j.</w:t>
            </w:r>
            <w:r>
              <w:tab/>
            </w:r>
            <w:r>
              <w:rPr>
                <w:b/>
                <w:i/>
              </w:rPr>
              <w:t>Calls for the financing of regional drone manufacturing hubs with shared infrastructure and regulatory fast-tracking, particularly among front line states. Recognises the need to establish national hubs for drone testing, certification and interoperability across the EU and emphasizes that such hubs would facilitate the testing and certification of UAS and C-UAS systems in line with EU and NATO standards. Emphasizes the need for drone and C-UAS testing, production and training, with the aim of strengthening the external borders and deterring hybrid aggression and that regional drone manufacturing hubs should be co-located with dual-use logistics nodes connected to the TEN-T, enabling seamless movement of military and civil drone assets, spare parts and operators across borders in an integrated manner across the EU and in line with any future ‘drone wall’ concept;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k.</w:t>
            </w:r>
            <w:r>
              <w:tab/>
            </w:r>
            <w:r>
              <w:rPr>
                <w:b/>
                <w:i/>
              </w:rPr>
              <w:t>Calls for the financing of and direction of strategic investments to relevant industrial and technological hubs across the EU and supporting raw material processing, semiconductor production, battery manufacturing, drone assembly and C2 integration, while ensuring that such investments also strengthen the broader European defence industrial base. Emphasises the need to ensure sustained development of drone-related defence innovation, skills, certification standards, testing and training infrastructure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Reinis Pozņaks, Alexandr Vondra, Cristian Terheş, Elena Donazzan,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l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l.</w:t>
            </w:r>
            <w:r>
              <w:tab/>
            </w:r>
            <w:r>
              <w:rPr>
                <w:b/>
                <w:i/>
              </w:rPr>
              <w:t>Calls for the financing of and investment in UAS workforce and manufacturing infrastructure by: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standardising open architectures and interfaces for interoperability;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mandating open modular standards for all EU-funded drone systems to enable plug-and-play component swaps (e.g. sensors, radios) from multiple suppliers, and coordinating with NATO to align standards and interoperability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 </w:t>
            </w:r>
            <w:r>
              <w:rPr>
                <w:b/>
                <w:i/>
              </w:rPr>
              <w:t>stresses that funding under Heading 3 should contribute more systematically to strengthening security, resilience and both civil protection and defence-related capacities of candidate and potential candidate countries, in particular in the Western Balkans, as an integral part of the Union’s broader security and stability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w:t>
            </w:r>
            <w:r>
              <w:rPr>
                <w:b/>
                <w:i/>
              </w:rPr>
              <w:t>considers</w:t>
            </w:r>
            <w:r>
              <w:t xml:space="preserve"> that this </w:t>
            </w:r>
            <w:r>
              <w:rPr>
                <w:b/>
                <w:i/>
              </w:rPr>
              <w:t>reinforcement of EUR 68.5 billion is positive, as it demonstrates the Union’s commitment to strengthening its role as a global actor</w:t>
            </w:r>
            <w:r>
              <w:t xml:space="preserve"> in an increasingly complex geopolitical environment</w:t>
            </w:r>
            <w:r>
              <w:rPr>
                <w:b/>
                <w:i/>
              </w:rPr>
              <w:t>; expresses concern</w:t>
            </w:r>
            <w:r>
              <w:t xml:space="preserve">, </w:t>
            </w:r>
            <w:r>
              <w:rPr>
                <w:b/>
                <w:i/>
              </w:rPr>
              <w:t>however, that this level of funding remains insufficient given the scale of global challenges</w:t>
            </w:r>
            <w:r>
              <w:t xml:space="preserve"> including development </w:t>
            </w:r>
            <w:r>
              <w:rPr>
                <w:b/>
                <w:i/>
              </w:rPr>
              <w:t>needs</w:t>
            </w:r>
            <w:r>
              <w:t xml:space="preserve">, humanitarian </w:t>
            </w:r>
            <w:r>
              <w:rPr>
                <w:b/>
                <w:i/>
              </w:rPr>
              <w:t>crises and the need to</w:t>
            </w:r>
            <w:r>
              <w:t xml:space="preserve"> support Ukraine and </w:t>
            </w:r>
            <w:r>
              <w:rPr>
                <w:b/>
                <w:i/>
              </w:rPr>
              <w:t>other partners; calls for the necessary funds to support enlargement and accession processes</w:t>
            </w:r>
            <w:r>
              <w:t xml:space="preserve">; warns that the merger of programmes </w:t>
            </w:r>
            <w:r>
              <w:rPr>
                <w:b/>
                <w:i/>
              </w:rPr>
              <w:t>could lead, once again, to weakened</w:t>
            </w:r>
            <w:r>
              <w:t xml:space="preserve"> parliamentary oversight </w:t>
            </w:r>
            <w:r>
              <w:rPr>
                <w:b/>
                <w:i/>
              </w:rPr>
              <w:t>and involvement and reduced</w:t>
            </w:r>
            <w:r>
              <w:t xml:space="preserve"> funding visibility </w:t>
            </w:r>
            <w:r>
              <w:rPr>
                <w:b/>
                <w:i/>
              </w:rPr>
              <w:t>for specific priorities, as occurred with NDICI-Global</w:t>
            </w:r>
            <w:r>
              <w:t xml:space="preserve"> Europe; insists that </w:t>
            </w:r>
            <w:r>
              <w:rPr>
                <w:b/>
                <w:i/>
              </w:rPr>
              <w:t>the pillars</w:t>
            </w:r>
            <w:r>
              <w:t xml:space="preserve"> maintain clear and </w:t>
            </w:r>
            <w:r>
              <w:rPr>
                <w:b/>
                <w:i/>
              </w:rPr>
              <w:t>separate</w:t>
            </w:r>
            <w:r>
              <w:t xml:space="preserve"> budget lines </w:t>
            </w:r>
            <w:r>
              <w:rPr>
                <w:b/>
                <w:i/>
              </w:rPr>
              <w:t>to ensure transparency in allocations</w:t>
            </w:r>
            <w:r>
              <w:t xml:space="preserve">; recalls </w:t>
            </w:r>
            <w:r>
              <w:rPr>
                <w:b/>
                <w:i/>
              </w:rPr>
              <w:t>its position</w:t>
            </w:r>
            <w:r>
              <w:t xml:space="preserve"> that the </w:t>
            </w:r>
            <w:r>
              <w:rPr>
                <w:b/>
                <w:i/>
              </w:rPr>
              <w:t>needs-based</w:t>
            </w:r>
            <w:r>
              <w:t xml:space="preserve"> nature of humanitarian aid requires </w:t>
            </w:r>
            <w:r>
              <w:rPr>
                <w:b/>
                <w:i/>
              </w:rPr>
              <w:t>ring-fenced</w:t>
            </w:r>
            <w:r>
              <w:t xml:space="preserve"> funding </w:t>
            </w:r>
            <w:r>
              <w:rPr>
                <w:b/>
                <w:i/>
              </w:rPr>
              <w:t>delivered through a stand-alone spending programme and dedicated nomenclature and underlines that effective humanitarian aid provision is contingent on predictability through a sufficient annual</w:t>
            </w:r>
            <w:r>
              <w:t xml:space="preserve">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w:t>
            </w:r>
            <w:r>
              <w:rPr>
                <w:b/>
                <w:i/>
              </w:rPr>
              <w:t>acknowledges</w:t>
            </w:r>
            <w:r>
              <w:t xml:space="preserve"> that this </w:t>
            </w:r>
            <w:r>
              <w:rPr>
                <w:b/>
                <w:i/>
              </w:rPr>
              <w:t>reflects a stronger focus on Union external action</w:t>
            </w:r>
            <w:r>
              <w:t xml:space="preserve"> in an increasingly complex geopolitical environment, including </w:t>
            </w:r>
            <w:r>
              <w:rPr>
                <w:b/>
                <w:i/>
              </w:rPr>
              <w:t>with regard to</w:t>
            </w:r>
            <w:r>
              <w:t xml:space="preserve"> development </w:t>
            </w:r>
            <w:r>
              <w:rPr>
                <w:b/>
                <w:i/>
              </w:rPr>
              <w:t>cooperation</w:t>
            </w:r>
            <w:r>
              <w:t xml:space="preserve">, humanitarian </w:t>
            </w:r>
            <w:r>
              <w:rPr>
                <w:b/>
                <w:i/>
              </w:rPr>
              <w:t>assistance,</w:t>
            </w:r>
            <w:r>
              <w:t xml:space="preserve"> support </w:t>
            </w:r>
            <w:r>
              <w:rPr>
                <w:b/>
                <w:i/>
              </w:rPr>
              <w:t>for</w:t>
            </w:r>
            <w:r>
              <w:t xml:space="preserve"> Ukraine and </w:t>
            </w:r>
            <w:r>
              <w:rPr>
                <w:b/>
                <w:i/>
              </w:rPr>
              <w:t>engagement with partner countries; stresses that the effectiveness of Union external action depends on clear prioritisation, coherence and efficient use of available resources</w:t>
            </w:r>
            <w:r>
              <w:t xml:space="preserve">; warns that the merger of programmes </w:t>
            </w:r>
            <w:r>
              <w:rPr>
                <w:b/>
                <w:i/>
              </w:rPr>
              <w:t>must not weaken</w:t>
            </w:r>
            <w:r>
              <w:t xml:space="preserve"> parliamentary oversight</w:t>
            </w:r>
            <w:r>
              <w:rPr>
                <w:b/>
                <w:i/>
              </w:rPr>
              <w:t>, transparency or</w:t>
            </w:r>
            <w:r>
              <w:t xml:space="preserve"> funding visibility</w:t>
            </w:r>
            <w:r>
              <w:rPr>
                <w:b/>
                <w:i/>
              </w:rPr>
              <w:t>, as experienced under NDICI–Global</w:t>
            </w:r>
            <w:r>
              <w:t xml:space="preserve"> Europe; insists that </w:t>
            </w:r>
            <w:r>
              <w:rPr>
                <w:b/>
                <w:i/>
              </w:rPr>
              <w:t>programme structures</w:t>
            </w:r>
            <w:r>
              <w:t xml:space="preserve"> maintain clear and </w:t>
            </w:r>
            <w:r>
              <w:rPr>
                <w:b/>
                <w:i/>
              </w:rPr>
              <w:t>distinct</w:t>
            </w:r>
            <w:r>
              <w:t xml:space="preserve"> budget lines; recalls that the </w:t>
            </w:r>
            <w:r>
              <w:rPr>
                <w:b/>
                <w:i/>
              </w:rPr>
              <w:t>needsbased</w:t>
            </w:r>
            <w:r>
              <w:t xml:space="preserve"> nature of humanitarian aid requires </w:t>
            </w:r>
            <w:r>
              <w:rPr>
                <w:b/>
                <w:i/>
              </w:rPr>
              <w:t>predictable and transparent</w:t>
            </w:r>
            <w:r>
              <w:t xml:space="preserve"> funding </w:t>
            </w:r>
            <w:r>
              <w:rPr>
                <w:b/>
                <w:i/>
              </w:rPr>
              <w:t>arrangements, including an appropriate</w:t>
            </w:r>
            <w:r>
              <w:t xml:space="preserve"> baseline allocation </w:t>
            </w:r>
            <w:r>
              <w:rPr>
                <w:b/>
                <w:i/>
              </w:rPr>
              <w:t>within the limits of the MFF, and underlines the importance of clear objectives and measurable performance indicators to ensure effectiveness, accountability and value for money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Sven Mikser,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w:t>
            </w:r>
            <w:r>
              <w:rPr>
                <w:b/>
                <w:i/>
              </w:rPr>
              <w:t>the Union’s external crisis management and security role and</w:t>
            </w:r>
            <w:r>
              <w:t xml:space="preserve">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w:t>
            </w:r>
            <w:r>
              <w:rPr>
                <w:b/>
                <w:i/>
              </w:rPr>
              <w:t>including CSDP related action,</w:t>
            </w:r>
            <w:r>
              <w:t xml:space="preserve">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Underlines that civilian CSDP missions are strategic for the Union; notes that these missions are often limited in size but they are deployed in strategically important environments and ensure a sustained EU presence on the ground; stresses that such presence contributes to situational awareness, stability and resilience, and supports the Union’s security interests and external action objectives as well as those of our partners; therefore calls for an adequate increase in the allocation for the CFSP/CSDP budget, through targeted adjustments within external action funding, and for the budget nomenclature to maintain clearly identifiable CSDP mission lines, in order to strengthen Parliament’s scrutiny and to improve the Union’s ability to deploy, sustain and, where needed, scale up these missions;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Sven Mikser,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Recalls, without prejudice of the Member States’ competences, the recommendation of the Niinistö report that the EU should better leverage its delegations in third countries and CSDP missions to feed information and analysis into foresight processes; Reiterates its call to promote the establishment of a system of automatic and continuous flow of intelligence from Member States to the EEAS on foreign and security issues occurring outside the Union; calls, in this regard, for strengthening the EU INTCEN, the EEAS Crisis Response Center and the SatCen by enhancing its staff and financial resources, as well as capabilities; urges to improve the security protocols of the services working on intelligence and/or with sensible 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Sven Mikser,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Underlines the need for Union policies to be underpinned by a well-functioning administration; insists that, post-2027, sufficient financial and staff resources be allocated from the outset and throughout the MFF period so that Union institutions, bodies, decentralised agencies and the European Public Prosecutor’s Office can ensure effective and efficient policy design and high-quality delivery and enforcement, provide technical assistance, continue to attract the best people from all Member States, thus ensuring geographical balance, and have leeway to adjust to changing circumstances;</w:t>
            </w:r>
          </w:p>
        </w:tc>
        <w:tc>
          <w:tcPr>
            <w:tcW w:w="4876" w:type="dxa"/>
            <w:tcBorders>
              <w:top w:val="nil"/>
              <w:left w:val="nil"/>
              <w:bottom w:val="nil"/>
              <w:right w:val="nil"/>
            </w:tcBorders>
          </w:tcPr>
          <w:p>
            <w:pPr>
              <w:pStyle w:val="Normal6a"/>
            </w:pPr>
            <w:r>
              <w:t>22.</w:t>
            </w:r>
            <w:r>
              <w:tab/>
            </w:r>
            <w:r>
              <w:t xml:space="preserve">Underlines the need for Union policies to be underpinned by a well-functioning administration; insists that, post-2027, sufficient financial and staff resources be allocated from the outset and throughout the MFF period so that Union institutions, bodies, decentralised agencies and the European Public Prosecutor’s Office can ensure effective and efficient policy design and high-quality delivery and enforcement, provide technical assistance, continue to attract the best people from all Member States, thus ensuring geographical balance, and have leeway to adjust to changing circumstances; </w:t>
            </w:r>
            <w:r>
              <w:rPr>
                <w:b/>
                <w:i/>
              </w:rPr>
              <w:t>underlines, in this context, the need to ensure adequate administrative resources to support the Union’s growing responsibilities in security and defence, including the effective management and oversight of CFSP/CSDP missions and related instruments;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Underlines the need for Union policies to be </w:t>
            </w:r>
            <w:r>
              <w:rPr>
                <w:b/>
                <w:i/>
              </w:rPr>
              <w:t>underpinned by a well-functioning</w:t>
            </w:r>
            <w:r>
              <w:t xml:space="preserve"> administration; </w:t>
            </w:r>
            <w:r>
              <w:rPr>
                <w:b/>
                <w:i/>
              </w:rPr>
              <w:t>insists that, post-2027, sufficient financial and staff</w:t>
            </w:r>
            <w:r>
              <w:t xml:space="preserve"> resources </w:t>
            </w:r>
            <w:r>
              <w:rPr>
                <w:b/>
                <w:i/>
              </w:rPr>
              <w:t>be allocated from the outset and throughout the MFF period so that</w:t>
            </w:r>
            <w:r>
              <w:t xml:space="preserve"> Union institutions, bodies, decentralised agencies and the European Public Prosecutor’s Office </w:t>
            </w:r>
            <w:r>
              <w:rPr>
                <w:b/>
                <w:i/>
              </w:rPr>
              <w:t>can ensure effective and efficient policy design and high-quality delivery and enforcement, provide technical assistance, continue to attract the best people from all Member States, thus ensuring geographical balance, and have leeway to adjust</w:t>
            </w:r>
            <w:r>
              <w:t xml:space="preserve"> to changing circumstances;</w:t>
            </w:r>
          </w:p>
        </w:tc>
        <w:tc>
          <w:tcPr>
            <w:tcW w:w="4876" w:type="dxa"/>
            <w:tcBorders>
              <w:top w:val="nil"/>
              <w:left w:val="nil"/>
              <w:bottom w:val="nil"/>
              <w:right w:val="nil"/>
            </w:tcBorders>
          </w:tcPr>
          <w:p>
            <w:pPr>
              <w:pStyle w:val="Normal6a"/>
            </w:pPr>
            <w:r>
              <w:t>22.</w:t>
            </w:r>
            <w:r>
              <w:tab/>
            </w:r>
            <w:r>
              <w:t xml:space="preserve">Underlines the need for Union policies to be </w:t>
            </w:r>
            <w:r>
              <w:rPr>
                <w:b/>
                <w:i/>
              </w:rPr>
              <w:t>supported by a wellfunctioning and efficient</w:t>
            </w:r>
            <w:r>
              <w:t xml:space="preserve"> administration; </w:t>
            </w:r>
            <w:r>
              <w:rPr>
                <w:b/>
                <w:i/>
              </w:rPr>
              <w:t>stresses that administrative</w:t>
            </w:r>
            <w:r>
              <w:t xml:space="preserve"> resources </w:t>
            </w:r>
            <w:r>
              <w:rPr>
                <w:b/>
                <w:i/>
              </w:rPr>
              <w:t>should be planned and used in accordance with the principles of sound financial management and efficiency, enabling</w:t>
            </w:r>
            <w:r>
              <w:t xml:space="preserve"> Union institutions, bodies, decentralised agencies and the European Public Prosecutor’s Office </w:t>
            </w:r>
            <w:r>
              <w:rPr>
                <w:b/>
                <w:i/>
              </w:rPr>
              <w:t>to fulfil their mandates effectively, making full use of existing resources and internal redeployment before considering additional financial or staff needs, while retaining sufficient flexibility to adapt</w:t>
            </w:r>
            <w:r>
              <w:t xml:space="preserve"> to changing circumstances;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Alexandr Vondra, Veronika Vrecionová, 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w:t>
            </w:r>
            <w:r>
              <w:rPr>
                <w:b/>
                <w:i/>
              </w:rPr>
              <w:t>highlights the particularly alarming</w:t>
            </w:r>
            <w:r>
              <w:t xml:space="preserve"> situation whereby some EU agencies receive inadequate operational funding, severely limiting their capacity to fulfil their mandates and deliver on policy objectives;</w:t>
            </w:r>
          </w:p>
        </w:tc>
        <w:tc>
          <w:tcPr>
            <w:tcW w:w="4876" w:type="dxa"/>
            <w:tcBorders>
              <w:top w:val="nil"/>
              <w:left w:val="nil"/>
              <w:bottom w:val="nil"/>
              <w:right w:val="nil"/>
            </w:tcBorders>
          </w:tcPr>
          <w:p>
            <w:pPr>
              <w:pStyle w:val="Normal6a"/>
            </w:pPr>
            <w:r>
              <w:t>23.</w:t>
            </w:r>
            <w:r>
              <w:tab/>
            </w:r>
            <w:r>
              <w:t xml:space="preserve">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w:t>
            </w:r>
            <w:r>
              <w:rPr>
                <w:b/>
                <w:i/>
              </w:rPr>
              <w:t>while maintaining overall budgetary discipline and avoiding structural staff increases; notes the</w:t>
            </w:r>
            <w:r>
              <w:t xml:space="preserve"> situation whereby some EU agencies receive inadequate operational funding, severely limiting their capacity to fulfil their mandates and deliver on policy objectives; </w:t>
            </w:r>
            <w:r>
              <w:rPr>
                <w:b/>
                <w:i/>
              </w:rPr>
              <w:t>underlines that new posts granted to the European External Action Service (EEAS) should be properly justified and calls for reallocation, redeployment and modernisation to achieve its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Notes </w:t>
            </w:r>
            <w:r>
              <w:rPr>
                <w:b/>
                <w:i/>
              </w:rPr>
              <w:t>with concern</w:t>
            </w:r>
            <w:r>
              <w:t xml:space="preserve"> that the </w:t>
            </w:r>
            <w:r>
              <w:rPr>
                <w:b/>
                <w:i/>
              </w:rPr>
              <w:t>Commission’s</w:t>
            </w:r>
            <w:r>
              <w:t xml:space="preserve"> self-imposed stable staffing </w:t>
            </w:r>
            <w:r>
              <w:rPr>
                <w:b/>
                <w:i/>
              </w:rPr>
              <w:t>has proven inadequate to meet operational requirements; acknowledges that,</w:t>
            </w:r>
            <w:r>
              <w:t xml:space="preserve"> for the 2028-2034 MFF, </w:t>
            </w:r>
            <w:r>
              <w:rPr>
                <w:b/>
                <w:i/>
              </w:rPr>
              <w:t>the Commission has requested additional posts; insists that</w:t>
            </w:r>
            <w:r>
              <w:t xml:space="preserve"> the staffing </w:t>
            </w:r>
            <w:r>
              <w:rPr>
                <w:b/>
                <w:i/>
              </w:rPr>
              <w:t>needs</w:t>
            </w:r>
            <w:r>
              <w:t xml:space="preserve"> of all institutions and bodies </w:t>
            </w:r>
            <w:r>
              <w:rPr>
                <w:b/>
                <w:i/>
              </w:rPr>
              <w:t>have to be taken into account when establishing additional posts; highlights the particularly alarming situation whereby some EU</w:t>
            </w:r>
            <w:r>
              <w:t xml:space="preserve"> agencies </w:t>
            </w:r>
            <w:r>
              <w:rPr>
                <w:b/>
                <w:i/>
              </w:rPr>
              <w:t>receive inadequate</w:t>
            </w:r>
            <w:r>
              <w:t xml:space="preserve"> operational funding</w:t>
            </w:r>
            <w:r>
              <w:rPr>
                <w:b/>
                <w:i/>
              </w:rPr>
              <w:t>, severely limiting their capacity to fulfil their mandates and deliver on policy</w:t>
            </w:r>
            <w:r>
              <w:t xml:space="preserve"> objectives;</w:t>
            </w:r>
          </w:p>
        </w:tc>
        <w:tc>
          <w:tcPr>
            <w:tcW w:w="4876" w:type="dxa"/>
            <w:tcBorders>
              <w:top w:val="nil"/>
              <w:left w:val="nil"/>
              <w:bottom w:val="nil"/>
              <w:right w:val="nil"/>
            </w:tcBorders>
          </w:tcPr>
          <w:p>
            <w:pPr>
              <w:pStyle w:val="Normal6a"/>
            </w:pPr>
            <w:r>
              <w:t>23.</w:t>
            </w:r>
            <w:r>
              <w:tab/>
            </w:r>
            <w:r>
              <w:t xml:space="preserve">Notes that the </w:t>
            </w:r>
            <w:r>
              <w:rPr>
                <w:b/>
                <w:i/>
              </w:rPr>
              <w:t>Commission has identified operational challenges linked to its</w:t>
            </w:r>
            <w:r>
              <w:t xml:space="preserve"> self-imposed stable staffing </w:t>
            </w:r>
            <w:r>
              <w:rPr>
                <w:b/>
                <w:i/>
              </w:rPr>
              <w:t>policy; recalls that any requests for additional posts</w:t>
            </w:r>
            <w:r>
              <w:t xml:space="preserve"> for the 2028-2034 MFF, </w:t>
            </w:r>
            <w:r>
              <w:rPr>
                <w:b/>
                <w:i/>
              </w:rPr>
              <w:t>must be based on demonstrated needs, objective workload assessments and efficiency considerations, and must take into account</w:t>
            </w:r>
            <w:r>
              <w:t xml:space="preserve"> the staffing </w:t>
            </w:r>
            <w:r>
              <w:rPr>
                <w:b/>
                <w:i/>
              </w:rPr>
              <w:t>requirements</w:t>
            </w:r>
            <w:r>
              <w:t xml:space="preserve"> of all </w:t>
            </w:r>
            <w:r>
              <w:rPr>
                <w:b/>
                <w:i/>
              </w:rPr>
              <w:t>Union</w:t>
            </w:r>
            <w:r>
              <w:t xml:space="preserve"> institutions and bodies</w:t>
            </w:r>
            <w:r>
              <w:rPr>
                <w:b/>
                <w:i/>
              </w:rPr>
              <w:t>; stresses that the mandates, performance and resource allocation of Union</w:t>
            </w:r>
            <w:r>
              <w:t xml:space="preserve"> agencies </w:t>
            </w:r>
            <w:r>
              <w:rPr>
                <w:b/>
                <w:i/>
              </w:rPr>
              <w:t>should be regularly reviewed to ensure that</w:t>
            </w:r>
            <w:r>
              <w:t xml:space="preserve"> operational funding </w:t>
            </w:r>
            <w:r>
              <w:rPr>
                <w:b/>
                <w:i/>
              </w:rPr>
              <w:t>is aligned with clearly defined tasks, measurable</w:t>
            </w:r>
            <w:r>
              <w:t xml:space="preserve"> objectives </w:t>
            </w:r>
            <w:r>
              <w:rPr>
                <w:b/>
                <w:i/>
              </w:rPr>
              <w:t>and available budgetary resources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Welcomes</w:t>
            </w:r>
            <w:r>
              <w:t xml:space="preserve"> the Commission’s proposal </w:t>
            </w:r>
            <w:r>
              <w:rPr>
                <w:b/>
                <w:i/>
              </w:rPr>
              <w:t>for a Flexibility Instrument to be constituted not only of a fixed amount but also of additional funds from revenue relating to fines and decommitments; considers, in the light of its position of 7 May 2025, that</w:t>
            </w:r>
            <w:r>
              <w:t xml:space="preserve"> the Flexibility Instrument </w:t>
            </w:r>
            <w:r>
              <w:rPr>
                <w:b/>
                <w:i/>
              </w:rPr>
              <w:t>should receive funds from additional sources, namely</w:t>
            </w:r>
            <w:r>
              <w:t xml:space="preserve"> unspent margins </w:t>
            </w:r>
            <w:r>
              <w:rPr>
                <w:b/>
                <w:i/>
              </w:rPr>
              <w:t>from previous years, the annual surplus from the previous year and reflows from financial instruments, together with current and future margins as a last resort; considers also that it should be heavily frontloaded; considers that external assigned revenue and</w:t>
            </w:r>
            <w:r>
              <w:t xml:space="preserve"> amounts </w:t>
            </w:r>
            <w:r>
              <w:rPr>
                <w:b/>
                <w:i/>
              </w:rPr>
              <w:t>made available again under specific revenue and decommitment rules in programme-specific provisions could be exempted from this general rule</w:t>
            </w:r>
            <w:r>
              <w:t>;</w:t>
            </w:r>
          </w:p>
        </w:tc>
        <w:tc>
          <w:tcPr>
            <w:tcW w:w="4876" w:type="dxa"/>
            <w:tcBorders>
              <w:top w:val="nil"/>
              <w:left w:val="nil"/>
              <w:bottom w:val="nil"/>
              <w:right w:val="nil"/>
            </w:tcBorders>
          </w:tcPr>
          <w:p>
            <w:pPr>
              <w:pStyle w:val="Normal6a"/>
            </w:pPr>
            <w:r>
              <w:t>24.</w:t>
            </w:r>
            <w:r>
              <w:tab/>
            </w:r>
            <w:r>
              <w:rPr>
                <w:b/>
                <w:i/>
              </w:rPr>
              <w:t>Takes note of</w:t>
            </w:r>
            <w:r>
              <w:t xml:space="preserve"> the Commission’s proposal </w:t>
            </w:r>
            <w:r>
              <w:rPr>
                <w:b/>
                <w:i/>
              </w:rPr>
              <w:t>concerning</w:t>
            </w:r>
            <w:r>
              <w:t xml:space="preserve"> the Flexibility Instrument</w:t>
            </w:r>
            <w:r>
              <w:rPr>
                <w:b/>
                <w:i/>
              </w:rPr>
              <w:t>; recalls that</w:t>
            </w:r>
            <w:r>
              <w:t xml:space="preserve"> unspent margins</w:t>
            </w:r>
            <w:r>
              <w:rPr>
                <w:b/>
                <w:i/>
              </w:rPr>
              <w:t>, surpluses and decommitments primarily serve as safeguards of budgetary discipline within the MFF; stresses that the use of such</w:t>
            </w:r>
            <w:r>
              <w:t xml:space="preserve"> amounts </w:t>
            </w:r>
            <w:r>
              <w:rPr>
                <w:b/>
                <w:i/>
              </w:rPr>
              <w:t>for flexibility purposes must remain exceptional, clearly justified and limited in scope, and must not undermine the expenditure ceilings or lead to the systematic creation of additional spending capacity through frontloading or the accumulation of multiple funding sources</w:t>
            </w:r>
            <w:r>
              <w:t xml:space="preserve">; </w:t>
            </w:r>
            <w:r>
              <w:rPr>
                <w:b/>
                <w:i/>
              </w:rPr>
              <w:t>underlines the need for full transparency and robust parliamentary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Restates </w:t>
            </w:r>
            <w:r>
              <w:rPr>
                <w:b/>
                <w:i/>
              </w:rPr>
              <w:t>also</w:t>
            </w:r>
            <w:r>
              <w:t xml:space="preserve"> its view that </w:t>
            </w:r>
            <w:r>
              <w:rPr>
                <w:b/>
                <w:i/>
              </w:rPr>
              <w:t>there should be a second special instrument, the</w:t>
            </w:r>
            <w:r>
              <w:t xml:space="preserve"> Solidarity Reserve for Natural Disasters</w:t>
            </w:r>
            <w:r>
              <w:rPr>
                <w:b/>
                <w:i/>
              </w:rPr>
              <w:t>, dedicated to ensuring solidarity</w:t>
            </w:r>
            <w:r>
              <w:t xml:space="preserve"> in the event of natural disasters; </w:t>
            </w:r>
            <w:r>
              <w:rPr>
                <w:b/>
                <w:i/>
              </w:rPr>
              <w:t>considers that both special instruments should be able to carry over</w:t>
            </w:r>
            <w:r>
              <w:t xml:space="preserve"> unspent amounts </w:t>
            </w:r>
            <w:r>
              <w:rPr>
                <w:b/>
                <w:i/>
              </w:rPr>
              <w:t>throughout the MFF period, to guarantee flexibility</w:t>
            </w:r>
            <w:r>
              <w:t>;</w:t>
            </w:r>
          </w:p>
        </w:tc>
        <w:tc>
          <w:tcPr>
            <w:tcW w:w="4876" w:type="dxa"/>
            <w:tcBorders>
              <w:top w:val="nil"/>
              <w:left w:val="nil"/>
              <w:bottom w:val="nil"/>
              <w:right w:val="nil"/>
            </w:tcBorders>
          </w:tcPr>
          <w:p>
            <w:pPr>
              <w:pStyle w:val="Normal6a"/>
            </w:pPr>
            <w:r>
              <w:t>25.</w:t>
            </w:r>
            <w:r>
              <w:tab/>
            </w:r>
            <w:r>
              <w:t xml:space="preserve">Restates its view that </w:t>
            </w:r>
            <w:r>
              <w:rPr>
                <w:b/>
                <w:i/>
              </w:rPr>
              <w:t>a</w:t>
            </w:r>
            <w:r>
              <w:t xml:space="preserve"> Solidarity Reserve for Natural Disasters </w:t>
            </w:r>
            <w:r>
              <w:rPr>
                <w:b/>
                <w:i/>
              </w:rPr>
              <w:t>can play a role in supporting Member States</w:t>
            </w:r>
            <w:r>
              <w:t xml:space="preserve"> in the event of </w:t>
            </w:r>
            <w:r>
              <w:rPr>
                <w:b/>
                <w:i/>
              </w:rPr>
              <w:t>major</w:t>
            </w:r>
            <w:r>
              <w:t xml:space="preserve"> natural disasters; </w:t>
            </w:r>
            <w:r>
              <w:rPr>
                <w:b/>
                <w:i/>
              </w:rPr>
              <w:t>stresses that the use of such an instrument must remain strictly needs-based, transparent and time-limited, and that any carry-over of</w:t>
            </w:r>
            <w:r>
              <w:t xml:space="preserve"> unspent amounts </w:t>
            </w:r>
            <w:r>
              <w:rPr>
                <w:b/>
                <w:i/>
              </w:rPr>
              <w:t>should be clearly justified and limited, in order to preserve budgetary discipline and avoid the accumulation of permanent reserves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w:t>
            </w:r>
          </w:p>
        </w:tc>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 </w:t>
            </w:r>
            <w:r>
              <w:rPr>
                <w:b/>
                <w:i/>
              </w:rPr>
              <w:t>notes with concern the absence of a dedicated budget to support Ukraine's military capability needs, should the war continue beyond 2027 when the 60 billion dedicated under the Support Loan for Ukraine comes to an end;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José Cepeda, Elio Di Rupo, Vasile Dîncu, Costas Mavrides, Ana Catarina Mendes, Sven Mikser, Raphaël Glucksmann,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w:t>
            </w:r>
          </w:p>
        </w:tc>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 </w:t>
            </w:r>
            <w:r>
              <w:rPr>
                <w:b/>
                <w:i/>
              </w:rPr>
              <w:t>stresses that this support should be predictable, frontloaded and commensurate with needs, in order to sustain Ukraine’s resilience, recovery and reconstruction, and to avoid repeated ad hoc emergency negotiations;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w:t>
            </w:r>
          </w:p>
        </w:tc>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 </w:t>
            </w:r>
            <w:r>
              <w:rPr>
                <w:b/>
                <w:i/>
              </w:rPr>
              <w:t>insists that any mobilisation, redeployment or reinforcement of Ukraine-related funding remain subject to parliamentary scrutiny and implemented through clearly identifiable budget lines.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w:t>
            </w:r>
            <w:r>
              <w:rPr>
                <w:b/>
                <w:i/>
              </w:rPr>
              <w:t>observes, however, that should the conflict continue, this allocation would be insufficient to meet Ukraine’s needs; calls for an increase and frontloading of the Reserve, with a view to providing additional</w:t>
            </w:r>
            <w:r>
              <w:t xml:space="preserve"> support </w:t>
            </w:r>
            <w:r>
              <w:rPr>
                <w:b/>
                <w:i/>
              </w:rPr>
              <w:t>to Ukraine</w:t>
            </w:r>
            <w:r>
              <w:t>;</w:t>
            </w:r>
          </w:p>
        </w:tc>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w:t>
            </w:r>
            <w:r>
              <w:rPr>
                <w:b/>
                <w:i/>
              </w:rPr>
              <w:t>stresses that such</w:t>
            </w:r>
            <w:r>
              <w:t xml:space="preserve"> support </w:t>
            </w:r>
            <w:r>
              <w:rPr>
                <w:b/>
                <w:i/>
              </w:rPr>
              <w:t>must be clearly targeted, transparent and subject to strict conditionality and effective oversight, and without creating permanent or open-ended budgetary commitments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Recalls that the current MFF </w:t>
            </w:r>
            <w:r>
              <w:rPr>
                <w:b/>
                <w:i/>
              </w:rPr>
              <w:t>has been underfunded, which required an MFF revision</w:t>
            </w:r>
            <w:r>
              <w:t xml:space="preserve"> in 2024; notes that while </w:t>
            </w:r>
            <w:r>
              <w:rPr>
                <w:b/>
                <w:i/>
              </w:rPr>
              <w:t>there is</w:t>
            </w:r>
            <w:r>
              <w:t xml:space="preserve"> increased flexibility </w:t>
            </w:r>
            <w:r>
              <w:rPr>
                <w:b/>
                <w:i/>
              </w:rPr>
              <w:t>in the 2028-2034 MFF proposal, the overall amounts in the Commission proposal are still not sufficient</w:t>
            </w:r>
            <w:r>
              <w:t>;</w:t>
            </w:r>
          </w:p>
        </w:tc>
        <w:tc>
          <w:tcPr>
            <w:tcW w:w="4876" w:type="dxa"/>
            <w:tcBorders>
              <w:top w:val="nil"/>
              <w:left w:val="nil"/>
              <w:bottom w:val="nil"/>
              <w:right w:val="nil"/>
            </w:tcBorders>
          </w:tcPr>
          <w:p>
            <w:pPr>
              <w:pStyle w:val="Normal6a"/>
            </w:pPr>
            <w:r>
              <w:t>27.</w:t>
            </w:r>
            <w:r>
              <w:tab/>
            </w:r>
            <w:r>
              <w:t xml:space="preserve">Recalls that the current MFF </w:t>
            </w:r>
            <w:r>
              <w:rPr>
                <w:b/>
                <w:i/>
              </w:rPr>
              <w:t>was revised</w:t>
            </w:r>
            <w:r>
              <w:t xml:space="preserve"> in 2024; notes that while </w:t>
            </w:r>
            <w:r>
              <w:rPr>
                <w:b/>
                <w:i/>
              </w:rPr>
              <w:t>the Commission’s proposal for the 2028–2034 MFF provides for</w:t>
            </w:r>
            <w:r>
              <w:t xml:space="preserve"> increased flexibility</w:t>
            </w:r>
            <w:r>
              <w:rPr>
                <w:b/>
                <w:i/>
              </w:rPr>
              <w:t>, any consideration of additional financial resources must be preceded by clear prioritisation, efficient use of available resources and effective implementation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r>
              <w:rPr>
                <w:b/>
                <w:i/>
              </w:rPr>
              <w:t> stresses that past mergers of budget lines, EU programmes, and financial instruments, have shown that the purported simplification, effectiveness, and flexibility did not come with meaningful parliamentary scrutiny, oversight, traceability, or control; underlines that the exchange of and access to prior information within working groups or other exchange formats, particularly regarding programming and implementation processes, was and remains wholly unsatisfactory and prevents effective parliamentary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r>
              <w:rPr>
                <w:b/>
                <w:i/>
              </w:rPr>
              <w:t> stresses the importance of timely, transparent and accessible information on the mobilisation and use of special instruments, in order to ensure effective parliamentary scrutiny and public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Notes the overall structure of four MFF headings, as proposed by the Commission, down from seven headings in the current MFF; notes with concern that the Commission proposes to reduce the number of EU programmes from 60 to 19, introducing a lack of clarity regarding objectives and budgetary nomenclature; stresses that Parliament’s position on the structure of these new MFF programmes will be determined during the co-decision procedure for the relevant sectoral legislative acts; insists that the proposed budget nomenclature must reflect the specific objectives of each programme, with a view to ensuring transparency and accountability and providing the budgetary authority with the information necessary to establish the annual budget and oversee its implementation;</w:t>
            </w:r>
          </w:p>
        </w:tc>
        <w:tc>
          <w:tcPr>
            <w:tcW w:w="4876" w:type="dxa"/>
            <w:tcBorders>
              <w:top w:val="nil"/>
              <w:left w:val="nil"/>
              <w:bottom w:val="nil"/>
              <w:right w:val="nil"/>
            </w:tcBorders>
          </w:tcPr>
          <w:p>
            <w:pPr>
              <w:pStyle w:val="Normal6a"/>
            </w:pPr>
            <w:r>
              <w:t>33.</w:t>
            </w:r>
            <w:r>
              <w:tab/>
            </w:r>
            <w:r>
              <w:t>Notes the overall structure of four MFF headings, as proposed by the Commission, down from seven headings in the current MFF; notes with concern that the Commission proposes to reduce the number of EU programmes from 60 to 19, introducing a lack of clarity regarding objectives and budgetary nomenclature</w:t>
            </w:r>
            <w:r>
              <w:rPr>
                <w:b/>
                <w:i/>
              </w:rPr>
              <w:t>; considers that, in strategic areas such as defence, budget lines shall be sufficiently differentiated to prevent the blending of defence industrial objectives with non-defence objectives within a single budget line, ensuring transparency, predictability and democratic accountability</w:t>
            </w:r>
            <w:r>
              <w:t>; stresses that Parliament’s position on the structure of these new MFF programmes will be determined during the co-decision procedure for the relevant sectoral legislative acts; insists that the proposed budget nomenclature must reflect the specific objectives of each programme, with a view to ensuring transparency and accountability and providing the budgetary authority with the information necessary to establish the annual budget and oversee its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Notes that budgetary transfers under the Financial Regulation</w:t>
            </w:r>
            <w:r>
              <w:rPr>
                <w:b/>
                <w:i/>
                <w:vertAlign w:val="superscript"/>
              </w:rPr>
              <w:t>3</w:t>
            </w:r>
            <w:r>
              <w:t xml:space="preserve"> already provide flexibility during budget implementation; stresses that the Commission can currently transfer considerable amounts between policy areas without budgetary authority approval, limiting oversight; in the absence of a sufficiently detailed budget structure, calls for new rules setting both a maximum amount and percentage per budget line for transfers without approval; considers that transfers from other Union institutions below a certain threshold could be exempted from the objection procedure as a simplification measure;</w:t>
            </w:r>
          </w:p>
        </w:tc>
        <w:tc>
          <w:tcPr>
            <w:tcW w:w="4876" w:type="dxa"/>
            <w:tcBorders>
              <w:top w:val="nil"/>
              <w:left w:val="nil"/>
              <w:bottom w:val="nil"/>
              <w:right w:val="nil"/>
            </w:tcBorders>
          </w:tcPr>
          <w:p>
            <w:pPr>
              <w:pStyle w:val="Normal6a"/>
            </w:pPr>
            <w:r>
              <w:t>35.</w:t>
            </w:r>
            <w:r>
              <w:tab/>
            </w:r>
            <w:r>
              <w:t xml:space="preserve">Notes that budgetary transfers under the Financial Regulation already provide flexibility during budget implementation; stresses that the Commission can currently transfer considerable amounts between policy areas without budgetary authority approval, limiting oversight; in the absence of a sufficiently detailed budget structure, calls for new rules setting both a maximum amount and percentage per budget line for transfers without approval; considers that transfers from other Union institutions below a certain threshold could be exempted from the objection procedure as a simplification measure; </w:t>
            </w:r>
            <w:r>
              <w:rPr>
                <w:b/>
                <w:i/>
              </w:rPr>
              <w:t>notes that these risks are particularly acute for large and consolidated budget lines covering security, defence, space and critical infrastructure resilience.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Emphasises the need for robust governance ensuring parliamentary accountability, oversight and control, alongside an effective anti-fraud architecture; rejects any approach that limits Parliament to a consultative or information-only role in the mobilisation of any instrument or fund under the next MFF; stresses that budgetary flexibility must not circumvent the prerogatives of the budgetary authority and that all redeployments, reprogramming and mobilisation of cushions or other reserves must be subject to Parliament’s approval; considers that genuine flexibility requires both rapid response capacity and democratic legitimacy, which can only be achieved through Parliament’s full participation in decisions on the allocation and use of resources;</w:t>
            </w:r>
          </w:p>
        </w:tc>
        <w:tc>
          <w:tcPr>
            <w:tcW w:w="4876" w:type="dxa"/>
            <w:tcBorders>
              <w:top w:val="nil"/>
              <w:left w:val="nil"/>
              <w:bottom w:val="nil"/>
              <w:right w:val="nil"/>
            </w:tcBorders>
          </w:tcPr>
          <w:p>
            <w:pPr>
              <w:pStyle w:val="Normal6a"/>
            </w:pPr>
            <w:r>
              <w:t>36.</w:t>
            </w:r>
            <w:r>
              <w:tab/>
            </w:r>
            <w:r>
              <w:t>Emphasises the need for robust governance ensuring parliamentary accountability, oversight and control, alongside an effective anti-fraud architecture; rejects any approach that limits Parliament to a consultative or information-only role in the mobilisation of any instrument or fund under the next MFF</w:t>
            </w:r>
            <w:r>
              <w:rPr>
                <w:b/>
                <w:i/>
              </w:rPr>
              <w:t>; including in the area of security and defence</w:t>
            </w:r>
            <w:r>
              <w:t xml:space="preserve">; stresses that budgetary flexibility must not circumvent the prerogatives of the budgetary authority and that all redeployments, reprogramming and mobilisation of cushions or other reserves must be subject to Parliament’s approval; considers that genuine flexibility requires both rapid response capacity and democratic legitimacy, which can only be achieved through Parliament’s full participation in decisions on the allocation and use of resources; </w:t>
            </w:r>
            <w:r>
              <w:rPr>
                <w:b/>
                <w:i/>
              </w:rPr>
              <w:t>calls for reinforced audit, anti-fraud and conflict of interest safeguards for security and defence related spending, including transparency on final recipients.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Expresses its concern about the lack of predictability in EU funding that might result from excessive flexibility mechanisms and recurrent redeployments; recognises the need for </w:t>
            </w:r>
            <w:r>
              <w:rPr>
                <w:b/>
                <w:i/>
              </w:rPr>
              <w:t>enhanced</w:t>
            </w:r>
            <w:r>
              <w:t xml:space="preserve"> flexibility in allocating resources within certain programmes, but stresses that this must not compromise long-term policy objectives, funding predictability or Parliament’s prerogatives; underlines that while the current MFF has </w:t>
            </w:r>
            <w:r>
              <w:rPr>
                <w:b/>
                <w:i/>
              </w:rPr>
              <w:t>suffered from insufficient flexibility to adjust</w:t>
            </w:r>
            <w:r>
              <w:t xml:space="preserve"> to evolving priorities, the next MFF must strike a better balance between investment predictability and adaptability; emphasises that certain policy areas require greater funding stability than others; firmly rejects recurrent redeployments as a means to finance Union priorities, as they undermine programme implementation and jeopardise the delivery of agreed policy objectives;</w:t>
            </w:r>
          </w:p>
        </w:tc>
        <w:tc>
          <w:tcPr>
            <w:tcW w:w="4876" w:type="dxa"/>
            <w:tcBorders>
              <w:top w:val="nil"/>
              <w:left w:val="nil"/>
              <w:bottom w:val="nil"/>
              <w:right w:val="nil"/>
            </w:tcBorders>
          </w:tcPr>
          <w:p>
            <w:pPr>
              <w:pStyle w:val="Normal6a"/>
            </w:pPr>
            <w:r>
              <w:t>37.</w:t>
            </w:r>
            <w:r>
              <w:tab/>
            </w:r>
            <w:r>
              <w:t xml:space="preserve">Expresses its concern about the lack of predictability in EU funding that might result from excessive flexibility mechanisms and recurrent redeployments; recognises the need for flexibility in allocating resources within certain programmes, but stresses that this must not compromise long-term policy objectives, funding predictability or Parliament’s prerogatives; underlines that while the current MFF has </w:t>
            </w:r>
            <w:r>
              <w:rPr>
                <w:b/>
                <w:i/>
              </w:rPr>
              <w:t>faced challenges in responding</w:t>
            </w:r>
            <w:r>
              <w:t xml:space="preserve"> to evolving priorities, the next MFF must strike a better balance between investment predictability and adaptability; emphasises that certain policy areas require greater funding stability than others; firmly rejects recurrent redeployments as a means to finance Union priorities, as they undermine programme implementation and jeopardise the delivery of agreed policy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a.</w:t>
            </w:r>
            <w:r>
              <w:tab/>
            </w:r>
            <w:r>
              <w:rPr>
                <w:b/>
                <w:i/>
              </w:rPr>
              <w:t>Highlights that defence industrial readiness and capability-related supply chains require high funding stability and long-term visibility; therefore insists that the basic act and budget nomenclature ensure predictable minimum allocations for defence industrial objectives, and that any reprogramming is duly justified, transparent and subject to strengthened scrutiny; calls on the Commission to commit to prior notification and enhanced justification for any transfer affecting clearly identified defence-related budget lines;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Notes the proposed increase in borrowing and lending under the next MFF; </w:t>
            </w:r>
            <w:r>
              <w:rPr>
                <w:b/>
                <w:i/>
              </w:rPr>
              <w:t>considers that the budgetary authority must carefully monitor the impact of this approach on the MFF headroom or other guarantees; demands that</w:t>
            </w:r>
            <w:r>
              <w:t xml:space="preserve"> borrowing and lending </w:t>
            </w:r>
            <w:r>
              <w:rPr>
                <w:b/>
                <w:i/>
              </w:rPr>
              <w:t>operations respect</w:t>
            </w:r>
            <w:r>
              <w:t xml:space="preserve"> the powers of the co-legislators and the budgetary authority;</w:t>
            </w:r>
          </w:p>
        </w:tc>
        <w:tc>
          <w:tcPr>
            <w:tcW w:w="4876" w:type="dxa"/>
            <w:tcBorders>
              <w:top w:val="nil"/>
              <w:left w:val="nil"/>
              <w:bottom w:val="nil"/>
              <w:right w:val="nil"/>
            </w:tcBorders>
          </w:tcPr>
          <w:p>
            <w:pPr>
              <w:pStyle w:val="Normal6a"/>
            </w:pPr>
            <w:r>
              <w:t>38.</w:t>
            </w:r>
            <w:r>
              <w:tab/>
            </w:r>
            <w:r>
              <w:t xml:space="preserve">Notes the proposed increase in borrowing and lending under the next MFF; </w:t>
            </w:r>
            <w:r>
              <w:rPr>
                <w:b/>
                <w:i/>
              </w:rPr>
              <w:t>rejects the use of</w:t>
            </w:r>
            <w:r>
              <w:t xml:space="preserve"> borrowing and lending </w:t>
            </w:r>
            <w:r>
              <w:rPr>
                <w:b/>
                <w:i/>
              </w:rPr>
              <w:t>as a means of financing Union expenditure; stresses that Union policies must be financed within the MFF in line with the principles of budgetary discipline and fiscal responsibility; demands that</w:t>
            </w:r>
            <w:r>
              <w:t xml:space="preserve"> the powers of the co-legislators and the budgetary authority </w:t>
            </w:r>
            <w:r>
              <w:rPr>
                <w:b/>
                <w:i/>
              </w:rPr>
              <w:t>be fully respected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Lucia Yar, Engin Eroglu, Nathalie Loiseau, Urmas Paet,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Reiterates its call for a reinforced investment partnership with the EIB Group to leverage the EU budget, mobilise private investment and de-risk important policy areas such as climate, competitiveness, and innovation, defence and the external dimension;</w:t>
            </w:r>
          </w:p>
        </w:tc>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leverage the EU budget, mobilise private investment and de-risk important policy areas </w:t>
            </w:r>
            <w:r>
              <w:rPr>
                <w:b/>
                <w:i/>
              </w:rPr>
              <w:t>for our strategic autonomy</w:t>
            </w:r>
            <w:r>
              <w:t xml:space="preserve"> such as climate, competitiveness, and innovation, defence and the external dimension; </w:t>
            </w:r>
            <w:r>
              <w:rPr>
                <w:b/>
                <w:i/>
              </w:rPr>
              <w:t>Reminds that a European preference in European goods must be key in public-private investments.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Reiterates the need for sustainable and </w:t>
            </w:r>
            <w:r>
              <w:rPr>
                <w:b/>
                <w:i/>
              </w:rPr>
              <w:t>resilient revenue for</w:t>
            </w:r>
            <w:r>
              <w:t xml:space="preserve"> the Union budget </w:t>
            </w:r>
            <w:r>
              <w:rPr>
                <w:b/>
                <w:i/>
              </w:rPr>
              <w:t>that should match the expenditure side; expresses its continued conviction that without the introduction of new genuine own resources to finance the Union’s budget, the</w:t>
            </w:r>
            <w:r>
              <w:t xml:space="preserve"> financial </w:t>
            </w:r>
            <w:r>
              <w:rPr>
                <w:b/>
                <w:i/>
              </w:rPr>
              <w:t>burden will inevitably fall on</w:t>
            </w:r>
            <w:r>
              <w:t xml:space="preserve"> Member States </w:t>
            </w:r>
            <w:r>
              <w:rPr>
                <w:b/>
                <w:i/>
              </w:rPr>
              <w:t>through increased GNI-based contributions; considers, therefore,</w:t>
            </w:r>
            <w:r>
              <w:t xml:space="preserve"> that the </w:t>
            </w:r>
            <w:r>
              <w:rPr>
                <w:b/>
                <w:i/>
              </w:rPr>
              <w:t>introduction</w:t>
            </w:r>
            <w:r>
              <w:t xml:space="preserve"> of new revenue streams </w:t>
            </w:r>
            <w:r>
              <w:rPr>
                <w:b/>
                <w:i/>
              </w:rPr>
              <w:t>is an essential condition for an ambitious MFF 2028-2034</w:t>
            </w:r>
            <w:r>
              <w:t>;</w:t>
            </w:r>
          </w:p>
        </w:tc>
        <w:tc>
          <w:tcPr>
            <w:tcW w:w="4876" w:type="dxa"/>
            <w:tcBorders>
              <w:top w:val="nil"/>
              <w:left w:val="nil"/>
              <w:bottom w:val="nil"/>
              <w:right w:val="nil"/>
            </w:tcBorders>
          </w:tcPr>
          <w:p>
            <w:pPr>
              <w:pStyle w:val="Normal6a"/>
            </w:pPr>
            <w:r>
              <w:t>51.</w:t>
            </w:r>
            <w:r>
              <w:tab/>
            </w:r>
            <w:r>
              <w:t xml:space="preserve">Reiterates the need for sustainable and </w:t>
            </w:r>
            <w:r>
              <w:rPr>
                <w:b/>
                <w:i/>
              </w:rPr>
              <w:t>predictable financing of</w:t>
            </w:r>
            <w:r>
              <w:t xml:space="preserve"> the Union budget </w:t>
            </w:r>
            <w:r>
              <w:rPr>
                <w:b/>
                <w:i/>
              </w:rPr>
              <w:t>in line with the principles of budgetary discipline and sound</w:t>
            </w:r>
            <w:r>
              <w:t xml:space="preserve"> financial </w:t>
            </w:r>
            <w:r>
              <w:rPr>
                <w:b/>
                <w:i/>
              </w:rPr>
              <w:t>management; underlines that the Union budget has traditionally been financed primarily through national contributions based on gross national income, which ensure transparency, democratic accountability and respect for</w:t>
            </w:r>
            <w:r>
              <w:t xml:space="preserve"> Member States</w:t>
            </w:r>
            <w:r>
              <w:rPr>
                <w:b/>
                <w:i/>
              </w:rPr>
              <w:t>’ fiscal sovereignty; stresses</w:t>
            </w:r>
            <w:r>
              <w:t xml:space="preserve"> that the </w:t>
            </w:r>
            <w:r>
              <w:rPr>
                <w:b/>
                <w:i/>
              </w:rPr>
              <w:t>level of Union expenditure must be determined by clear prioritisation and efficient use of resources, rather than by the expansion</w:t>
            </w:r>
            <w:r>
              <w:t xml:space="preserve"> of new revenue streams </w:t>
            </w:r>
            <w:r>
              <w:rPr>
                <w:b/>
                <w:i/>
              </w:rPr>
              <w:t>at Union level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Considers that</w:t>
            </w:r>
            <w:r>
              <w:rPr>
                <w:b/>
                <w:i/>
              </w:rPr>
              <w:t>, in the face of unprecedented</w:t>
            </w:r>
            <w:r>
              <w:t xml:space="preserve"> challenges </w:t>
            </w:r>
            <w:r>
              <w:rPr>
                <w:b/>
                <w:i/>
              </w:rPr>
              <w:t>requiring substantial increases in investment across multiple policy areas</w:t>
            </w:r>
            <w:r>
              <w:t xml:space="preserve"> in the next MFF period, </w:t>
            </w:r>
            <w:r>
              <w:rPr>
                <w:b/>
                <w:i/>
              </w:rPr>
              <w:t>the</w:t>
            </w:r>
            <w:r>
              <w:t xml:space="preserve"> revenue </w:t>
            </w:r>
            <w:r>
              <w:rPr>
                <w:b/>
                <w:i/>
              </w:rPr>
              <w:t>base of the EU budget must be broadened, strengthened, diversified and modernised; insists that, to this end, the</w:t>
            </w:r>
            <w:r>
              <w:t xml:space="preserve"> existing own resources should </w:t>
            </w:r>
            <w:r>
              <w:rPr>
                <w:b/>
                <w:i/>
              </w:rPr>
              <w:t>be adjusted and upgraded,</w:t>
            </w:r>
            <w:r>
              <w:t xml:space="preserve"> new own resources </w:t>
            </w:r>
            <w:r>
              <w:rPr>
                <w:b/>
                <w:i/>
              </w:rPr>
              <w:t>should be introduced without further delay,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w:t>
            </w:r>
            <w:r>
              <w:t xml:space="preserve"> unforeseen crises;</w:t>
            </w:r>
          </w:p>
        </w:tc>
        <w:tc>
          <w:tcPr>
            <w:tcW w:w="4876" w:type="dxa"/>
            <w:tcBorders>
              <w:top w:val="nil"/>
              <w:left w:val="nil"/>
              <w:bottom w:val="nil"/>
              <w:right w:val="nil"/>
            </w:tcBorders>
          </w:tcPr>
          <w:p>
            <w:pPr>
              <w:pStyle w:val="Normal6a"/>
            </w:pPr>
            <w:r>
              <w:t>52.</w:t>
            </w:r>
            <w:r>
              <w:tab/>
            </w:r>
            <w:r>
              <w:t xml:space="preserve">Considers that </w:t>
            </w:r>
            <w:r>
              <w:rPr>
                <w:b/>
                <w:i/>
              </w:rPr>
              <w:t>the</w:t>
            </w:r>
            <w:r>
              <w:t xml:space="preserve"> challenges </w:t>
            </w:r>
            <w:r>
              <w:rPr>
                <w:b/>
                <w:i/>
              </w:rPr>
              <w:t>facing the Union</w:t>
            </w:r>
            <w:r>
              <w:t xml:space="preserve"> in the next MFF period </w:t>
            </w:r>
            <w:r>
              <w:rPr>
                <w:b/>
                <w:i/>
              </w:rPr>
              <w:t>require a clear focus on prioritisation</w:t>
            </w:r>
            <w:r>
              <w:t xml:space="preserve">, </w:t>
            </w:r>
            <w:r>
              <w:rPr>
                <w:b/>
                <w:i/>
              </w:rPr>
              <w:t>efficiency and effective implementation; underlines that the Union’s</w:t>
            </w:r>
            <w:r>
              <w:t xml:space="preserve"> revenue </w:t>
            </w:r>
            <w:r>
              <w:rPr>
                <w:b/>
                <w:i/>
              </w:rPr>
              <w:t>framework should remain based on</w:t>
            </w:r>
            <w:r>
              <w:t xml:space="preserve"> existing own resources </w:t>
            </w:r>
            <w:r>
              <w:rPr>
                <w:b/>
                <w:i/>
              </w:rPr>
              <w:t>and national contributions, in full respect of the principles of subsidiarity, fiscal responsibility and the Treaties, and</w:t>
            </w:r>
            <w:r>
              <w:t xml:space="preserve"> should </w:t>
            </w:r>
            <w:r>
              <w:rPr>
                <w:b/>
                <w:i/>
              </w:rPr>
              <w:t>not be expanded through the introduction of</w:t>
            </w:r>
            <w:r>
              <w:t xml:space="preserve"> new own resources </w:t>
            </w:r>
            <w:r>
              <w:rPr>
                <w:b/>
                <w:i/>
              </w:rPr>
              <w:t>or through borrowing-based financing mechanisms; stresses that</w:t>
            </w:r>
            <w:r>
              <w:t xml:space="preserve"> unforeseen crises </w:t>
            </w:r>
            <w:r>
              <w:rPr>
                <w:b/>
                <w:i/>
              </w:rPr>
              <w:t>should be addressed through reprioritisation within the agreed budgetary framework and, where appropriate, through national fiscal measures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rPr>
                <w:b/>
                <w:i/>
              </w:rPr>
              <w:t>Welcomes</w:t>
            </w:r>
            <w:r>
              <w:t xml:space="preserve"> the Commission’s </w:t>
            </w:r>
            <w:r>
              <w:rPr>
                <w:b/>
                <w:i/>
              </w:rPr>
              <w:t>efforts to identify new own resources, as well as putting forward certain calibrations to traditional own resources, with a view to strengthening the Union’s financial autonomy and reducing reliance on national contributions; supports the broader basket approach proposed by the Commission as this represents a realistic pathway to securing the necessary support in the Council; takes note</w:t>
            </w:r>
            <w:r>
              <w:t xml:space="preserve"> of the </w:t>
            </w:r>
            <w:r>
              <w:rPr>
                <w:b/>
                <w:i/>
              </w:rPr>
              <w:t>various types of own resources proposed;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w:t>
            </w:r>
            <w:r>
              <w:t xml:space="preserve"> borrowing undertaken under </w:t>
            </w:r>
            <w:r>
              <w:rPr>
                <w:b/>
                <w:i/>
              </w:rPr>
              <w:t>NGEU, meet the Union’s commitments and finance joint investment in European public goods; calls on the Council to swiftly reach agreement on</w:t>
            </w:r>
            <w:r>
              <w:t xml:space="preserve"> new own resources </w:t>
            </w:r>
            <w:r>
              <w:rPr>
                <w:b/>
                <w:i/>
              </w:rPr>
              <w:t>in order to provide</w:t>
            </w:r>
            <w:r>
              <w:t xml:space="preserve"> long-term budgetary </w:t>
            </w:r>
            <w:r>
              <w:rPr>
                <w:b/>
                <w:i/>
              </w:rPr>
              <w:t>certainty</w:t>
            </w:r>
            <w:r>
              <w:t>;</w:t>
            </w:r>
          </w:p>
        </w:tc>
        <w:tc>
          <w:tcPr>
            <w:tcW w:w="4876" w:type="dxa"/>
            <w:tcBorders>
              <w:top w:val="nil"/>
              <w:left w:val="nil"/>
              <w:bottom w:val="nil"/>
              <w:right w:val="nil"/>
            </w:tcBorders>
          </w:tcPr>
          <w:p>
            <w:pPr>
              <w:pStyle w:val="Normal6a"/>
            </w:pPr>
            <w:r>
              <w:t>53.</w:t>
            </w:r>
            <w:r>
              <w:tab/>
            </w:r>
            <w:r>
              <w:rPr>
                <w:b/>
                <w:i/>
              </w:rPr>
              <w:t>Takes note of</w:t>
            </w:r>
            <w:r>
              <w:t xml:space="preserve"> the Commission’s </w:t>
            </w:r>
            <w:r>
              <w:rPr>
                <w:b/>
                <w:i/>
              </w:rPr>
              <w:t>proposals concerning the future financing</w:t>
            </w:r>
            <w:r>
              <w:t xml:space="preserve"> of the </w:t>
            </w:r>
            <w:r>
              <w:rPr>
                <w:b/>
                <w:i/>
              </w:rPr>
              <w:t>Union budget; recalls that</w:t>
            </w:r>
            <w:r>
              <w:t xml:space="preserve"> borrowing undertaken under </w:t>
            </w:r>
            <w:r>
              <w:rPr>
                <w:b/>
                <w:i/>
              </w:rPr>
              <w:t>the NextGenerationEU instrument was conceived as temporary and exceptional; stresses that the repayment of such borrowing must not serve as a justification for the permanent introduction of</w:t>
            </w:r>
            <w:r>
              <w:t xml:space="preserve"> new own resources </w:t>
            </w:r>
            <w:r>
              <w:rPr>
                <w:b/>
                <w:i/>
              </w:rPr>
              <w:t>or for a structural increase in Union revenue; underlines that</w:t>
            </w:r>
            <w:r>
              <w:t xml:space="preserve"> long-term budgetary </w:t>
            </w:r>
            <w:r>
              <w:rPr>
                <w:b/>
                <w:i/>
              </w:rPr>
              <w:t>sustainability requires credible debtreduction paths, expenditure control and a gradual return to a Union budget financed within existing own resources and national contributions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rPr>
                <w:b/>
                <w:i/>
              </w:rPr>
              <w:t>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considers in this sense</w:t>
            </w:r>
            <w:r>
              <w:t xml:space="preserve"> that the </w:t>
            </w:r>
            <w:r>
              <w:rPr>
                <w:b/>
                <w:i/>
              </w:rPr>
              <w:t>revenue potential of a digital services tax</w:t>
            </w:r>
            <w:r>
              <w:t xml:space="preserve"> aimed at </w:t>
            </w:r>
            <w:r>
              <w:rPr>
                <w:b/>
                <w:i/>
              </w:rPr>
              <w:t>major</w:t>
            </w:r>
            <w:r>
              <w:t xml:space="preserve"> digital platforms </w:t>
            </w:r>
            <w:r>
              <w:rPr>
                <w:b/>
                <w:i/>
              </w:rPr>
              <w:t>should be explored as a possible solution should other proposed own resources not gain support among Member States, in order to ensure tax fairness and a revenue</w:t>
            </w:r>
            <w:r>
              <w:t xml:space="preserve"> level </w:t>
            </w:r>
            <w:r>
              <w:rPr>
                <w:b/>
                <w:i/>
              </w:rPr>
              <w:t>that is commensurate with</w:t>
            </w:r>
            <w:r>
              <w:t xml:space="preserve"> needs;</w:t>
            </w:r>
          </w:p>
        </w:tc>
        <w:tc>
          <w:tcPr>
            <w:tcW w:w="4876" w:type="dxa"/>
            <w:tcBorders>
              <w:top w:val="nil"/>
              <w:left w:val="nil"/>
              <w:bottom w:val="nil"/>
              <w:right w:val="nil"/>
            </w:tcBorders>
          </w:tcPr>
          <w:p>
            <w:pPr>
              <w:pStyle w:val="Normal6a"/>
            </w:pPr>
            <w:r>
              <w:t>54.</w:t>
            </w:r>
            <w:r>
              <w:tab/>
            </w:r>
            <w:r>
              <w:rPr>
                <w:b/>
                <w:i/>
              </w:rPr>
              <w:t>Recalls its position</w:t>
            </w:r>
            <w:r>
              <w:t xml:space="preserve"> that the </w:t>
            </w:r>
            <w:r>
              <w:rPr>
                <w:b/>
                <w:i/>
              </w:rPr>
              <w:t>introduction of new own resources should remain an exception and requires broad political consensus; notes that, in this context, measures</w:t>
            </w:r>
            <w:r>
              <w:t xml:space="preserve"> aimed at </w:t>
            </w:r>
            <w:r>
              <w:rPr>
                <w:b/>
                <w:i/>
              </w:rPr>
              <w:t>ensuring fair taxation of large</w:t>
            </w:r>
            <w:r>
              <w:t xml:space="preserve"> digital platforms </w:t>
            </w:r>
            <w:r>
              <w:rPr>
                <w:b/>
                <w:i/>
              </w:rPr>
              <w:t>within the internal market have been subject to continued discussion at Union</w:t>
            </w:r>
            <w:r>
              <w:t xml:space="preserve"> level</w:t>
            </w:r>
            <w:r>
              <w:rPr>
                <w:b/>
                <w:i/>
              </w:rPr>
              <w:t>; underlines that any such measures must be carefully assessed with regard to their economic impact, administrative feasibility and compatibility with international tax frameworks, and must not lead to an overall expansion of Union revenues beyond agreed expenditure</w:t>
            </w:r>
            <w:r>
              <w:t xml:space="preserve">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Takes note of the Commission’s proposal </w:t>
            </w:r>
            <w:r>
              <w:rPr>
                <w:b/>
                <w:i/>
              </w:rPr>
              <w:t>for a novel type of</w:t>
            </w:r>
            <w:r>
              <w:t xml:space="preserve"> crisis mechanism </w:t>
            </w:r>
            <w:r>
              <w:rPr>
                <w:b/>
                <w:i/>
              </w:rPr>
              <w:t>based on extraordinary borrowing backed by additional headroom under the own resources ceiling and anchored in the EU budget’s consistently excellent credit rating; notes that this instrument is time-bound, subject to pre-defined criteria and limitations on its purpose, scope and size delimited by the extra available dedicated headroom compartment; considers that</w:t>
            </w:r>
            <w:r>
              <w:t xml:space="preserve"> joint borrowing </w:t>
            </w:r>
            <w:r>
              <w:rPr>
                <w:b/>
                <w:i/>
              </w:rPr>
              <w:t>presents a viable option that offers the</w:t>
            </w:r>
            <w:r>
              <w:t xml:space="preserve"> Union </w:t>
            </w:r>
            <w:r>
              <w:rPr>
                <w:b/>
                <w:i/>
              </w:rPr>
              <w:t>the ability to respond swiftly to unexpected developments; expresses satisfaction that the proposed mechanism would not be based on Article 122 TFEU, which sidelines Parliament as in previous cases, but on a Council regulation under Article 311(4) TFEU, which entails a consent procedure, thus ensuring institutional balance and procedural</w:t>
            </w:r>
            <w:r>
              <w:t xml:space="preserve"> accountability;</w:t>
            </w:r>
          </w:p>
        </w:tc>
        <w:tc>
          <w:tcPr>
            <w:tcW w:w="4876" w:type="dxa"/>
            <w:tcBorders>
              <w:top w:val="nil"/>
              <w:left w:val="nil"/>
              <w:bottom w:val="nil"/>
              <w:right w:val="nil"/>
            </w:tcBorders>
          </w:tcPr>
          <w:p>
            <w:pPr>
              <w:pStyle w:val="Normal6a"/>
            </w:pPr>
            <w:r>
              <w:t>55.</w:t>
            </w:r>
            <w:r>
              <w:tab/>
            </w:r>
            <w:r>
              <w:t xml:space="preserve">Takes note of the Commission’s proposal </w:t>
            </w:r>
            <w:r>
              <w:rPr>
                <w:b/>
                <w:i/>
              </w:rPr>
              <w:t>concerning a</w:t>
            </w:r>
            <w:r>
              <w:t xml:space="preserve"> crisis </w:t>
            </w:r>
            <w:r>
              <w:rPr>
                <w:b/>
                <w:i/>
              </w:rPr>
              <w:t>response</w:t>
            </w:r>
            <w:r>
              <w:t xml:space="preserve"> mechanism</w:t>
            </w:r>
            <w:r>
              <w:rPr>
                <w:b/>
                <w:i/>
              </w:rPr>
              <w:t>; reiterates its opposition to the use of</w:t>
            </w:r>
            <w:r>
              <w:t xml:space="preserve"> joint borrowing </w:t>
            </w:r>
            <w:r>
              <w:rPr>
                <w:b/>
                <w:i/>
              </w:rPr>
              <w:t>or debt-based instruments as a means of financing</w:t>
            </w:r>
            <w:r>
              <w:t xml:space="preserve"> Union </w:t>
            </w:r>
            <w:r>
              <w:rPr>
                <w:b/>
                <w:i/>
              </w:rPr>
              <w:t>expenditure; stresses that crisis response at Union level must remain exceptional, fully transparent and strictly limited, and must not create permanent borrowing capacities or shared liabilities; underlines that democratic</w:t>
            </w:r>
            <w:r>
              <w:t xml:space="preserve"> accountability </w:t>
            </w:r>
            <w:r>
              <w:rPr>
                <w:b/>
                <w:i/>
              </w:rPr>
              <w:t>and respect for the prerogatives of the budgetary authority are essential irrespective of the legal basis used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94</w:t>
    </w:r>
    <w:r>
      <w:fldChar w:fldCharType="end"/>
    </w:r>
    <w:r>
      <w:t>/</w:t>
    </w:r>
    <w:r>
      <w:fldChar w:fldCharType="begin"/>
    </w:r>
    <w:r>
      <w:instrText xml:space="preserve"> NUMPAGES </w:instrText>
    </w:r>
    <w:r>
      <w:fldChar w:fldCharType="separate"/>
    </w:r>
    <w:r>
      <w:t>95</w:t>
    </w:r>
    <w:r>
      <w:fldChar w:fldCharType="end"/>
    </w:r>
    <w:r>
      <w:tab/>
    </w:r>
    <w:r>
      <w:rPr>
        <w:rStyle w:val="HideTWBExt"/>
      </w:rPr>
      <w:t>&lt;PathFdR&gt;</w:t>
    </w:r>
    <w:r>
      <w:t>AM\1336300EN.docx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AM\1336300EN.docx</w:t>
    </w:r>
    <w:r>
      <w:rPr>
        <w:rStyle w:val="HideTWBExt"/>
      </w:rPr>
      <w:t>&lt;/PathFdR&gt;</w:t>
    </w:r>
    <w:r>
      <w:tab/>
    </w:r>
    <w:r>
      <w:fldChar w:fldCharType="begin"/>
    </w:r>
    <w:r>
      <w:instrText xml:space="preserve"> PAGE </w:instrText>
    </w:r>
    <w:r>
      <w:fldChar w:fldCharType="separate"/>
    </w:r>
    <w:r>
      <w:t>95</w:t>
    </w:r>
    <w:r>
      <w:fldChar w:fldCharType="end"/>
    </w:r>
    <w:r>
      <w:t>/</w:t>
    </w:r>
    <w:r>
      <w:fldChar w:fldCharType="begin"/>
    </w:r>
    <w:r>
      <w:instrText xml:space="preserve"> NUMPAGES </w:instrText>
    </w:r>
    <w:r>
      <w:fldChar w:fldCharType="separate"/>
    </w:r>
    <w:r>
      <w:t>95</w:t>
    </w:r>
    <w:r>
      <w:fldChar w:fldCharType="end"/>
    </w:r>
    <w:r>
      <w:tab/>
    </w:r>
    <w:r>
      <w:t>PE</w:t>
    </w:r>
    <w:r>
      <w:rPr>
        <w:rStyle w:val="HideTWBExt"/>
      </w:rPr>
      <w:t>&lt;NoPE&gt;</w:t>
    </w:r>
    <w:r>
      <w:t>784.153</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AM\1336300EN.docx</w:t>
    </w:r>
    <w:r>
      <w:rPr>
        <w:rStyle w:val="HideTWBExt"/>
      </w:rPr>
      <w:t>&lt;/PathFdR&gt;</w:t>
    </w:r>
    <w:r>
      <w:tab/>
    </w:r>
    <w:r>
      <w:tab/>
    </w:r>
    <w:r>
      <w:t>PE</w:t>
    </w:r>
    <w:r>
      <w:rPr>
        <w:rStyle w:val="HideTWBExt"/>
      </w:rPr>
      <w:t>&lt;NoPE&gt;</w:t>
    </w:r>
    <w:r>
      <w:t>784.153</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8776 HideTWBExt;}{\s16\qr \li0\ri0\sb240\sa240\nowidctlpar\wrapdefault\aspalpha\aspnum\faauto\adjustright\rin0\lin0\itap0 \rtlch\fcs1 \af0\afs20\alang1025 \ltrch\fcs0 &#13;_x000a_\fs24\lang2057\langfe2057\cgrid\langnp2057\langfenp2057 \sbasedon0 \snext16 \spriority0 \styrsid228776 AmOrLang;}{\s17\ql \li0\ri0\sa120\nowidctlpar\wrapdefault\aspalpha\aspnum\faauto\adjustright\rin0\lin0\itap0 \rtlch\fcs1 \af0\afs20\alang1025 &#13;_x000a_\ltrch\fcs0 \fs24\lang2057\langfe2057\cgrid\langnp2057\langfenp2057 \sbasedon0 \snext17 \spriority0 \styrsid228776 Normal6a;}{\s18\ql \li0\ri0\nowidctlpar\wrapdefault\aspalpha\aspnum\faauto\adjustright\rin0\lin0\itap0 \rtlch\fcs1 \af0\afs20\alang1025 &#13;_x000a_\ltrch\fcs0 \b\fs24\lang2057\langfe2057\cgrid\langnp2057\langfenp2057 \sbasedon0 \snext18 \spriority0 \styrsid228776 NormalBold;}{\s19\qc \li0\ri0\sa240\nowidctlpar\wrapdefault\aspalpha\aspnum\faauto\adjustright\rin0\lin0\itap0 \rtlch\fcs1 &#13;_x000a_\af0\afs20\alang1025 \ltrch\fcs0 \i\fs24\lang2057\langfe2057\cgrid\langnp2057\langfenp2057 \sbasedon0 \snext19 \spriority0 \styrsid228776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228776 AmNumberTabs;}}{\*\rsidtbl \rsid24658\rsid228776\rsid358857\rsid735077\rsid787282\rsid1457763\rsid2892074\rsid3622648\rsid4666813&#13;_x000a_\rsid5708216\rsid6641733\rsid7553164\rsid8465581\rsid8681905\rsid8724649\rsid9636012\rsid9862312\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19}&#13;_x000a_{\revtim\yr2019\mo7\dy3\hr16\min19}{\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877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457763 &#13;_x000a_\chftnsep &#13;_x000a_\par }}{\*\ftnsepc \ltrpar \pard\plain \ltrpar\ql \li0\ri0\widctlpar\wrapdefault\aspalpha\aspnum\faauto\adjustright\rin0\lin0\itap0 \rtlch\fcs1 \af0\afs20\alang1025 \ltrch\fcs0 \fs24\lang2057\langfe2057\cgrid\langnp2057\langfenp2057 {\rtlch\fcs1 \af0 &#13;_x000a_\ltrch\fcs0 \insrsid1457763 \chftnsepc &#13;_x000a_\par }}{\*\aftnsep \ltrpar \pard\plain \ltrpar\ql \li0\ri0\widctlpar\wrapdefault\aspalpha\aspnum\faauto\adjustright\rin0\lin0\itap0 \rtlch\fcs1 \af0\afs20\alang1025 \ltrch\fcs0 \fs24\lang2057\langfe2057\cgrid\langnp2057\langfenp2057 {\rtlch\fcs1 \af0 &#13;_x000a_\ltrch\fcs0 \insrsid1457763 \chftnsep &#13;_x000a_\par }}{\*\aftnsepc \ltrpar \pard\plain \ltrpar\ql \li0\ri0\widctlpar\wrapdefault\aspalpha\aspnum\faauto\adjustright\rin0\lin0\itap0 \rtlch\fcs1 \af0\afs20\alang1025 \ltrch\fcs0 \fs24\lang2057\langfe2057\cgrid\langnp2057\langfenp2057 {\rtlch\fcs1 \af0 &#13;_x000a_\ltrch\fcs0 \insrsid1457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228776 \rtlch\fcs1 \af0\afs20\alang1025 \ltrch\fcs0 \b\fs24\lang2057\langfe2057\cgrid\langnp2057\langfenp2057 {\rtlch\fcs1 \af0 \ltrch\fcs0 \cs15\b0\v\f1\fs20\cf9\lang1024\langfe1024\noproof\insrsid228776\charrsid4417459 &#13;_x000a_{\*\bkmkstart restart}&lt;Amend&gt;}{\rtlch\fcs1 \af0 \ltrch\fcs0 \insrsid228776\charrsid1799708 [ZAMENDMENT]}{\rtlch\fcs1 \af0 \ltrch\fcs0 \insrsid228776 \tab \tab }{\rtlch\fcs1 \af0 \ltrch\fcs0 &#13;_x000a_\cs15\b0\v\f1\fs20\cf9\lang1024\langfe1024\noproof\insrsid228776\charrsid4417459 &lt;NumAm&gt;}{\rtlch\fcs1 \af0 \ltrch\fcs0 \insrsid228776\charrsid1799708 [ZNRAM]}{\rtlch\fcs1 \af0 \ltrch\fcs0 &#13;_x000a_\cs15\b0\v\f1\fs20\cf9\lang1024\langfe1024\noproof\insrsid228776\charrsid4417459 &lt;/NumAm&gt;}{\rtlch\fcs1 \af0 \ltrch\fcs0 \insrsid228776\charrsid4080556 &#13;_x000a_\par }\pard\plain \ltrpar\s18\ql \li0\ri0\nowidctlpar\wrapdefault\aspalpha\aspnum\faauto\adjustright\rin0\lin0\itap0\pararsid228776 \rtlch\fcs1 \af0\afs20\alang1025 \ltrch\fcs0 \b\fs24\lang2057\langfe2057\cgrid\langnp2057\langfenp2057 {\rtlch\fcs1 \af0 &#13;_x000a_\ltrch\fcs0 \cs15\b0\v\f1\fs20\cf9\lang1024\langfe1024\noproof\insrsid228776\charrsid14699840 &lt;RepeatBlock-By&gt;}{\rtlch\fcs1 \af0 \ltrch\fcs0 \lang1024\langfe1024\noproof\insrsid228776\charrsid14699840 [RepeatMembers]}{\rtlch\fcs1 \af0 \ltrch\fcs0 &#13;_x000a_\cs15\b0\v\f1\fs20\cf9\lang1024\langfe1024\noproof\insrsid228776\charrsid14699840 &lt;Members&gt;}{\rtlch\fcs1 \af0 \ltrch\fcs0 \insrsid228776\charrsid14699840 [ZMEMBERS]}{\rtlch\fcs1 \af0 \ltrch\fcs0 &#13;_x000a_\cs15\b0\v\f1\fs20\cf9\lang1024\langfe1024\noproof\insrsid228776\charrsid14699840 &lt;/Members&gt;}{\rtlch\fcs1 \af0 \ltrch\fcs0 \insrsid228776\charrsid14699840 &#13;_x000a_\par }\pard\plain \ltrpar\ql \li0\ri0\widctlpar\wrapdefault\aspalpha\aspnum\faauto\adjustright\rin0\lin0\itap0\pararsid228776 \rtlch\fcs1 \af0\afs20\alang1025 \ltrch\fcs0 \fs24\lang2057\langfe2057\cgrid\langnp2057\langfenp2057 {\rtlch\fcs1 \af0 \ltrch\fcs0 &#13;_x000a_\cs15\v\f1\fs20\cf9\lang1024\langfe1024\noproof\langnp1043\insrsid228776\charrsid272660 &lt;AuNomDe&gt;&lt;OptDel&gt;}{\rtlch\fcs1 \af0 \ltrch\fcs0 \lang1043\langfe2057\langnp1043\insrsid228776\charrsid272660 [ZONBEHALF]}{\rtlch\fcs1 \af0 \ltrch\fcs0 &#13;_x000a_\cs15\v\f1\fs20\cf9\lang1024\langfe1024\noproof\langnp1043\insrsid228776\charrsid272660 &lt;/OptDel&gt;&lt;/AuNomDe&gt;}{\rtlch\fcs1 \af0 \ltrch\fcs0 \lang1043\langfe2057\langnp1043\insrsid228776\charrsid272660 &#13;_x000a_\par }{\rtlch\fcs1 \af0 \ltrch\fcs0 \insrsid228776\charrsid14699840 &lt;&lt;&lt;}{\rtlch\fcs1 \af0 \ltrch\fcs0 \cs15\v\f1\fs20\cf9\lang1024\langfe1024\noproof\insrsid228776\charrsid14699840 &lt;/RepeatBlock-By&gt;}{\rtlch\fcs1 \af0 \ltrch\fcs0 &#13;_x000a_\insrsid228776\charrsid14699840 &#13;_x000a_\par }\pard\plain \ltrpar\s18\ql \li0\ri0\nowidctlpar\wrapdefault\aspalpha\aspnum\faauto\adjustright\rin0\lin0\itap0\pararsid228776 \rtlch\fcs1 \af0\afs20\alang1025 \ltrch\fcs0 \b\fs24\lang2057\langfe2057\cgrid\langnp2057\langfenp2057 {\rtlch\fcs1 \af0 &#13;_x000a_\ltrch\fcs0 \cs15\b0\v\f1\fs20\cf9\lang1024\langfe1024\noproof\insrsid228776\charrsid4737239 &lt;DocAmend&gt;}{\rtlch\fcs1 \af0 \ltrch\fcs0 \insrsid228776\charrsid1799708 [Z}{\rtlch\fcs1 \af0 \ltrch\fcs0 \insrsid228776 AMDOC}{\rtlch\fcs1 \af0 \ltrch\fcs0 &#13;_x000a_\insrsid228776\charrsid1799708 ]}{\rtlch\fcs1 \af0 \ltrch\fcs0 \cs15\b0\v\f1\fs20\cf9\lang1024\langfe1024\noproof\insrsid228776\charrsid4737239 &lt;/DocAmend&gt;}{\rtlch\fcs1 \af0 \ltrch\fcs0 \insrsid228776\charrsid1799708 &#13;_x000a_\par }{\rtlch\fcs1 \af0 \ltrch\fcs0 \cs15\b0\v\f1\fs20\cf9\lang1024\langfe1024\noproof\insrsid228776\charrsid1799708 &lt;Article&gt;}{\rtlch\fcs1 \af0 \ltrch\fcs0 \insrsid228776\charrsid1799708 [ZAMPART]}{\rtlch\fcs1 \af0 \ltrch\fcs0 &#13;_x000a_\cs15\b0\v\f1\fs20\cf9\lang1024\langfe1024\noproof\insrsid228776\charrsid1799708 &lt;/Article&gt;}{\rtlch\fcs1 \af0 \ltrch\fcs0 \insrsid228776\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0708565 \rtlch\fcs1 \af0\afs20\alang1025 &#13;_x000a_\ltrch\fcs0 \fs24\lang2057\langfe2057\cgrid\langnp2057\langfenp2057 {\rtlch\fcs1 \af0 \ltrch\fcs0 \insrsid228776\charrsid1799708 \cell }\pard\plain \ltrpar\ql \li0\ri0\widctlpar\intbl\wrapdefault\aspalpha\aspnum\faauto\adjustright\rin0\lin0 \rtlch\fcs1 &#13;_x000a_\af0\afs20\alang1025 \ltrch\fcs0 \fs24\lang2057\langfe2057\cgrid\langnp2057\langfenp2057 {\rtlch\fcs1 \af0 \ltrch\fcs0 \insrsid228776\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0708565 \rtlch\fcs1 \af0\afs20\alang1025 \ltrch\fcs0 \i\fs24\lang2057\langfe2057\cgrid\langnp2057\langfenp2057 {\rtlch\fcs1 \af0 \ltrch\fcs0 &#13;_x000a_\insrsid228776\charrsid1799708 [ZLEFT]\cell [ZRIGHT]\cell }\pard\plain \ltrpar\ql \li0\ri0\widctlpar\intbl\wrapdefault\aspalpha\aspnum\faauto\adjustright\rin0\lin0 \rtlch\fcs1 \af0\afs20\alang1025 \ltrch\fcs0 &#13;_x000a_\fs24\lang2057\langfe2057\cgrid\langnp2057\langfenp2057 {\rtlch\fcs1 \af0 \ltrch\fcs0 \insrsid228776\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14055546 \rtlch\fcs1 \af0\afs20\alang1025 \ltrch\fcs0 \fs24\lang2057\langfe2057\cgrid\langnp2057\langfenp2057 {\rtlch\fcs1 \af0 \ltrch\fcs0 &#13;_x000a_\insrsid228776\charrsid1799708 [ZTEXTL]\cell [ZTEXTR]}{\rtlch\fcs1 \af0\afs24 \ltrch\fcs0 \insrsid228776\charrsid1799708 \cell }\pard\plain \ltrpar\ql \li0\ri0\widctlpar\intbl\wrapdefault\aspalpha\aspnum\faauto\adjustright\rin0\lin0 \rtlch\fcs1 &#13;_x000a_\af0\afs20\alang1025 \ltrch\fcs0 \fs24\lang2057\langfe2057\cgrid\langnp2057\langfenp2057 {\rtlch\fcs1 \af0 \ltrch\fcs0 \insrsid228776\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228776 \rtlch\fcs1 \af0\afs20\alang1025 \ltrch\fcs0 \fs24\lang2057\langfe2057\cgrid\langnp2057\langfenp2057 {\rtlch\fcs1 \af0 \ltrch\fcs0 &#13;_x000a_\insrsid228776\charrsid1799708 Or. }{\rtlch\fcs1 \af0 \ltrch\fcs0 \cs15\v\f1\fs20\cf9\lang1024\langfe1024\noproof\insrsid228776\charrsid1799708 &lt;Original&gt;}{\rtlch\fcs1 \af0 \ltrch\fcs0 \insrsid228776\charrsid1799708 [ZORLANG]}{\rtlch\fcs1 \af0 &#13;_x000a_\ltrch\fcs0 \cs15\v\f1\fs20\cf9\lang1024\langfe1024\noproof\insrsid228776\charrsid1799708 &lt;/Original&gt;}{\rtlch\fcs1 \af0 \ltrch\fcs0 \insrsid228776\charrsid1799708 &#13;_x000a_\par }\pard\plain \ltrpar\ql \li0\ri0\widctlpar\wrapdefault\aspalpha\aspnum\faauto\adjustright\rin0\lin0\itap0\pararsid228776 \rtlch\fcs1 \af0\afs20\alang1025 \ltrch\fcs0 \fs24\lang2057\langfe2057\cgrid\langnp2057\langfenp2057 {\rtlch\fcs1 \af0 \ltrch\fcs0 &#13;_x000a_\cs15\v\f1\fs20\cf9\lang1024\langfe1024\noproof\insrsid228776\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28&#13;_x000a_3844aa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95</Pages>
  <Words>24543</Words>
  <Characters>147284</Characters>
  <Application>Microsoft Office Word</Application>
  <DocSecurity>0</DocSecurity>
  <Lines>1</Lines>
  <Paragraphs>1287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AM_Com_NonLegOpinion</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1336300</vt:lpwstr>
  </property>
  <property fmtid="{D5CDD505-2E9C-101B-9397-08002B2CF9AE}" pid="4" name="&lt;Model&gt;">
    <vt:lpwstr>AM_Com_NonLegOpinion</vt:lpwstr>
  </property>
  <property fmtid="{D5CDD505-2E9C-101B-9397-08002B2CF9AE}" pid="5" name="&lt;Type&gt;">
    <vt:lpwstr>AM</vt:lpwstr>
  </property>
  <property fmtid="{D5CDD505-2E9C-101B-9397-08002B2CF9AE}" pid="6" name="dmxml.render.id">
    <vt:lpwstr>379843</vt:lpwstr>
  </property>
  <property fmtid="{D5CDD505-2E9C-101B-9397-08002B2CF9AE}" pid="7" name="dmxml.render.traceId">
    <vt:lpwstr>698dccf3cbd0e7a9710ceee2930b24b4</vt:lpwstr>
  </property>
  <property fmtid="{D5CDD505-2E9C-101B-9397-08002B2CF9AE}" pid="8" name="FooterPath">
    <vt:lpwstr>AM\1336300EN.docx</vt:lpwstr>
  </property>
  <property fmtid="{D5CDD505-2E9C-101B-9397-08002B2CF9AE}" pid="9" name="PE Number">
    <vt:lpwstr>784.153</vt:lpwstr>
  </property>
  <property fmtid="{D5CDD505-2E9C-101B-9397-08002B2CF9AE}" pid="10" name="UID">
    <vt:lpwstr>eu.europa.europarl-DIN1-2026-0000021555_02.00-en-01.00_text-xml</vt:lpwstr>
  </property>
</Properties>
</file>